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AD726" w14:textId="5E590987" w:rsidR="005A5D70" w:rsidRPr="00045BA1" w:rsidRDefault="00045BA1" w:rsidP="00045BA1">
      <w:pPr>
        <w:pStyle w:val="1-MainHeading"/>
        <w:ind w:left="938" w:hanging="938"/>
      </w:pPr>
      <w:r w:rsidRPr="00211C8B">
        <w:t>11.0</w:t>
      </w:r>
      <w:r>
        <w:t>1</w:t>
      </w:r>
      <w:r w:rsidRPr="00211C8B">
        <w:t xml:space="preserve"> </w:t>
      </w:r>
      <w:r>
        <w:tab/>
        <w:t>CLADRIBINE,</w:t>
      </w:r>
      <w:r>
        <w:br/>
      </w:r>
      <w:bookmarkStart w:id="0" w:name="_Toc82610348"/>
      <w:r>
        <w:t>Tablet 10 mg</w:t>
      </w:r>
      <w:r w:rsidRPr="00211C8B">
        <w:t>,</w:t>
      </w:r>
      <w:r w:rsidRPr="00211C8B">
        <w:br/>
      </w:r>
      <w:bookmarkStart w:id="1" w:name="_Toc82610349"/>
      <w:bookmarkEnd w:id="0"/>
      <w:r w:rsidRPr="00045BA1">
        <w:t>Mavenclad</w:t>
      </w:r>
      <w:r w:rsidRPr="00045BA1">
        <w:rPr>
          <w:vertAlign w:val="superscript"/>
        </w:rPr>
        <w:t>®</w:t>
      </w:r>
      <w:r>
        <w:t>,</w:t>
      </w:r>
      <w:r w:rsidRPr="00211C8B">
        <w:br/>
      </w:r>
      <w:bookmarkEnd w:id="1"/>
      <w:r w:rsidRPr="00691087">
        <w:t>Merck Healthcare Pty Ltd</w:t>
      </w:r>
    </w:p>
    <w:p w14:paraId="16F5DDC1" w14:textId="6D826DD2" w:rsidR="005A2754" w:rsidRPr="00691087" w:rsidRDefault="005A2754" w:rsidP="00045BA1">
      <w:pPr>
        <w:pStyle w:val="PBACHeading1"/>
        <w:spacing w:after="120"/>
      </w:pPr>
      <w:bookmarkStart w:id="2" w:name="_Toc82600888"/>
      <w:r w:rsidRPr="00691087">
        <w:t xml:space="preserve">Purpose of </w:t>
      </w:r>
      <w:r w:rsidR="006D6F34" w:rsidRPr="00691087">
        <w:t>Submission</w:t>
      </w:r>
      <w:bookmarkEnd w:id="2"/>
    </w:p>
    <w:p w14:paraId="7148F8EC" w14:textId="77777777" w:rsidR="005A2754" w:rsidRPr="00691087" w:rsidRDefault="005A2754" w:rsidP="005A2754">
      <w:pPr>
        <w:pStyle w:val="ListParagraph"/>
        <w:widowControl/>
        <w:numPr>
          <w:ilvl w:val="1"/>
          <w:numId w:val="2"/>
        </w:numPr>
      </w:pPr>
      <w:r w:rsidRPr="00691087">
        <w:t>The submission request</w:t>
      </w:r>
      <w:r w:rsidR="00A27ACD" w:rsidRPr="00691087">
        <w:t>ed</w:t>
      </w:r>
      <w:r w:rsidRPr="00691087">
        <w:t xml:space="preserve"> an increase </w:t>
      </w:r>
      <w:r w:rsidR="001A1A61" w:rsidRPr="00691087">
        <w:t xml:space="preserve">in the effective price </w:t>
      </w:r>
      <w:r w:rsidRPr="00691087">
        <w:t>of cladribine for relapsing remitting multiple sclerosis</w:t>
      </w:r>
      <w:r w:rsidR="00E31ED1" w:rsidRPr="00691087">
        <w:t xml:space="preserve"> </w:t>
      </w:r>
      <w:r w:rsidR="001311E8" w:rsidRPr="00691087">
        <w:t xml:space="preserve">(RRMS) </w:t>
      </w:r>
      <w:r w:rsidR="00E31ED1" w:rsidRPr="00691087">
        <w:t>based on a revision of equi-effective doses</w:t>
      </w:r>
      <w:r w:rsidR="00A27ACD" w:rsidRPr="00691087">
        <w:t>.</w:t>
      </w:r>
    </w:p>
    <w:p w14:paraId="17825E56" w14:textId="77777777" w:rsidR="005A2754" w:rsidRPr="00691087" w:rsidRDefault="005A2754" w:rsidP="005A2754">
      <w:pPr>
        <w:pStyle w:val="ListParagraph"/>
        <w:widowControl/>
        <w:numPr>
          <w:ilvl w:val="1"/>
          <w:numId w:val="2"/>
        </w:numPr>
        <w:spacing w:after="120"/>
      </w:pPr>
      <w:r w:rsidRPr="00691087">
        <w:t xml:space="preserve">The requested basis for the price increase is a cost-minimisation analysis against fingolimod (and ozanimod) over </w:t>
      </w:r>
      <w:r w:rsidR="00236027">
        <w:t xml:space="preserve">a </w:t>
      </w:r>
      <w:r w:rsidR="00A27ACD" w:rsidRPr="00691087">
        <w:t>four</w:t>
      </w:r>
      <w:r w:rsidRPr="00691087">
        <w:t xml:space="preserve"> year duration</w:t>
      </w:r>
      <w:r w:rsidR="0027201E" w:rsidRPr="00691087">
        <w:t xml:space="preserve"> (i.e. by re-specifying the equi-effective doses of cladribine to other RRMS therapies)</w:t>
      </w:r>
      <w:r w:rsidR="00185968" w:rsidRPr="00691087">
        <w:t>.</w:t>
      </w:r>
      <w:r w:rsidR="0027201E" w:rsidRPr="00691087">
        <w:t xml:space="preserve"> </w:t>
      </w:r>
      <w:r w:rsidR="00A27ACD" w:rsidRPr="00691087">
        <w:t>C</w:t>
      </w:r>
      <w:r w:rsidRPr="00691087">
        <w:t>ladribine was recommended by the PBAC on the basis of a cost</w:t>
      </w:r>
      <w:r w:rsidR="00537628" w:rsidRPr="00691087">
        <w:t>-</w:t>
      </w:r>
      <w:r w:rsidRPr="00691087">
        <w:t xml:space="preserve">minimisation to fingolimod over a </w:t>
      </w:r>
      <w:r w:rsidR="00182323" w:rsidRPr="00691087">
        <w:t>two-year</w:t>
      </w:r>
      <w:r w:rsidRPr="00691087">
        <w:t xml:space="preserve"> time period in July 2018.</w:t>
      </w:r>
      <w:r w:rsidR="0027201E" w:rsidRPr="00691087">
        <w:t xml:space="preserve"> </w:t>
      </w:r>
    </w:p>
    <w:p w14:paraId="7F69D298" w14:textId="77777777" w:rsidR="005A2754" w:rsidRPr="00691087" w:rsidRDefault="005A2754" w:rsidP="005A2754">
      <w:pPr>
        <w:pStyle w:val="ListParagraph"/>
        <w:widowControl/>
        <w:numPr>
          <w:ilvl w:val="1"/>
          <w:numId w:val="2"/>
        </w:numPr>
        <w:spacing w:after="120"/>
      </w:pPr>
      <w:r w:rsidRPr="00691087">
        <w:t>Key components of the clinical issues addres</w:t>
      </w:r>
      <w:r w:rsidRPr="00691087">
        <w:rPr>
          <w:snapToGrid/>
        </w:rPr>
        <w:t xml:space="preserve">sed by the submission are presented in </w:t>
      </w:r>
      <w:r w:rsidR="00691087" w:rsidRPr="00691087">
        <w:rPr>
          <w:snapToGrid/>
        </w:rPr>
        <w:t>Table 1</w:t>
      </w:r>
      <w:r w:rsidRPr="00691087">
        <w:rPr>
          <w:snapToGrid/>
        </w:rPr>
        <w:t>.</w:t>
      </w:r>
    </w:p>
    <w:p w14:paraId="19C10AC1" w14:textId="2CEDB456" w:rsidR="005A2754" w:rsidRPr="00691087" w:rsidRDefault="005A2754" w:rsidP="005A2754">
      <w:bookmarkStart w:id="3" w:name="_Ref81484799"/>
      <w:r w:rsidRPr="00691087">
        <w:rPr>
          <w:rStyle w:val="CommentReference"/>
        </w:rPr>
        <w:t xml:space="preserve">Table </w:t>
      </w:r>
      <w:r w:rsidR="00691087" w:rsidRPr="00691087">
        <w:rPr>
          <w:rStyle w:val="CommentReference"/>
        </w:rPr>
        <w:t>1</w:t>
      </w:r>
      <w:bookmarkEnd w:id="3"/>
      <w:r w:rsidRPr="00691087">
        <w:rPr>
          <w:rStyle w:val="CommentReference"/>
        </w:rPr>
        <w:t xml:space="preserve">: Key components of the clinical issue </w:t>
      </w:r>
      <w:r w:rsidR="00236027">
        <w:rPr>
          <w:rStyle w:val="CommentReference"/>
        </w:rPr>
        <w:t xml:space="preserve">as stated </w:t>
      </w:r>
      <w:r w:rsidRPr="00691087">
        <w:rPr>
          <w:rStyle w:val="CommentReference"/>
        </w:rPr>
        <w:t>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s stated by the submission"/>
      </w:tblPr>
      <w:tblGrid>
        <w:gridCol w:w="1668"/>
        <w:gridCol w:w="7488"/>
      </w:tblGrid>
      <w:tr w:rsidR="005A2754" w:rsidRPr="00691087" w14:paraId="4F97E472" w14:textId="77777777" w:rsidTr="00750D38">
        <w:tc>
          <w:tcPr>
            <w:tcW w:w="1668" w:type="dxa"/>
            <w:vAlign w:val="center"/>
          </w:tcPr>
          <w:p w14:paraId="1DC65992" w14:textId="77777777" w:rsidR="005A2754" w:rsidRPr="00691087" w:rsidRDefault="005A2754" w:rsidP="00750D38">
            <w:pPr>
              <w:pStyle w:val="Tabletext"/>
              <w:rPr>
                <w:b/>
              </w:rPr>
            </w:pPr>
            <w:r w:rsidRPr="00691087">
              <w:rPr>
                <w:b/>
              </w:rPr>
              <w:t>Component</w:t>
            </w:r>
          </w:p>
        </w:tc>
        <w:tc>
          <w:tcPr>
            <w:tcW w:w="7488" w:type="dxa"/>
            <w:vAlign w:val="center"/>
          </w:tcPr>
          <w:p w14:paraId="5D66E624" w14:textId="77777777" w:rsidR="005A2754" w:rsidRPr="00691087" w:rsidRDefault="005A2754" w:rsidP="00750D38">
            <w:pPr>
              <w:pStyle w:val="Tabletext"/>
              <w:jc w:val="center"/>
              <w:rPr>
                <w:b/>
              </w:rPr>
            </w:pPr>
            <w:r w:rsidRPr="00691087">
              <w:rPr>
                <w:b/>
              </w:rPr>
              <w:t>Description</w:t>
            </w:r>
          </w:p>
        </w:tc>
      </w:tr>
      <w:tr w:rsidR="005A2754" w:rsidRPr="00691087" w14:paraId="718733DB" w14:textId="77777777" w:rsidTr="00750D38">
        <w:tc>
          <w:tcPr>
            <w:tcW w:w="1668" w:type="dxa"/>
            <w:vAlign w:val="center"/>
          </w:tcPr>
          <w:p w14:paraId="1123BC70" w14:textId="77777777" w:rsidR="005A2754" w:rsidRPr="00691087" w:rsidRDefault="005A2754" w:rsidP="00750D38">
            <w:pPr>
              <w:pStyle w:val="Tabletext"/>
            </w:pPr>
            <w:r w:rsidRPr="00691087">
              <w:t>Population</w:t>
            </w:r>
          </w:p>
        </w:tc>
        <w:tc>
          <w:tcPr>
            <w:tcW w:w="7488" w:type="dxa"/>
            <w:vAlign w:val="center"/>
          </w:tcPr>
          <w:p w14:paraId="2300D20E" w14:textId="77777777" w:rsidR="005A2754" w:rsidRPr="00691087" w:rsidRDefault="005A2754" w:rsidP="00750D38">
            <w:pPr>
              <w:pStyle w:val="Tabletext"/>
            </w:pPr>
            <w:r w:rsidRPr="00691087">
              <w:t>Patients with relapsing remitting multiple sclerosis (R</w:t>
            </w:r>
            <w:r w:rsidR="00A27ACD" w:rsidRPr="00691087">
              <w:t>R</w:t>
            </w:r>
            <w:r w:rsidRPr="00691087">
              <w:t>MS).</w:t>
            </w:r>
          </w:p>
        </w:tc>
      </w:tr>
      <w:tr w:rsidR="005A2754" w:rsidRPr="00691087" w14:paraId="79B28BA3" w14:textId="77777777" w:rsidTr="00750D38">
        <w:tc>
          <w:tcPr>
            <w:tcW w:w="1668" w:type="dxa"/>
            <w:vAlign w:val="center"/>
          </w:tcPr>
          <w:p w14:paraId="6ADD516A" w14:textId="77777777" w:rsidR="005A2754" w:rsidRPr="00691087" w:rsidRDefault="005A2754" w:rsidP="00750D38">
            <w:pPr>
              <w:pStyle w:val="Tabletext"/>
            </w:pPr>
            <w:r w:rsidRPr="00691087">
              <w:t>Intervention</w:t>
            </w:r>
          </w:p>
        </w:tc>
        <w:tc>
          <w:tcPr>
            <w:tcW w:w="7488" w:type="dxa"/>
            <w:vAlign w:val="center"/>
          </w:tcPr>
          <w:p w14:paraId="47894F43" w14:textId="77777777" w:rsidR="005A2754" w:rsidRPr="00691087" w:rsidRDefault="005A2754" w:rsidP="00750D38">
            <w:pPr>
              <w:pStyle w:val="Tabletext"/>
            </w:pPr>
            <w:r w:rsidRPr="00691087">
              <w:t>Cladribine tablets are taken over 4-5 days in Weeks 1 and 5 in each of the first two years of therapy to give a cumulative dose of 3.5mg/kg, followed by observation only for two further years.</w:t>
            </w:r>
          </w:p>
        </w:tc>
      </w:tr>
      <w:tr w:rsidR="005A2754" w:rsidRPr="00691087" w14:paraId="03C7E047" w14:textId="77777777" w:rsidTr="00750D38">
        <w:tc>
          <w:tcPr>
            <w:tcW w:w="1668" w:type="dxa"/>
            <w:vAlign w:val="center"/>
          </w:tcPr>
          <w:p w14:paraId="51A3E54C" w14:textId="77777777" w:rsidR="005A2754" w:rsidRPr="00691087" w:rsidRDefault="005A2754" w:rsidP="00750D38">
            <w:pPr>
              <w:pStyle w:val="Tabletext"/>
            </w:pPr>
            <w:r w:rsidRPr="00691087">
              <w:t>Comparator</w:t>
            </w:r>
          </w:p>
        </w:tc>
        <w:tc>
          <w:tcPr>
            <w:tcW w:w="7488" w:type="dxa"/>
            <w:vAlign w:val="center"/>
          </w:tcPr>
          <w:p w14:paraId="17A082D5" w14:textId="77777777" w:rsidR="005A2754" w:rsidRPr="00691087" w:rsidRDefault="005A2754" w:rsidP="00750D38">
            <w:pPr>
              <w:pStyle w:val="Tabletext"/>
            </w:pPr>
            <w:r w:rsidRPr="00691087">
              <w:t>The main comparator for cladribine is fingolimod 0.5mg administered daily (over four years to match duration of therapeutic effect for cladribine).</w:t>
            </w:r>
          </w:p>
        </w:tc>
      </w:tr>
      <w:tr w:rsidR="005A2754" w:rsidRPr="00691087" w14:paraId="518393F3" w14:textId="77777777" w:rsidTr="00750D38">
        <w:tc>
          <w:tcPr>
            <w:tcW w:w="1668" w:type="dxa"/>
            <w:vAlign w:val="center"/>
          </w:tcPr>
          <w:p w14:paraId="25F3AE6E" w14:textId="77777777" w:rsidR="005A2754" w:rsidRPr="00691087" w:rsidRDefault="005A2754" w:rsidP="00750D38">
            <w:pPr>
              <w:pStyle w:val="Tabletext"/>
            </w:pPr>
            <w:r w:rsidRPr="00691087">
              <w:t>Outcomes</w:t>
            </w:r>
          </w:p>
        </w:tc>
        <w:tc>
          <w:tcPr>
            <w:tcW w:w="7488" w:type="dxa"/>
            <w:vAlign w:val="center"/>
          </w:tcPr>
          <w:p w14:paraId="10777300" w14:textId="77777777" w:rsidR="005A2754" w:rsidRPr="00691087" w:rsidRDefault="005A2754" w:rsidP="00750D38">
            <w:pPr>
              <w:pStyle w:val="Tabletext"/>
            </w:pPr>
            <w:r w:rsidRPr="00691087">
              <w:t>Annualised relapse rate; proportion of patients remaining relapse free; treatment switching.</w:t>
            </w:r>
          </w:p>
        </w:tc>
      </w:tr>
      <w:tr w:rsidR="005A2754" w:rsidRPr="00691087" w14:paraId="5CD06BC2" w14:textId="77777777" w:rsidTr="00750D38">
        <w:tc>
          <w:tcPr>
            <w:tcW w:w="1668" w:type="dxa"/>
            <w:vAlign w:val="center"/>
          </w:tcPr>
          <w:p w14:paraId="3FCFC006" w14:textId="77777777" w:rsidR="005A2754" w:rsidRPr="00691087" w:rsidRDefault="005A2754" w:rsidP="00750D38">
            <w:pPr>
              <w:pStyle w:val="Tabletext"/>
            </w:pPr>
            <w:r w:rsidRPr="00691087">
              <w:t>Clinical claim</w:t>
            </w:r>
          </w:p>
        </w:tc>
        <w:tc>
          <w:tcPr>
            <w:tcW w:w="7488" w:type="dxa"/>
            <w:vAlign w:val="center"/>
          </w:tcPr>
          <w:p w14:paraId="20066B7E" w14:textId="77777777" w:rsidR="005A2754" w:rsidRPr="00691087" w:rsidRDefault="005A2754" w:rsidP="00750D38">
            <w:pPr>
              <w:pStyle w:val="Tabletext"/>
            </w:pPr>
            <w:r w:rsidRPr="00691087">
              <w:t>Cladribine is non-inferior in terms of effectiveness compared with fingolimod over both a two year and a four-year treatment period.</w:t>
            </w:r>
          </w:p>
          <w:p w14:paraId="315674ED" w14:textId="77777777" w:rsidR="005A2754" w:rsidRPr="00691087" w:rsidRDefault="005A2754" w:rsidP="00750D38">
            <w:pPr>
              <w:pStyle w:val="Tabletext"/>
            </w:pPr>
            <w:r w:rsidRPr="00691087">
              <w:t>Cladribine is non-inferior in terms of safety compared with fingolimod. The two agents have different but comparable safety profiles.</w:t>
            </w:r>
          </w:p>
        </w:tc>
      </w:tr>
    </w:tbl>
    <w:p w14:paraId="461E52AD" w14:textId="0F885D11" w:rsidR="005A2754" w:rsidRPr="00691087" w:rsidRDefault="005A2754" w:rsidP="00651A38">
      <w:pPr>
        <w:pStyle w:val="TableFooter"/>
        <w:spacing w:after="240"/>
      </w:pPr>
      <w:r w:rsidRPr="00691087">
        <w:t>Source: pp2-64 of the submission</w:t>
      </w:r>
    </w:p>
    <w:p w14:paraId="14568946" w14:textId="77777777" w:rsidR="005A2754" w:rsidRPr="00691087" w:rsidRDefault="005A2754" w:rsidP="00045BA1">
      <w:pPr>
        <w:pStyle w:val="PBACHeading1"/>
        <w:spacing w:after="120"/>
      </w:pPr>
      <w:bookmarkStart w:id="4" w:name="_Toc82600890"/>
      <w:r w:rsidRPr="00691087">
        <w:t>Background</w:t>
      </w:r>
      <w:bookmarkEnd w:id="4"/>
    </w:p>
    <w:p w14:paraId="74B323E2" w14:textId="464A1A72" w:rsidR="005A2754" w:rsidRPr="00045BA1" w:rsidRDefault="005A2754" w:rsidP="00045BA1">
      <w:pPr>
        <w:spacing w:after="120"/>
        <w:rPr>
          <w:b/>
          <w:i/>
          <w:sz w:val="28"/>
          <w:szCs w:val="28"/>
        </w:rPr>
      </w:pPr>
      <w:r w:rsidRPr="00691087">
        <w:rPr>
          <w:b/>
          <w:i/>
          <w:sz w:val="28"/>
          <w:szCs w:val="28"/>
        </w:rPr>
        <w:t>Registration status</w:t>
      </w:r>
    </w:p>
    <w:p w14:paraId="17748AF7" w14:textId="77777777" w:rsidR="005A2754" w:rsidRPr="00691087" w:rsidRDefault="005A2754" w:rsidP="005A2754">
      <w:pPr>
        <w:pStyle w:val="ListParagraph"/>
        <w:widowControl/>
        <w:numPr>
          <w:ilvl w:val="1"/>
          <w:numId w:val="2"/>
        </w:numPr>
        <w:rPr>
          <w:color w:val="000000" w:themeColor="text1"/>
        </w:rPr>
      </w:pPr>
      <w:r w:rsidRPr="00691087">
        <w:rPr>
          <w:color w:val="000000" w:themeColor="text1"/>
        </w:rPr>
        <w:t>Cladribine was approved by the TGA in December 2017.</w:t>
      </w:r>
      <w:r w:rsidR="00691087">
        <w:rPr>
          <w:color w:val="000000" w:themeColor="text1"/>
        </w:rPr>
        <w:t xml:space="preserve"> </w:t>
      </w:r>
      <w:r w:rsidRPr="00691087">
        <w:rPr>
          <w:color w:val="000000" w:themeColor="text1"/>
        </w:rPr>
        <w:t>The current TGA-approved indication for cladribine tablets is as follows:</w:t>
      </w:r>
    </w:p>
    <w:p w14:paraId="6D03F4ED" w14:textId="77777777" w:rsidR="005A2754" w:rsidRDefault="005A2754" w:rsidP="00651A38">
      <w:pPr>
        <w:pStyle w:val="ListParagraph"/>
        <w:widowControl/>
        <w:spacing w:after="720"/>
        <w:ind w:left="709"/>
        <w:rPr>
          <w:color w:val="000000" w:themeColor="text1"/>
        </w:rPr>
      </w:pPr>
      <w:r w:rsidRPr="00691087">
        <w:rPr>
          <w:color w:val="000000" w:themeColor="text1"/>
        </w:rPr>
        <w:t>For the treatment of relapsing-remitting multiple sclerosis (RRMS) to reduce the frequency of clinical relapses and to delay the progression of physical disability. Following completion of the 2 treatment courses, no further cladribine treatment is required in years 3 and 4. Re-initiation of therapy after year 4 has not been studied</w:t>
      </w:r>
      <w:r w:rsidR="00A27ACD" w:rsidRPr="00691087">
        <w:rPr>
          <w:color w:val="000000" w:themeColor="text1"/>
        </w:rPr>
        <w:t>.</w:t>
      </w:r>
      <w:r w:rsidRPr="00691087">
        <w:rPr>
          <w:color w:val="000000" w:themeColor="text1"/>
        </w:rPr>
        <w:t xml:space="preserve"> </w:t>
      </w:r>
    </w:p>
    <w:p w14:paraId="4BD82813" w14:textId="77777777" w:rsidR="00CC6C10" w:rsidRDefault="00CC6C10" w:rsidP="00651A38">
      <w:pPr>
        <w:pStyle w:val="ListParagraph"/>
        <w:widowControl/>
        <w:spacing w:after="120"/>
        <w:ind w:left="0"/>
        <w:rPr>
          <w:color w:val="000000" w:themeColor="text1"/>
        </w:rPr>
      </w:pPr>
      <w:r>
        <w:rPr>
          <w:b/>
          <w:i/>
          <w:sz w:val="28"/>
          <w:szCs w:val="28"/>
        </w:rPr>
        <w:lastRenderedPageBreak/>
        <w:t>Previous PBAC Considerations</w:t>
      </w:r>
    </w:p>
    <w:p w14:paraId="3E864408" w14:textId="77777777" w:rsidR="00CC6C10" w:rsidRPr="00CC6C10" w:rsidRDefault="00CC6C10" w:rsidP="00CC6C10">
      <w:pPr>
        <w:pStyle w:val="ListParagraph"/>
        <w:widowControl/>
        <w:numPr>
          <w:ilvl w:val="1"/>
          <w:numId w:val="2"/>
        </w:numPr>
        <w:rPr>
          <w:color w:val="000000" w:themeColor="text1"/>
        </w:rPr>
      </w:pPr>
      <w:r w:rsidRPr="00CC6C10">
        <w:rPr>
          <w:color w:val="000000" w:themeColor="text1"/>
        </w:rPr>
        <w:t xml:space="preserve">Table </w:t>
      </w:r>
      <w:r>
        <w:rPr>
          <w:color w:val="000000" w:themeColor="text1"/>
        </w:rPr>
        <w:t xml:space="preserve">2 </w:t>
      </w:r>
      <w:r w:rsidRPr="00CC6C10">
        <w:rPr>
          <w:color w:val="000000" w:themeColor="text1"/>
        </w:rPr>
        <w:t xml:space="preserve">gives a brief overview of the history of key PBAC considerations relevant to the current submission. </w:t>
      </w:r>
    </w:p>
    <w:p w14:paraId="3FECCCA9" w14:textId="77777777" w:rsidR="00CC6C10" w:rsidRPr="00691087" w:rsidRDefault="00CC6C10" w:rsidP="00045BA1">
      <w:pPr>
        <w:keepLines/>
        <w:rPr>
          <w:rFonts w:ascii="Arial Narrow" w:hAnsi="Arial Narrow"/>
          <w:b/>
          <w:bCs/>
          <w:sz w:val="20"/>
          <w:szCs w:val="20"/>
        </w:rPr>
      </w:pPr>
      <w:r w:rsidRPr="00691087">
        <w:rPr>
          <w:rFonts w:ascii="Arial Narrow" w:hAnsi="Arial Narrow"/>
          <w:b/>
          <w:bCs/>
          <w:sz w:val="20"/>
          <w:szCs w:val="20"/>
        </w:rPr>
        <w:t xml:space="preserve">Table </w:t>
      </w:r>
      <w:r>
        <w:rPr>
          <w:rFonts w:ascii="Arial Narrow" w:hAnsi="Arial Narrow"/>
          <w:b/>
          <w:bCs/>
          <w:sz w:val="20"/>
          <w:szCs w:val="20"/>
        </w:rPr>
        <w:t>2</w:t>
      </w:r>
      <w:r w:rsidRPr="00691087">
        <w:rPr>
          <w:rFonts w:ascii="Arial Narrow" w:hAnsi="Arial Narrow"/>
          <w:b/>
          <w:bCs/>
          <w:sz w:val="20"/>
          <w:szCs w:val="20"/>
        </w:rPr>
        <w:t xml:space="preserve">: </w:t>
      </w:r>
      <w:r w:rsidR="00DE5581">
        <w:rPr>
          <w:rFonts w:ascii="Arial Narrow" w:hAnsi="Arial Narrow"/>
          <w:b/>
          <w:bCs/>
          <w:sz w:val="20"/>
          <w:szCs w:val="20"/>
        </w:rPr>
        <w:t>O</w:t>
      </w:r>
      <w:r w:rsidRPr="00691087">
        <w:rPr>
          <w:rFonts w:ascii="Arial Narrow" w:hAnsi="Arial Narrow"/>
          <w:b/>
          <w:bCs/>
          <w:sz w:val="20"/>
          <w:szCs w:val="20"/>
        </w:rPr>
        <w:t>verview of key PBAC considerations relevant to the current submission</w:t>
      </w:r>
    </w:p>
    <w:tbl>
      <w:tblPr>
        <w:tblStyle w:val="TableGrid"/>
        <w:tblW w:w="5000" w:type="pct"/>
        <w:tblLook w:val="04A0" w:firstRow="1" w:lastRow="0" w:firstColumn="1" w:lastColumn="0" w:noHBand="0" w:noVBand="1"/>
        <w:tblCaption w:val="Table 2: Overview of key PBAC considerations relevant to the current submission"/>
      </w:tblPr>
      <w:tblGrid>
        <w:gridCol w:w="4130"/>
        <w:gridCol w:w="4887"/>
      </w:tblGrid>
      <w:tr w:rsidR="00CC6C10" w:rsidRPr="00691087" w14:paraId="6A350791" w14:textId="77777777" w:rsidTr="00DE5581">
        <w:trPr>
          <w:tblHeader/>
        </w:trPr>
        <w:tc>
          <w:tcPr>
            <w:tcW w:w="2290" w:type="pct"/>
          </w:tcPr>
          <w:p w14:paraId="7A743C7E" w14:textId="77777777" w:rsidR="00CC6C10" w:rsidRPr="00691087" w:rsidRDefault="00CC6C10" w:rsidP="00045BA1">
            <w:pPr>
              <w:keepLines/>
              <w:rPr>
                <w:rFonts w:ascii="Arial Narrow" w:hAnsi="Arial Narrow"/>
                <w:b/>
                <w:bCs/>
                <w:sz w:val="20"/>
                <w:szCs w:val="20"/>
              </w:rPr>
            </w:pPr>
            <w:r w:rsidRPr="00691087">
              <w:rPr>
                <w:rFonts w:ascii="Arial Narrow" w:hAnsi="Arial Narrow"/>
                <w:b/>
                <w:bCs/>
                <w:sz w:val="20"/>
                <w:szCs w:val="20"/>
              </w:rPr>
              <w:t>Submission /description</w:t>
            </w:r>
          </w:p>
        </w:tc>
        <w:tc>
          <w:tcPr>
            <w:tcW w:w="2710" w:type="pct"/>
          </w:tcPr>
          <w:p w14:paraId="5841AA74" w14:textId="77777777" w:rsidR="00CC6C10" w:rsidRPr="00691087" w:rsidRDefault="00CC6C10" w:rsidP="00045BA1">
            <w:pPr>
              <w:keepLines/>
              <w:rPr>
                <w:rFonts w:ascii="Arial Narrow" w:hAnsi="Arial Narrow"/>
                <w:b/>
                <w:bCs/>
                <w:sz w:val="20"/>
                <w:szCs w:val="20"/>
              </w:rPr>
            </w:pPr>
            <w:r w:rsidRPr="00691087">
              <w:rPr>
                <w:rFonts w:ascii="Arial Narrow" w:hAnsi="Arial Narrow"/>
                <w:b/>
                <w:bCs/>
                <w:sz w:val="20"/>
                <w:szCs w:val="20"/>
              </w:rPr>
              <w:t xml:space="preserve">Key PBAC considerations </w:t>
            </w:r>
          </w:p>
        </w:tc>
      </w:tr>
      <w:tr w:rsidR="00CE1523" w:rsidRPr="00691087" w14:paraId="616C37F4" w14:textId="77777777" w:rsidTr="00DE5581">
        <w:tc>
          <w:tcPr>
            <w:tcW w:w="5000" w:type="pct"/>
            <w:gridSpan w:val="2"/>
          </w:tcPr>
          <w:p w14:paraId="0F70474E" w14:textId="77777777" w:rsidR="00CE1523" w:rsidRPr="00691087" w:rsidRDefault="00CE1523" w:rsidP="00045BA1">
            <w:pPr>
              <w:keepLines/>
              <w:rPr>
                <w:rFonts w:ascii="Arial Narrow" w:hAnsi="Arial Narrow"/>
                <w:sz w:val="20"/>
                <w:szCs w:val="20"/>
              </w:rPr>
            </w:pPr>
            <w:r w:rsidRPr="00691087">
              <w:rPr>
                <w:rFonts w:ascii="Arial Narrow" w:hAnsi="Arial Narrow"/>
                <w:sz w:val="20"/>
                <w:szCs w:val="20"/>
              </w:rPr>
              <w:t>November 2017</w:t>
            </w:r>
          </w:p>
        </w:tc>
      </w:tr>
      <w:tr w:rsidR="00CE1523" w:rsidRPr="00691087" w14:paraId="0D293893" w14:textId="77777777" w:rsidTr="00DE5581">
        <w:tc>
          <w:tcPr>
            <w:tcW w:w="2290" w:type="pct"/>
          </w:tcPr>
          <w:p w14:paraId="0FAB6376" w14:textId="77777777" w:rsidR="00CE1523" w:rsidRPr="00691087" w:rsidRDefault="00CE1523" w:rsidP="00045BA1">
            <w:pPr>
              <w:keepLines/>
              <w:jc w:val="left"/>
              <w:rPr>
                <w:rFonts w:ascii="Arial Narrow" w:hAnsi="Arial Narrow"/>
                <w:sz w:val="20"/>
                <w:szCs w:val="20"/>
              </w:rPr>
            </w:pPr>
            <w:r>
              <w:rPr>
                <w:rFonts w:ascii="Arial Narrow" w:hAnsi="Arial Narrow"/>
                <w:sz w:val="20"/>
                <w:szCs w:val="20"/>
              </w:rPr>
              <w:t>S</w:t>
            </w:r>
            <w:r w:rsidRPr="00691087">
              <w:rPr>
                <w:rFonts w:ascii="Arial Narrow" w:hAnsi="Arial Narrow"/>
                <w:sz w:val="20"/>
                <w:szCs w:val="20"/>
              </w:rPr>
              <w:t>ubmission based on CLARITY and CLARITY Extension</w:t>
            </w:r>
            <w:r>
              <w:rPr>
                <w:rFonts w:ascii="Arial Narrow" w:hAnsi="Arial Narrow"/>
                <w:sz w:val="20"/>
                <w:szCs w:val="20"/>
              </w:rPr>
              <w:t xml:space="preserve"> trials</w:t>
            </w:r>
            <w:r w:rsidRPr="00691087">
              <w:rPr>
                <w:rFonts w:ascii="Arial Narrow" w:hAnsi="Arial Narrow"/>
                <w:sz w:val="20"/>
                <w:szCs w:val="20"/>
              </w:rPr>
              <w:t xml:space="preserve"> comparing cladribine to fingolimod daily. Listing sought on cost-minimisation over 4 years to fingolimod.</w:t>
            </w:r>
          </w:p>
        </w:tc>
        <w:tc>
          <w:tcPr>
            <w:tcW w:w="2710" w:type="pct"/>
          </w:tcPr>
          <w:p w14:paraId="3D1354D9" w14:textId="77777777" w:rsidR="00CE1523" w:rsidRPr="00691087" w:rsidRDefault="00CE1523" w:rsidP="00045BA1">
            <w:pPr>
              <w:keepLines/>
              <w:jc w:val="left"/>
              <w:rPr>
                <w:rFonts w:ascii="Arial Narrow" w:hAnsi="Arial Narrow"/>
                <w:sz w:val="20"/>
                <w:szCs w:val="20"/>
              </w:rPr>
            </w:pPr>
            <w:r w:rsidRPr="00691087">
              <w:rPr>
                <w:rFonts w:ascii="Arial Narrow" w:hAnsi="Arial Narrow"/>
                <w:sz w:val="20"/>
                <w:szCs w:val="20"/>
              </w:rPr>
              <w:t>Not recommended. PBAC considered:</w:t>
            </w:r>
          </w:p>
          <w:p w14:paraId="29AADE67"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Uncertainty of non-inferiority claim over both 2 and 4 year periods.</w:t>
            </w:r>
          </w:p>
          <w:p w14:paraId="1B22D988"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 xml:space="preserve">Insufficient clinical evidence to support the time horizon of four years for estimating the equi-effective doses. </w:t>
            </w:r>
          </w:p>
          <w:p w14:paraId="22FFEE28"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 xml:space="preserve">Unrealistic to assume that patients who receive cladribine and experience disease relapse would not be prescribed another medicine for RRMS before the four-year period or that patients would be persistent to fingolimod. </w:t>
            </w:r>
          </w:p>
          <w:p w14:paraId="4F602D67"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Significant uncertainties in financial analysis.</w:t>
            </w:r>
          </w:p>
          <w:p w14:paraId="37BA9D16"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 xml:space="preserve">Financial analysis estimated a significant net cost to the PBS, which undermines the first principles of a cost-minimisation analysis. </w:t>
            </w:r>
          </w:p>
        </w:tc>
      </w:tr>
      <w:tr w:rsidR="00CE1523" w:rsidRPr="00691087" w14:paraId="2C6A58E6" w14:textId="77777777" w:rsidTr="00DE5581">
        <w:tc>
          <w:tcPr>
            <w:tcW w:w="5000" w:type="pct"/>
            <w:gridSpan w:val="2"/>
          </w:tcPr>
          <w:p w14:paraId="016C223E" w14:textId="77777777" w:rsidR="00CE1523" w:rsidRPr="00691087" w:rsidRDefault="00CE1523" w:rsidP="00045BA1">
            <w:pPr>
              <w:keepLines/>
              <w:rPr>
                <w:rFonts w:ascii="Arial Narrow" w:hAnsi="Arial Narrow"/>
                <w:sz w:val="20"/>
                <w:szCs w:val="20"/>
              </w:rPr>
            </w:pPr>
            <w:r w:rsidRPr="00691087">
              <w:rPr>
                <w:rFonts w:ascii="Arial Narrow" w:hAnsi="Arial Narrow"/>
                <w:sz w:val="20"/>
                <w:szCs w:val="20"/>
              </w:rPr>
              <w:t xml:space="preserve">March 2018 </w:t>
            </w:r>
          </w:p>
        </w:tc>
      </w:tr>
      <w:tr w:rsidR="00CE1523" w:rsidRPr="00691087" w14:paraId="44705521" w14:textId="77777777" w:rsidTr="00DE5581">
        <w:tc>
          <w:tcPr>
            <w:tcW w:w="2290" w:type="pct"/>
          </w:tcPr>
          <w:p w14:paraId="06E14820" w14:textId="77777777" w:rsidR="00CE1523" w:rsidRPr="00691087" w:rsidRDefault="00CE1523" w:rsidP="00045BA1">
            <w:pPr>
              <w:keepLines/>
              <w:jc w:val="left"/>
              <w:rPr>
                <w:rFonts w:ascii="Arial Narrow" w:hAnsi="Arial Narrow"/>
                <w:sz w:val="20"/>
                <w:szCs w:val="20"/>
              </w:rPr>
            </w:pPr>
            <w:r w:rsidRPr="00691087">
              <w:rPr>
                <w:rFonts w:ascii="Arial Narrow" w:hAnsi="Arial Narrow"/>
                <w:sz w:val="20"/>
                <w:szCs w:val="20"/>
              </w:rPr>
              <w:t>Minor re-submission, requesting listing for 7 tablets compared to 10 tablets in previous submission.</w:t>
            </w:r>
          </w:p>
          <w:p w14:paraId="0B98A711" w14:textId="77777777" w:rsidR="00CE1523" w:rsidRPr="00691087" w:rsidRDefault="00CE1523" w:rsidP="00045BA1">
            <w:pPr>
              <w:keepLines/>
              <w:jc w:val="left"/>
              <w:rPr>
                <w:rFonts w:ascii="Arial Narrow" w:hAnsi="Arial Narrow"/>
                <w:sz w:val="20"/>
                <w:szCs w:val="20"/>
              </w:rPr>
            </w:pPr>
          </w:p>
          <w:p w14:paraId="7A4DF22E" w14:textId="77777777" w:rsidR="00CE1523" w:rsidRPr="00691087" w:rsidRDefault="00CE1523" w:rsidP="00045BA1">
            <w:pPr>
              <w:keepLines/>
              <w:jc w:val="left"/>
              <w:rPr>
                <w:rFonts w:ascii="Arial Narrow" w:hAnsi="Arial Narrow"/>
                <w:sz w:val="20"/>
                <w:szCs w:val="20"/>
              </w:rPr>
            </w:pPr>
            <w:r w:rsidRPr="00691087">
              <w:rPr>
                <w:rFonts w:ascii="Arial Narrow" w:hAnsi="Arial Narrow"/>
                <w:sz w:val="20"/>
                <w:szCs w:val="20"/>
              </w:rPr>
              <w:t xml:space="preserve">No new clinical trial data presented. </w:t>
            </w:r>
          </w:p>
          <w:p w14:paraId="1B50BD58" w14:textId="77777777" w:rsidR="00CE1523" w:rsidRPr="00691087" w:rsidRDefault="00CE1523" w:rsidP="00045BA1">
            <w:pPr>
              <w:keepLines/>
              <w:jc w:val="left"/>
              <w:rPr>
                <w:rFonts w:ascii="Arial Narrow" w:hAnsi="Arial Narrow"/>
                <w:sz w:val="20"/>
                <w:szCs w:val="20"/>
              </w:rPr>
            </w:pPr>
          </w:p>
          <w:p w14:paraId="037CA71F" w14:textId="77777777" w:rsidR="00CE1523" w:rsidRPr="00691087" w:rsidRDefault="00CE1523" w:rsidP="00045BA1">
            <w:pPr>
              <w:keepLines/>
              <w:jc w:val="left"/>
              <w:rPr>
                <w:rFonts w:ascii="Arial Narrow" w:hAnsi="Arial Narrow"/>
                <w:sz w:val="20"/>
                <w:szCs w:val="20"/>
              </w:rPr>
            </w:pPr>
            <w:r w:rsidRPr="00691087">
              <w:rPr>
                <w:rFonts w:ascii="Arial Narrow" w:hAnsi="Arial Narrow"/>
                <w:sz w:val="20"/>
                <w:szCs w:val="20"/>
              </w:rPr>
              <w:t>Resubmission argued that “application of the MCID of 1.23 noted in the ocrelizumab public summary document (PSD) to the upper confidence interval (CI) of the indirect estimate of annualised relapse rate (ARR) for cladribine compared to fingolimod (0.89 [</w:t>
            </w:r>
            <w:r w:rsidR="006368E6">
              <w:rPr>
                <w:rFonts w:ascii="Arial Narrow" w:hAnsi="Arial Narrow"/>
                <w:sz w:val="20"/>
                <w:szCs w:val="20"/>
              </w:rPr>
              <w:t xml:space="preserve">95%CI </w:t>
            </w:r>
            <w:r w:rsidRPr="00691087">
              <w:rPr>
                <w:rFonts w:ascii="Arial Narrow" w:hAnsi="Arial Narrow"/>
                <w:sz w:val="20"/>
                <w:szCs w:val="20"/>
              </w:rPr>
              <w:t>0.67, 1.18]) confirms that cladribine is non-inferior to fingolimod using a MCID already accepted by the PBAC”.</w:t>
            </w:r>
          </w:p>
        </w:tc>
        <w:tc>
          <w:tcPr>
            <w:tcW w:w="2710" w:type="pct"/>
          </w:tcPr>
          <w:p w14:paraId="6024150B" w14:textId="77777777" w:rsidR="00CE1523" w:rsidRPr="00691087" w:rsidRDefault="00CE1523" w:rsidP="00045BA1">
            <w:pPr>
              <w:keepLines/>
              <w:rPr>
                <w:rFonts w:ascii="Arial Narrow" w:hAnsi="Arial Narrow"/>
                <w:sz w:val="20"/>
                <w:szCs w:val="20"/>
              </w:rPr>
            </w:pPr>
            <w:r w:rsidRPr="00691087">
              <w:rPr>
                <w:rFonts w:ascii="Arial Narrow" w:hAnsi="Arial Narrow"/>
                <w:sz w:val="20"/>
                <w:szCs w:val="20"/>
              </w:rPr>
              <w:t>Not recommended</w:t>
            </w:r>
            <w:r>
              <w:rPr>
                <w:rFonts w:ascii="Arial Narrow" w:hAnsi="Arial Narrow"/>
                <w:sz w:val="20"/>
                <w:szCs w:val="20"/>
              </w:rPr>
              <w:t>.</w:t>
            </w:r>
            <w:r w:rsidRPr="00691087">
              <w:rPr>
                <w:rFonts w:ascii="Arial Narrow" w:hAnsi="Arial Narrow"/>
                <w:sz w:val="20"/>
                <w:szCs w:val="20"/>
              </w:rPr>
              <w:t xml:space="preserve"> PBAC considered: </w:t>
            </w:r>
          </w:p>
          <w:p w14:paraId="63483D75"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 xml:space="preserve">That </w:t>
            </w:r>
            <w:r>
              <w:rPr>
                <w:rFonts w:ascii="Arial Narrow" w:hAnsi="Arial Narrow"/>
                <w:sz w:val="20"/>
                <w:szCs w:val="20"/>
              </w:rPr>
              <w:t>it</w:t>
            </w:r>
            <w:r w:rsidRPr="00691087">
              <w:rPr>
                <w:rFonts w:ascii="Arial Narrow" w:hAnsi="Arial Narrow"/>
                <w:sz w:val="20"/>
                <w:szCs w:val="20"/>
              </w:rPr>
              <w:t xml:space="preserve"> had recommended ocrelizumab based on the totality of the evidence presented in that submission, and not </w:t>
            </w:r>
            <w:r>
              <w:rPr>
                <w:rFonts w:ascii="Arial Narrow" w:hAnsi="Arial Narrow"/>
                <w:sz w:val="20"/>
                <w:szCs w:val="20"/>
              </w:rPr>
              <w:t xml:space="preserve">solely </w:t>
            </w:r>
            <w:r w:rsidRPr="00691087">
              <w:rPr>
                <w:rFonts w:ascii="Arial Narrow" w:hAnsi="Arial Narrow"/>
                <w:sz w:val="20"/>
                <w:szCs w:val="20"/>
              </w:rPr>
              <w:t>on the basis of the proposed MCID.</w:t>
            </w:r>
          </w:p>
          <w:p w14:paraId="656A9202"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sz w:val="20"/>
                <w:szCs w:val="20"/>
              </w:rPr>
            </w:pPr>
            <w:r w:rsidRPr="00691087">
              <w:rPr>
                <w:rFonts w:ascii="Arial Narrow" w:hAnsi="Arial Narrow"/>
                <w:sz w:val="20"/>
                <w:szCs w:val="20"/>
              </w:rPr>
              <w:t>No new clinical data was presented to address previous concerns regarding the clinical claim of non-inferiority.</w:t>
            </w:r>
          </w:p>
        </w:tc>
      </w:tr>
      <w:tr w:rsidR="00CE1523" w:rsidRPr="00691087" w14:paraId="2D2E965E" w14:textId="77777777" w:rsidTr="00DE5581">
        <w:tc>
          <w:tcPr>
            <w:tcW w:w="5000" w:type="pct"/>
            <w:gridSpan w:val="2"/>
          </w:tcPr>
          <w:p w14:paraId="247EBD3D" w14:textId="77777777" w:rsidR="00CE1523" w:rsidRPr="00691087" w:rsidRDefault="00CE1523" w:rsidP="00045BA1">
            <w:pPr>
              <w:keepLines/>
              <w:rPr>
                <w:rFonts w:ascii="Arial Narrow" w:hAnsi="Arial Narrow"/>
                <w:sz w:val="20"/>
                <w:szCs w:val="20"/>
              </w:rPr>
            </w:pPr>
            <w:r w:rsidRPr="00691087">
              <w:rPr>
                <w:rFonts w:ascii="Arial Narrow" w:hAnsi="Arial Narrow"/>
                <w:sz w:val="20"/>
                <w:szCs w:val="20"/>
              </w:rPr>
              <w:t>July 2018</w:t>
            </w:r>
          </w:p>
        </w:tc>
      </w:tr>
      <w:tr w:rsidR="00CE1523" w:rsidRPr="00691087" w14:paraId="3FE296A1" w14:textId="77777777" w:rsidTr="00DE5581">
        <w:tc>
          <w:tcPr>
            <w:tcW w:w="2290" w:type="pct"/>
          </w:tcPr>
          <w:p w14:paraId="6F4B5961" w14:textId="77777777" w:rsidR="00CE1523" w:rsidRPr="00691087" w:rsidRDefault="00CE1523" w:rsidP="00045BA1">
            <w:pPr>
              <w:keepLines/>
              <w:jc w:val="left"/>
              <w:rPr>
                <w:rFonts w:ascii="Arial Narrow" w:hAnsi="Arial Narrow"/>
                <w:sz w:val="20"/>
                <w:szCs w:val="20"/>
              </w:rPr>
            </w:pPr>
            <w:r w:rsidRPr="00691087">
              <w:rPr>
                <w:rFonts w:ascii="Arial Narrow" w:hAnsi="Arial Narrow"/>
                <w:sz w:val="20"/>
                <w:szCs w:val="20"/>
              </w:rPr>
              <w:t>Minor resubmission.</w:t>
            </w:r>
          </w:p>
          <w:p w14:paraId="38B0D826" w14:textId="77777777" w:rsidR="00CE1523" w:rsidRPr="00691087" w:rsidRDefault="00CE1523" w:rsidP="00045BA1">
            <w:pPr>
              <w:keepLines/>
              <w:jc w:val="left"/>
              <w:rPr>
                <w:rFonts w:ascii="Arial Narrow" w:hAnsi="Arial Narrow"/>
                <w:sz w:val="20"/>
                <w:szCs w:val="20"/>
              </w:rPr>
            </w:pPr>
            <w:r>
              <w:rPr>
                <w:rFonts w:ascii="Arial Narrow" w:hAnsi="Arial Narrow"/>
                <w:sz w:val="20"/>
                <w:szCs w:val="20"/>
              </w:rPr>
              <w:t>No</w:t>
            </w:r>
            <w:r w:rsidRPr="00691087">
              <w:rPr>
                <w:rFonts w:ascii="Arial Narrow" w:hAnsi="Arial Narrow"/>
                <w:sz w:val="20"/>
                <w:szCs w:val="20"/>
              </w:rPr>
              <w:t xml:space="preserve"> new </w:t>
            </w:r>
            <w:r>
              <w:rPr>
                <w:rFonts w:ascii="Arial Narrow" w:hAnsi="Arial Narrow"/>
                <w:sz w:val="20"/>
                <w:szCs w:val="20"/>
              </w:rPr>
              <w:t xml:space="preserve">clinical </w:t>
            </w:r>
            <w:r w:rsidRPr="00691087">
              <w:rPr>
                <w:rFonts w:ascii="Arial Narrow" w:hAnsi="Arial Narrow"/>
                <w:sz w:val="20"/>
                <w:szCs w:val="20"/>
              </w:rPr>
              <w:t>evidence, elaborated on arguments regarding MCID in previous submissions and requested listing on a two year cost-minimisation rather than four years.</w:t>
            </w:r>
          </w:p>
          <w:p w14:paraId="7360F1A8" w14:textId="77777777" w:rsidR="00CE1523" w:rsidRPr="00691087" w:rsidRDefault="00CE1523" w:rsidP="00045BA1">
            <w:pPr>
              <w:keepLines/>
              <w:jc w:val="left"/>
              <w:rPr>
                <w:rFonts w:ascii="Arial Narrow" w:hAnsi="Arial Narrow"/>
                <w:sz w:val="20"/>
                <w:szCs w:val="20"/>
              </w:rPr>
            </w:pPr>
          </w:p>
        </w:tc>
        <w:tc>
          <w:tcPr>
            <w:tcW w:w="2710" w:type="pct"/>
          </w:tcPr>
          <w:p w14:paraId="6923C1A6" w14:textId="77777777" w:rsidR="00CE1523" w:rsidRPr="00691087" w:rsidRDefault="00CE1523" w:rsidP="00045BA1">
            <w:pPr>
              <w:keepLines/>
              <w:rPr>
                <w:rFonts w:ascii="Arial Narrow" w:hAnsi="Arial Narrow" w:cstheme="minorHAnsi"/>
                <w:sz w:val="20"/>
                <w:szCs w:val="20"/>
              </w:rPr>
            </w:pPr>
            <w:r w:rsidRPr="00691087">
              <w:rPr>
                <w:rFonts w:ascii="Arial Narrow" w:hAnsi="Arial Narrow" w:cstheme="minorHAnsi"/>
                <w:sz w:val="20"/>
                <w:szCs w:val="20"/>
              </w:rPr>
              <w:t>Recommended- based on:</w:t>
            </w:r>
          </w:p>
          <w:p w14:paraId="1BC8F4D1"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cstheme="minorHAnsi"/>
                <w:sz w:val="20"/>
                <w:szCs w:val="20"/>
              </w:rPr>
            </w:pPr>
            <w:r w:rsidRPr="00691087">
              <w:rPr>
                <w:rFonts w:ascii="Arial Narrow" w:hAnsi="Arial Narrow" w:cstheme="minorHAnsi"/>
                <w:sz w:val="20"/>
                <w:szCs w:val="20"/>
              </w:rPr>
              <w:t>“amongst other matters, its assessment than the cost-effectiveness of cladribine would be acceptable if it were cost-minimised against fingolimod based on a claim that two years of cladribine treatment is non-inferior in efficacy to two years of fingolimod treatment.”</w:t>
            </w:r>
          </w:p>
          <w:p w14:paraId="0764C4E7" w14:textId="77777777" w:rsidR="00CE1523" w:rsidRPr="00691087" w:rsidRDefault="00CE1523" w:rsidP="00045BA1">
            <w:pPr>
              <w:pStyle w:val="ListParagraph"/>
              <w:keepLines/>
              <w:widowControl/>
              <w:numPr>
                <w:ilvl w:val="0"/>
                <w:numId w:val="9"/>
              </w:numPr>
              <w:spacing w:after="0"/>
              <w:ind w:left="211" w:hanging="211"/>
              <w:contextualSpacing/>
              <w:jc w:val="left"/>
              <w:rPr>
                <w:rFonts w:ascii="Arial Narrow" w:hAnsi="Arial Narrow" w:cstheme="minorHAnsi"/>
                <w:sz w:val="20"/>
                <w:szCs w:val="20"/>
              </w:rPr>
            </w:pPr>
            <w:r w:rsidRPr="00691087">
              <w:rPr>
                <w:rFonts w:ascii="Arial Narrow" w:hAnsi="Arial Narrow" w:cstheme="minorHAnsi"/>
                <w:sz w:val="20"/>
                <w:szCs w:val="20"/>
              </w:rPr>
              <w:t xml:space="preserve">PBAC also “previously considered that there was uncertainty in </w:t>
            </w:r>
            <w:r w:rsidRPr="00691087">
              <w:rPr>
                <w:rFonts w:ascii="Arial Narrow" w:hAnsi="Arial Narrow"/>
                <w:sz w:val="20"/>
                <w:szCs w:val="20"/>
              </w:rPr>
              <w:t>the</w:t>
            </w:r>
            <w:r w:rsidRPr="00691087">
              <w:rPr>
                <w:rFonts w:ascii="Arial Narrow" w:hAnsi="Arial Narrow" w:cstheme="minorHAnsi"/>
                <w:sz w:val="20"/>
                <w:szCs w:val="20"/>
              </w:rPr>
              <w:t xml:space="preserve"> claim that cladribine is noninferior to fingolimod in terms of efficacy over two years as this was based on a minimal clinically important difference</w:t>
            </w:r>
            <w:r w:rsidR="006368E6">
              <w:rPr>
                <w:rFonts w:ascii="Arial Narrow" w:hAnsi="Arial Narrow" w:cstheme="minorHAnsi"/>
                <w:sz w:val="20"/>
                <w:szCs w:val="20"/>
              </w:rPr>
              <w:t xml:space="preserve"> (MCID) of</w:t>
            </w:r>
            <w:r w:rsidRPr="00691087">
              <w:rPr>
                <w:rFonts w:ascii="Arial Narrow" w:hAnsi="Arial Narrow" w:cstheme="minorHAnsi"/>
                <w:sz w:val="20"/>
                <w:szCs w:val="20"/>
              </w:rPr>
              <w:t xml:space="preserve"> 1.46 with a calculation methodology that the Committee considered was not adequately justified (paragraph 7.6, November 2017 Public Summary Document). However, the PBAC considered that the [redacted] reduction in the proposed price for cladribine was adequate to address the remaining uncertainty in cost-effectiveness”</w:t>
            </w:r>
          </w:p>
        </w:tc>
      </w:tr>
    </w:tbl>
    <w:p w14:paraId="72B9679E" w14:textId="77777777" w:rsidR="00CC6C10" w:rsidRPr="00691087" w:rsidRDefault="00CC6C10" w:rsidP="00045BA1">
      <w:pPr>
        <w:pStyle w:val="TableFooter"/>
        <w:keepLines/>
      </w:pPr>
      <w:r w:rsidRPr="00691087">
        <w:t xml:space="preserve">Source: March 2011, November 2017, March 2018, July 2018 PBAC Public Summary Documents. </w:t>
      </w:r>
    </w:p>
    <w:p w14:paraId="4DC8FD07" w14:textId="77777777" w:rsidR="00CC6C10" w:rsidRPr="00691087" w:rsidRDefault="00CC6C10" w:rsidP="007E2785">
      <w:pPr>
        <w:keepNext/>
        <w:keepLines/>
        <w:autoSpaceDE w:val="0"/>
        <w:autoSpaceDN w:val="0"/>
        <w:adjustRightInd w:val="0"/>
        <w:rPr>
          <w:rFonts w:cs="Calibri"/>
          <w:b/>
          <w:bCs/>
          <w:i/>
          <w:iCs/>
          <w:snapToGrid/>
          <w:sz w:val="28"/>
          <w:szCs w:val="28"/>
          <w:lang w:eastAsia="en-AU"/>
        </w:rPr>
      </w:pPr>
    </w:p>
    <w:p w14:paraId="329FCD49" w14:textId="41136D9E" w:rsidR="00CC6C10" w:rsidRPr="00B965B8" w:rsidRDefault="00CC6C10" w:rsidP="00B965B8">
      <w:pPr>
        <w:pStyle w:val="ListParagraph"/>
        <w:widowControl/>
        <w:numPr>
          <w:ilvl w:val="1"/>
          <w:numId w:val="2"/>
        </w:numPr>
        <w:rPr>
          <w:color w:val="000000" w:themeColor="text1"/>
        </w:rPr>
      </w:pPr>
      <w:r w:rsidRPr="00B965B8">
        <w:rPr>
          <w:color w:val="000000" w:themeColor="text1"/>
        </w:rPr>
        <w:t>Additionally, the ratified minutes of the May 2021 intracycle meeting</w:t>
      </w:r>
      <w:r w:rsidR="00136E85">
        <w:rPr>
          <w:color w:val="000000" w:themeColor="text1"/>
        </w:rPr>
        <w:t xml:space="preserve"> </w:t>
      </w:r>
      <w:r w:rsidRPr="00B965B8">
        <w:rPr>
          <w:color w:val="000000" w:themeColor="text1"/>
        </w:rPr>
        <w:t>noted the following:</w:t>
      </w:r>
    </w:p>
    <w:p w14:paraId="25D425E2" w14:textId="45EC83F9" w:rsidR="00CC6C10" w:rsidRPr="00691087" w:rsidRDefault="00CC6C10" w:rsidP="00045BA1">
      <w:pPr>
        <w:pStyle w:val="BodyText"/>
        <w:spacing w:after="120"/>
        <w:ind w:left="709"/>
        <w:jc w:val="both"/>
        <w:rPr>
          <w:snapToGrid/>
          <w:lang w:eastAsia="en-AU"/>
        </w:rPr>
      </w:pPr>
      <w:r w:rsidRPr="00691087">
        <w:t xml:space="preserve"> </w:t>
      </w:r>
      <w:r w:rsidRPr="00691087">
        <w:rPr>
          <w:snapToGrid/>
          <w:lang w:eastAsia="en-AU"/>
        </w:rPr>
        <w:t xml:space="preserve">“The Minister’s delegate sought the advice of the PBAC as to whether it considers that there are reasons why the Minister (or delegate) should not delist, by revoking determinations under subsections 85(3), (5) and (6) of the Act, the only listed brands of pharmaceutical items containing cladribine (in tablet form), and if so what those reasons are.” </w:t>
      </w:r>
    </w:p>
    <w:p w14:paraId="56BE12D6" w14:textId="74AD0034" w:rsidR="00CC6C10" w:rsidRPr="00B965B8" w:rsidRDefault="00CC6C10" w:rsidP="00B965B8">
      <w:pPr>
        <w:pStyle w:val="ListParagraph"/>
        <w:widowControl/>
        <w:numPr>
          <w:ilvl w:val="1"/>
          <w:numId w:val="2"/>
        </w:numPr>
        <w:rPr>
          <w:color w:val="000000" w:themeColor="text1"/>
        </w:rPr>
      </w:pPr>
      <w:r w:rsidRPr="00B965B8">
        <w:rPr>
          <w:color w:val="000000" w:themeColor="text1"/>
        </w:rPr>
        <w:t>At the intracycle meeting the PBAC concluded:</w:t>
      </w:r>
    </w:p>
    <w:p w14:paraId="0307995B" w14:textId="3C7C6C9B" w:rsidR="00CC6C10" w:rsidRPr="00045BA1" w:rsidRDefault="00CC6C10" w:rsidP="00045BA1">
      <w:pPr>
        <w:pStyle w:val="ListParagraph"/>
        <w:widowControl/>
        <w:numPr>
          <w:ilvl w:val="0"/>
          <w:numId w:val="19"/>
        </w:numPr>
        <w:ind w:left="993" w:hanging="284"/>
      </w:pPr>
      <w:r w:rsidRPr="00691087">
        <w:rPr>
          <w:rFonts w:asciiTheme="minorHAnsi" w:hAnsiTheme="minorHAnsi"/>
          <w:szCs w:val="24"/>
        </w:rPr>
        <w:t xml:space="preserve">“that in the absence of a price reduction for cladribine (tablet form) to the </w:t>
      </w:r>
      <w:r w:rsidRPr="00045BA1">
        <w:t>equivalent price of ozanimod, cladribine (tablet form) would no longer be considered cost effective for the treatment of RRMS.” (paragraph 3.9)</w:t>
      </w:r>
    </w:p>
    <w:p w14:paraId="7F548499" w14:textId="4173C48C" w:rsidR="00CC6C10" w:rsidRPr="00045BA1" w:rsidRDefault="00CC6C10" w:rsidP="00045BA1">
      <w:pPr>
        <w:pStyle w:val="ListParagraph"/>
        <w:widowControl/>
        <w:numPr>
          <w:ilvl w:val="0"/>
          <w:numId w:val="19"/>
        </w:numPr>
        <w:ind w:left="993" w:hanging="284"/>
      </w:pPr>
      <w:r w:rsidRPr="00045BA1">
        <w:t>“The PBAC noted that the sponsor may make a further submission on whether cladribine (tablet form) is cost effective compared to ozanimod, or other medicines currently listed for the treatment of RRMS, at any time. This includes the sponsor making a submission after the price of cladribine (tablet form) is reduced (in the event the currently requested price reduction is agreed), presenting evidence of superior efficacy and/or safety over ozanimod to justify a price increase request. The PBAC did not consider that it should defer its current consideration of the Minister’s request for advice.” (paragraph 3.10)</w:t>
      </w:r>
    </w:p>
    <w:p w14:paraId="2566E2AA" w14:textId="15069B3E" w:rsidR="00CC6C10" w:rsidRPr="00045BA1" w:rsidRDefault="00CC6C10" w:rsidP="00045BA1">
      <w:pPr>
        <w:pStyle w:val="ListParagraph"/>
        <w:widowControl/>
        <w:numPr>
          <w:ilvl w:val="0"/>
          <w:numId w:val="19"/>
        </w:numPr>
        <w:ind w:left="993" w:hanging="284"/>
      </w:pPr>
      <w:r w:rsidRPr="00045BA1">
        <w:t>“The PBAC further noted that as there is no cost-effectiveness basis for the current differential between the price of cladribine (tablet form) and ozanimod, as well as a number of other PBS listed medicines for the treatment of RRMS, a full cost-effectiveness submission will be required to demonstrate the basis for any premium over these other therapies in the future.” (paragraph 3.11)</w:t>
      </w:r>
    </w:p>
    <w:p w14:paraId="604FE939" w14:textId="397E5FA8" w:rsidR="00045BA1" w:rsidRPr="00045BA1" w:rsidRDefault="00CC6C10" w:rsidP="00045BA1">
      <w:pPr>
        <w:pStyle w:val="ListParagraph"/>
        <w:widowControl/>
        <w:numPr>
          <w:ilvl w:val="0"/>
          <w:numId w:val="19"/>
        </w:numPr>
        <w:ind w:left="993" w:hanging="284"/>
        <w:rPr>
          <w:rFonts w:cs="Calibri"/>
          <w:b/>
          <w:bCs/>
          <w:i/>
          <w:iCs/>
          <w:snapToGrid/>
          <w:sz w:val="28"/>
          <w:szCs w:val="28"/>
          <w:lang w:eastAsia="en-AU"/>
        </w:rPr>
      </w:pPr>
      <w:r w:rsidRPr="00045BA1">
        <w:t>“the PBAC considered that there were no reasons why the Minister should not, as proposed</w:t>
      </w:r>
      <w:r w:rsidRPr="00691087">
        <w:rPr>
          <w:rFonts w:asciiTheme="minorHAnsi" w:hAnsiTheme="minorHAnsi"/>
          <w:szCs w:val="24"/>
        </w:rPr>
        <w:t xml:space="preserve">, delist by revoking determinations under subsections 85(3), (5) and (6) of the National Health Act 1953, the only listed brands of pharmaceutical items containing cladribine (tablet form), if Merck does not agree to the price reduction sought in the Department’s original correspondence to Merck of 10 March 2021.” (paragraph 3.12) </w:t>
      </w:r>
    </w:p>
    <w:p w14:paraId="3894B0DE" w14:textId="77777777" w:rsidR="00EB49D2" w:rsidRPr="00C33D30" w:rsidRDefault="00EB49D2" w:rsidP="00EB49D2">
      <w:pPr>
        <w:ind w:firstLine="709"/>
        <w:rPr>
          <w:rFonts w:asciiTheme="minorHAnsi" w:hAnsiTheme="minorHAnsi"/>
          <w:i/>
        </w:rPr>
      </w:pPr>
      <w:bookmarkStart w:id="5" w:name="_Hlk76375324"/>
      <w:r w:rsidRPr="00C33D30">
        <w:rPr>
          <w:rFonts w:asciiTheme="minorHAnsi" w:hAnsiTheme="minorHAnsi"/>
          <w:i/>
        </w:rPr>
        <w:t>For more detail on PBAC’s view, see section 7 PBAC outcome.</w:t>
      </w:r>
    </w:p>
    <w:bookmarkEnd w:id="5"/>
    <w:p w14:paraId="3B5212C2" w14:textId="77777777" w:rsidR="00EB49D2" w:rsidRPr="00691087" w:rsidRDefault="00EB49D2" w:rsidP="00EB49D2">
      <w:pPr>
        <w:pStyle w:val="ListParagraph"/>
        <w:widowControl/>
      </w:pPr>
    </w:p>
    <w:p w14:paraId="56A67BB6" w14:textId="77777777" w:rsidR="005A5D70" w:rsidRPr="00691087" w:rsidRDefault="005A5D70" w:rsidP="005A5D70">
      <w:pPr>
        <w:pStyle w:val="PBACHeading1"/>
        <w:keepNext/>
        <w:keepLines/>
      </w:pPr>
      <w:bookmarkStart w:id="6" w:name="_Toc82600889"/>
      <w:r w:rsidRPr="00691087">
        <w:t>Requested listing</w:t>
      </w:r>
      <w:bookmarkEnd w:id="6"/>
    </w:p>
    <w:p w14:paraId="4BE4C9C9" w14:textId="77777777" w:rsidR="005A5D70" w:rsidRPr="00691087" w:rsidRDefault="005A5D70" w:rsidP="005A5D70">
      <w:pPr>
        <w:pStyle w:val="TableHeader"/>
        <w:keepNext/>
        <w:keepLines/>
        <w:rPr>
          <w:rFonts w:ascii="Arial Narrow" w:hAnsi="Arial Narrow"/>
        </w:rPr>
      </w:pP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61"/>
        <w:gridCol w:w="1348"/>
        <w:gridCol w:w="1327"/>
        <w:gridCol w:w="947"/>
        <w:gridCol w:w="1677"/>
        <w:gridCol w:w="1776"/>
      </w:tblGrid>
      <w:tr w:rsidR="005A5D70" w:rsidRPr="00691087" w14:paraId="2BD926D0" w14:textId="77777777" w:rsidTr="0082714E">
        <w:tc>
          <w:tcPr>
            <w:tcW w:w="0" w:type="auto"/>
          </w:tcPr>
          <w:p w14:paraId="231E079A" w14:textId="77777777" w:rsidR="005A5D70" w:rsidRPr="00691087" w:rsidRDefault="005A5D70" w:rsidP="0082714E">
            <w:pPr>
              <w:pStyle w:val="Tabletext"/>
              <w:keepNext/>
              <w:keepLines/>
              <w:rPr>
                <w:b/>
                <w:bCs/>
              </w:rPr>
            </w:pPr>
            <w:r w:rsidRPr="00691087">
              <w:rPr>
                <w:b/>
              </w:rPr>
              <w:t>Name, restriction, manner of administration, form</w:t>
            </w:r>
          </w:p>
        </w:tc>
        <w:tc>
          <w:tcPr>
            <w:tcW w:w="0" w:type="auto"/>
          </w:tcPr>
          <w:p w14:paraId="521661C8" w14:textId="77777777" w:rsidR="005A5D70" w:rsidRPr="00691087" w:rsidRDefault="005A5D70" w:rsidP="0082714E">
            <w:pPr>
              <w:pStyle w:val="Tabletext"/>
              <w:keepNext/>
              <w:keepLines/>
              <w:jc w:val="center"/>
              <w:rPr>
                <w:b/>
                <w:bCs/>
              </w:rPr>
            </w:pPr>
            <w:r w:rsidRPr="00691087">
              <w:rPr>
                <w:b/>
              </w:rPr>
              <w:t>Maximum quantity (packs)</w:t>
            </w:r>
          </w:p>
        </w:tc>
        <w:tc>
          <w:tcPr>
            <w:tcW w:w="0" w:type="auto"/>
          </w:tcPr>
          <w:p w14:paraId="3FB21065" w14:textId="77777777" w:rsidR="005A5D70" w:rsidRPr="00691087" w:rsidRDefault="005A5D70" w:rsidP="0082714E">
            <w:pPr>
              <w:pStyle w:val="Tabletext"/>
              <w:keepNext/>
              <w:keepLines/>
              <w:jc w:val="center"/>
              <w:rPr>
                <w:b/>
                <w:bCs/>
              </w:rPr>
            </w:pPr>
            <w:r w:rsidRPr="00691087">
              <w:rPr>
                <w:b/>
              </w:rPr>
              <w:t>Maximum quantity (units)</w:t>
            </w:r>
          </w:p>
        </w:tc>
        <w:tc>
          <w:tcPr>
            <w:tcW w:w="0" w:type="auto"/>
          </w:tcPr>
          <w:p w14:paraId="2D2BCB42" w14:textId="77777777" w:rsidR="005A5D70" w:rsidRPr="00691087" w:rsidRDefault="005A5D70" w:rsidP="0082714E">
            <w:pPr>
              <w:pStyle w:val="Tabletext"/>
              <w:keepNext/>
              <w:keepLines/>
              <w:rPr>
                <w:b/>
                <w:bCs/>
              </w:rPr>
            </w:pPr>
            <w:r w:rsidRPr="00691087">
              <w:rPr>
                <w:b/>
              </w:rPr>
              <w:t>No. of repeats</w:t>
            </w:r>
          </w:p>
        </w:tc>
        <w:tc>
          <w:tcPr>
            <w:tcW w:w="0" w:type="auto"/>
          </w:tcPr>
          <w:p w14:paraId="04217148" w14:textId="77777777" w:rsidR="005A5D70" w:rsidRPr="00691087" w:rsidRDefault="005A5D70" w:rsidP="0082714E">
            <w:pPr>
              <w:pStyle w:val="Tabletext"/>
              <w:keepNext/>
              <w:keepLines/>
              <w:rPr>
                <w:b/>
                <w:bCs/>
              </w:rPr>
            </w:pPr>
            <w:r w:rsidRPr="00691087">
              <w:rPr>
                <w:b/>
              </w:rPr>
              <w:t>Dispensed price for maximum quantity</w:t>
            </w:r>
          </w:p>
        </w:tc>
        <w:tc>
          <w:tcPr>
            <w:tcW w:w="0" w:type="auto"/>
          </w:tcPr>
          <w:p w14:paraId="12038384" w14:textId="77777777" w:rsidR="005A5D70" w:rsidRPr="00691087" w:rsidRDefault="005A5D70" w:rsidP="0082714E">
            <w:pPr>
              <w:pStyle w:val="Tabletext"/>
              <w:keepNext/>
              <w:keepLines/>
              <w:rPr>
                <w:b/>
                <w:bCs/>
              </w:rPr>
            </w:pPr>
            <w:r w:rsidRPr="00691087">
              <w:rPr>
                <w:b/>
              </w:rPr>
              <w:t>Proprietary name and manufacturer</w:t>
            </w:r>
          </w:p>
        </w:tc>
      </w:tr>
      <w:tr w:rsidR="005A5D70" w:rsidRPr="00691087" w14:paraId="64CBC37E" w14:textId="77777777" w:rsidTr="0082714E">
        <w:tc>
          <w:tcPr>
            <w:tcW w:w="0" w:type="auto"/>
          </w:tcPr>
          <w:p w14:paraId="44B2B475" w14:textId="77777777" w:rsidR="005A5D70" w:rsidRPr="00691087" w:rsidRDefault="005A5D70" w:rsidP="0082714E">
            <w:pPr>
              <w:pStyle w:val="Tabletext"/>
              <w:keepNext/>
              <w:keepLines/>
              <w:rPr>
                <w:iCs/>
              </w:rPr>
            </w:pPr>
            <w:r w:rsidRPr="00691087">
              <w:rPr>
                <w:iCs/>
              </w:rPr>
              <w:t>Cladribine</w:t>
            </w:r>
          </w:p>
          <w:p w14:paraId="16C1BD81" w14:textId="77777777" w:rsidR="005A5D70" w:rsidRPr="00691087" w:rsidRDefault="005A5D70" w:rsidP="0082714E">
            <w:pPr>
              <w:pStyle w:val="Tabletext"/>
              <w:keepNext/>
              <w:keepLines/>
              <w:rPr>
                <w:iCs/>
              </w:rPr>
            </w:pPr>
            <w:r w:rsidRPr="00691087">
              <w:rPr>
                <w:iCs/>
              </w:rPr>
              <w:t>Tablet, 10mg</w:t>
            </w:r>
          </w:p>
          <w:p w14:paraId="218FBEE7" w14:textId="77777777" w:rsidR="005A5D70" w:rsidRPr="00691087" w:rsidRDefault="005A5D70" w:rsidP="0082714E">
            <w:pPr>
              <w:pStyle w:val="Tabletext"/>
              <w:keepNext/>
              <w:keepLines/>
              <w:rPr>
                <w:iCs/>
              </w:rPr>
            </w:pPr>
            <w:r w:rsidRPr="00691087">
              <w:rPr>
                <w:iCs/>
              </w:rPr>
              <w:t>Tablet, 10mg</w:t>
            </w:r>
          </w:p>
          <w:p w14:paraId="229B70DF" w14:textId="77777777" w:rsidR="005A5D70" w:rsidRPr="00691087" w:rsidRDefault="005A5D70" w:rsidP="0082714E">
            <w:pPr>
              <w:pStyle w:val="Tabletext"/>
              <w:keepNext/>
              <w:keepLines/>
              <w:rPr>
                <w:iCs/>
              </w:rPr>
            </w:pPr>
            <w:r w:rsidRPr="00691087">
              <w:rPr>
                <w:iCs/>
              </w:rPr>
              <w:t>Tablet, 10mg</w:t>
            </w:r>
          </w:p>
          <w:p w14:paraId="4045E365" w14:textId="77777777" w:rsidR="005A5D70" w:rsidRPr="00691087" w:rsidRDefault="005A5D70" w:rsidP="0082714E">
            <w:pPr>
              <w:pStyle w:val="Tabletext"/>
              <w:keepNext/>
              <w:keepLines/>
              <w:rPr>
                <w:b/>
                <w:bCs/>
                <w:iCs/>
              </w:rPr>
            </w:pPr>
          </w:p>
        </w:tc>
        <w:tc>
          <w:tcPr>
            <w:tcW w:w="0" w:type="auto"/>
          </w:tcPr>
          <w:p w14:paraId="54315F00" w14:textId="77777777" w:rsidR="005A5D70" w:rsidRPr="00691087" w:rsidRDefault="005A5D70" w:rsidP="0082714E">
            <w:pPr>
              <w:pStyle w:val="Tabletext"/>
              <w:keepNext/>
              <w:keepLines/>
              <w:jc w:val="center"/>
              <w:rPr>
                <w:iCs/>
              </w:rPr>
            </w:pPr>
          </w:p>
          <w:p w14:paraId="05165D84" w14:textId="77777777" w:rsidR="005A5D70" w:rsidRPr="00691087" w:rsidRDefault="005A5D70" w:rsidP="0082714E">
            <w:pPr>
              <w:pStyle w:val="Tabletext"/>
              <w:keepNext/>
              <w:keepLines/>
              <w:jc w:val="center"/>
              <w:rPr>
                <w:iCs/>
              </w:rPr>
            </w:pPr>
            <w:r w:rsidRPr="00691087">
              <w:rPr>
                <w:iCs/>
              </w:rPr>
              <w:t>1</w:t>
            </w:r>
          </w:p>
          <w:p w14:paraId="460E549D" w14:textId="77777777" w:rsidR="005A5D70" w:rsidRPr="00691087" w:rsidRDefault="005A5D70" w:rsidP="0082714E">
            <w:pPr>
              <w:pStyle w:val="Tabletext"/>
              <w:keepNext/>
              <w:keepLines/>
              <w:jc w:val="center"/>
              <w:rPr>
                <w:iCs/>
              </w:rPr>
            </w:pPr>
            <w:r w:rsidRPr="00691087">
              <w:rPr>
                <w:iCs/>
              </w:rPr>
              <w:t>1</w:t>
            </w:r>
          </w:p>
          <w:p w14:paraId="2ED0E5B3" w14:textId="77777777" w:rsidR="005A5D70" w:rsidRPr="00691087" w:rsidRDefault="005A5D70" w:rsidP="0082714E">
            <w:pPr>
              <w:pStyle w:val="Tabletext"/>
              <w:keepNext/>
              <w:keepLines/>
              <w:jc w:val="center"/>
              <w:rPr>
                <w:rFonts w:ascii="Times" w:hAnsi="Times"/>
                <w:iCs/>
              </w:rPr>
            </w:pPr>
            <w:r w:rsidRPr="00691087">
              <w:rPr>
                <w:iCs/>
              </w:rPr>
              <w:t>2</w:t>
            </w:r>
          </w:p>
        </w:tc>
        <w:tc>
          <w:tcPr>
            <w:tcW w:w="0" w:type="auto"/>
          </w:tcPr>
          <w:p w14:paraId="1F08D5A0" w14:textId="77777777" w:rsidR="005A5D70" w:rsidRPr="00691087" w:rsidRDefault="005A5D70" w:rsidP="0082714E">
            <w:pPr>
              <w:pStyle w:val="Tabletext"/>
              <w:keepNext/>
              <w:keepLines/>
              <w:jc w:val="center"/>
              <w:rPr>
                <w:iCs/>
              </w:rPr>
            </w:pPr>
          </w:p>
          <w:p w14:paraId="30F82D8C" w14:textId="77777777" w:rsidR="005A5D70" w:rsidRPr="00691087" w:rsidRDefault="005A5D70" w:rsidP="0082714E">
            <w:pPr>
              <w:pStyle w:val="Tabletext"/>
              <w:keepNext/>
              <w:keepLines/>
              <w:jc w:val="center"/>
              <w:rPr>
                <w:iCs/>
              </w:rPr>
            </w:pPr>
            <w:r w:rsidRPr="00691087">
              <w:rPr>
                <w:iCs/>
              </w:rPr>
              <w:t>1</w:t>
            </w:r>
          </w:p>
          <w:p w14:paraId="3BF82635" w14:textId="77777777" w:rsidR="005A5D70" w:rsidRPr="00691087" w:rsidRDefault="005A5D70" w:rsidP="0082714E">
            <w:pPr>
              <w:pStyle w:val="Tabletext"/>
              <w:keepNext/>
              <w:keepLines/>
              <w:jc w:val="center"/>
              <w:rPr>
                <w:iCs/>
              </w:rPr>
            </w:pPr>
            <w:r w:rsidRPr="00691087">
              <w:rPr>
                <w:iCs/>
              </w:rPr>
              <w:t>6</w:t>
            </w:r>
          </w:p>
          <w:p w14:paraId="39DE8AA2" w14:textId="77777777" w:rsidR="005A5D70" w:rsidRPr="00691087" w:rsidRDefault="005A5D70" w:rsidP="0082714E">
            <w:pPr>
              <w:pStyle w:val="Tabletext"/>
              <w:keepNext/>
              <w:keepLines/>
              <w:jc w:val="center"/>
              <w:rPr>
                <w:rFonts w:ascii="Times" w:hAnsi="Times"/>
                <w:iCs/>
              </w:rPr>
            </w:pPr>
            <w:r w:rsidRPr="00691087">
              <w:rPr>
                <w:iCs/>
              </w:rPr>
              <w:t>8</w:t>
            </w:r>
          </w:p>
        </w:tc>
        <w:tc>
          <w:tcPr>
            <w:tcW w:w="0" w:type="auto"/>
          </w:tcPr>
          <w:p w14:paraId="2979385A" w14:textId="77777777" w:rsidR="005A5D70" w:rsidRPr="00691087" w:rsidRDefault="005A5D70" w:rsidP="0082714E">
            <w:pPr>
              <w:pStyle w:val="Tabletext"/>
              <w:keepNext/>
              <w:keepLines/>
              <w:jc w:val="center"/>
              <w:rPr>
                <w:iCs/>
              </w:rPr>
            </w:pPr>
          </w:p>
          <w:p w14:paraId="2A73A3D2" w14:textId="77777777" w:rsidR="005A5D70" w:rsidRPr="00691087" w:rsidRDefault="005A5D70" w:rsidP="0082714E">
            <w:pPr>
              <w:pStyle w:val="Tabletext"/>
              <w:keepNext/>
              <w:keepLines/>
              <w:jc w:val="center"/>
              <w:rPr>
                <w:iCs/>
              </w:rPr>
            </w:pPr>
            <w:r w:rsidRPr="00691087">
              <w:rPr>
                <w:iCs/>
              </w:rPr>
              <w:t>1</w:t>
            </w:r>
          </w:p>
          <w:p w14:paraId="316081F0" w14:textId="77777777" w:rsidR="005A5D70" w:rsidRPr="00691087" w:rsidRDefault="005A5D70" w:rsidP="0082714E">
            <w:pPr>
              <w:pStyle w:val="Tabletext"/>
              <w:keepNext/>
              <w:keepLines/>
              <w:jc w:val="center"/>
              <w:rPr>
                <w:iCs/>
              </w:rPr>
            </w:pPr>
            <w:r w:rsidRPr="00691087">
              <w:rPr>
                <w:iCs/>
              </w:rPr>
              <w:t>1</w:t>
            </w:r>
          </w:p>
          <w:p w14:paraId="5E659513" w14:textId="77777777" w:rsidR="005A5D70" w:rsidRPr="00691087" w:rsidRDefault="005A5D70" w:rsidP="0082714E">
            <w:pPr>
              <w:pStyle w:val="Tabletext"/>
              <w:keepNext/>
              <w:keepLines/>
              <w:jc w:val="center"/>
              <w:rPr>
                <w:rFonts w:ascii="Times" w:hAnsi="Times"/>
                <w:iCs/>
              </w:rPr>
            </w:pPr>
            <w:r w:rsidRPr="00691087">
              <w:rPr>
                <w:iCs/>
              </w:rPr>
              <w:t>1</w:t>
            </w:r>
          </w:p>
        </w:tc>
        <w:tc>
          <w:tcPr>
            <w:tcW w:w="0" w:type="auto"/>
          </w:tcPr>
          <w:p w14:paraId="7A14DF47" w14:textId="77777777" w:rsidR="005A5D70" w:rsidRPr="00691087" w:rsidRDefault="005A5D70" w:rsidP="0082714E">
            <w:pPr>
              <w:pStyle w:val="Tabletext"/>
              <w:keepNext/>
              <w:keepLines/>
              <w:jc w:val="center"/>
              <w:rPr>
                <w:iCs/>
              </w:rPr>
            </w:pPr>
          </w:p>
          <w:p w14:paraId="0DC69DC8" w14:textId="77777777" w:rsidR="001311E8" w:rsidRPr="008E63E5" w:rsidRDefault="001311E8" w:rsidP="0082714E">
            <w:pPr>
              <w:pStyle w:val="Tabletext"/>
              <w:keepNext/>
              <w:keepLines/>
              <w:jc w:val="center"/>
              <w:rPr>
                <w:iCs/>
              </w:rPr>
            </w:pPr>
            <w:r w:rsidRPr="008E63E5">
              <w:rPr>
                <w:iCs/>
              </w:rPr>
              <w:t>$</w:t>
            </w:r>
            <w:r w:rsidR="00790620">
              <w:rPr>
                <w:iCs/>
                <w:noProof/>
                <w:color w:val="000000"/>
                <w:highlight w:val="black"/>
              </w:rPr>
              <w:t>''''''''''''''''''''</w:t>
            </w:r>
            <w:r w:rsidRPr="008E63E5">
              <w:rPr>
                <w:iCs/>
              </w:rPr>
              <w:t xml:space="preserve"> </w:t>
            </w:r>
          </w:p>
          <w:p w14:paraId="179FC638" w14:textId="77777777" w:rsidR="001311E8" w:rsidRPr="008E63E5" w:rsidRDefault="001311E8" w:rsidP="0082714E">
            <w:pPr>
              <w:pStyle w:val="Tabletext"/>
              <w:keepNext/>
              <w:keepLines/>
              <w:jc w:val="center"/>
              <w:rPr>
                <w:iCs/>
              </w:rPr>
            </w:pPr>
            <w:r w:rsidRPr="008E63E5">
              <w:rPr>
                <w:iCs/>
              </w:rPr>
              <w:t>$</w:t>
            </w:r>
            <w:r w:rsidR="00790620">
              <w:rPr>
                <w:iCs/>
                <w:noProof/>
                <w:color w:val="000000"/>
                <w:highlight w:val="black"/>
              </w:rPr>
              <w:t>'''''''''''''''''''''</w:t>
            </w:r>
            <w:r w:rsidRPr="008E63E5">
              <w:rPr>
                <w:iCs/>
              </w:rPr>
              <w:t xml:space="preserve"> </w:t>
            </w:r>
          </w:p>
          <w:p w14:paraId="67840D89" w14:textId="77777777" w:rsidR="005A5D70" w:rsidRPr="00691087" w:rsidRDefault="001311E8" w:rsidP="001311E8">
            <w:pPr>
              <w:pStyle w:val="Tabletext"/>
              <w:keepNext/>
              <w:keepLines/>
              <w:jc w:val="center"/>
              <w:rPr>
                <w:rFonts w:ascii="Times" w:hAnsi="Times"/>
                <w:iCs/>
              </w:rPr>
            </w:pPr>
            <w:r w:rsidRPr="008E63E5">
              <w:rPr>
                <w:iCs/>
              </w:rPr>
              <w:t>$</w:t>
            </w:r>
            <w:r w:rsidR="00790620">
              <w:rPr>
                <w:iCs/>
                <w:noProof/>
                <w:color w:val="000000"/>
                <w:highlight w:val="black"/>
              </w:rPr>
              <w:t>'''''''''''''''''''''''</w:t>
            </w:r>
            <w:r w:rsidRPr="00691087">
              <w:rPr>
                <w:i/>
                <w:iCs/>
              </w:rPr>
              <w:t xml:space="preserve"> </w:t>
            </w:r>
          </w:p>
        </w:tc>
        <w:tc>
          <w:tcPr>
            <w:tcW w:w="0" w:type="auto"/>
          </w:tcPr>
          <w:p w14:paraId="50082DA4" w14:textId="77777777" w:rsidR="005A5D70" w:rsidRPr="00691087" w:rsidRDefault="005A5D70" w:rsidP="0082714E">
            <w:pPr>
              <w:pStyle w:val="Tabletext"/>
              <w:keepNext/>
              <w:keepLines/>
              <w:rPr>
                <w:rFonts w:ascii="Times" w:hAnsi="Times"/>
                <w:iCs/>
              </w:rPr>
            </w:pPr>
            <w:r w:rsidRPr="00691087">
              <w:rPr>
                <w:iCs/>
              </w:rPr>
              <w:t>MAVENCLAD, Merck</w:t>
            </w:r>
          </w:p>
        </w:tc>
      </w:tr>
    </w:tbl>
    <w:p w14:paraId="3F6B3426" w14:textId="18B5BA76" w:rsidR="005A5D70" w:rsidRPr="00691087" w:rsidRDefault="005A5D70" w:rsidP="00651A38">
      <w:pPr>
        <w:pStyle w:val="TableFooter"/>
        <w:keepNext/>
        <w:keepLines/>
        <w:spacing w:after="120"/>
      </w:pPr>
      <w:r w:rsidRPr="00691087">
        <w:t>Source: Table 5, p14 of the submission</w:t>
      </w:r>
      <w:r w:rsidR="001311E8" w:rsidRPr="00691087">
        <w:t xml:space="preserve">, p1 of the </w:t>
      </w:r>
      <w:r w:rsidR="00492001">
        <w:t>Pre-Sub-Committee</w:t>
      </w:r>
      <w:r w:rsidR="00565869">
        <w:t xml:space="preserve"> </w:t>
      </w:r>
      <w:r w:rsidR="00492001">
        <w:t>Response (</w:t>
      </w:r>
      <w:r w:rsidR="001311E8" w:rsidRPr="00691087">
        <w:t>PSCR</w:t>
      </w:r>
      <w:r w:rsidR="00492001">
        <w:t>)</w:t>
      </w:r>
      <w:r w:rsidRPr="00691087">
        <w:t xml:space="preserve">. </w:t>
      </w:r>
    </w:p>
    <w:p w14:paraId="0EBC7BEF" w14:textId="77777777" w:rsidR="005A5D70" w:rsidRPr="00691087" w:rsidRDefault="005A5D70" w:rsidP="005A5D70">
      <w:pPr>
        <w:pStyle w:val="ListParagraph"/>
        <w:widowControl/>
        <w:numPr>
          <w:ilvl w:val="1"/>
          <w:numId w:val="2"/>
        </w:numPr>
      </w:pPr>
      <w:r w:rsidRPr="00691087">
        <w:rPr>
          <w:color w:val="000000" w:themeColor="text1"/>
        </w:rPr>
        <w:t>The AEMP presented for one tablet of cladribine in the cost-minimisation analysis was $</w:t>
      </w:r>
      <w:r w:rsidR="00790620">
        <w:rPr>
          <w:noProof/>
          <w:color w:val="000000"/>
          <w:highlight w:val="black"/>
        </w:rPr>
        <w:t>''''''''''''''''''</w:t>
      </w:r>
      <w:r w:rsidR="001311E8" w:rsidRPr="00691087">
        <w:rPr>
          <w:color w:val="000000" w:themeColor="text1"/>
        </w:rPr>
        <w:t xml:space="preserve"> (DPMQ of $</w:t>
      </w:r>
      <w:r w:rsidR="00790620">
        <w:rPr>
          <w:noProof/>
          <w:color w:val="000000"/>
          <w:highlight w:val="black"/>
        </w:rPr>
        <w:t>'''''''''''''''''</w:t>
      </w:r>
      <w:r w:rsidR="001311E8" w:rsidRPr="00691087">
        <w:rPr>
          <w:color w:val="000000" w:themeColor="text1"/>
        </w:rPr>
        <w:t>)</w:t>
      </w:r>
      <w:r w:rsidR="00236027">
        <w:rPr>
          <w:color w:val="000000" w:themeColor="text1"/>
        </w:rPr>
        <w:t xml:space="preserve"> in the submission</w:t>
      </w:r>
      <w:r w:rsidRPr="00691087">
        <w:rPr>
          <w:color w:val="000000" w:themeColor="text1"/>
        </w:rPr>
        <w:t xml:space="preserve">. </w:t>
      </w:r>
      <w:r w:rsidR="00236027">
        <w:rPr>
          <w:color w:val="000000" w:themeColor="text1"/>
        </w:rPr>
        <w:t>The pre-PBAC response requested an AEMP of $</w:t>
      </w:r>
      <w:r w:rsidR="00790620">
        <w:rPr>
          <w:noProof/>
          <w:color w:val="000000"/>
          <w:highlight w:val="black"/>
        </w:rPr>
        <w:t>'''''''''''''''''</w:t>
      </w:r>
      <w:r w:rsidR="00236027">
        <w:rPr>
          <w:color w:val="000000" w:themeColor="text1"/>
        </w:rPr>
        <w:t xml:space="preserve"> for one tablet of cladribine. </w:t>
      </w:r>
      <w:r w:rsidRPr="00691087">
        <w:rPr>
          <w:color w:val="000000" w:themeColor="text1"/>
        </w:rPr>
        <w:t>The current effective AEMP for cladribine is $</w:t>
      </w:r>
      <w:r w:rsidR="00790620">
        <w:rPr>
          <w:noProof/>
          <w:color w:val="000000"/>
          <w:highlight w:val="black"/>
        </w:rPr>
        <w:t>''''''''''''''''</w:t>
      </w:r>
      <w:r w:rsidRPr="00691087">
        <w:rPr>
          <w:color w:val="000000" w:themeColor="text1"/>
        </w:rPr>
        <w:t>.</w:t>
      </w:r>
    </w:p>
    <w:p w14:paraId="6FEB4967" w14:textId="77777777" w:rsidR="005A5D70" w:rsidRDefault="00F54C18" w:rsidP="001768A6">
      <w:pPr>
        <w:pStyle w:val="ListParagraph"/>
        <w:widowControl/>
        <w:numPr>
          <w:ilvl w:val="1"/>
          <w:numId w:val="2"/>
        </w:numPr>
      </w:pPr>
      <w:r>
        <w:t>N</w:t>
      </w:r>
      <w:r w:rsidR="005A5D70" w:rsidRPr="00691087">
        <w:t xml:space="preserve">o changes </w:t>
      </w:r>
      <w:r>
        <w:t>we</w:t>
      </w:r>
      <w:r w:rsidR="005A5D70" w:rsidRPr="00691087">
        <w:t>re requested to the PBS restriction.</w:t>
      </w:r>
    </w:p>
    <w:p w14:paraId="34F6B327" w14:textId="5A9AA09D" w:rsidR="005A2754" w:rsidRPr="00691087" w:rsidRDefault="005A2754" w:rsidP="00045BA1">
      <w:pPr>
        <w:pStyle w:val="PBACHeading1"/>
        <w:spacing w:after="120"/>
      </w:pPr>
      <w:bookmarkStart w:id="7" w:name="_Toc82600891"/>
      <w:r w:rsidRPr="00691087">
        <w:t>Population and disease</w:t>
      </w:r>
      <w:bookmarkEnd w:id="7"/>
    </w:p>
    <w:p w14:paraId="7ABBC34D" w14:textId="0818CE55" w:rsidR="00EB49D2" w:rsidRPr="00691087" w:rsidRDefault="005A2754" w:rsidP="00045BA1">
      <w:pPr>
        <w:pStyle w:val="ListParagraph"/>
        <w:widowControl/>
        <w:numPr>
          <w:ilvl w:val="1"/>
          <w:numId w:val="2"/>
        </w:numPr>
      </w:pPr>
      <w:r w:rsidRPr="00691087">
        <w:rPr>
          <w:rFonts w:eastAsia="Calibri"/>
        </w:rPr>
        <w:t>Multiple sclerosis (MS) is a central nervous system disease associated with the loss of the myelin sheath, a fatty material that insulates nerves. MS disrupts the ability to conduct electrical impulses to and from the brain. Once MS presents, the condition is permanent and degenerative. Relapsing remitting MS (RRMS) is characterised by unpredictable relapses during which new symptoms appear or existing symptoms become more severe, followed by periods of relative clinical stability. Approximately 85% of MS patients are initially diagnosed with RRMS. Over time, there is less recovery from relapses and patients accumulate underlying disability. Most RRMS patients progress to secondary progressive MS (SPMS), characterised by ongoing deterioration in function with interspersed relapses.</w:t>
      </w:r>
    </w:p>
    <w:p w14:paraId="1207BFA6" w14:textId="4D7FCE4D" w:rsidR="005A2754" w:rsidRPr="00691087" w:rsidRDefault="005A2754" w:rsidP="00045BA1">
      <w:pPr>
        <w:pStyle w:val="PBACHeading1"/>
        <w:spacing w:after="120"/>
      </w:pPr>
      <w:bookmarkStart w:id="8" w:name="_Toc82600892"/>
      <w:r w:rsidRPr="00691087">
        <w:t>Comparator</w:t>
      </w:r>
      <w:bookmarkEnd w:id="8"/>
    </w:p>
    <w:p w14:paraId="4E4FF6B4" w14:textId="77777777" w:rsidR="005A2754" w:rsidRPr="00691087" w:rsidRDefault="005A2754" w:rsidP="005A2754">
      <w:pPr>
        <w:pStyle w:val="ListParagraph"/>
        <w:widowControl/>
        <w:numPr>
          <w:ilvl w:val="1"/>
          <w:numId w:val="2"/>
        </w:numPr>
        <w:rPr>
          <w:rFonts w:cs="Calibri"/>
          <w:snapToGrid/>
          <w:color w:val="000000" w:themeColor="text1"/>
          <w:szCs w:val="24"/>
          <w:lang w:eastAsia="en-AU"/>
        </w:rPr>
      </w:pPr>
      <w:r w:rsidRPr="00691087">
        <w:rPr>
          <w:rFonts w:cs="Calibri"/>
          <w:snapToGrid/>
          <w:color w:val="000000" w:themeColor="text1"/>
          <w:szCs w:val="24"/>
          <w:lang w:eastAsia="en-AU"/>
        </w:rPr>
        <w:t>The submission nominated fingolimod as the main comparator. The main arguments provided in support of this nomination were:</w:t>
      </w:r>
    </w:p>
    <w:p w14:paraId="6CB84874" w14:textId="77777777" w:rsidR="005A2754" w:rsidRPr="00691087" w:rsidRDefault="00A27ACD" w:rsidP="00A27ACD">
      <w:pPr>
        <w:pStyle w:val="ListParagraph"/>
        <w:widowControl/>
        <w:numPr>
          <w:ilvl w:val="0"/>
          <w:numId w:val="19"/>
        </w:numPr>
        <w:ind w:left="993" w:hanging="284"/>
        <w:rPr>
          <w:rFonts w:cs="Calibri"/>
          <w:snapToGrid/>
          <w:color w:val="000000" w:themeColor="text1"/>
          <w:szCs w:val="24"/>
          <w:lang w:eastAsia="en-AU"/>
        </w:rPr>
      </w:pPr>
      <w:r w:rsidRPr="00691087">
        <w:t xml:space="preserve">Fingolimod was accepted as the appropriate main comparator to cladribine at the July 2018 PBAC meeting. The PBAC noted that “At the November 2017 meeting, the PBAC accepted fingolimod as the appropriate main comparator, however, considered that cladribine may replace or displace all PBS listed RRMS treatments to some extent” (Cladribine </w:t>
      </w:r>
      <w:r w:rsidR="008B42AA">
        <w:t>Public Summary Document (</w:t>
      </w:r>
      <w:r w:rsidRPr="00691087">
        <w:t>PSD</w:t>
      </w:r>
      <w:r w:rsidR="008B42AA">
        <w:t>)</w:t>
      </w:r>
      <w:r w:rsidRPr="00691087">
        <w:t>, July 2018, paragraph 4.1). Fingolimod remains the comparator for this resubmission as post-market data shows that fingolimod has been the treatment most commonly displaced since the listing of cladribine.</w:t>
      </w:r>
    </w:p>
    <w:p w14:paraId="74C08E03" w14:textId="77777777" w:rsidR="00407213" w:rsidRPr="00691087" w:rsidRDefault="005A2754" w:rsidP="00A27ACD">
      <w:pPr>
        <w:pStyle w:val="ListParagraph"/>
        <w:widowControl/>
        <w:numPr>
          <w:ilvl w:val="0"/>
          <w:numId w:val="19"/>
        </w:numPr>
        <w:ind w:left="993" w:hanging="284"/>
      </w:pPr>
      <w:r w:rsidRPr="00691087">
        <w:rPr>
          <w:rFonts w:cs="Calibri"/>
          <w:snapToGrid/>
          <w:color w:val="000000" w:themeColor="text1"/>
          <w:szCs w:val="24"/>
          <w:lang w:eastAsia="en-AU"/>
        </w:rPr>
        <w:t>Internal data from the sponsor shows that the majority of patients who are switching to cladribine from any other pharmacological treatment are switching from fingolimod (20%). The largest subset of patients (23%) w</w:t>
      </w:r>
      <w:r w:rsidR="00AC2494" w:rsidRPr="00691087">
        <w:rPr>
          <w:rFonts w:cs="Calibri"/>
          <w:snapToGrid/>
          <w:color w:val="000000" w:themeColor="text1"/>
          <w:szCs w:val="24"/>
          <w:lang w:eastAsia="en-AU"/>
        </w:rPr>
        <w:t>ere</w:t>
      </w:r>
      <w:r w:rsidRPr="00691087">
        <w:rPr>
          <w:rFonts w:cs="Calibri"/>
          <w:snapToGrid/>
          <w:color w:val="000000" w:themeColor="text1"/>
          <w:szCs w:val="24"/>
          <w:lang w:eastAsia="en-AU"/>
        </w:rPr>
        <w:t xml:space="preserve"> treatment naïve. The next two largest groups at 11% are patients switching from dimethyl fumarate and interferon beta 1 </w:t>
      </w:r>
      <w:r w:rsidRPr="00691087">
        <w:t>b</w:t>
      </w:r>
      <w:r w:rsidR="00407213" w:rsidRPr="00691087">
        <w:t>.</w:t>
      </w:r>
      <w:r w:rsidRPr="00691087">
        <w:t xml:space="preserve"> </w:t>
      </w:r>
    </w:p>
    <w:p w14:paraId="1A14FD4E" w14:textId="1E885A9E" w:rsidR="005A2754" w:rsidRPr="00691087" w:rsidRDefault="00AC2494" w:rsidP="00A27ACD">
      <w:pPr>
        <w:pStyle w:val="ListParagraph"/>
        <w:widowControl/>
        <w:numPr>
          <w:ilvl w:val="0"/>
          <w:numId w:val="19"/>
        </w:numPr>
        <w:ind w:left="993" w:hanging="284"/>
        <w:rPr>
          <w:rFonts w:cs="Calibri"/>
          <w:snapToGrid/>
          <w:color w:val="000000" w:themeColor="text1"/>
          <w:szCs w:val="24"/>
          <w:lang w:eastAsia="en-AU"/>
        </w:rPr>
      </w:pPr>
      <w:r w:rsidRPr="00691087">
        <w:t>At</w:t>
      </w:r>
      <w:r w:rsidR="00B13B52" w:rsidRPr="00691087">
        <w:t xml:space="preserve"> </w:t>
      </w:r>
      <w:r w:rsidR="00A27ACD" w:rsidRPr="00691087">
        <w:t>the May 2021 PBAC Intracycle Meeting, it was suggested that a comparison to ozanimod would be required in this resubmission</w:t>
      </w:r>
      <w:r w:rsidR="00AD2760">
        <w:t xml:space="preserve"> </w:t>
      </w:r>
      <w:r w:rsidR="00A27ACD" w:rsidRPr="00691087">
        <w:t>(Ratified Minutes – May 2021 PBAC Intracycle Meeting</w:t>
      </w:r>
      <w:bookmarkStart w:id="9" w:name="_GoBack"/>
      <w:r w:rsidR="00AD2760">
        <w:t>)</w:t>
      </w:r>
      <w:bookmarkEnd w:id="9"/>
      <w:r w:rsidR="00A27ACD" w:rsidRPr="00691087">
        <w:t>. However, in the public summary document for ozanimod (Ozanimod PSD, March 2020, paragraph 5.1), the PBAC accepted fingolimod as ozanimod’s comparator, “based on both drugs being pharmacological analogues that target the S1P receptor pathway, fingolimod having the largest market share of RRMS treatments, and both treatments being oral DMTs</w:t>
      </w:r>
      <w:r w:rsidR="00537628" w:rsidRPr="00691087">
        <w:t xml:space="preserve"> [disease modifying therapies]</w:t>
      </w:r>
      <w:r w:rsidR="00A27ACD" w:rsidRPr="00691087">
        <w:t xml:space="preserve">.” The PBAC also suggested that “in practice, ozanimod could substitute for all PBS subsidised RRMS medicines” (Ozanimod PSD, March 2020, paragraph 5.1). </w:t>
      </w:r>
    </w:p>
    <w:p w14:paraId="324668B0" w14:textId="77777777" w:rsidR="005A2754" w:rsidRPr="00691087" w:rsidRDefault="005A2754" w:rsidP="00B56649">
      <w:pPr>
        <w:pStyle w:val="ListParagraph"/>
        <w:widowControl/>
        <w:numPr>
          <w:ilvl w:val="0"/>
          <w:numId w:val="19"/>
        </w:numPr>
        <w:ind w:left="993" w:hanging="284"/>
        <w:rPr>
          <w:rFonts w:cs="Calibri"/>
          <w:snapToGrid/>
          <w:color w:val="000000" w:themeColor="text1"/>
          <w:szCs w:val="24"/>
          <w:lang w:eastAsia="en-AU"/>
        </w:rPr>
      </w:pPr>
      <w:r w:rsidRPr="00691087">
        <w:rPr>
          <w:rFonts w:cs="Calibri"/>
          <w:snapToGrid/>
          <w:color w:val="000000" w:themeColor="text1"/>
          <w:szCs w:val="24"/>
          <w:lang w:eastAsia="en-AU"/>
        </w:rPr>
        <w:t xml:space="preserve">Using the most recent evidence, the sponsor considered that fingolimod remains the appropriate ‘proxy’ comparator based on: </w:t>
      </w:r>
      <w:r w:rsidR="00B56649" w:rsidRPr="00691087">
        <w:rPr>
          <w:rFonts w:cs="Calibri"/>
          <w:snapToGrid/>
          <w:color w:val="000000" w:themeColor="text1"/>
          <w:szCs w:val="24"/>
          <w:lang w:eastAsia="en-AU"/>
        </w:rPr>
        <w:t>(</w:t>
      </w:r>
      <w:r w:rsidRPr="00691087">
        <w:rPr>
          <w:rFonts w:cs="Calibri"/>
          <w:snapToGrid/>
          <w:color w:val="000000" w:themeColor="text1"/>
          <w:szCs w:val="24"/>
          <w:lang w:eastAsia="en-AU"/>
        </w:rPr>
        <w:t>a) market share</w:t>
      </w:r>
      <w:r w:rsidR="00B56649" w:rsidRPr="00691087">
        <w:rPr>
          <w:rFonts w:cs="Calibri"/>
          <w:snapToGrid/>
          <w:color w:val="000000" w:themeColor="text1"/>
          <w:szCs w:val="24"/>
          <w:lang w:eastAsia="en-AU"/>
        </w:rPr>
        <w:t xml:space="preserve"> and</w:t>
      </w:r>
      <w:r w:rsidRPr="00691087">
        <w:rPr>
          <w:rFonts w:cs="Calibri"/>
          <w:snapToGrid/>
          <w:color w:val="000000" w:themeColor="text1"/>
          <w:szCs w:val="24"/>
          <w:lang w:eastAsia="en-AU"/>
        </w:rPr>
        <w:t xml:space="preserve"> </w:t>
      </w:r>
      <w:r w:rsidR="00B56649" w:rsidRPr="00691087">
        <w:rPr>
          <w:rFonts w:cs="Calibri"/>
          <w:snapToGrid/>
          <w:color w:val="000000" w:themeColor="text1"/>
          <w:szCs w:val="24"/>
          <w:lang w:eastAsia="en-AU"/>
        </w:rPr>
        <w:t>(</w:t>
      </w:r>
      <w:r w:rsidRPr="00691087">
        <w:rPr>
          <w:rFonts w:cs="Calibri"/>
          <w:snapToGrid/>
          <w:color w:val="000000" w:themeColor="text1"/>
          <w:szCs w:val="24"/>
          <w:lang w:eastAsia="en-AU"/>
        </w:rPr>
        <w:t>b) similarity in treatment administration (oral capsules unlike ocrelizumab infusions).</w:t>
      </w:r>
    </w:p>
    <w:p w14:paraId="522AE920" w14:textId="77777777" w:rsidR="003208C8" w:rsidRPr="00691087" w:rsidRDefault="005A2754" w:rsidP="003208C8">
      <w:pPr>
        <w:pStyle w:val="ListParagraph"/>
        <w:widowControl/>
        <w:numPr>
          <w:ilvl w:val="1"/>
          <w:numId w:val="2"/>
        </w:numPr>
        <w:rPr>
          <w:rFonts w:cs="Calibri"/>
          <w:snapToGrid/>
          <w:color w:val="000000" w:themeColor="text1"/>
          <w:szCs w:val="24"/>
          <w:lang w:eastAsia="en-AU"/>
        </w:rPr>
      </w:pPr>
      <w:r w:rsidRPr="00691087">
        <w:rPr>
          <w:rFonts w:cs="Calibri"/>
          <w:snapToGrid/>
          <w:color w:val="000000" w:themeColor="text1"/>
          <w:szCs w:val="24"/>
          <w:lang w:eastAsia="en-AU"/>
        </w:rPr>
        <w:t xml:space="preserve">Fingolimod is an appropriate comparator, but </w:t>
      </w:r>
      <w:r w:rsidR="00F97F2E" w:rsidRPr="00691087">
        <w:rPr>
          <w:rFonts w:cs="Calibri"/>
          <w:snapToGrid/>
          <w:color w:val="000000" w:themeColor="text1"/>
          <w:szCs w:val="24"/>
          <w:lang w:eastAsia="en-AU"/>
        </w:rPr>
        <w:t xml:space="preserve">cladribine may replace any of the </w:t>
      </w:r>
      <w:r w:rsidRPr="00691087">
        <w:rPr>
          <w:rFonts w:cs="Calibri"/>
          <w:snapToGrid/>
          <w:color w:val="000000" w:themeColor="text1"/>
          <w:szCs w:val="24"/>
          <w:lang w:eastAsia="en-AU"/>
        </w:rPr>
        <w:t>PBS subsidised RRMS treatments.</w:t>
      </w:r>
      <w:r w:rsidR="00507516" w:rsidRPr="00691087">
        <w:rPr>
          <w:rFonts w:cs="Calibri"/>
          <w:snapToGrid/>
          <w:color w:val="000000" w:themeColor="text1"/>
          <w:szCs w:val="24"/>
          <w:lang w:eastAsia="en-AU"/>
        </w:rPr>
        <w:t xml:space="preserve"> </w:t>
      </w:r>
    </w:p>
    <w:p w14:paraId="533E4B83" w14:textId="77777777" w:rsidR="003208C8" w:rsidRDefault="006B03A7" w:rsidP="00185968">
      <w:pPr>
        <w:pStyle w:val="3-BodyText"/>
        <w:numPr>
          <w:ilvl w:val="1"/>
          <w:numId w:val="2"/>
        </w:numPr>
        <w:rPr>
          <w:rFonts w:cs="Calibri"/>
          <w:snapToGrid/>
          <w:color w:val="000000" w:themeColor="text1"/>
        </w:rPr>
      </w:pPr>
      <w:r w:rsidRPr="00691087">
        <w:t xml:space="preserve">In the context of the cost-minimisation approach taken by the submission, a further consideration for PBAC is that, under Section 101(3B) of the </w:t>
      </w:r>
      <w:r w:rsidRPr="00236027">
        <w:rPr>
          <w:i/>
        </w:rPr>
        <w:t>National Health Act 1953</w:t>
      </w:r>
      <w:r w:rsidRPr="00691087">
        <w:t xml:space="preserve">,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 so satisfied, it must make a statement to this </w:t>
      </w:r>
      <w:r w:rsidRPr="00691087">
        <w:rPr>
          <w:color w:val="000000" w:themeColor="text1"/>
        </w:rPr>
        <w:t>effect.</w:t>
      </w:r>
      <w:r w:rsidR="00F97F2E" w:rsidRPr="00691087">
        <w:rPr>
          <w:color w:val="000000" w:themeColor="text1"/>
        </w:rPr>
        <w:t xml:space="preserve"> </w:t>
      </w:r>
      <w:r w:rsidR="00F97F2E" w:rsidRPr="00691087">
        <w:rPr>
          <w:rFonts w:cs="Calibri"/>
          <w:snapToGrid/>
          <w:color w:val="000000" w:themeColor="text1"/>
        </w:rPr>
        <w:t xml:space="preserve">During its March 2021 consideration of ofatumumab, the PBAC considered fingolimod, </w:t>
      </w:r>
      <w:r w:rsidR="00F97F2E" w:rsidRPr="00691087">
        <w:rPr>
          <w:bCs/>
        </w:rPr>
        <w:t>natalizumab, alemtuzumab, ocrelizumab, cladribine and ozanimod</w:t>
      </w:r>
      <w:r w:rsidR="00F97F2E" w:rsidRPr="00691087">
        <w:rPr>
          <w:rFonts w:cs="Calibri"/>
          <w:snapToGrid/>
          <w:color w:val="000000" w:themeColor="text1"/>
        </w:rPr>
        <w:t xml:space="preserve"> to be alternative (higher tier) therapies (</w:t>
      </w:r>
      <w:r w:rsidR="00E31ED1" w:rsidRPr="00691087">
        <w:rPr>
          <w:rFonts w:cs="Calibri"/>
          <w:snapToGrid/>
          <w:color w:val="000000" w:themeColor="text1"/>
        </w:rPr>
        <w:t>March 2021 ofatumumab Public Summary Document, Paragraph 7.1</w:t>
      </w:r>
      <w:r w:rsidR="00F97F2E" w:rsidRPr="00691087">
        <w:rPr>
          <w:rFonts w:cs="Calibri"/>
          <w:snapToGrid/>
          <w:color w:val="000000" w:themeColor="text1"/>
        </w:rPr>
        <w:t>).</w:t>
      </w:r>
    </w:p>
    <w:p w14:paraId="17E3C718" w14:textId="77777777" w:rsidR="00BE2550" w:rsidRPr="00C33D30" w:rsidRDefault="00BE2550" w:rsidP="00651A38">
      <w:pPr>
        <w:ind w:firstLine="709"/>
        <w:rPr>
          <w:rFonts w:asciiTheme="minorHAnsi" w:hAnsiTheme="minorHAnsi"/>
          <w:i/>
        </w:rPr>
      </w:pPr>
      <w:r w:rsidRPr="00C33D30">
        <w:rPr>
          <w:rFonts w:asciiTheme="minorHAnsi" w:hAnsiTheme="minorHAnsi"/>
          <w:i/>
        </w:rPr>
        <w:t>For more detail on PBAC’s view, see section 7 PBAC outcome.</w:t>
      </w:r>
    </w:p>
    <w:p w14:paraId="3550C204" w14:textId="79F34F38" w:rsidR="005A2754" w:rsidRPr="00691087" w:rsidRDefault="005A2754" w:rsidP="004214FA">
      <w:pPr>
        <w:pStyle w:val="PBACHeading1"/>
        <w:keepNext/>
        <w:keepLines/>
      </w:pPr>
      <w:bookmarkStart w:id="10" w:name="_Toc82600893"/>
      <w:r w:rsidRPr="00691087">
        <w:t>Consideration of the evidence</w:t>
      </w:r>
      <w:bookmarkEnd w:id="10"/>
    </w:p>
    <w:p w14:paraId="762FF1DC" w14:textId="77777777" w:rsidR="00BE2550" w:rsidRPr="006E1229" w:rsidRDefault="00BE2550" w:rsidP="004214FA">
      <w:pPr>
        <w:pStyle w:val="3-SubsectionHeading"/>
        <w:keepLines/>
        <w:outlineLvl w:val="1"/>
        <w:rPr>
          <w:lang w:eastAsia="en-AU"/>
        </w:rPr>
      </w:pPr>
      <w:bookmarkStart w:id="11" w:name="_Hlk76375935"/>
      <w:bookmarkStart w:id="12" w:name="_Toc82600894"/>
      <w:r w:rsidRPr="006E1229">
        <w:rPr>
          <w:lang w:eastAsia="en-AU"/>
        </w:rPr>
        <w:t>Sponsor hearing</w:t>
      </w:r>
    </w:p>
    <w:p w14:paraId="285E8008" w14:textId="362C12FF" w:rsidR="00BE2550" w:rsidRPr="00F358BE" w:rsidRDefault="00BE2550" w:rsidP="004214FA">
      <w:pPr>
        <w:keepNext/>
        <w:keepLines/>
        <w:numPr>
          <w:ilvl w:val="1"/>
          <w:numId w:val="2"/>
        </w:numPr>
        <w:spacing w:after="120"/>
        <w:rPr>
          <w:rFonts w:asciiTheme="minorHAnsi" w:hAnsiTheme="minorHAnsi"/>
          <w:bCs/>
        </w:rPr>
      </w:pPr>
      <w:bookmarkStart w:id="13" w:name="_Hlk76382586"/>
      <w:r w:rsidRPr="00F358BE">
        <w:rPr>
          <w:rFonts w:asciiTheme="minorHAnsi" w:hAnsiTheme="minorHAnsi"/>
          <w:bCs/>
        </w:rPr>
        <w:t xml:space="preserve">The sponsor requested a hearing for this item. The clinician presented </w:t>
      </w:r>
      <w:r w:rsidR="00216AB8" w:rsidRPr="00F358BE">
        <w:rPr>
          <w:rFonts w:asciiTheme="minorHAnsi" w:hAnsiTheme="minorHAnsi"/>
          <w:bCs/>
        </w:rPr>
        <w:t>Australian</w:t>
      </w:r>
      <w:r w:rsidR="005B4F98" w:rsidRPr="00F358BE">
        <w:rPr>
          <w:rFonts w:asciiTheme="minorHAnsi" w:hAnsiTheme="minorHAnsi"/>
          <w:bCs/>
        </w:rPr>
        <w:t xml:space="preserve"> </w:t>
      </w:r>
      <w:r w:rsidR="00216AB8" w:rsidRPr="00F358BE">
        <w:rPr>
          <w:rFonts w:asciiTheme="minorHAnsi" w:hAnsiTheme="minorHAnsi"/>
          <w:bCs/>
        </w:rPr>
        <w:t>real-world</w:t>
      </w:r>
      <w:r w:rsidR="005B4F98" w:rsidRPr="00F358BE">
        <w:rPr>
          <w:rFonts w:asciiTheme="minorHAnsi" w:hAnsiTheme="minorHAnsi"/>
          <w:bCs/>
        </w:rPr>
        <w:t xml:space="preserve"> evidence</w:t>
      </w:r>
      <w:r w:rsidR="00383207">
        <w:rPr>
          <w:rFonts w:asciiTheme="minorHAnsi" w:hAnsiTheme="minorHAnsi"/>
          <w:bCs/>
        </w:rPr>
        <w:t xml:space="preserve"> from </w:t>
      </w:r>
      <w:r w:rsidR="00383207" w:rsidRPr="00383207">
        <w:rPr>
          <w:rFonts w:asciiTheme="minorHAnsi" w:hAnsiTheme="minorHAnsi"/>
          <w:bCs/>
        </w:rPr>
        <w:t xml:space="preserve">an unpublished longitudinal analysis of </w:t>
      </w:r>
      <w:r w:rsidR="00075F82">
        <w:rPr>
          <w:rFonts w:asciiTheme="minorHAnsi" w:hAnsiTheme="minorHAnsi"/>
          <w:bCs/>
        </w:rPr>
        <w:t xml:space="preserve">the </w:t>
      </w:r>
      <w:r w:rsidR="00383207" w:rsidRPr="00383207">
        <w:rPr>
          <w:rFonts w:asciiTheme="minorHAnsi" w:hAnsiTheme="minorHAnsi"/>
          <w:bCs/>
        </w:rPr>
        <w:t>MSBase</w:t>
      </w:r>
      <w:r w:rsidR="00075F82">
        <w:rPr>
          <w:rFonts w:asciiTheme="minorHAnsi" w:hAnsiTheme="minorHAnsi"/>
          <w:bCs/>
        </w:rPr>
        <w:t xml:space="preserve"> registry</w:t>
      </w:r>
      <w:r w:rsidR="00383207" w:rsidRPr="00383207">
        <w:rPr>
          <w:rFonts w:asciiTheme="minorHAnsi" w:hAnsiTheme="minorHAnsi"/>
          <w:bCs/>
        </w:rPr>
        <w:t>.</w:t>
      </w:r>
      <w:r w:rsidR="00216AB8" w:rsidRPr="00F358BE">
        <w:rPr>
          <w:rFonts w:asciiTheme="minorHAnsi" w:hAnsiTheme="minorHAnsi"/>
          <w:bCs/>
        </w:rPr>
        <w:t xml:space="preserve"> </w:t>
      </w:r>
      <w:r w:rsidR="00383207" w:rsidRPr="00383207">
        <w:rPr>
          <w:rFonts w:asciiTheme="minorHAnsi" w:hAnsiTheme="minorHAnsi"/>
          <w:bCs/>
        </w:rPr>
        <w:t>Australian patients with RRMS were identified who had initiated cladribine or other oral DMTs (including fingolimod)</w:t>
      </w:r>
      <w:r w:rsidR="00383207">
        <w:rPr>
          <w:rFonts w:asciiTheme="minorHAnsi" w:hAnsiTheme="minorHAnsi"/>
          <w:bCs/>
        </w:rPr>
        <w:t xml:space="preserve">. </w:t>
      </w:r>
      <w:r w:rsidR="00383207" w:rsidRPr="00383207">
        <w:rPr>
          <w:rFonts w:asciiTheme="minorHAnsi" w:hAnsiTheme="minorHAnsi"/>
          <w:bCs/>
        </w:rPr>
        <w:t>Outcomes included time-to-discontinuation (for cladribine, time to treatment switch), annualised relapse rate (ARR) and time-to-first relapse</w:t>
      </w:r>
      <w:r w:rsidR="00075F82">
        <w:rPr>
          <w:rFonts w:asciiTheme="minorHAnsi" w:hAnsiTheme="minorHAnsi"/>
          <w:bCs/>
        </w:rPr>
        <w:t>, with a data-cut in August 2018</w:t>
      </w:r>
      <w:r w:rsidR="00383207" w:rsidRPr="00383207">
        <w:rPr>
          <w:rFonts w:asciiTheme="minorHAnsi" w:hAnsiTheme="minorHAnsi"/>
          <w:bCs/>
        </w:rPr>
        <w:t xml:space="preserve">. </w:t>
      </w:r>
      <w:r w:rsidR="00157B6A">
        <w:rPr>
          <w:rFonts w:asciiTheme="minorHAnsi" w:hAnsiTheme="minorHAnsi"/>
          <w:bCs/>
        </w:rPr>
        <w:t xml:space="preserve">The clinician stated that the data showed </w:t>
      </w:r>
      <w:r w:rsidR="00F358BE" w:rsidRPr="00F358BE">
        <w:rPr>
          <w:rFonts w:asciiTheme="minorHAnsi" w:hAnsiTheme="minorHAnsi"/>
          <w:bCs/>
        </w:rPr>
        <w:t xml:space="preserve">there may be a durability of effect of cladribine into the third year (after 2 years’ treatment with cladribine) in terms of relapse rates, time to first relapse and rate of treatment discontinuation. </w:t>
      </w:r>
      <w:r w:rsidR="0007729F">
        <w:rPr>
          <w:rFonts w:asciiTheme="minorHAnsi" w:hAnsiTheme="minorHAnsi"/>
          <w:bCs/>
        </w:rPr>
        <w:t>However, th</w:t>
      </w:r>
      <w:r w:rsidR="00DC4809">
        <w:rPr>
          <w:rFonts w:asciiTheme="minorHAnsi" w:hAnsiTheme="minorHAnsi"/>
          <w:bCs/>
        </w:rPr>
        <w:t>ese</w:t>
      </w:r>
      <w:r w:rsidR="00236027">
        <w:rPr>
          <w:rFonts w:asciiTheme="minorHAnsi" w:hAnsiTheme="minorHAnsi"/>
          <w:bCs/>
        </w:rPr>
        <w:t xml:space="preserve"> data </w:t>
      </w:r>
      <w:r w:rsidR="0007729F">
        <w:rPr>
          <w:rFonts w:asciiTheme="minorHAnsi" w:hAnsiTheme="minorHAnsi"/>
          <w:bCs/>
        </w:rPr>
        <w:t xml:space="preserve">could not be assessed as </w:t>
      </w:r>
      <w:r w:rsidR="00236027">
        <w:rPr>
          <w:rFonts w:asciiTheme="minorHAnsi" w:hAnsiTheme="minorHAnsi"/>
          <w:bCs/>
        </w:rPr>
        <w:t>only limited information was provided</w:t>
      </w:r>
      <w:r w:rsidR="0007729F">
        <w:rPr>
          <w:rFonts w:asciiTheme="minorHAnsi" w:hAnsiTheme="minorHAnsi"/>
          <w:bCs/>
        </w:rPr>
        <w:t>.</w:t>
      </w:r>
      <w:r w:rsidR="00236027">
        <w:rPr>
          <w:rFonts w:asciiTheme="minorHAnsi" w:hAnsiTheme="minorHAnsi"/>
          <w:bCs/>
        </w:rPr>
        <w:t xml:space="preserve"> The clinician also </w:t>
      </w:r>
      <w:r w:rsidR="00075F82">
        <w:rPr>
          <w:rFonts w:asciiTheme="minorHAnsi" w:hAnsiTheme="minorHAnsi"/>
          <w:bCs/>
        </w:rPr>
        <w:t xml:space="preserve">outlined her clinical experience of treating patients with cladribine, stating that she has many patients in their third year of treatment and is only considering re-treatment in around 10% of these patients. </w:t>
      </w:r>
    </w:p>
    <w:bookmarkEnd w:id="13"/>
    <w:p w14:paraId="4C62772A" w14:textId="77777777" w:rsidR="00BE2550" w:rsidRPr="006E1229" w:rsidRDefault="00BE2550" w:rsidP="005B4F98">
      <w:pPr>
        <w:pStyle w:val="3-SubsectionHeading"/>
        <w:outlineLvl w:val="1"/>
        <w:rPr>
          <w:lang w:eastAsia="en-AU"/>
        </w:rPr>
      </w:pPr>
      <w:r w:rsidRPr="006E1229">
        <w:rPr>
          <w:lang w:eastAsia="en-AU"/>
        </w:rPr>
        <w:t>Consumer comments</w:t>
      </w:r>
    </w:p>
    <w:p w14:paraId="7882724D" w14:textId="53E18C9D" w:rsidR="00BE2550" w:rsidRPr="00836F75" w:rsidRDefault="00BE2550" w:rsidP="00BE2550">
      <w:pPr>
        <w:numPr>
          <w:ilvl w:val="1"/>
          <w:numId w:val="2"/>
        </w:numPr>
        <w:spacing w:after="120"/>
        <w:rPr>
          <w:rFonts w:asciiTheme="minorHAnsi" w:hAnsiTheme="minorHAnsi"/>
          <w:bCs/>
        </w:rPr>
      </w:pPr>
      <w:bookmarkStart w:id="14" w:name="_Hlk76382618"/>
      <w:r w:rsidRPr="00836F75">
        <w:rPr>
          <w:rFonts w:asciiTheme="minorHAnsi" w:hAnsiTheme="minorHAnsi"/>
          <w:bCs/>
        </w:rPr>
        <w:t>The PBAC noted and welcomed the input from individuals (</w:t>
      </w:r>
      <w:r w:rsidR="005B4F98">
        <w:rPr>
          <w:rFonts w:asciiTheme="minorHAnsi" w:hAnsiTheme="minorHAnsi"/>
          <w:bCs/>
        </w:rPr>
        <w:t>1</w:t>
      </w:r>
      <w:r w:rsidRPr="00836F75">
        <w:rPr>
          <w:rFonts w:asciiTheme="minorHAnsi" w:hAnsiTheme="minorHAnsi"/>
          <w:bCs/>
        </w:rPr>
        <w:t>)</w:t>
      </w:r>
      <w:r w:rsidR="005B4F98">
        <w:rPr>
          <w:rFonts w:asciiTheme="minorHAnsi" w:hAnsiTheme="minorHAnsi"/>
          <w:bCs/>
        </w:rPr>
        <w:t xml:space="preserve"> and</w:t>
      </w:r>
      <w:r w:rsidRPr="00836F75">
        <w:rPr>
          <w:rFonts w:asciiTheme="minorHAnsi" w:hAnsiTheme="minorHAnsi"/>
          <w:bCs/>
        </w:rPr>
        <w:t xml:space="preserve"> health care professionals</w:t>
      </w:r>
      <w:r w:rsidR="005B4F98">
        <w:rPr>
          <w:rFonts w:asciiTheme="minorHAnsi" w:hAnsiTheme="minorHAnsi"/>
          <w:bCs/>
        </w:rPr>
        <w:t xml:space="preserve"> (HCPs)</w:t>
      </w:r>
      <w:r w:rsidRPr="00836F75">
        <w:rPr>
          <w:rFonts w:asciiTheme="minorHAnsi" w:hAnsiTheme="minorHAnsi"/>
          <w:bCs/>
        </w:rPr>
        <w:t xml:space="preserve"> (</w:t>
      </w:r>
      <w:r w:rsidR="005B4F98">
        <w:rPr>
          <w:rFonts w:asciiTheme="minorHAnsi" w:hAnsiTheme="minorHAnsi"/>
          <w:bCs/>
        </w:rPr>
        <w:t>3</w:t>
      </w:r>
      <w:r w:rsidRPr="00836F75">
        <w:rPr>
          <w:rFonts w:asciiTheme="minorHAnsi" w:hAnsiTheme="minorHAnsi"/>
          <w:bCs/>
        </w:rPr>
        <w:t xml:space="preserve">) via the Consumer Comments facility on the PBS website. The comments described a range of benefits of treatment with </w:t>
      </w:r>
      <w:r w:rsidR="005B4F98">
        <w:rPr>
          <w:rFonts w:asciiTheme="minorHAnsi" w:hAnsiTheme="minorHAnsi"/>
          <w:bCs/>
        </w:rPr>
        <w:t xml:space="preserve">cladribine, including the </w:t>
      </w:r>
      <w:r w:rsidR="008E63E5">
        <w:rPr>
          <w:rFonts w:asciiTheme="minorHAnsi" w:hAnsiTheme="minorHAnsi"/>
          <w:bCs/>
        </w:rPr>
        <w:t xml:space="preserve">ease of use due to the </w:t>
      </w:r>
      <w:r w:rsidR="005B4F98">
        <w:rPr>
          <w:rFonts w:asciiTheme="minorHAnsi" w:hAnsiTheme="minorHAnsi"/>
          <w:bCs/>
        </w:rPr>
        <w:t>dosing regimen</w:t>
      </w:r>
      <w:r w:rsidR="008E63E5">
        <w:rPr>
          <w:rFonts w:asciiTheme="minorHAnsi" w:hAnsiTheme="minorHAnsi"/>
          <w:bCs/>
        </w:rPr>
        <w:t xml:space="preserve"> and oral dosage form.</w:t>
      </w:r>
      <w:r w:rsidR="005B4F98">
        <w:rPr>
          <w:rFonts w:asciiTheme="minorHAnsi" w:hAnsiTheme="minorHAnsi"/>
          <w:bCs/>
        </w:rPr>
        <w:t xml:space="preserve"> The individual and HCPs</w:t>
      </w:r>
      <w:r w:rsidRPr="00836F75">
        <w:rPr>
          <w:rFonts w:asciiTheme="minorHAnsi" w:hAnsiTheme="minorHAnsi"/>
          <w:bCs/>
        </w:rPr>
        <w:t xml:space="preserve"> </w:t>
      </w:r>
      <w:r w:rsidR="005B4F98">
        <w:rPr>
          <w:rFonts w:asciiTheme="minorHAnsi" w:hAnsiTheme="minorHAnsi"/>
          <w:bCs/>
        </w:rPr>
        <w:t>also commented that m</w:t>
      </w:r>
      <w:r w:rsidR="008E63E5">
        <w:rPr>
          <w:rFonts w:asciiTheme="minorHAnsi" w:hAnsiTheme="minorHAnsi"/>
          <w:bCs/>
        </w:rPr>
        <w:t>any</w:t>
      </w:r>
      <w:r w:rsidR="005B4F98">
        <w:rPr>
          <w:rFonts w:asciiTheme="minorHAnsi" w:hAnsiTheme="minorHAnsi"/>
          <w:bCs/>
        </w:rPr>
        <w:t xml:space="preserve"> patients had not required additional treatment (either with cladribine or an alternative DMT) in their third year since commencing cladribine</w:t>
      </w:r>
      <w:r w:rsidR="00D525FA">
        <w:rPr>
          <w:rFonts w:asciiTheme="minorHAnsi" w:hAnsiTheme="minorHAnsi"/>
          <w:bCs/>
        </w:rPr>
        <w:t>.</w:t>
      </w:r>
    </w:p>
    <w:bookmarkEnd w:id="11"/>
    <w:bookmarkEnd w:id="14"/>
    <w:p w14:paraId="11A1F903" w14:textId="06331A19" w:rsidR="005A2754" w:rsidRPr="00691087" w:rsidRDefault="005A2754" w:rsidP="00FE1A1E">
      <w:pPr>
        <w:pStyle w:val="Heading2"/>
        <w:spacing w:after="120"/>
      </w:pPr>
      <w:r w:rsidRPr="00691087">
        <w:t>Clinical trials</w:t>
      </w:r>
      <w:bookmarkEnd w:id="12"/>
    </w:p>
    <w:p w14:paraId="0DDAA53C" w14:textId="77777777" w:rsidR="005A2754" w:rsidRPr="00691087" w:rsidRDefault="005A2754" w:rsidP="005A2754">
      <w:pPr>
        <w:pStyle w:val="ListParagraph"/>
        <w:widowControl/>
        <w:numPr>
          <w:ilvl w:val="1"/>
          <w:numId w:val="2"/>
        </w:numPr>
      </w:pPr>
      <w:r w:rsidRPr="00691087">
        <w:t>To support the submission’s claim of non-inferiority to fingolimod over a four year time horizon, the submission presented a naïve comparison of the relevant arms of the CLARITY extension (</w:t>
      </w:r>
      <w:r w:rsidR="00B56649" w:rsidRPr="00691087">
        <w:t xml:space="preserve">CLARITY EXT; </w:t>
      </w:r>
      <w:r w:rsidRPr="00691087">
        <w:t>n=284), the FREEDOMS I extension (</w:t>
      </w:r>
      <w:r w:rsidR="00B56649" w:rsidRPr="00691087">
        <w:t xml:space="preserve">FREEDOMS EXT; </w:t>
      </w:r>
      <w:r w:rsidRPr="00691087">
        <w:t>n=486) and the FREEDOMS II extension (</w:t>
      </w:r>
      <w:r w:rsidR="00B56649" w:rsidRPr="00691087">
        <w:t xml:space="preserve">FREEDOMS II EXT; </w:t>
      </w:r>
      <w:r w:rsidRPr="00691087">
        <w:t>n=632). The low dose cladribine (LLPP) arm is the arm most relevant to the submission, and most consistent with the approved cladribine treatment regimen</w:t>
      </w:r>
      <w:r w:rsidR="00A013C7" w:rsidRPr="00691087">
        <w:t xml:space="preserve"> </w:t>
      </w:r>
      <w:r w:rsidR="00A013C7" w:rsidRPr="00AB27A7">
        <w:rPr>
          <w:iCs/>
        </w:rPr>
        <w:t>(patients received 3.5 mg/kg cumulative dose of cladribine in CLARITY, then were assigned to placebo in the CLARITY EXT study)</w:t>
      </w:r>
      <w:r w:rsidRPr="00AB27A7">
        <w:rPr>
          <w:iCs/>
        </w:rPr>
        <w:t>.</w:t>
      </w:r>
      <w:r w:rsidRPr="00691087">
        <w:t xml:space="preserve"> Consequently, unless otherwise noted, data from CLARITY EXT refers to the LLPP arm.</w:t>
      </w:r>
      <w:r w:rsidR="00AD0BE9" w:rsidRPr="00691087">
        <w:t xml:space="preserve"> The submission also presented evidence from supplemental ‘Real World Evidence’ (RWE)</w:t>
      </w:r>
      <w:r w:rsidR="00AD0BE9" w:rsidRPr="00691087">
        <w:rPr>
          <w:rFonts w:cs="Calibri"/>
          <w:snapToGrid/>
          <w:szCs w:val="24"/>
          <w:lang w:eastAsia="en-AU"/>
        </w:rPr>
        <w:t xml:space="preserve"> studies.</w:t>
      </w:r>
    </w:p>
    <w:p w14:paraId="1801AAAB" w14:textId="77777777" w:rsidR="005A2754" w:rsidRPr="00691087" w:rsidRDefault="005A2754" w:rsidP="005A2754">
      <w:pPr>
        <w:pStyle w:val="ListParagraph"/>
        <w:widowControl/>
        <w:numPr>
          <w:ilvl w:val="1"/>
          <w:numId w:val="2"/>
        </w:numPr>
      </w:pPr>
      <w:r w:rsidRPr="00691087">
        <w:t>As cladribine is currently listed on the basis of an indirect comparison of pivotal trial evidence (CLARITY for cladribine and FREEDOMS I &amp; II for fingolimod, and their extension studies)</w:t>
      </w:r>
      <w:r w:rsidR="0072180D" w:rsidRPr="00691087">
        <w:t xml:space="preserve">, this evidence </w:t>
      </w:r>
      <w:r w:rsidRPr="00691087">
        <w:t>has already been presented and evaluated by the PBAC.</w:t>
      </w:r>
    </w:p>
    <w:p w14:paraId="12FD1A9F" w14:textId="77777777" w:rsidR="005C1CFF" w:rsidRPr="00691087" w:rsidRDefault="005A2754" w:rsidP="005A2754">
      <w:pPr>
        <w:pStyle w:val="ListParagraph"/>
        <w:widowControl/>
        <w:numPr>
          <w:ilvl w:val="1"/>
          <w:numId w:val="2"/>
        </w:numPr>
        <w:rPr>
          <w:rFonts w:cs="Calibri"/>
          <w:snapToGrid/>
          <w:szCs w:val="24"/>
          <w:lang w:eastAsia="en-AU"/>
        </w:rPr>
      </w:pPr>
      <w:r w:rsidRPr="00691087">
        <w:rPr>
          <w:rFonts w:cs="Calibri"/>
          <w:snapToGrid/>
          <w:szCs w:val="24"/>
          <w:lang w:eastAsia="en-AU"/>
        </w:rPr>
        <w:t xml:space="preserve">Details of the trials </w:t>
      </w:r>
      <w:r w:rsidR="00AD0BE9" w:rsidRPr="00691087">
        <w:rPr>
          <w:rFonts w:cs="Calibri"/>
          <w:snapToGrid/>
          <w:szCs w:val="24"/>
          <w:lang w:eastAsia="en-AU"/>
        </w:rPr>
        <w:t xml:space="preserve">and </w:t>
      </w:r>
      <w:r w:rsidR="00AD0BE9" w:rsidRPr="00691087">
        <w:t>supplemental RWE</w:t>
      </w:r>
      <w:r w:rsidR="00AD0BE9" w:rsidRPr="00691087">
        <w:rPr>
          <w:rFonts w:cs="Calibri"/>
          <w:snapToGrid/>
          <w:szCs w:val="24"/>
          <w:lang w:eastAsia="en-AU"/>
        </w:rPr>
        <w:t xml:space="preserve"> studies </w:t>
      </w:r>
      <w:r w:rsidRPr="00691087">
        <w:rPr>
          <w:rFonts w:cs="Calibri"/>
          <w:snapToGrid/>
          <w:szCs w:val="24"/>
          <w:lang w:eastAsia="en-AU"/>
        </w:rPr>
        <w:t xml:space="preserve">presented in the submission are provided in </w:t>
      </w:r>
      <w:r w:rsidR="00CF4092">
        <w:rPr>
          <w:rFonts w:cs="Calibri"/>
          <w:szCs w:val="24"/>
          <w:lang w:eastAsia="en-AU"/>
        </w:rPr>
        <w:t>Table 3</w:t>
      </w:r>
      <w:r w:rsidRPr="00691087">
        <w:rPr>
          <w:rFonts w:cs="Calibri"/>
          <w:szCs w:val="24"/>
          <w:lang w:eastAsia="en-AU"/>
        </w:rPr>
        <w:t>.</w:t>
      </w:r>
      <w:r w:rsidRPr="00691087">
        <w:rPr>
          <w:rFonts w:cs="Calibri"/>
          <w:snapToGrid/>
          <w:szCs w:val="24"/>
          <w:lang w:eastAsia="en-AU"/>
        </w:rPr>
        <w:t xml:space="preserve"> </w:t>
      </w:r>
      <w:r w:rsidR="00B56649" w:rsidRPr="00691087">
        <w:rPr>
          <w:rFonts w:cs="Calibri"/>
          <w:snapToGrid/>
          <w:szCs w:val="24"/>
          <w:lang w:eastAsia="en-AU"/>
        </w:rPr>
        <w:t>The submission did not provide a comparison versus ozanimod.</w:t>
      </w:r>
    </w:p>
    <w:p w14:paraId="12F2F798" w14:textId="77777777" w:rsidR="005A2754" w:rsidRPr="00691087" w:rsidRDefault="005A2754" w:rsidP="00DF61D4">
      <w:pPr>
        <w:widowControl/>
        <w:jc w:val="left"/>
      </w:pPr>
    </w:p>
    <w:p w14:paraId="0E112DAE" w14:textId="0EDC43EC" w:rsidR="005A2754" w:rsidRPr="00691087" w:rsidRDefault="005A2754" w:rsidP="007016AD">
      <w:pPr>
        <w:pStyle w:val="TableHeading0"/>
        <w:keepNext w:val="0"/>
        <w:spacing w:after="0"/>
      </w:pPr>
      <w:bookmarkStart w:id="15" w:name="_Ref81492153"/>
      <w:r w:rsidRPr="00691087">
        <w:rPr>
          <w:rStyle w:val="CommentReference"/>
          <w:b/>
          <w:bCs/>
        </w:rPr>
        <w:t xml:space="preserve">Table </w:t>
      </w:r>
      <w:r w:rsidR="00CF4092">
        <w:rPr>
          <w:rStyle w:val="CommentReference"/>
          <w:b/>
          <w:bCs/>
        </w:rPr>
        <w:t>3</w:t>
      </w:r>
      <w:bookmarkEnd w:id="15"/>
      <w:r w:rsidRPr="00691087">
        <w:rPr>
          <w:rStyle w:val="CommentReference"/>
          <w:b/>
          <w:bCs/>
        </w:rPr>
        <w:t>:</w:t>
      </w:r>
      <w:r w:rsidRPr="00691087">
        <w:rPr>
          <w:rStyle w:val="CommentReference"/>
        </w:rPr>
        <w:t xml:space="preserve"> </w:t>
      </w:r>
      <w:r w:rsidRPr="00691087">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submission"/>
      </w:tblPr>
      <w:tblGrid>
        <w:gridCol w:w="1129"/>
        <w:gridCol w:w="5765"/>
        <w:gridCol w:w="2123"/>
      </w:tblGrid>
      <w:tr w:rsidR="005A2754" w:rsidRPr="00691087" w14:paraId="0301BE8A" w14:textId="77777777" w:rsidTr="004214FA">
        <w:trPr>
          <w:cantSplit/>
          <w:tblHeader/>
        </w:trPr>
        <w:tc>
          <w:tcPr>
            <w:tcW w:w="626" w:type="pct"/>
          </w:tcPr>
          <w:p w14:paraId="44122D2D" w14:textId="77777777" w:rsidR="005A2754" w:rsidRPr="00691087" w:rsidRDefault="005A2754" w:rsidP="00750D38">
            <w:pPr>
              <w:spacing w:before="40" w:after="40"/>
              <w:rPr>
                <w:b/>
                <w:szCs w:val="20"/>
              </w:rPr>
            </w:pPr>
            <w:r w:rsidRPr="00691087">
              <w:rPr>
                <w:rFonts w:ascii="Arial Narrow" w:hAnsi="Arial Narrow"/>
                <w:b/>
                <w:sz w:val="20"/>
                <w:szCs w:val="20"/>
              </w:rPr>
              <w:t>Trial ID</w:t>
            </w:r>
          </w:p>
        </w:tc>
        <w:tc>
          <w:tcPr>
            <w:tcW w:w="3197" w:type="pct"/>
            <w:vAlign w:val="center"/>
          </w:tcPr>
          <w:p w14:paraId="085BDD56" w14:textId="77777777" w:rsidR="005A2754" w:rsidRPr="00691087" w:rsidRDefault="005A2754" w:rsidP="00750D38">
            <w:pPr>
              <w:spacing w:before="40" w:after="40"/>
              <w:rPr>
                <w:b/>
                <w:szCs w:val="20"/>
              </w:rPr>
            </w:pPr>
            <w:r w:rsidRPr="00691087">
              <w:rPr>
                <w:rFonts w:ascii="Arial Narrow" w:hAnsi="Arial Narrow"/>
                <w:b/>
                <w:sz w:val="20"/>
                <w:szCs w:val="20"/>
              </w:rPr>
              <w:t>Protocol title/ Publication title</w:t>
            </w:r>
          </w:p>
        </w:tc>
        <w:tc>
          <w:tcPr>
            <w:tcW w:w="1177" w:type="pct"/>
            <w:vAlign w:val="center"/>
          </w:tcPr>
          <w:p w14:paraId="4746D261" w14:textId="77777777" w:rsidR="005A2754" w:rsidRPr="00691087" w:rsidRDefault="005A2754" w:rsidP="00750D38">
            <w:pPr>
              <w:spacing w:before="40" w:after="40"/>
              <w:rPr>
                <w:b/>
                <w:szCs w:val="20"/>
              </w:rPr>
            </w:pPr>
            <w:r w:rsidRPr="00691087">
              <w:rPr>
                <w:rFonts w:ascii="Arial Narrow" w:hAnsi="Arial Narrow"/>
                <w:b/>
                <w:sz w:val="20"/>
                <w:szCs w:val="20"/>
              </w:rPr>
              <w:t>Publication citation</w:t>
            </w:r>
          </w:p>
        </w:tc>
      </w:tr>
      <w:tr w:rsidR="005A2754" w:rsidRPr="00691087" w14:paraId="52EF961A" w14:textId="77777777" w:rsidTr="004214FA">
        <w:trPr>
          <w:cantSplit/>
        </w:trPr>
        <w:tc>
          <w:tcPr>
            <w:tcW w:w="5000" w:type="pct"/>
            <w:gridSpan w:val="3"/>
            <w:tcBorders>
              <w:bottom w:val="single" w:sz="4" w:space="0" w:color="auto"/>
            </w:tcBorders>
          </w:tcPr>
          <w:p w14:paraId="74F76BCD" w14:textId="77777777" w:rsidR="005A2754" w:rsidRPr="00691087" w:rsidRDefault="005A2754" w:rsidP="00750D38">
            <w:pPr>
              <w:spacing w:before="40" w:after="40"/>
              <w:rPr>
                <w:szCs w:val="20"/>
              </w:rPr>
            </w:pPr>
            <w:r w:rsidRPr="00691087">
              <w:rPr>
                <w:rFonts w:ascii="Arial Narrow" w:hAnsi="Arial Narrow"/>
                <w:sz w:val="20"/>
                <w:szCs w:val="20"/>
              </w:rPr>
              <w:t>Direct randomised trials</w:t>
            </w:r>
          </w:p>
        </w:tc>
      </w:tr>
      <w:tr w:rsidR="005A2754" w:rsidRPr="00691087" w14:paraId="2CB491A4" w14:textId="77777777" w:rsidTr="004214FA">
        <w:trPr>
          <w:cantSplit/>
          <w:trHeight w:val="70"/>
        </w:trPr>
        <w:tc>
          <w:tcPr>
            <w:tcW w:w="626" w:type="pct"/>
            <w:vMerge w:val="restart"/>
          </w:tcPr>
          <w:p w14:paraId="4C5E5350" w14:textId="77777777" w:rsidR="005A2754" w:rsidRPr="00691087" w:rsidRDefault="005A2754" w:rsidP="00750D38">
            <w:pPr>
              <w:spacing w:before="40" w:after="40"/>
              <w:rPr>
                <w:szCs w:val="20"/>
              </w:rPr>
            </w:pPr>
            <w:r w:rsidRPr="00691087">
              <w:rPr>
                <w:rFonts w:ascii="Arial Narrow" w:hAnsi="Arial Narrow"/>
                <w:sz w:val="20"/>
                <w:szCs w:val="20"/>
              </w:rPr>
              <w:t>CLARITY</w:t>
            </w:r>
          </w:p>
        </w:tc>
        <w:tc>
          <w:tcPr>
            <w:tcW w:w="3197" w:type="pct"/>
            <w:tcBorders>
              <w:bottom w:val="nil"/>
            </w:tcBorders>
          </w:tcPr>
          <w:p w14:paraId="59AF052B" w14:textId="77777777" w:rsidR="005A2754" w:rsidRPr="00691087" w:rsidRDefault="005A2754" w:rsidP="00750D38">
            <w:pPr>
              <w:spacing w:before="40" w:after="40"/>
              <w:rPr>
                <w:rFonts w:ascii="Arial Narrow" w:hAnsi="Arial Narrow" w:cs="Courier New"/>
                <w:sz w:val="20"/>
                <w:szCs w:val="20"/>
                <w:lang w:eastAsia="en-AU"/>
              </w:rPr>
            </w:pPr>
            <w:r w:rsidRPr="00691087">
              <w:rPr>
                <w:rFonts w:ascii="Arial Narrow" w:hAnsi="Arial Narrow" w:cs="Courier New"/>
                <w:sz w:val="20"/>
                <w:szCs w:val="20"/>
                <w:lang w:eastAsia="en-AU"/>
              </w:rPr>
              <w:t>CLARITY CSR report.</w:t>
            </w:r>
          </w:p>
        </w:tc>
        <w:tc>
          <w:tcPr>
            <w:tcW w:w="1177" w:type="pct"/>
            <w:tcBorders>
              <w:bottom w:val="nil"/>
            </w:tcBorders>
          </w:tcPr>
          <w:p w14:paraId="2A662C0C" w14:textId="77777777" w:rsidR="005A2754" w:rsidRPr="00691087" w:rsidRDefault="005A2754" w:rsidP="00750D38">
            <w:pPr>
              <w:spacing w:before="40" w:after="40"/>
              <w:rPr>
                <w:rFonts w:cs="Courier New"/>
                <w:szCs w:val="20"/>
                <w:lang w:eastAsia="en-AU"/>
              </w:rPr>
            </w:pPr>
            <w:r w:rsidRPr="00691087">
              <w:rPr>
                <w:rFonts w:ascii="Arial Narrow" w:hAnsi="Arial Narrow" w:cs="Courier New"/>
                <w:sz w:val="20"/>
                <w:szCs w:val="20"/>
                <w:lang w:eastAsia="en-AU"/>
              </w:rPr>
              <w:t>18 May 2010</w:t>
            </w:r>
          </w:p>
        </w:tc>
      </w:tr>
      <w:tr w:rsidR="005A2754" w:rsidRPr="00691087" w14:paraId="3C1552C9" w14:textId="77777777" w:rsidTr="004214FA">
        <w:trPr>
          <w:cantSplit/>
          <w:trHeight w:val="269"/>
        </w:trPr>
        <w:tc>
          <w:tcPr>
            <w:tcW w:w="626" w:type="pct"/>
            <w:vMerge/>
            <w:tcBorders>
              <w:bottom w:val="nil"/>
            </w:tcBorders>
          </w:tcPr>
          <w:p w14:paraId="26440CC8" w14:textId="77777777" w:rsidR="005A2754" w:rsidRPr="00691087" w:rsidRDefault="005A2754" w:rsidP="00750D38">
            <w:pPr>
              <w:spacing w:before="40" w:after="40"/>
              <w:rPr>
                <w:rFonts w:ascii="Arial Narrow" w:hAnsi="Arial Narrow" w:cs="Times New Roman"/>
                <w:szCs w:val="20"/>
              </w:rPr>
            </w:pPr>
          </w:p>
        </w:tc>
        <w:tc>
          <w:tcPr>
            <w:tcW w:w="3197" w:type="pct"/>
            <w:tcBorders>
              <w:top w:val="nil"/>
              <w:bottom w:val="nil"/>
            </w:tcBorders>
          </w:tcPr>
          <w:p w14:paraId="1BAB2415" w14:textId="77777777" w:rsidR="005A2754" w:rsidRPr="00691087" w:rsidRDefault="005A2754" w:rsidP="00750D38">
            <w:pPr>
              <w:spacing w:before="40" w:after="40"/>
              <w:rPr>
                <w:rFonts w:ascii="Arial Narrow" w:hAnsi="Arial Narrow" w:cs="Courier New"/>
                <w:sz w:val="20"/>
                <w:szCs w:val="20"/>
                <w:lang w:eastAsia="en-AU"/>
              </w:rPr>
            </w:pPr>
            <w:r w:rsidRPr="00691087">
              <w:rPr>
                <w:rFonts w:ascii="Arial Narrow" w:hAnsi="Arial Narrow" w:cs="Courier New"/>
                <w:sz w:val="20"/>
                <w:szCs w:val="20"/>
                <w:lang w:eastAsia="en-AU"/>
              </w:rPr>
              <w:t xml:space="preserve">Cook S et al. (2009) “Safety of Cladribine Tablets in the Treatment of Relapsing-Remitting Multiple Sclerosis (RRMS): Results from the CLARITY Study, a 96-week, Phase III, Double-blind, Placebo-Controlled Trial.” </w:t>
            </w:r>
          </w:p>
        </w:tc>
        <w:tc>
          <w:tcPr>
            <w:tcW w:w="1177" w:type="pct"/>
            <w:tcBorders>
              <w:top w:val="nil"/>
              <w:bottom w:val="nil"/>
            </w:tcBorders>
          </w:tcPr>
          <w:p w14:paraId="0F9401CA"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cs="Courier New"/>
                <w:i/>
                <w:sz w:val="20"/>
                <w:szCs w:val="20"/>
                <w:lang w:eastAsia="en-AU"/>
              </w:rPr>
              <w:t>Journal of Neurology</w:t>
            </w:r>
            <w:r w:rsidRPr="00691087">
              <w:rPr>
                <w:rFonts w:ascii="Arial Narrow" w:hAnsi="Arial Narrow" w:cs="Courier New"/>
                <w:sz w:val="20"/>
                <w:szCs w:val="20"/>
                <w:lang w:eastAsia="en-AU"/>
              </w:rPr>
              <w:t> 2009; 259(Suppl. 2):S128 ;360</w:t>
            </w:r>
          </w:p>
        </w:tc>
      </w:tr>
      <w:tr w:rsidR="005A2754" w:rsidRPr="00691087" w14:paraId="7D086D40" w14:textId="77777777" w:rsidTr="004214FA">
        <w:trPr>
          <w:cantSplit/>
        </w:trPr>
        <w:tc>
          <w:tcPr>
            <w:tcW w:w="626" w:type="pct"/>
            <w:tcBorders>
              <w:top w:val="nil"/>
              <w:bottom w:val="nil"/>
            </w:tcBorders>
          </w:tcPr>
          <w:p w14:paraId="1915CFE6" w14:textId="77777777" w:rsidR="005A2754" w:rsidRPr="00691087" w:rsidRDefault="005A2754" w:rsidP="00750D38">
            <w:pPr>
              <w:spacing w:before="40" w:after="40"/>
              <w:rPr>
                <w:szCs w:val="20"/>
              </w:rPr>
            </w:pPr>
          </w:p>
        </w:tc>
        <w:tc>
          <w:tcPr>
            <w:tcW w:w="3197" w:type="pct"/>
            <w:tcBorders>
              <w:top w:val="nil"/>
              <w:bottom w:val="nil"/>
            </w:tcBorders>
          </w:tcPr>
          <w:p w14:paraId="74D56D17" w14:textId="77777777" w:rsidR="005A2754" w:rsidRPr="00691087" w:rsidRDefault="005A2754" w:rsidP="00750D38">
            <w:pPr>
              <w:spacing w:before="40" w:after="40"/>
              <w:rPr>
                <w:rFonts w:ascii="Arial Narrow" w:hAnsi="Arial Narrow" w:cs="Courier New"/>
                <w:sz w:val="20"/>
                <w:szCs w:val="20"/>
                <w:lang w:eastAsia="en-AU"/>
              </w:rPr>
            </w:pPr>
            <w:r w:rsidRPr="00691087">
              <w:rPr>
                <w:rFonts w:ascii="Arial Narrow" w:hAnsi="Arial Narrow" w:cs="Courier New"/>
                <w:sz w:val="20"/>
                <w:szCs w:val="20"/>
                <w:lang w:eastAsia="en-AU"/>
              </w:rPr>
              <w:t xml:space="preserve">De Stefano, N., et al. "Cladribine effect on brain volume loss and its correlation with disability progression in patients with relapsing multiple sclerosis." </w:t>
            </w:r>
          </w:p>
        </w:tc>
        <w:tc>
          <w:tcPr>
            <w:tcW w:w="1177" w:type="pct"/>
            <w:tcBorders>
              <w:top w:val="nil"/>
              <w:bottom w:val="nil"/>
            </w:tcBorders>
          </w:tcPr>
          <w:p w14:paraId="3AC6F096"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cs="Courier New"/>
                <w:i/>
                <w:sz w:val="20"/>
                <w:szCs w:val="20"/>
                <w:lang w:eastAsia="en-AU"/>
              </w:rPr>
              <w:t>Multiple Sclerosis</w:t>
            </w:r>
            <w:r w:rsidRPr="00691087">
              <w:rPr>
                <w:rFonts w:ascii="Arial Narrow" w:hAnsi="Arial Narrow" w:cs="Courier New"/>
                <w:sz w:val="20"/>
                <w:szCs w:val="20"/>
                <w:lang w:eastAsia="en-AU"/>
              </w:rPr>
              <w:t xml:space="preserve"> 2016; 22: 216-217.</w:t>
            </w:r>
          </w:p>
        </w:tc>
      </w:tr>
      <w:tr w:rsidR="005A2754" w:rsidRPr="00691087" w14:paraId="31B0413A" w14:textId="77777777" w:rsidTr="004214FA">
        <w:trPr>
          <w:cantSplit/>
          <w:trHeight w:val="103"/>
        </w:trPr>
        <w:tc>
          <w:tcPr>
            <w:tcW w:w="626" w:type="pct"/>
            <w:tcBorders>
              <w:top w:val="nil"/>
              <w:bottom w:val="single" w:sz="4" w:space="0" w:color="auto"/>
            </w:tcBorders>
          </w:tcPr>
          <w:p w14:paraId="47542A62" w14:textId="77777777" w:rsidR="005A2754" w:rsidRPr="00691087" w:rsidRDefault="005A2754" w:rsidP="00750D38">
            <w:pPr>
              <w:spacing w:before="40" w:after="40"/>
              <w:rPr>
                <w:szCs w:val="20"/>
              </w:rPr>
            </w:pPr>
          </w:p>
        </w:tc>
        <w:tc>
          <w:tcPr>
            <w:tcW w:w="3197" w:type="pct"/>
            <w:tcBorders>
              <w:top w:val="nil"/>
              <w:bottom w:val="single" w:sz="4" w:space="0" w:color="auto"/>
            </w:tcBorders>
          </w:tcPr>
          <w:p w14:paraId="02EACE71" w14:textId="77777777" w:rsidR="005A2754" w:rsidRPr="00691087" w:rsidRDefault="005A2754" w:rsidP="00750D38">
            <w:pPr>
              <w:spacing w:before="40" w:after="40"/>
              <w:rPr>
                <w:rFonts w:ascii="Arial Narrow" w:hAnsi="Arial Narrow" w:cs="Courier New"/>
                <w:sz w:val="20"/>
                <w:szCs w:val="20"/>
                <w:lang w:eastAsia="en-AU"/>
              </w:rPr>
            </w:pPr>
            <w:r w:rsidRPr="00691087">
              <w:rPr>
                <w:rFonts w:ascii="Arial Narrow" w:hAnsi="Arial Narrow" w:cs="Courier New"/>
                <w:sz w:val="20"/>
                <w:szCs w:val="20"/>
                <w:lang w:eastAsia="en-AU"/>
              </w:rPr>
              <w:t>Giovannoni, G., et al. "A placebo-controlled trial of oral cladribine for relapsing multiple sclerosis."</w:t>
            </w:r>
          </w:p>
        </w:tc>
        <w:tc>
          <w:tcPr>
            <w:tcW w:w="1177" w:type="pct"/>
            <w:tcBorders>
              <w:top w:val="nil"/>
              <w:bottom w:val="single" w:sz="4" w:space="0" w:color="auto"/>
            </w:tcBorders>
          </w:tcPr>
          <w:p w14:paraId="04FE7A8E" w14:textId="77777777" w:rsidR="005A2754" w:rsidRPr="00691087" w:rsidRDefault="005A2754" w:rsidP="00750D38">
            <w:pPr>
              <w:spacing w:before="40" w:after="40"/>
              <w:rPr>
                <w:szCs w:val="20"/>
              </w:rPr>
            </w:pPr>
            <w:r w:rsidRPr="00691087">
              <w:rPr>
                <w:rFonts w:ascii="Arial Narrow" w:hAnsi="Arial Narrow" w:cs="Courier New"/>
                <w:i/>
                <w:sz w:val="20"/>
                <w:szCs w:val="20"/>
                <w:lang w:eastAsia="en-AU"/>
              </w:rPr>
              <w:t>N Eng J Med</w:t>
            </w:r>
            <w:r w:rsidRPr="00691087">
              <w:rPr>
                <w:rFonts w:ascii="Arial Narrow" w:hAnsi="Arial Narrow" w:cs="Courier New"/>
                <w:sz w:val="20"/>
                <w:szCs w:val="20"/>
                <w:lang w:eastAsia="en-AU"/>
              </w:rPr>
              <w:t xml:space="preserve"> 2010; 362(5): 416-426</w:t>
            </w:r>
          </w:p>
        </w:tc>
      </w:tr>
      <w:tr w:rsidR="005A2754" w:rsidRPr="00691087" w14:paraId="64E49DDA" w14:textId="77777777" w:rsidTr="004214FA">
        <w:trPr>
          <w:cantSplit/>
          <w:trHeight w:val="93"/>
        </w:trPr>
        <w:tc>
          <w:tcPr>
            <w:tcW w:w="626" w:type="pct"/>
            <w:vMerge w:val="restart"/>
          </w:tcPr>
          <w:p w14:paraId="51C31BE9"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sz w:val="20"/>
                <w:szCs w:val="20"/>
              </w:rPr>
              <w:t>CLARITY Extension</w:t>
            </w:r>
          </w:p>
        </w:tc>
        <w:tc>
          <w:tcPr>
            <w:tcW w:w="3197" w:type="pct"/>
            <w:tcBorders>
              <w:bottom w:val="nil"/>
            </w:tcBorders>
          </w:tcPr>
          <w:p w14:paraId="4512A009"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sz w:val="20"/>
                <w:szCs w:val="20"/>
              </w:rPr>
              <w:t xml:space="preserve">CLARITY EXT CSR report </w:t>
            </w:r>
          </w:p>
        </w:tc>
        <w:tc>
          <w:tcPr>
            <w:tcW w:w="1177" w:type="pct"/>
            <w:tcBorders>
              <w:bottom w:val="nil"/>
            </w:tcBorders>
          </w:tcPr>
          <w:p w14:paraId="76924817"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sz w:val="20"/>
                <w:szCs w:val="20"/>
              </w:rPr>
              <w:t>22 April 2016</w:t>
            </w:r>
          </w:p>
        </w:tc>
      </w:tr>
      <w:tr w:rsidR="005A2754" w:rsidRPr="00691087" w14:paraId="21775AE2" w14:textId="77777777" w:rsidTr="004214FA">
        <w:trPr>
          <w:cantSplit/>
          <w:trHeight w:val="368"/>
        </w:trPr>
        <w:tc>
          <w:tcPr>
            <w:tcW w:w="626" w:type="pct"/>
            <w:vMerge/>
            <w:tcBorders>
              <w:bottom w:val="single" w:sz="4" w:space="0" w:color="auto"/>
            </w:tcBorders>
          </w:tcPr>
          <w:p w14:paraId="3188AC02" w14:textId="77777777" w:rsidR="005A2754" w:rsidRPr="00691087" w:rsidRDefault="005A2754" w:rsidP="00750D38">
            <w:pPr>
              <w:spacing w:before="40" w:after="40"/>
              <w:rPr>
                <w:szCs w:val="20"/>
              </w:rPr>
            </w:pPr>
          </w:p>
        </w:tc>
        <w:tc>
          <w:tcPr>
            <w:tcW w:w="3197" w:type="pct"/>
            <w:tcBorders>
              <w:top w:val="nil"/>
              <w:bottom w:val="single" w:sz="4" w:space="0" w:color="auto"/>
            </w:tcBorders>
          </w:tcPr>
          <w:p w14:paraId="633B8D36"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cs="Courier New"/>
                <w:sz w:val="20"/>
                <w:szCs w:val="20"/>
                <w:lang w:eastAsia="en-AU"/>
              </w:rPr>
              <w:t xml:space="preserve">Giovannoni, G., et al. (2016). "Benefits of cladribine tablets on the proportion of patients with multiple sclerosis free from clinical and radiological indicators of disease activity in the CLARITY EXTENSION study." </w:t>
            </w:r>
          </w:p>
        </w:tc>
        <w:tc>
          <w:tcPr>
            <w:tcW w:w="1177" w:type="pct"/>
            <w:tcBorders>
              <w:top w:val="nil"/>
              <w:bottom w:val="single" w:sz="4" w:space="0" w:color="auto"/>
            </w:tcBorders>
          </w:tcPr>
          <w:p w14:paraId="7EA52B34"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cs="Courier New"/>
                <w:i/>
                <w:sz w:val="20"/>
                <w:szCs w:val="20"/>
                <w:lang w:eastAsia="en-AU"/>
              </w:rPr>
              <w:t>Multiple Sclerosis</w:t>
            </w:r>
            <w:r w:rsidRPr="00691087">
              <w:rPr>
                <w:rFonts w:ascii="Arial Narrow" w:hAnsi="Arial Narrow" w:cs="Courier New"/>
                <w:sz w:val="20"/>
                <w:szCs w:val="20"/>
                <w:lang w:eastAsia="en-AU"/>
              </w:rPr>
              <w:t xml:space="preserve"> 22: 300-301</w:t>
            </w:r>
          </w:p>
        </w:tc>
      </w:tr>
      <w:tr w:rsidR="005A2754" w:rsidRPr="00691087" w14:paraId="4BFC8C34" w14:textId="77777777" w:rsidTr="004214FA">
        <w:trPr>
          <w:cantSplit/>
        </w:trPr>
        <w:tc>
          <w:tcPr>
            <w:tcW w:w="626" w:type="pct"/>
            <w:tcBorders>
              <w:top w:val="single" w:sz="4" w:space="0" w:color="auto"/>
              <w:bottom w:val="nil"/>
            </w:tcBorders>
          </w:tcPr>
          <w:p w14:paraId="7AE666A4" w14:textId="77777777" w:rsidR="005A2754" w:rsidRPr="00691087" w:rsidRDefault="005A2754" w:rsidP="00750D38">
            <w:pPr>
              <w:spacing w:before="40" w:after="40"/>
              <w:jc w:val="left"/>
              <w:rPr>
                <w:szCs w:val="20"/>
              </w:rPr>
            </w:pPr>
            <w:r w:rsidRPr="00691087">
              <w:rPr>
                <w:rFonts w:ascii="Arial Narrow" w:hAnsi="Arial Narrow"/>
                <w:sz w:val="20"/>
                <w:szCs w:val="20"/>
              </w:rPr>
              <w:t>Pooled data for cladribine</w:t>
            </w:r>
          </w:p>
        </w:tc>
        <w:tc>
          <w:tcPr>
            <w:tcW w:w="3197" w:type="pct"/>
            <w:tcBorders>
              <w:top w:val="single" w:sz="4" w:space="0" w:color="auto"/>
              <w:bottom w:val="nil"/>
            </w:tcBorders>
          </w:tcPr>
          <w:p w14:paraId="73FC99E9" w14:textId="77777777" w:rsidR="005A2754" w:rsidRPr="00691087" w:rsidRDefault="005A2754" w:rsidP="00750D38">
            <w:pPr>
              <w:spacing w:before="40" w:after="40"/>
              <w:rPr>
                <w:rFonts w:ascii="Arial Narrow" w:hAnsi="Arial Narrow" w:cs="Courier New"/>
                <w:sz w:val="20"/>
                <w:szCs w:val="20"/>
                <w:lang w:eastAsia="en-AU"/>
              </w:rPr>
            </w:pPr>
            <w:r w:rsidRPr="00691087">
              <w:rPr>
                <w:rFonts w:ascii="Arial Narrow" w:hAnsi="Arial Narrow" w:cs="Courier New"/>
                <w:sz w:val="20"/>
                <w:szCs w:val="20"/>
                <w:lang w:eastAsia="en-AU"/>
              </w:rPr>
              <w:t xml:space="preserve">Giovannoni, G., et al. "Benefits of cladribine tablets on magnetic resonance imaging (MRI) outcomes in patients with multiple sclerosis: Analysis of pooled double-blind data from the CLARITY and ONWARD studies." </w:t>
            </w:r>
          </w:p>
        </w:tc>
        <w:tc>
          <w:tcPr>
            <w:tcW w:w="1177" w:type="pct"/>
            <w:tcBorders>
              <w:top w:val="single" w:sz="4" w:space="0" w:color="auto"/>
              <w:bottom w:val="nil"/>
            </w:tcBorders>
          </w:tcPr>
          <w:p w14:paraId="3CA9750F" w14:textId="77777777" w:rsidR="005A2754" w:rsidRPr="00691087" w:rsidRDefault="005A2754" w:rsidP="00750D38">
            <w:pPr>
              <w:spacing w:before="40" w:after="40"/>
              <w:rPr>
                <w:rFonts w:cs="Courier New"/>
                <w:szCs w:val="20"/>
                <w:lang w:eastAsia="en-AU"/>
              </w:rPr>
            </w:pPr>
            <w:r w:rsidRPr="00691087">
              <w:rPr>
                <w:rFonts w:ascii="Arial Narrow" w:hAnsi="Arial Narrow" w:cs="Courier New"/>
                <w:i/>
                <w:sz w:val="20"/>
                <w:szCs w:val="20"/>
                <w:lang w:eastAsia="en-AU"/>
              </w:rPr>
              <w:t>Multiple Sclerosis</w:t>
            </w:r>
            <w:r w:rsidRPr="00691087">
              <w:rPr>
                <w:rFonts w:ascii="Arial Narrow" w:hAnsi="Arial Narrow" w:cs="Courier New"/>
                <w:sz w:val="20"/>
                <w:szCs w:val="20"/>
                <w:lang w:eastAsia="en-AU"/>
              </w:rPr>
              <w:t xml:space="preserve"> 2016; 22: 304</w:t>
            </w:r>
          </w:p>
        </w:tc>
      </w:tr>
      <w:tr w:rsidR="005A2754" w:rsidRPr="00691087" w14:paraId="4BC3E1BE" w14:textId="77777777" w:rsidTr="004214FA">
        <w:trPr>
          <w:cantSplit/>
        </w:trPr>
        <w:tc>
          <w:tcPr>
            <w:tcW w:w="626" w:type="pct"/>
            <w:tcBorders>
              <w:top w:val="nil"/>
              <w:bottom w:val="nil"/>
            </w:tcBorders>
          </w:tcPr>
          <w:p w14:paraId="329B72DE" w14:textId="77777777" w:rsidR="005A2754" w:rsidRPr="00691087" w:rsidRDefault="005A2754" w:rsidP="00750D38">
            <w:pPr>
              <w:spacing w:before="40" w:after="40"/>
              <w:rPr>
                <w:szCs w:val="20"/>
              </w:rPr>
            </w:pPr>
          </w:p>
        </w:tc>
        <w:tc>
          <w:tcPr>
            <w:tcW w:w="3197" w:type="pct"/>
            <w:tcBorders>
              <w:top w:val="nil"/>
              <w:bottom w:val="nil"/>
            </w:tcBorders>
            <w:vAlign w:val="center"/>
          </w:tcPr>
          <w:p w14:paraId="10928F89" w14:textId="77777777" w:rsidR="005A2754" w:rsidRPr="00691087" w:rsidRDefault="005A2754" w:rsidP="004A09E4">
            <w:pPr>
              <w:spacing w:before="40" w:after="40"/>
              <w:jc w:val="left"/>
              <w:rPr>
                <w:rFonts w:ascii="Arial Narrow" w:hAnsi="Arial Narrow" w:cs="Courier New"/>
                <w:sz w:val="20"/>
                <w:szCs w:val="20"/>
                <w:lang w:eastAsia="en-AU"/>
              </w:rPr>
            </w:pPr>
            <w:r w:rsidRPr="00691087">
              <w:rPr>
                <w:rFonts w:ascii="Arial Narrow" w:hAnsi="Arial Narrow" w:cs="Courier New"/>
                <w:sz w:val="20"/>
                <w:szCs w:val="20"/>
                <w:lang w:eastAsia="en-AU"/>
              </w:rPr>
              <w:t xml:space="preserve">Giovannoni, G., et al. "Durable efficacy of cladribine tablets in patients with multiple sclerosis: Analysis of relapse rates and relapse-free patients in the CLARITY and CLARITY Extension studies." </w:t>
            </w:r>
          </w:p>
        </w:tc>
        <w:tc>
          <w:tcPr>
            <w:tcW w:w="1177" w:type="pct"/>
            <w:tcBorders>
              <w:top w:val="nil"/>
              <w:bottom w:val="nil"/>
            </w:tcBorders>
            <w:vAlign w:val="center"/>
          </w:tcPr>
          <w:p w14:paraId="619928EC" w14:textId="77777777" w:rsidR="005A2754" w:rsidRPr="00691087" w:rsidRDefault="005A2754" w:rsidP="004A09E4">
            <w:pPr>
              <w:spacing w:before="40" w:after="40"/>
              <w:jc w:val="left"/>
              <w:rPr>
                <w:rFonts w:cs="Courier New"/>
                <w:szCs w:val="20"/>
                <w:lang w:eastAsia="en-AU"/>
              </w:rPr>
            </w:pPr>
            <w:r w:rsidRPr="00691087">
              <w:rPr>
                <w:rFonts w:ascii="Arial Narrow" w:hAnsi="Arial Narrow" w:cs="Courier New"/>
                <w:i/>
                <w:sz w:val="20"/>
                <w:szCs w:val="20"/>
                <w:lang w:eastAsia="en-AU"/>
              </w:rPr>
              <w:t>Multiple Sclerosis</w:t>
            </w:r>
            <w:r w:rsidRPr="00691087">
              <w:rPr>
                <w:rFonts w:ascii="Arial Narrow" w:hAnsi="Arial Narrow" w:cs="Courier New"/>
                <w:sz w:val="20"/>
                <w:szCs w:val="20"/>
                <w:lang w:eastAsia="en-AU"/>
              </w:rPr>
              <w:t xml:space="preserve"> 2016; 22: 48-49.</w:t>
            </w:r>
          </w:p>
        </w:tc>
      </w:tr>
      <w:tr w:rsidR="005A2754" w:rsidRPr="00691087" w14:paraId="0F977AFA" w14:textId="77777777" w:rsidTr="004214FA">
        <w:trPr>
          <w:cantSplit/>
        </w:trPr>
        <w:tc>
          <w:tcPr>
            <w:tcW w:w="626" w:type="pct"/>
            <w:tcBorders>
              <w:top w:val="nil"/>
              <w:bottom w:val="single" w:sz="4" w:space="0" w:color="auto"/>
            </w:tcBorders>
          </w:tcPr>
          <w:p w14:paraId="34B8011A" w14:textId="77777777" w:rsidR="005A2754" w:rsidRPr="00691087" w:rsidRDefault="005A2754" w:rsidP="00750D38">
            <w:pPr>
              <w:spacing w:before="40" w:after="40"/>
              <w:rPr>
                <w:szCs w:val="20"/>
              </w:rPr>
            </w:pPr>
          </w:p>
        </w:tc>
        <w:tc>
          <w:tcPr>
            <w:tcW w:w="3197" w:type="pct"/>
            <w:tcBorders>
              <w:top w:val="nil"/>
              <w:bottom w:val="single" w:sz="4" w:space="0" w:color="auto"/>
            </w:tcBorders>
            <w:vAlign w:val="center"/>
          </w:tcPr>
          <w:p w14:paraId="120F1C70" w14:textId="77777777" w:rsidR="005A2754" w:rsidRPr="00691087" w:rsidRDefault="005A2754" w:rsidP="004A09E4">
            <w:pPr>
              <w:spacing w:before="40" w:after="40"/>
              <w:jc w:val="left"/>
              <w:rPr>
                <w:rFonts w:cs="Courier New"/>
                <w:szCs w:val="20"/>
                <w:lang w:eastAsia="en-AU"/>
              </w:rPr>
            </w:pPr>
            <w:r w:rsidRPr="00691087">
              <w:rPr>
                <w:rFonts w:ascii="Arial Narrow" w:hAnsi="Arial Narrow" w:cs="Courier New"/>
                <w:sz w:val="20"/>
                <w:szCs w:val="20"/>
                <w:lang w:eastAsia="en-AU"/>
              </w:rPr>
              <w:t xml:space="preserve">Soelberg-Sorensen, P., et al. "Absolute lymphocyte count recovery in patients with relapsing-remitting multiple sclerosis (RRMS) treated with cladribine tablets 3.5 mg/kg in CLARITY and CLARITY Extension." </w:t>
            </w:r>
          </w:p>
        </w:tc>
        <w:tc>
          <w:tcPr>
            <w:tcW w:w="1177" w:type="pct"/>
            <w:tcBorders>
              <w:top w:val="nil"/>
              <w:bottom w:val="single" w:sz="4" w:space="0" w:color="auto"/>
            </w:tcBorders>
            <w:vAlign w:val="center"/>
          </w:tcPr>
          <w:p w14:paraId="68C2ADEE" w14:textId="77777777" w:rsidR="005A2754" w:rsidRPr="00691087" w:rsidRDefault="005A2754" w:rsidP="004A09E4">
            <w:pPr>
              <w:spacing w:before="40" w:after="40"/>
              <w:jc w:val="left"/>
              <w:rPr>
                <w:rFonts w:cs="Courier New"/>
                <w:szCs w:val="20"/>
                <w:lang w:eastAsia="en-AU"/>
              </w:rPr>
            </w:pPr>
            <w:r w:rsidRPr="00691087">
              <w:rPr>
                <w:rFonts w:ascii="Arial Narrow" w:hAnsi="Arial Narrow" w:cs="Courier New"/>
                <w:i/>
                <w:sz w:val="20"/>
                <w:szCs w:val="20"/>
                <w:lang w:eastAsia="en-AU"/>
              </w:rPr>
              <w:t>Neurology</w:t>
            </w:r>
            <w:r w:rsidRPr="00691087">
              <w:rPr>
                <w:rFonts w:ascii="Arial Narrow" w:hAnsi="Arial Narrow" w:cs="Courier New"/>
                <w:sz w:val="20"/>
                <w:szCs w:val="20"/>
                <w:lang w:eastAsia="en-AU"/>
              </w:rPr>
              <w:t xml:space="preserve"> 2017; 88(16)</w:t>
            </w:r>
          </w:p>
        </w:tc>
      </w:tr>
      <w:tr w:rsidR="005A2754" w:rsidRPr="00691087" w14:paraId="0A5E9BB0" w14:textId="77777777" w:rsidTr="004214FA">
        <w:trPr>
          <w:cantSplit/>
          <w:trHeight w:val="768"/>
        </w:trPr>
        <w:tc>
          <w:tcPr>
            <w:tcW w:w="626" w:type="pct"/>
            <w:vMerge w:val="restart"/>
            <w:tcBorders>
              <w:bottom w:val="single" w:sz="4" w:space="0" w:color="auto"/>
            </w:tcBorders>
          </w:tcPr>
          <w:p w14:paraId="4155716F"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sz w:val="20"/>
                <w:szCs w:val="20"/>
              </w:rPr>
              <w:t>FREEDOMS</w:t>
            </w:r>
          </w:p>
        </w:tc>
        <w:tc>
          <w:tcPr>
            <w:tcW w:w="3197" w:type="pct"/>
            <w:tcBorders>
              <w:bottom w:val="nil"/>
            </w:tcBorders>
            <w:vAlign w:val="center"/>
          </w:tcPr>
          <w:p w14:paraId="05ED740A" w14:textId="77777777" w:rsidR="005A2754" w:rsidRPr="00691087" w:rsidRDefault="005A2754" w:rsidP="004A09E4">
            <w:pPr>
              <w:spacing w:before="40" w:after="40"/>
              <w:jc w:val="left"/>
              <w:rPr>
                <w:rFonts w:ascii="Arial Narrow" w:hAnsi="Arial Narrow" w:cs="Times New Roman"/>
                <w:sz w:val="20"/>
                <w:szCs w:val="20"/>
              </w:rPr>
            </w:pPr>
            <w:r w:rsidRPr="00691087">
              <w:rPr>
                <w:rFonts w:ascii="Arial Narrow" w:hAnsi="Arial Narrow"/>
                <w:sz w:val="20"/>
                <w:szCs w:val="20"/>
              </w:rPr>
              <w:t xml:space="preserve">Calabresi, P. A., et al. "Safety and efficacy of fingolimod in patients with relapsing-remitting multiple sclerosis (FREEDOMS II): A double-blind, randomised, placebo-controlled, phase 3 trial." </w:t>
            </w:r>
          </w:p>
        </w:tc>
        <w:tc>
          <w:tcPr>
            <w:tcW w:w="1177" w:type="pct"/>
            <w:tcBorders>
              <w:bottom w:val="nil"/>
            </w:tcBorders>
            <w:vAlign w:val="center"/>
          </w:tcPr>
          <w:p w14:paraId="01894667" w14:textId="77777777" w:rsidR="005A2754" w:rsidRPr="00691087" w:rsidRDefault="005A2754" w:rsidP="004A09E4">
            <w:pPr>
              <w:spacing w:before="40" w:after="40"/>
              <w:jc w:val="left"/>
              <w:rPr>
                <w:rFonts w:ascii="Arial Narrow" w:hAnsi="Arial Narrow" w:cs="Times New Roman"/>
                <w:szCs w:val="20"/>
              </w:rPr>
            </w:pPr>
            <w:r w:rsidRPr="00691087">
              <w:rPr>
                <w:rFonts w:ascii="Arial Narrow" w:hAnsi="Arial Narrow"/>
                <w:i/>
                <w:sz w:val="20"/>
                <w:szCs w:val="20"/>
              </w:rPr>
              <w:t>The Lancet Neurology</w:t>
            </w:r>
            <w:r w:rsidRPr="00691087">
              <w:rPr>
                <w:rFonts w:ascii="Arial Narrow" w:hAnsi="Arial Narrow"/>
                <w:sz w:val="20"/>
                <w:szCs w:val="20"/>
              </w:rPr>
              <w:t xml:space="preserve"> 2014; 13(6): 545-556.</w:t>
            </w:r>
          </w:p>
        </w:tc>
      </w:tr>
      <w:tr w:rsidR="005A2754" w:rsidRPr="00691087" w14:paraId="04A7CFF2" w14:textId="77777777" w:rsidTr="004214FA">
        <w:trPr>
          <w:cantSplit/>
          <w:trHeight w:val="243"/>
        </w:trPr>
        <w:tc>
          <w:tcPr>
            <w:tcW w:w="626" w:type="pct"/>
            <w:vMerge/>
            <w:tcBorders>
              <w:bottom w:val="single" w:sz="4" w:space="0" w:color="auto"/>
            </w:tcBorders>
          </w:tcPr>
          <w:p w14:paraId="6A87603D" w14:textId="77777777" w:rsidR="005A2754" w:rsidRPr="00691087" w:rsidRDefault="005A2754" w:rsidP="00750D38">
            <w:pPr>
              <w:spacing w:before="40" w:after="40"/>
              <w:rPr>
                <w:szCs w:val="20"/>
              </w:rPr>
            </w:pPr>
          </w:p>
        </w:tc>
        <w:tc>
          <w:tcPr>
            <w:tcW w:w="3197" w:type="pct"/>
            <w:tcBorders>
              <w:top w:val="nil"/>
              <w:bottom w:val="single" w:sz="4" w:space="0" w:color="auto"/>
            </w:tcBorders>
            <w:vAlign w:val="center"/>
          </w:tcPr>
          <w:p w14:paraId="6683FD6E" w14:textId="77777777" w:rsidR="005A2754" w:rsidRPr="00691087" w:rsidRDefault="005A2754" w:rsidP="004A09E4">
            <w:pPr>
              <w:spacing w:before="40" w:after="40"/>
              <w:jc w:val="left"/>
              <w:rPr>
                <w:rFonts w:ascii="Arial Narrow" w:hAnsi="Arial Narrow"/>
                <w:sz w:val="20"/>
                <w:szCs w:val="20"/>
              </w:rPr>
            </w:pPr>
            <w:r w:rsidRPr="00691087">
              <w:rPr>
                <w:rFonts w:ascii="Arial Narrow" w:hAnsi="Arial Narrow"/>
                <w:sz w:val="20"/>
                <w:szCs w:val="20"/>
              </w:rPr>
              <w:t xml:space="preserve">Kappos, L., et al. "A placebo-controlled trial of oral fingolimod in relapsing multiple sclerosis." </w:t>
            </w:r>
          </w:p>
        </w:tc>
        <w:tc>
          <w:tcPr>
            <w:tcW w:w="1177" w:type="pct"/>
            <w:tcBorders>
              <w:top w:val="nil"/>
              <w:bottom w:val="single" w:sz="4" w:space="0" w:color="auto"/>
            </w:tcBorders>
            <w:vAlign w:val="center"/>
          </w:tcPr>
          <w:p w14:paraId="709E5174" w14:textId="77777777" w:rsidR="005A2754" w:rsidRPr="00691087" w:rsidRDefault="005A2754" w:rsidP="004A09E4">
            <w:pPr>
              <w:spacing w:before="40" w:after="40"/>
              <w:jc w:val="left"/>
              <w:rPr>
                <w:rFonts w:ascii="Arial Narrow" w:hAnsi="Arial Narrow"/>
                <w:sz w:val="20"/>
                <w:szCs w:val="20"/>
              </w:rPr>
            </w:pPr>
            <w:r w:rsidRPr="00691087">
              <w:rPr>
                <w:rFonts w:ascii="Arial Narrow" w:hAnsi="Arial Narrow"/>
                <w:i/>
                <w:sz w:val="20"/>
                <w:szCs w:val="20"/>
              </w:rPr>
              <w:t>New England Journal of Medicine</w:t>
            </w:r>
            <w:r w:rsidRPr="00691087">
              <w:rPr>
                <w:rFonts w:ascii="Arial Narrow" w:hAnsi="Arial Narrow"/>
                <w:sz w:val="20"/>
                <w:szCs w:val="20"/>
              </w:rPr>
              <w:t xml:space="preserve"> 2010; 362(5): 387-401.</w:t>
            </w:r>
          </w:p>
        </w:tc>
      </w:tr>
      <w:tr w:rsidR="005A2754" w:rsidRPr="00691087" w14:paraId="011408B3" w14:textId="77777777" w:rsidTr="004214FA">
        <w:trPr>
          <w:cantSplit/>
          <w:trHeight w:val="778"/>
        </w:trPr>
        <w:tc>
          <w:tcPr>
            <w:tcW w:w="626" w:type="pct"/>
            <w:vMerge w:val="restart"/>
            <w:tcBorders>
              <w:bottom w:val="single" w:sz="4" w:space="0" w:color="auto"/>
            </w:tcBorders>
          </w:tcPr>
          <w:p w14:paraId="34E133AF" w14:textId="77777777" w:rsidR="005A2754" w:rsidRPr="00691087" w:rsidRDefault="005A2754" w:rsidP="00750D38">
            <w:pPr>
              <w:spacing w:before="40" w:after="40"/>
              <w:rPr>
                <w:rFonts w:ascii="Arial Narrow" w:hAnsi="Arial Narrow" w:cs="Times New Roman"/>
                <w:szCs w:val="20"/>
              </w:rPr>
            </w:pPr>
            <w:r w:rsidRPr="00691087">
              <w:rPr>
                <w:rFonts w:ascii="Arial Narrow" w:hAnsi="Arial Narrow"/>
                <w:sz w:val="20"/>
                <w:szCs w:val="20"/>
              </w:rPr>
              <w:t>FREEDOMS II</w:t>
            </w:r>
          </w:p>
        </w:tc>
        <w:tc>
          <w:tcPr>
            <w:tcW w:w="3197" w:type="pct"/>
            <w:tcBorders>
              <w:bottom w:val="nil"/>
            </w:tcBorders>
            <w:vAlign w:val="center"/>
          </w:tcPr>
          <w:p w14:paraId="3E887FF7" w14:textId="77777777" w:rsidR="005A2754" w:rsidRPr="00691087" w:rsidRDefault="005A2754" w:rsidP="004A09E4">
            <w:pPr>
              <w:spacing w:before="40" w:after="40"/>
              <w:jc w:val="left"/>
              <w:rPr>
                <w:rFonts w:ascii="Arial Narrow" w:hAnsi="Arial Narrow" w:cs="Times New Roman"/>
                <w:szCs w:val="20"/>
              </w:rPr>
            </w:pPr>
            <w:r w:rsidRPr="00691087">
              <w:rPr>
                <w:rFonts w:ascii="Arial Narrow" w:hAnsi="Arial Narrow"/>
                <w:sz w:val="20"/>
                <w:szCs w:val="20"/>
              </w:rPr>
              <w:t xml:space="preserve">Calabresi P et al., “Efficacy and safety of fingolimod in patients with relapsing-remitting multiple sclerosis (RRMS): Results from an additional 24-month double-blind, placebo-controlled study (freedoms II study).” </w:t>
            </w:r>
          </w:p>
        </w:tc>
        <w:tc>
          <w:tcPr>
            <w:tcW w:w="1177" w:type="pct"/>
            <w:tcBorders>
              <w:bottom w:val="nil"/>
            </w:tcBorders>
            <w:vAlign w:val="center"/>
          </w:tcPr>
          <w:p w14:paraId="15A1F3D6" w14:textId="77777777" w:rsidR="005A2754" w:rsidRPr="00691087" w:rsidRDefault="005A2754" w:rsidP="004A09E4">
            <w:pPr>
              <w:spacing w:before="40" w:after="40"/>
              <w:jc w:val="left"/>
              <w:rPr>
                <w:rFonts w:ascii="Arial Narrow" w:hAnsi="Arial Narrow" w:cs="Times New Roman"/>
                <w:szCs w:val="20"/>
              </w:rPr>
            </w:pPr>
            <w:r w:rsidRPr="00691087">
              <w:rPr>
                <w:rFonts w:ascii="Arial Narrow" w:hAnsi="Arial Narrow"/>
                <w:i/>
                <w:sz w:val="20"/>
                <w:szCs w:val="20"/>
              </w:rPr>
              <w:t>Neurology</w:t>
            </w:r>
            <w:r w:rsidRPr="00691087">
              <w:rPr>
                <w:rFonts w:ascii="Arial Narrow" w:hAnsi="Arial Narrow"/>
                <w:sz w:val="20"/>
                <w:szCs w:val="20"/>
              </w:rPr>
              <w:t xml:space="preserve"> 2012; 79(11): e90-e91</w:t>
            </w:r>
          </w:p>
        </w:tc>
      </w:tr>
      <w:tr w:rsidR="005A2754" w:rsidRPr="00691087" w14:paraId="3FCFF23C" w14:textId="77777777" w:rsidTr="004214FA">
        <w:trPr>
          <w:cantSplit/>
        </w:trPr>
        <w:tc>
          <w:tcPr>
            <w:tcW w:w="626" w:type="pct"/>
            <w:vMerge/>
          </w:tcPr>
          <w:p w14:paraId="789E7817" w14:textId="77777777" w:rsidR="005A2754" w:rsidRPr="00691087" w:rsidRDefault="005A2754" w:rsidP="00750D38">
            <w:pPr>
              <w:spacing w:before="40" w:after="40"/>
              <w:rPr>
                <w:szCs w:val="20"/>
              </w:rPr>
            </w:pPr>
          </w:p>
        </w:tc>
        <w:tc>
          <w:tcPr>
            <w:tcW w:w="3197" w:type="pct"/>
            <w:tcBorders>
              <w:top w:val="nil"/>
              <w:bottom w:val="nil"/>
            </w:tcBorders>
            <w:vAlign w:val="center"/>
          </w:tcPr>
          <w:p w14:paraId="72720BFB" w14:textId="4AB5EF6E" w:rsidR="005A2754" w:rsidRPr="00691087" w:rsidRDefault="005A2754" w:rsidP="004A09E4">
            <w:pPr>
              <w:spacing w:before="40" w:after="40"/>
              <w:jc w:val="left"/>
              <w:rPr>
                <w:rFonts w:ascii="Arial Narrow" w:hAnsi="Arial Narrow"/>
                <w:sz w:val="20"/>
                <w:szCs w:val="20"/>
              </w:rPr>
            </w:pPr>
            <w:r w:rsidRPr="00691087">
              <w:rPr>
                <w:rFonts w:ascii="Arial Narrow" w:hAnsi="Arial Narrow"/>
                <w:sz w:val="20"/>
                <w:szCs w:val="20"/>
              </w:rPr>
              <w:t xml:space="preserve">Calabresi PA et al., “Efficacy and safety of fingolimod versus placebo: Primary outcomes from the phase 3 FREEDOMS II study in patients with relapsing-remitting multiple sclerosis.” </w:t>
            </w:r>
          </w:p>
        </w:tc>
        <w:tc>
          <w:tcPr>
            <w:tcW w:w="1177" w:type="pct"/>
            <w:tcBorders>
              <w:top w:val="nil"/>
              <w:bottom w:val="nil"/>
            </w:tcBorders>
            <w:vAlign w:val="center"/>
          </w:tcPr>
          <w:p w14:paraId="1C428AB5" w14:textId="77777777" w:rsidR="005A2754" w:rsidRPr="00691087" w:rsidRDefault="005A2754" w:rsidP="004A09E4">
            <w:pPr>
              <w:spacing w:before="40" w:after="40"/>
              <w:jc w:val="left"/>
              <w:rPr>
                <w:szCs w:val="20"/>
              </w:rPr>
            </w:pPr>
            <w:r w:rsidRPr="00691087">
              <w:rPr>
                <w:rFonts w:ascii="Arial Narrow" w:hAnsi="Arial Narrow"/>
                <w:i/>
                <w:sz w:val="20"/>
                <w:szCs w:val="20"/>
              </w:rPr>
              <w:t xml:space="preserve">Multiple sclerosis: </w:t>
            </w:r>
            <w:r w:rsidRPr="00691087">
              <w:rPr>
                <w:rFonts w:ascii="Arial Narrow" w:hAnsi="Arial Narrow"/>
                <w:sz w:val="20"/>
                <w:szCs w:val="20"/>
              </w:rPr>
              <w:t xml:space="preserve">2012; 18 (4) Suppl. 1; 205-6 </w:t>
            </w:r>
          </w:p>
        </w:tc>
      </w:tr>
      <w:tr w:rsidR="005A2754" w:rsidRPr="00691087" w14:paraId="28849A1C" w14:textId="77777777" w:rsidTr="004214FA">
        <w:trPr>
          <w:cantSplit/>
        </w:trPr>
        <w:tc>
          <w:tcPr>
            <w:tcW w:w="626" w:type="pct"/>
            <w:vMerge/>
            <w:tcBorders>
              <w:bottom w:val="single" w:sz="4" w:space="0" w:color="auto"/>
            </w:tcBorders>
          </w:tcPr>
          <w:p w14:paraId="278CAF48" w14:textId="77777777" w:rsidR="005A2754" w:rsidRPr="00691087" w:rsidRDefault="005A2754" w:rsidP="00750D38">
            <w:pPr>
              <w:spacing w:before="40" w:after="40"/>
              <w:rPr>
                <w:szCs w:val="20"/>
              </w:rPr>
            </w:pPr>
          </w:p>
        </w:tc>
        <w:tc>
          <w:tcPr>
            <w:tcW w:w="3197" w:type="pct"/>
            <w:tcBorders>
              <w:top w:val="nil"/>
              <w:bottom w:val="single" w:sz="4" w:space="0" w:color="auto"/>
            </w:tcBorders>
            <w:vAlign w:val="center"/>
          </w:tcPr>
          <w:p w14:paraId="5B2D1B92" w14:textId="77777777" w:rsidR="005A2754" w:rsidRPr="00691087" w:rsidRDefault="005A2754" w:rsidP="004A09E4">
            <w:pPr>
              <w:spacing w:before="40" w:after="40"/>
              <w:jc w:val="left"/>
              <w:rPr>
                <w:rFonts w:ascii="Arial Narrow" w:hAnsi="Arial Narrow"/>
                <w:sz w:val="20"/>
                <w:szCs w:val="20"/>
              </w:rPr>
            </w:pPr>
            <w:r w:rsidRPr="00691087">
              <w:rPr>
                <w:rFonts w:ascii="Arial Narrow" w:hAnsi="Arial Narrow"/>
                <w:sz w:val="20"/>
                <w:szCs w:val="20"/>
              </w:rPr>
              <w:t xml:space="preserve">Calabresi, P. A., et al. "Safety and efficacy of fingolimod in patients with relapsing-remitting multiple sclerosis (FREEDOMS II): A double-blind, randomised, placebo-controlled, phase 3 trial." </w:t>
            </w:r>
          </w:p>
        </w:tc>
        <w:tc>
          <w:tcPr>
            <w:tcW w:w="1177" w:type="pct"/>
            <w:tcBorders>
              <w:top w:val="nil"/>
              <w:bottom w:val="single" w:sz="4" w:space="0" w:color="auto"/>
            </w:tcBorders>
            <w:vAlign w:val="center"/>
          </w:tcPr>
          <w:p w14:paraId="6C8795A4" w14:textId="77777777" w:rsidR="005A2754" w:rsidRPr="00691087" w:rsidRDefault="005A2754" w:rsidP="004A09E4">
            <w:pPr>
              <w:spacing w:before="40" w:after="40"/>
              <w:jc w:val="left"/>
              <w:rPr>
                <w:i/>
                <w:szCs w:val="20"/>
              </w:rPr>
            </w:pPr>
            <w:r w:rsidRPr="00691087">
              <w:rPr>
                <w:rFonts w:ascii="Arial Narrow" w:hAnsi="Arial Narrow"/>
                <w:i/>
                <w:sz w:val="20"/>
                <w:szCs w:val="20"/>
              </w:rPr>
              <w:t>The Lancet Neurology</w:t>
            </w:r>
            <w:r w:rsidRPr="00691087">
              <w:rPr>
                <w:rFonts w:ascii="Arial Narrow" w:hAnsi="Arial Narrow"/>
                <w:sz w:val="20"/>
                <w:szCs w:val="20"/>
              </w:rPr>
              <w:t xml:space="preserve"> 2014 13(6): 545-556</w:t>
            </w:r>
          </w:p>
        </w:tc>
      </w:tr>
      <w:tr w:rsidR="005A2754" w:rsidRPr="00691087" w14:paraId="220945D3" w14:textId="77777777" w:rsidTr="004214FA">
        <w:trPr>
          <w:cantSplit/>
        </w:trPr>
        <w:tc>
          <w:tcPr>
            <w:tcW w:w="626" w:type="pct"/>
            <w:tcBorders>
              <w:bottom w:val="single" w:sz="4" w:space="0" w:color="auto"/>
            </w:tcBorders>
          </w:tcPr>
          <w:p w14:paraId="0218DC72" w14:textId="77777777" w:rsidR="005A2754" w:rsidRPr="00691087" w:rsidRDefault="005A2754" w:rsidP="00750D38">
            <w:pPr>
              <w:spacing w:before="40" w:after="40"/>
              <w:rPr>
                <w:rFonts w:ascii="Arial Narrow" w:hAnsi="Arial Narrow"/>
                <w:sz w:val="20"/>
                <w:szCs w:val="20"/>
              </w:rPr>
            </w:pPr>
            <w:r w:rsidRPr="00691087">
              <w:rPr>
                <w:rFonts w:ascii="Arial Narrow" w:hAnsi="Arial Narrow"/>
                <w:sz w:val="20"/>
                <w:szCs w:val="20"/>
              </w:rPr>
              <w:t>FREEDOMS Extension</w:t>
            </w:r>
          </w:p>
        </w:tc>
        <w:tc>
          <w:tcPr>
            <w:tcW w:w="3197" w:type="pct"/>
            <w:tcBorders>
              <w:top w:val="nil"/>
              <w:bottom w:val="single" w:sz="4" w:space="0" w:color="auto"/>
            </w:tcBorders>
            <w:vAlign w:val="center"/>
          </w:tcPr>
          <w:p w14:paraId="0ECDC4B4" w14:textId="77777777" w:rsidR="005A2754" w:rsidRPr="00691087" w:rsidRDefault="005A2754" w:rsidP="004A09E4">
            <w:pPr>
              <w:spacing w:before="40" w:after="40"/>
              <w:jc w:val="left"/>
              <w:rPr>
                <w:rFonts w:ascii="Arial Narrow" w:hAnsi="Arial Narrow"/>
                <w:sz w:val="20"/>
                <w:szCs w:val="20"/>
              </w:rPr>
            </w:pPr>
            <w:r w:rsidRPr="00691087">
              <w:rPr>
                <w:rFonts w:ascii="Arial Narrow" w:hAnsi="Arial Narrow"/>
                <w:sz w:val="20"/>
                <w:szCs w:val="20"/>
              </w:rPr>
              <w:t>Kappos, L., et al. Long-term effects of fingolimod in multiple sclerosis: the randomized FREEDOMS extension trial.</w:t>
            </w:r>
          </w:p>
        </w:tc>
        <w:tc>
          <w:tcPr>
            <w:tcW w:w="1177" w:type="pct"/>
            <w:tcBorders>
              <w:top w:val="nil"/>
              <w:bottom w:val="single" w:sz="4" w:space="0" w:color="auto"/>
            </w:tcBorders>
            <w:vAlign w:val="center"/>
          </w:tcPr>
          <w:p w14:paraId="06FFE538" w14:textId="571DF5D3" w:rsidR="005A2754" w:rsidRPr="00691087" w:rsidRDefault="005A2754" w:rsidP="004A09E4">
            <w:pPr>
              <w:spacing w:before="40" w:after="40"/>
              <w:jc w:val="left"/>
              <w:rPr>
                <w:rFonts w:ascii="Arial Narrow" w:hAnsi="Arial Narrow"/>
                <w:i/>
                <w:sz w:val="20"/>
                <w:szCs w:val="20"/>
              </w:rPr>
            </w:pPr>
            <w:r w:rsidRPr="00691087">
              <w:rPr>
                <w:rFonts w:ascii="Arial Narrow" w:hAnsi="Arial Narrow"/>
                <w:i/>
                <w:sz w:val="20"/>
                <w:szCs w:val="20"/>
              </w:rPr>
              <w:t>Neurology</w:t>
            </w:r>
            <w:r w:rsidRPr="00691087">
              <w:rPr>
                <w:rFonts w:ascii="Arial Narrow" w:hAnsi="Arial Narrow"/>
                <w:sz w:val="20"/>
                <w:szCs w:val="20"/>
              </w:rPr>
              <w:t xml:space="preserve"> 2015; 84(15): 1582-1591</w:t>
            </w:r>
          </w:p>
        </w:tc>
      </w:tr>
      <w:tr w:rsidR="005A2754" w:rsidRPr="00691087" w14:paraId="50539962" w14:textId="77777777" w:rsidTr="004214FA">
        <w:trPr>
          <w:cantSplit/>
        </w:trPr>
        <w:tc>
          <w:tcPr>
            <w:tcW w:w="626" w:type="pct"/>
            <w:tcBorders>
              <w:top w:val="single" w:sz="4" w:space="0" w:color="auto"/>
              <w:bottom w:val="nil"/>
            </w:tcBorders>
          </w:tcPr>
          <w:p w14:paraId="58C87722" w14:textId="77777777" w:rsidR="005A2754" w:rsidRPr="00691087" w:rsidRDefault="005A2754" w:rsidP="00750D38">
            <w:pPr>
              <w:spacing w:before="40" w:after="40"/>
              <w:rPr>
                <w:rFonts w:ascii="Arial Narrow" w:hAnsi="Arial Narrow"/>
                <w:sz w:val="20"/>
                <w:szCs w:val="20"/>
              </w:rPr>
            </w:pPr>
            <w:r w:rsidRPr="00691087">
              <w:rPr>
                <w:rFonts w:ascii="Arial Narrow" w:hAnsi="Arial Narrow"/>
                <w:sz w:val="20"/>
                <w:szCs w:val="20"/>
              </w:rPr>
              <w:t>FREEDOMS II Extension</w:t>
            </w:r>
          </w:p>
        </w:tc>
        <w:tc>
          <w:tcPr>
            <w:tcW w:w="3197" w:type="pct"/>
            <w:tcBorders>
              <w:top w:val="single" w:sz="4" w:space="0" w:color="auto"/>
              <w:bottom w:val="nil"/>
            </w:tcBorders>
            <w:vAlign w:val="center"/>
          </w:tcPr>
          <w:p w14:paraId="1D8F3822" w14:textId="77777777" w:rsidR="005A2754" w:rsidRPr="00691087" w:rsidRDefault="005A2754" w:rsidP="004A09E4">
            <w:pPr>
              <w:spacing w:before="40" w:after="40"/>
              <w:jc w:val="left"/>
              <w:rPr>
                <w:rFonts w:ascii="Arial Narrow" w:hAnsi="Arial Narrow"/>
                <w:sz w:val="20"/>
                <w:szCs w:val="20"/>
              </w:rPr>
            </w:pPr>
            <w:r w:rsidRPr="00691087">
              <w:rPr>
                <w:rFonts w:ascii="Arial Narrow" w:hAnsi="Arial Narrow"/>
                <w:sz w:val="20"/>
                <w:szCs w:val="20"/>
              </w:rPr>
              <w:t>Vollmer T et al., (2013) “Long-term safety of fingolimod in patients with relapsing-remitting multiple sclerosis: Results from phase 3 freedoms II extension study” YR: 2013 VL: 80</w:t>
            </w:r>
          </w:p>
        </w:tc>
        <w:tc>
          <w:tcPr>
            <w:tcW w:w="1177" w:type="pct"/>
            <w:tcBorders>
              <w:top w:val="single" w:sz="4" w:space="0" w:color="auto"/>
              <w:bottom w:val="nil"/>
            </w:tcBorders>
            <w:vAlign w:val="center"/>
          </w:tcPr>
          <w:p w14:paraId="1A692F98" w14:textId="77777777" w:rsidR="005A2754" w:rsidRPr="00691087" w:rsidRDefault="005A2754" w:rsidP="004A09E4">
            <w:pPr>
              <w:spacing w:before="40" w:after="40"/>
              <w:jc w:val="left"/>
              <w:rPr>
                <w:rFonts w:ascii="Arial Narrow" w:hAnsi="Arial Narrow"/>
                <w:i/>
                <w:sz w:val="20"/>
                <w:szCs w:val="20"/>
              </w:rPr>
            </w:pPr>
            <w:r w:rsidRPr="00691087">
              <w:rPr>
                <w:rFonts w:ascii="Arial Narrow" w:hAnsi="Arial Narrow"/>
                <w:i/>
                <w:sz w:val="20"/>
                <w:szCs w:val="20"/>
              </w:rPr>
              <w:t xml:space="preserve">Unidentified congress </w:t>
            </w:r>
            <w:r w:rsidRPr="00691087">
              <w:rPr>
                <w:rFonts w:ascii="Arial Narrow" w:hAnsi="Arial Narrow"/>
                <w:sz w:val="20"/>
                <w:szCs w:val="20"/>
              </w:rPr>
              <w:t xml:space="preserve">2013 (abstract) </w:t>
            </w:r>
          </w:p>
        </w:tc>
      </w:tr>
      <w:tr w:rsidR="005A2754" w:rsidRPr="00691087" w14:paraId="1BD0D896" w14:textId="77777777" w:rsidTr="004214FA">
        <w:trPr>
          <w:cantSplit/>
        </w:trPr>
        <w:tc>
          <w:tcPr>
            <w:tcW w:w="626" w:type="pct"/>
            <w:tcBorders>
              <w:top w:val="nil"/>
              <w:bottom w:val="single" w:sz="4" w:space="0" w:color="auto"/>
            </w:tcBorders>
          </w:tcPr>
          <w:p w14:paraId="3230232A" w14:textId="77777777" w:rsidR="005A2754" w:rsidRPr="00691087" w:rsidRDefault="005A2754" w:rsidP="00750D38">
            <w:pPr>
              <w:spacing w:before="40" w:after="40"/>
              <w:rPr>
                <w:rFonts w:ascii="Arial Narrow" w:hAnsi="Arial Narrow"/>
                <w:sz w:val="20"/>
                <w:szCs w:val="20"/>
              </w:rPr>
            </w:pPr>
          </w:p>
        </w:tc>
        <w:tc>
          <w:tcPr>
            <w:tcW w:w="3197" w:type="pct"/>
            <w:tcBorders>
              <w:top w:val="nil"/>
              <w:bottom w:val="single" w:sz="4" w:space="0" w:color="auto"/>
            </w:tcBorders>
            <w:vAlign w:val="center"/>
          </w:tcPr>
          <w:p w14:paraId="7BC1BE92" w14:textId="77777777" w:rsidR="005A2754" w:rsidRPr="00691087" w:rsidRDefault="005A2754" w:rsidP="004A09E4">
            <w:pPr>
              <w:spacing w:before="40" w:after="40"/>
              <w:jc w:val="left"/>
              <w:rPr>
                <w:rFonts w:ascii="Arial Narrow" w:hAnsi="Arial Narrow"/>
                <w:sz w:val="20"/>
                <w:szCs w:val="20"/>
              </w:rPr>
            </w:pPr>
            <w:r w:rsidRPr="00691087">
              <w:rPr>
                <w:rFonts w:ascii="Arial Narrow" w:hAnsi="Arial Narrow"/>
                <w:sz w:val="20"/>
                <w:szCs w:val="20"/>
              </w:rPr>
              <w:t xml:space="preserve">Cree BAC et al., Long-term effects of fingolimod on no evidence of disease activity (NEDA) by year of treatment”. </w:t>
            </w:r>
          </w:p>
        </w:tc>
        <w:tc>
          <w:tcPr>
            <w:tcW w:w="1177" w:type="pct"/>
            <w:tcBorders>
              <w:top w:val="nil"/>
              <w:bottom w:val="single" w:sz="4" w:space="0" w:color="auto"/>
            </w:tcBorders>
            <w:vAlign w:val="center"/>
          </w:tcPr>
          <w:p w14:paraId="52B8EFB5" w14:textId="77777777" w:rsidR="005A2754" w:rsidRPr="00691087" w:rsidRDefault="005A2754" w:rsidP="004A09E4">
            <w:pPr>
              <w:spacing w:before="40" w:after="40"/>
              <w:jc w:val="left"/>
              <w:rPr>
                <w:rFonts w:ascii="Arial Narrow" w:hAnsi="Arial Narrow"/>
                <w:i/>
                <w:sz w:val="20"/>
                <w:szCs w:val="20"/>
              </w:rPr>
            </w:pPr>
            <w:r w:rsidRPr="00691087">
              <w:rPr>
                <w:rFonts w:ascii="Arial Narrow" w:hAnsi="Arial Narrow"/>
                <w:i/>
                <w:sz w:val="20"/>
                <w:szCs w:val="20"/>
              </w:rPr>
              <w:t xml:space="preserve">MENACTRIMS Congress </w:t>
            </w:r>
            <w:r w:rsidRPr="00691087">
              <w:rPr>
                <w:rFonts w:ascii="Arial Narrow" w:hAnsi="Arial Narrow"/>
                <w:sz w:val="20"/>
                <w:szCs w:val="20"/>
              </w:rPr>
              <w:t>2016; 22 (6) (abstract)</w:t>
            </w:r>
          </w:p>
        </w:tc>
      </w:tr>
      <w:tr w:rsidR="000B614C" w:rsidRPr="00691087" w14:paraId="5D3B96B9" w14:textId="77777777" w:rsidTr="004214FA">
        <w:trPr>
          <w:cantSplit/>
          <w:trHeight w:val="70"/>
        </w:trPr>
        <w:tc>
          <w:tcPr>
            <w:tcW w:w="5000" w:type="pct"/>
            <w:gridSpan w:val="3"/>
            <w:tcBorders>
              <w:top w:val="single" w:sz="4" w:space="0" w:color="auto"/>
              <w:bottom w:val="single" w:sz="4" w:space="0" w:color="auto"/>
            </w:tcBorders>
          </w:tcPr>
          <w:p w14:paraId="3611A033" w14:textId="77777777" w:rsidR="000B614C" w:rsidRPr="00691087" w:rsidRDefault="009E7A13" w:rsidP="000B614C">
            <w:pPr>
              <w:pStyle w:val="TableText0"/>
              <w:rPr>
                <w:i/>
                <w:szCs w:val="20"/>
              </w:rPr>
            </w:pPr>
            <w:r w:rsidRPr="00691087">
              <w:t>Real World Evidence (RWE)</w:t>
            </w:r>
            <w:r w:rsidR="000B614C" w:rsidRPr="00691087">
              <w:t xml:space="preserve"> </w:t>
            </w:r>
            <w:r w:rsidR="002D5CE9" w:rsidRPr="00691087">
              <w:t>supplementary evidence</w:t>
            </w:r>
          </w:p>
        </w:tc>
      </w:tr>
      <w:tr w:rsidR="00E31ED1" w:rsidRPr="00691087" w14:paraId="61629BCD" w14:textId="77777777" w:rsidTr="004214FA">
        <w:trPr>
          <w:cantSplit/>
        </w:trPr>
        <w:tc>
          <w:tcPr>
            <w:tcW w:w="626" w:type="pct"/>
            <w:tcBorders>
              <w:top w:val="single" w:sz="4" w:space="0" w:color="auto"/>
              <w:bottom w:val="single" w:sz="4" w:space="0" w:color="auto"/>
            </w:tcBorders>
          </w:tcPr>
          <w:p w14:paraId="52121B03" w14:textId="77777777" w:rsidR="00E31ED1" w:rsidRPr="00691087" w:rsidRDefault="00E31ED1" w:rsidP="00E31ED1">
            <w:pPr>
              <w:pStyle w:val="TableText0"/>
            </w:pPr>
            <w:r w:rsidRPr="00691087">
              <w:t>Pfeuffer (2021)</w:t>
            </w:r>
          </w:p>
        </w:tc>
        <w:tc>
          <w:tcPr>
            <w:tcW w:w="3197" w:type="pct"/>
            <w:tcBorders>
              <w:top w:val="single" w:sz="4" w:space="0" w:color="auto"/>
              <w:bottom w:val="single" w:sz="4" w:space="0" w:color="auto"/>
            </w:tcBorders>
            <w:vAlign w:val="center"/>
          </w:tcPr>
          <w:p w14:paraId="1BA319D5" w14:textId="77777777" w:rsidR="00E31ED1" w:rsidRPr="00691087" w:rsidRDefault="00BA7186" w:rsidP="004A09E4">
            <w:pPr>
              <w:spacing w:before="40" w:after="40"/>
              <w:jc w:val="left"/>
              <w:rPr>
                <w:rFonts w:ascii="Arial Narrow" w:hAnsi="Arial Narrow"/>
                <w:sz w:val="20"/>
                <w:szCs w:val="20"/>
              </w:rPr>
            </w:pPr>
            <w:r w:rsidRPr="00691087">
              <w:rPr>
                <w:rFonts w:ascii="Arial Narrow" w:hAnsi="Arial Narrow"/>
                <w:sz w:val="20"/>
                <w:szCs w:val="20"/>
              </w:rPr>
              <w:t>Pfeuffer et al. “Effectiveness and safety of cladribine in MS: Real-world experience from two tertiary centres.”</w:t>
            </w:r>
          </w:p>
        </w:tc>
        <w:tc>
          <w:tcPr>
            <w:tcW w:w="1177" w:type="pct"/>
            <w:tcBorders>
              <w:top w:val="single" w:sz="4" w:space="0" w:color="auto"/>
              <w:bottom w:val="single" w:sz="4" w:space="0" w:color="auto"/>
            </w:tcBorders>
            <w:vAlign w:val="center"/>
          </w:tcPr>
          <w:p w14:paraId="5B22CEC1" w14:textId="77777777" w:rsidR="00E31ED1" w:rsidRPr="00691087" w:rsidRDefault="00BA7186" w:rsidP="004A09E4">
            <w:pPr>
              <w:spacing w:before="40" w:after="40"/>
              <w:jc w:val="left"/>
              <w:rPr>
                <w:rFonts w:ascii="Arial Narrow" w:hAnsi="Arial Narrow"/>
                <w:i/>
                <w:sz w:val="20"/>
                <w:szCs w:val="20"/>
              </w:rPr>
            </w:pPr>
            <w:r w:rsidRPr="00691087">
              <w:rPr>
                <w:rFonts w:ascii="Arial Narrow" w:hAnsi="Arial Narrow"/>
                <w:i/>
                <w:sz w:val="20"/>
                <w:szCs w:val="20"/>
              </w:rPr>
              <w:t xml:space="preserve">Multiple Sclerosis Journal </w:t>
            </w:r>
            <w:r w:rsidRPr="00691087">
              <w:rPr>
                <w:rFonts w:ascii="Arial Narrow" w:hAnsi="Arial Narrow"/>
                <w:iCs/>
                <w:sz w:val="20"/>
                <w:szCs w:val="20"/>
              </w:rPr>
              <w:t>2021</w:t>
            </w:r>
            <w:r w:rsidRPr="00691087">
              <w:rPr>
                <w:rFonts w:ascii="Arial Narrow" w:hAnsi="Arial Narrow"/>
                <w:i/>
                <w:sz w:val="20"/>
                <w:szCs w:val="20"/>
              </w:rPr>
              <w:t xml:space="preserve"> ; </w:t>
            </w:r>
            <w:r w:rsidRPr="00691087">
              <w:rPr>
                <w:rFonts w:ascii="Arial Narrow" w:hAnsi="Arial Narrow"/>
                <w:iCs/>
                <w:sz w:val="20"/>
                <w:szCs w:val="20"/>
              </w:rPr>
              <w:t>0 (00): 1-12</w:t>
            </w:r>
          </w:p>
        </w:tc>
      </w:tr>
      <w:tr w:rsidR="00E31ED1" w:rsidRPr="00691087" w14:paraId="19D31E2A" w14:textId="77777777" w:rsidTr="004214FA">
        <w:trPr>
          <w:cantSplit/>
        </w:trPr>
        <w:tc>
          <w:tcPr>
            <w:tcW w:w="626" w:type="pct"/>
            <w:tcBorders>
              <w:top w:val="single" w:sz="4" w:space="0" w:color="auto"/>
              <w:bottom w:val="single" w:sz="4" w:space="0" w:color="auto"/>
            </w:tcBorders>
          </w:tcPr>
          <w:p w14:paraId="1EFFF193" w14:textId="77777777" w:rsidR="00E31ED1" w:rsidRPr="00691087" w:rsidRDefault="00E31ED1" w:rsidP="00E31ED1">
            <w:pPr>
              <w:pStyle w:val="TableText0"/>
            </w:pPr>
            <w:r w:rsidRPr="00691087">
              <w:t>De Stefano (2020)</w:t>
            </w:r>
          </w:p>
        </w:tc>
        <w:tc>
          <w:tcPr>
            <w:tcW w:w="3197" w:type="pct"/>
            <w:tcBorders>
              <w:top w:val="single" w:sz="4" w:space="0" w:color="auto"/>
              <w:bottom w:val="single" w:sz="4" w:space="0" w:color="auto"/>
            </w:tcBorders>
            <w:vAlign w:val="center"/>
          </w:tcPr>
          <w:p w14:paraId="5BE34FAB" w14:textId="77777777" w:rsidR="00E31ED1" w:rsidRPr="00691087" w:rsidRDefault="00BA7186" w:rsidP="004A09E4">
            <w:pPr>
              <w:spacing w:before="40" w:after="40"/>
              <w:jc w:val="left"/>
              <w:rPr>
                <w:rFonts w:ascii="Arial Narrow" w:hAnsi="Arial Narrow"/>
                <w:sz w:val="20"/>
                <w:szCs w:val="20"/>
              </w:rPr>
            </w:pPr>
            <w:r w:rsidRPr="00691087">
              <w:rPr>
                <w:rFonts w:ascii="Arial Narrow" w:hAnsi="Arial Narrow"/>
                <w:sz w:val="20"/>
                <w:szCs w:val="20"/>
              </w:rPr>
              <w:t>De Stefano et al. “Analysis of frequency and severity of relapses in multiple sclerosis patients treated with cladribine tablets or placebo: The CLARITY and CLARITY Extension studies.”</w:t>
            </w:r>
          </w:p>
        </w:tc>
        <w:tc>
          <w:tcPr>
            <w:tcW w:w="1177" w:type="pct"/>
            <w:tcBorders>
              <w:top w:val="single" w:sz="4" w:space="0" w:color="auto"/>
              <w:bottom w:val="single" w:sz="4" w:space="0" w:color="auto"/>
            </w:tcBorders>
            <w:vAlign w:val="center"/>
          </w:tcPr>
          <w:p w14:paraId="3A7446F6" w14:textId="77777777" w:rsidR="00E31ED1" w:rsidRPr="00691087" w:rsidRDefault="00BA7186" w:rsidP="004A09E4">
            <w:pPr>
              <w:spacing w:before="40" w:after="40"/>
              <w:jc w:val="left"/>
              <w:rPr>
                <w:rFonts w:ascii="Arial Narrow" w:hAnsi="Arial Narrow"/>
                <w:i/>
                <w:sz w:val="20"/>
                <w:szCs w:val="20"/>
              </w:rPr>
            </w:pPr>
            <w:r w:rsidRPr="00691087">
              <w:rPr>
                <w:rFonts w:ascii="Arial Narrow" w:hAnsi="Arial Narrow"/>
                <w:i/>
                <w:sz w:val="20"/>
                <w:szCs w:val="20"/>
              </w:rPr>
              <w:t xml:space="preserve">Multiple Sclerosis Journal </w:t>
            </w:r>
            <w:r w:rsidRPr="00691087">
              <w:rPr>
                <w:rFonts w:ascii="Arial Narrow" w:hAnsi="Arial Narrow"/>
                <w:iCs/>
                <w:sz w:val="20"/>
                <w:szCs w:val="20"/>
              </w:rPr>
              <w:t>2020; 1-10</w:t>
            </w:r>
          </w:p>
        </w:tc>
      </w:tr>
      <w:tr w:rsidR="00E31ED1" w:rsidRPr="00691087" w14:paraId="73BEED47" w14:textId="77777777" w:rsidTr="004214FA">
        <w:trPr>
          <w:cantSplit/>
        </w:trPr>
        <w:tc>
          <w:tcPr>
            <w:tcW w:w="626" w:type="pct"/>
            <w:tcBorders>
              <w:top w:val="single" w:sz="4" w:space="0" w:color="auto"/>
              <w:bottom w:val="single" w:sz="4" w:space="0" w:color="auto"/>
            </w:tcBorders>
          </w:tcPr>
          <w:p w14:paraId="53390015" w14:textId="77777777" w:rsidR="00E31ED1" w:rsidRPr="00691087" w:rsidRDefault="00E31ED1" w:rsidP="00E31ED1">
            <w:pPr>
              <w:pStyle w:val="TableText0"/>
            </w:pPr>
            <w:r w:rsidRPr="00691087">
              <w:t>Patti (2020)</w:t>
            </w:r>
          </w:p>
        </w:tc>
        <w:tc>
          <w:tcPr>
            <w:tcW w:w="3197" w:type="pct"/>
            <w:tcBorders>
              <w:top w:val="single" w:sz="4" w:space="0" w:color="auto"/>
              <w:bottom w:val="single" w:sz="4" w:space="0" w:color="auto"/>
            </w:tcBorders>
            <w:vAlign w:val="center"/>
          </w:tcPr>
          <w:p w14:paraId="4CC502C4" w14:textId="77777777" w:rsidR="00E31ED1" w:rsidRPr="00691087" w:rsidRDefault="00BA7186" w:rsidP="004A09E4">
            <w:pPr>
              <w:spacing w:before="40" w:after="40"/>
              <w:jc w:val="left"/>
              <w:rPr>
                <w:rFonts w:ascii="Arial Narrow" w:hAnsi="Arial Narrow"/>
                <w:sz w:val="20"/>
                <w:szCs w:val="20"/>
              </w:rPr>
            </w:pPr>
            <w:r w:rsidRPr="00691087">
              <w:rPr>
                <w:rFonts w:ascii="Arial Narrow" w:hAnsi="Arial Narrow"/>
                <w:sz w:val="20"/>
                <w:szCs w:val="20"/>
              </w:rPr>
              <w:t>Patti et al. “Long-term effectiveness in patients previously treated with cladribine tablets: a real-world analysis of the Italian multiple sclerosis registry (CLARINET-MS)”</w:t>
            </w:r>
          </w:p>
        </w:tc>
        <w:tc>
          <w:tcPr>
            <w:tcW w:w="1177" w:type="pct"/>
            <w:tcBorders>
              <w:top w:val="single" w:sz="4" w:space="0" w:color="auto"/>
              <w:bottom w:val="single" w:sz="4" w:space="0" w:color="auto"/>
            </w:tcBorders>
            <w:vAlign w:val="center"/>
          </w:tcPr>
          <w:p w14:paraId="3D07EA93" w14:textId="77777777" w:rsidR="00E31ED1" w:rsidRPr="00691087" w:rsidRDefault="00BA7186" w:rsidP="004A09E4">
            <w:pPr>
              <w:spacing w:before="40" w:after="40"/>
              <w:jc w:val="left"/>
              <w:rPr>
                <w:rFonts w:ascii="Arial Narrow" w:hAnsi="Arial Narrow"/>
                <w:iCs/>
                <w:sz w:val="20"/>
                <w:szCs w:val="20"/>
              </w:rPr>
            </w:pPr>
            <w:r w:rsidRPr="00691087">
              <w:rPr>
                <w:rFonts w:ascii="Arial Narrow" w:hAnsi="Arial Narrow"/>
                <w:i/>
                <w:sz w:val="20"/>
                <w:szCs w:val="20"/>
              </w:rPr>
              <w:t xml:space="preserve">Ther Adv Neurol Disord </w:t>
            </w:r>
            <w:r w:rsidRPr="00691087">
              <w:rPr>
                <w:rFonts w:ascii="Arial Narrow" w:hAnsi="Arial Narrow"/>
                <w:iCs/>
                <w:sz w:val="20"/>
                <w:szCs w:val="20"/>
              </w:rPr>
              <w:t>2020; 13: 1-10</w:t>
            </w:r>
          </w:p>
        </w:tc>
      </w:tr>
      <w:tr w:rsidR="00E31ED1" w:rsidRPr="00691087" w14:paraId="39E74CC2" w14:textId="77777777" w:rsidTr="004214FA">
        <w:trPr>
          <w:cantSplit/>
        </w:trPr>
        <w:tc>
          <w:tcPr>
            <w:tcW w:w="626" w:type="pct"/>
            <w:tcBorders>
              <w:top w:val="single" w:sz="4" w:space="0" w:color="auto"/>
              <w:bottom w:val="single" w:sz="4" w:space="0" w:color="auto"/>
            </w:tcBorders>
          </w:tcPr>
          <w:p w14:paraId="7EA1C1DD" w14:textId="77777777" w:rsidR="00E31ED1" w:rsidRPr="00691087" w:rsidRDefault="00E31ED1" w:rsidP="00E31ED1">
            <w:pPr>
              <w:pStyle w:val="TableText0"/>
            </w:pPr>
            <w:r w:rsidRPr="00691087">
              <w:t>Giovannoni (2021)</w:t>
            </w:r>
          </w:p>
          <w:p w14:paraId="1E972BE8" w14:textId="77777777" w:rsidR="00E31ED1" w:rsidRPr="00691087" w:rsidRDefault="00E31ED1" w:rsidP="00E31ED1">
            <w:pPr>
              <w:pStyle w:val="TableText0"/>
            </w:pPr>
          </w:p>
        </w:tc>
        <w:tc>
          <w:tcPr>
            <w:tcW w:w="3197" w:type="pct"/>
            <w:tcBorders>
              <w:top w:val="single" w:sz="4" w:space="0" w:color="auto"/>
              <w:bottom w:val="single" w:sz="4" w:space="0" w:color="auto"/>
            </w:tcBorders>
            <w:vAlign w:val="center"/>
          </w:tcPr>
          <w:p w14:paraId="287C170F" w14:textId="77777777" w:rsidR="00E31ED1" w:rsidRPr="00691087" w:rsidRDefault="000B614C" w:rsidP="004A09E4">
            <w:pPr>
              <w:spacing w:before="40" w:after="40"/>
              <w:jc w:val="left"/>
              <w:rPr>
                <w:rFonts w:ascii="Arial Narrow" w:hAnsi="Arial Narrow"/>
                <w:sz w:val="20"/>
                <w:szCs w:val="20"/>
              </w:rPr>
            </w:pPr>
            <w:r w:rsidRPr="00691087">
              <w:rPr>
                <w:rFonts w:ascii="Arial Narrow" w:hAnsi="Arial Narrow"/>
                <w:sz w:val="20"/>
                <w:szCs w:val="20"/>
              </w:rPr>
              <w:t>Giovannoni et al. “CLASSIC-MS: Long-term Efficacy and Real-World Treatment Patterns for Patients with Relapsing Multiple Sclerosis who Received Cladribine Tablets in Phase III Parent Trials (1919).”</w:t>
            </w:r>
          </w:p>
        </w:tc>
        <w:tc>
          <w:tcPr>
            <w:tcW w:w="1177" w:type="pct"/>
            <w:tcBorders>
              <w:top w:val="single" w:sz="4" w:space="0" w:color="auto"/>
              <w:bottom w:val="single" w:sz="4" w:space="0" w:color="auto"/>
            </w:tcBorders>
            <w:vAlign w:val="center"/>
          </w:tcPr>
          <w:p w14:paraId="3B8D61A2" w14:textId="77777777" w:rsidR="00E31ED1" w:rsidRPr="00691087" w:rsidRDefault="000B614C" w:rsidP="004A09E4">
            <w:pPr>
              <w:spacing w:before="40" w:after="40"/>
              <w:jc w:val="left"/>
              <w:rPr>
                <w:rFonts w:ascii="Arial Narrow" w:hAnsi="Arial Narrow"/>
                <w:i/>
                <w:sz w:val="20"/>
                <w:szCs w:val="20"/>
              </w:rPr>
            </w:pPr>
            <w:r w:rsidRPr="00691087">
              <w:rPr>
                <w:rFonts w:ascii="Arial Narrow" w:hAnsi="Arial Narrow"/>
                <w:i/>
                <w:sz w:val="20"/>
                <w:szCs w:val="20"/>
              </w:rPr>
              <w:t xml:space="preserve">Neurology </w:t>
            </w:r>
            <w:r w:rsidRPr="00691087">
              <w:rPr>
                <w:rFonts w:ascii="Arial Narrow" w:hAnsi="Arial Narrow"/>
                <w:iCs/>
                <w:sz w:val="20"/>
                <w:szCs w:val="20"/>
              </w:rPr>
              <w:t>2021;</w:t>
            </w:r>
            <w:r w:rsidRPr="00691087">
              <w:rPr>
                <w:rFonts w:ascii="Arial Narrow" w:hAnsi="Arial Narrow"/>
                <w:i/>
                <w:sz w:val="20"/>
                <w:szCs w:val="20"/>
              </w:rPr>
              <w:t xml:space="preserve"> 96 (15 Supplement): </w:t>
            </w:r>
          </w:p>
        </w:tc>
      </w:tr>
      <w:tr w:rsidR="00E31ED1" w:rsidRPr="00691087" w14:paraId="498EC1AE" w14:textId="77777777" w:rsidTr="004214FA">
        <w:trPr>
          <w:cantSplit/>
        </w:trPr>
        <w:tc>
          <w:tcPr>
            <w:tcW w:w="626" w:type="pct"/>
            <w:tcBorders>
              <w:top w:val="single" w:sz="4" w:space="0" w:color="auto"/>
              <w:bottom w:val="single" w:sz="4" w:space="0" w:color="auto"/>
            </w:tcBorders>
          </w:tcPr>
          <w:p w14:paraId="79787E32" w14:textId="77777777" w:rsidR="00E31ED1" w:rsidRPr="00691087" w:rsidRDefault="00E31ED1" w:rsidP="00E31ED1">
            <w:pPr>
              <w:spacing w:before="40" w:after="40"/>
              <w:rPr>
                <w:rFonts w:ascii="Arial Narrow" w:hAnsi="Arial Narrow"/>
                <w:sz w:val="20"/>
                <w:szCs w:val="20"/>
              </w:rPr>
            </w:pPr>
            <w:r w:rsidRPr="00691087">
              <w:rPr>
                <w:rFonts w:ascii="Arial Narrow" w:hAnsi="Arial Narrow"/>
                <w:sz w:val="20"/>
                <w:szCs w:val="20"/>
              </w:rPr>
              <w:t>Achiron 2021</w:t>
            </w:r>
          </w:p>
        </w:tc>
        <w:tc>
          <w:tcPr>
            <w:tcW w:w="3197" w:type="pct"/>
            <w:tcBorders>
              <w:top w:val="single" w:sz="4" w:space="0" w:color="auto"/>
              <w:bottom w:val="single" w:sz="4" w:space="0" w:color="auto"/>
            </w:tcBorders>
            <w:vAlign w:val="center"/>
          </w:tcPr>
          <w:p w14:paraId="1E8E4E8F" w14:textId="77777777" w:rsidR="00E31ED1" w:rsidRPr="00691087" w:rsidRDefault="000B614C" w:rsidP="004A09E4">
            <w:pPr>
              <w:spacing w:before="40" w:after="40"/>
              <w:jc w:val="left"/>
              <w:rPr>
                <w:rFonts w:ascii="Arial Narrow" w:hAnsi="Arial Narrow"/>
                <w:sz w:val="20"/>
                <w:szCs w:val="20"/>
              </w:rPr>
            </w:pPr>
            <w:r w:rsidRPr="00691087">
              <w:rPr>
                <w:rFonts w:ascii="Arial Narrow" w:hAnsi="Arial Narrow"/>
                <w:sz w:val="20"/>
                <w:szCs w:val="20"/>
              </w:rPr>
              <w:t>Achiron et l “Humoral immune response to COVID-19 mRNA vaccine in patients with multiple sclerosis treated with high-efficacy disease-modifying therapies”</w:t>
            </w:r>
          </w:p>
        </w:tc>
        <w:tc>
          <w:tcPr>
            <w:tcW w:w="1177" w:type="pct"/>
            <w:tcBorders>
              <w:top w:val="single" w:sz="4" w:space="0" w:color="auto"/>
              <w:bottom w:val="single" w:sz="4" w:space="0" w:color="auto"/>
            </w:tcBorders>
            <w:vAlign w:val="center"/>
          </w:tcPr>
          <w:p w14:paraId="54688A4E" w14:textId="77777777" w:rsidR="00E31ED1" w:rsidRPr="00691087" w:rsidRDefault="000B614C" w:rsidP="004A09E4">
            <w:pPr>
              <w:spacing w:before="40" w:after="40"/>
              <w:jc w:val="left"/>
              <w:rPr>
                <w:rFonts w:ascii="Arial Narrow" w:hAnsi="Arial Narrow"/>
                <w:i/>
                <w:sz w:val="20"/>
                <w:szCs w:val="20"/>
              </w:rPr>
            </w:pPr>
            <w:r w:rsidRPr="00691087">
              <w:rPr>
                <w:rFonts w:ascii="Arial Narrow" w:hAnsi="Arial Narrow"/>
                <w:i/>
                <w:sz w:val="20"/>
                <w:szCs w:val="20"/>
              </w:rPr>
              <w:t xml:space="preserve">Ther Adv Neurol Disord </w:t>
            </w:r>
            <w:r w:rsidRPr="00691087">
              <w:rPr>
                <w:rFonts w:ascii="Arial Narrow" w:hAnsi="Arial Narrow"/>
                <w:iCs/>
                <w:sz w:val="20"/>
                <w:szCs w:val="20"/>
              </w:rPr>
              <w:t>2021; 14: 1-8</w:t>
            </w:r>
          </w:p>
        </w:tc>
      </w:tr>
    </w:tbl>
    <w:p w14:paraId="637AABD3" w14:textId="5F2555F3" w:rsidR="005A2754" w:rsidRPr="00691087" w:rsidRDefault="005A2754" w:rsidP="00FE1A1E">
      <w:pPr>
        <w:pStyle w:val="TableFooter"/>
        <w:spacing w:after="120"/>
      </w:pPr>
      <w:r w:rsidRPr="00691087">
        <w:t>Source: Table 2.2.2 p59-68 of the November 2017 resubmission</w:t>
      </w:r>
      <w:r w:rsidR="002D5CE9" w:rsidRPr="00691087">
        <w:t xml:space="preserve"> and pp112-115 of the current submission. </w:t>
      </w:r>
    </w:p>
    <w:p w14:paraId="741EAAAC" w14:textId="77777777" w:rsidR="005A2754" w:rsidRPr="00691087" w:rsidRDefault="005A2754" w:rsidP="005A2754">
      <w:pPr>
        <w:pStyle w:val="ListParagraph"/>
        <w:widowControl/>
        <w:numPr>
          <w:ilvl w:val="1"/>
          <w:numId w:val="2"/>
        </w:numPr>
      </w:pPr>
      <w:r w:rsidRPr="00691087">
        <w:t xml:space="preserve">The key features of the direct randomised trials and their extensions are summarised in </w:t>
      </w:r>
      <w:r w:rsidR="00691087" w:rsidRPr="00691087">
        <w:t xml:space="preserve">Table </w:t>
      </w:r>
      <w:r w:rsidR="00CF4092">
        <w:t>4</w:t>
      </w:r>
      <w:r w:rsidR="00B56649" w:rsidRPr="00691087">
        <w:t>.</w:t>
      </w:r>
    </w:p>
    <w:p w14:paraId="57866D56" w14:textId="332662E4" w:rsidR="005A2754" w:rsidRPr="00691087" w:rsidRDefault="005A2754" w:rsidP="007016AD">
      <w:pPr>
        <w:pStyle w:val="TableHeading0"/>
        <w:spacing w:after="0"/>
      </w:pPr>
      <w:bookmarkStart w:id="16" w:name="_Ref81492176"/>
      <w:r w:rsidRPr="00691087">
        <w:rPr>
          <w:rStyle w:val="CommentReference"/>
          <w:b/>
          <w:bCs/>
        </w:rPr>
        <w:t xml:space="preserve">Table </w:t>
      </w:r>
      <w:r w:rsidR="00CF4092">
        <w:rPr>
          <w:rStyle w:val="CommentReference"/>
          <w:b/>
          <w:bCs/>
        </w:rPr>
        <w:t>4</w:t>
      </w:r>
      <w:bookmarkEnd w:id="16"/>
      <w:r w:rsidRPr="00691087">
        <w:rPr>
          <w:rStyle w:val="CommentReference"/>
          <w:b/>
          <w:bCs/>
        </w:rPr>
        <w:t>:</w:t>
      </w:r>
      <w:r w:rsidRPr="00691087">
        <w:rPr>
          <w:rStyle w:val="CommentReference"/>
        </w:rPr>
        <w:t xml:space="preserve"> </w:t>
      </w:r>
      <w:r w:rsidRPr="00691087">
        <w:t xml:space="preserve">Key features of the included evidence cladribine versus fingolimod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cladribine versus fingolimod "/>
      </w:tblPr>
      <w:tblGrid>
        <w:gridCol w:w="1688"/>
        <w:gridCol w:w="703"/>
        <w:gridCol w:w="1565"/>
        <w:gridCol w:w="1048"/>
        <w:gridCol w:w="904"/>
        <w:gridCol w:w="3109"/>
      </w:tblGrid>
      <w:tr w:rsidR="005A2754" w:rsidRPr="00691087" w14:paraId="04F7A739" w14:textId="77777777" w:rsidTr="00750D38">
        <w:tc>
          <w:tcPr>
            <w:tcW w:w="936" w:type="pct"/>
            <w:shd w:val="clear" w:color="auto" w:fill="auto"/>
            <w:vAlign w:val="center"/>
          </w:tcPr>
          <w:p w14:paraId="5B1D68F6" w14:textId="77777777" w:rsidR="005A2754" w:rsidRPr="00691087" w:rsidRDefault="005A2754" w:rsidP="00750D38">
            <w:pPr>
              <w:pStyle w:val="TableText0"/>
              <w:rPr>
                <w:b/>
              </w:rPr>
            </w:pPr>
            <w:r w:rsidRPr="00691087">
              <w:rPr>
                <w:b/>
              </w:rPr>
              <w:t>Trial</w:t>
            </w:r>
          </w:p>
        </w:tc>
        <w:tc>
          <w:tcPr>
            <w:tcW w:w="390" w:type="pct"/>
            <w:shd w:val="clear" w:color="auto" w:fill="auto"/>
            <w:vAlign w:val="center"/>
          </w:tcPr>
          <w:p w14:paraId="125094B7" w14:textId="77777777" w:rsidR="005A2754" w:rsidRPr="00691087" w:rsidRDefault="005A2754" w:rsidP="00750D38">
            <w:pPr>
              <w:pStyle w:val="TableText0"/>
              <w:jc w:val="center"/>
              <w:rPr>
                <w:b/>
              </w:rPr>
            </w:pPr>
            <w:r w:rsidRPr="00691087">
              <w:rPr>
                <w:b/>
              </w:rPr>
              <w:t>N</w:t>
            </w:r>
          </w:p>
        </w:tc>
        <w:tc>
          <w:tcPr>
            <w:tcW w:w="868" w:type="pct"/>
            <w:shd w:val="clear" w:color="auto" w:fill="auto"/>
            <w:vAlign w:val="center"/>
          </w:tcPr>
          <w:p w14:paraId="3865E0CF" w14:textId="77777777" w:rsidR="005A2754" w:rsidRPr="00691087" w:rsidRDefault="005A2754" w:rsidP="00750D38">
            <w:pPr>
              <w:pStyle w:val="TableText0"/>
              <w:jc w:val="center"/>
              <w:rPr>
                <w:b/>
              </w:rPr>
            </w:pPr>
            <w:r w:rsidRPr="00691087">
              <w:rPr>
                <w:b/>
              </w:rPr>
              <w:t>Design/ duration of follow-up</w:t>
            </w:r>
          </w:p>
        </w:tc>
        <w:tc>
          <w:tcPr>
            <w:tcW w:w="581" w:type="pct"/>
            <w:shd w:val="clear" w:color="auto" w:fill="auto"/>
            <w:vAlign w:val="center"/>
          </w:tcPr>
          <w:p w14:paraId="376E451C" w14:textId="77777777" w:rsidR="005A2754" w:rsidRPr="00691087" w:rsidRDefault="005A2754" w:rsidP="00750D38">
            <w:pPr>
              <w:pStyle w:val="TableText0"/>
              <w:jc w:val="center"/>
              <w:rPr>
                <w:b/>
              </w:rPr>
            </w:pPr>
            <w:r w:rsidRPr="00691087">
              <w:rPr>
                <w:b/>
              </w:rPr>
              <w:t>Risk of bias</w:t>
            </w:r>
          </w:p>
        </w:tc>
        <w:tc>
          <w:tcPr>
            <w:tcW w:w="501" w:type="pct"/>
            <w:shd w:val="clear" w:color="auto" w:fill="auto"/>
            <w:vAlign w:val="center"/>
          </w:tcPr>
          <w:p w14:paraId="1C5E09D5" w14:textId="77777777" w:rsidR="005A2754" w:rsidRPr="00691087" w:rsidRDefault="005A2754" w:rsidP="00750D38">
            <w:pPr>
              <w:pStyle w:val="TableText0"/>
              <w:jc w:val="center"/>
              <w:rPr>
                <w:b/>
              </w:rPr>
            </w:pPr>
            <w:r w:rsidRPr="00691087">
              <w:rPr>
                <w:b/>
              </w:rPr>
              <w:t>Patient population</w:t>
            </w:r>
          </w:p>
        </w:tc>
        <w:tc>
          <w:tcPr>
            <w:tcW w:w="1724" w:type="pct"/>
            <w:shd w:val="clear" w:color="auto" w:fill="auto"/>
            <w:vAlign w:val="center"/>
          </w:tcPr>
          <w:p w14:paraId="5EABEEDE" w14:textId="77777777" w:rsidR="005A2754" w:rsidRPr="00691087" w:rsidRDefault="005A2754" w:rsidP="00750D38">
            <w:pPr>
              <w:pStyle w:val="TableText0"/>
              <w:jc w:val="center"/>
              <w:rPr>
                <w:b/>
              </w:rPr>
            </w:pPr>
            <w:r w:rsidRPr="00691087">
              <w:rPr>
                <w:b/>
              </w:rPr>
              <w:t>Outcomes</w:t>
            </w:r>
          </w:p>
        </w:tc>
      </w:tr>
      <w:tr w:rsidR="005A2754" w:rsidRPr="00691087" w14:paraId="6FDED4AE" w14:textId="77777777" w:rsidTr="00750D38">
        <w:tc>
          <w:tcPr>
            <w:tcW w:w="5000" w:type="pct"/>
            <w:gridSpan w:val="6"/>
            <w:shd w:val="clear" w:color="auto" w:fill="auto"/>
            <w:vAlign w:val="center"/>
          </w:tcPr>
          <w:p w14:paraId="2BD6F0C1" w14:textId="77777777" w:rsidR="005A2754" w:rsidRPr="00691087" w:rsidRDefault="005A2754" w:rsidP="00750D38">
            <w:pPr>
              <w:pStyle w:val="TableText0"/>
            </w:pPr>
            <w:r w:rsidRPr="00691087">
              <w:t>Cladribine versus placebo</w:t>
            </w:r>
          </w:p>
        </w:tc>
      </w:tr>
      <w:tr w:rsidR="005A2754" w:rsidRPr="00691087" w14:paraId="2BA844F4" w14:textId="77777777" w:rsidTr="00750D38">
        <w:tc>
          <w:tcPr>
            <w:tcW w:w="936" w:type="pct"/>
            <w:shd w:val="clear" w:color="auto" w:fill="auto"/>
            <w:vAlign w:val="center"/>
          </w:tcPr>
          <w:p w14:paraId="52921CBB" w14:textId="77777777" w:rsidR="005A2754" w:rsidRPr="00691087" w:rsidRDefault="005A2754" w:rsidP="00750D38">
            <w:pPr>
              <w:pStyle w:val="TableText0"/>
            </w:pPr>
            <w:r w:rsidRPr="00691087">
              <w:t>CLARITY</w:t>
            </w:r>
          </w:p>
        </w:tc>
        <w:tc>
          <w:tcPr>
            <w:tcW w:w="390" w:type="pct"/>
            <w:shd w:val="clear" w:color="auto" w:fill="auto"/>
            <w:vAlign w:val="center"/>
          </w:tcPr>
          <w:p w14:paraId="4A652626" w14:textId="77777777" w:rsidR="005A2754" w:rsidRPr="00691087" w:rsidRDefault="005A2754" w:rsidP="00750D38">
            <w:pPr>
              <w:pStyle w:val="TableText0"/>
              <w:jc w:val="center"/>
              <w:rPr>
                <w:rFonts w:eastAsia="Times New Roman" w:cs="Times New Roman"/>
              </w:rPr>
            </w:pPr>
            <w:r w:rsidRPr="00691087">
              <w:rPr>
                <w:rFonts w:eastAsia="Times New Roman" w:cs="Times New Roman"/>
              </w:rPr>
              <w:t>870*</w:t>
            </w:r>
          </w:p>
        </w:tc>
        <w:tc>
          <w:tcPr>
            <w:tcW w:w="868" w:type="pct"/>
            <w:shd w:val="clear" w:color="auto" w:fill="auto"/>
            <w:vAlign w:val="center"/>
          </w:tcPr>
          <w:p w14:paraId="25754F15" w14:textId="77777777" w:rsidR="005A2754" w:rsidRPr="00691087" w:rsidRDefault="005A2754" w:rsidP="00750D38">
            <w:pPr>
              <w:pStyle w:val="TableText0"/>
              <w:jc w:val="center"/>
              <w:rPr>
                <w:rFonts w:ascii="Times" w:eastAsia="Times New Roman" w:hAnsi="Times" w:cs="Times New Roman"/>
              </w:rPr>
            </w:pPr>
            <w:r w:rsidRPr="00691087">
              <w:t>R, DB</w:t>
            </w:r>
          </w:p>
          <w:p w14:paraId="206792DA" w14:textId="77777777" w:rsidR="005A2754" w:rsidRPr="00691087" w:rsidRDefault="005A2754" w:rsidP="00750D38">
            <w:pPr>
              <w:pStyle w:val="TableText0"/>
              <w:jc w:val="center"/>
              <w:rPr>
                <w:rFonts w:ascii="Times" w:eastAsia="Times New Roman" w:hAnsi="Times" w:cs="Times New Roman"/>
              </w:rPr>
            </w:pPr>
            <w:r w:rsidRPr="00691087">
              <w:t>96 weeks</w:t>
            </w:r>
          </w:p>
        </w:tc>
        <w:tc>
          <w:tcPr>
            <w:tcW w:w="581" w:type="pct"/>
            <w:shd w:val="clear" w:color="auto" w:fill="auto"/>
            <w:vAlign w:val="center"/>
          </w:tcPr>
          <w:p w14:paraId="40796DD7" w14:textId="77777777" w:rsidR="005A2754" w:rsidRPr="00691087" w:rsidRDefault="005A2754" w:rsidP="00750D38">
            <w:pPr>
              <w:pStyle w:val="TableText0"/>
              <w:jc w:val="center"/>
              <w:rPr>
                <w:rFonts w:ascii="Times" w:eastAsia="Times New Roman" w:hAnsi="Times" w:cs="Times New Roman"/>
              </w:rPr>
            </w:pPr>
            <w:r w:rsidRPr="00691087">
              <w:t>Low</w:t>
            </w:r>
          </w:p>
        </w:tc>
        <w:tc>
          <w:tcPr>
            <w:tcW w:w="501" w:type="pct"/>
            <w:shd w:val="clear" w:color="auto" w:fill="auto"/>
            <w:vAlign w:val="center"/>
          </w:tcPr>
          <w:p w14:paraId="0D77B73C" w14:textId="77777777" w:rsidR="005A2754" w:rsidRPr="00691087" w:rsidRDefault="005A2754" w:rsidP="00750D38">
            <w:pPr>
              <w:pStyle w:val="TableText0"/>
              <w:jc w:val="center"/>
              <w:rPr>
                <w:rFonts w:ascii="Times" w:eastAsia="Times New Roman" w:hAnsi="Times" w:cs="Times New Roman"/>
              </w:rPr>
            </w:pPr>
            <w:r w:rsidRPr="00691087">
              <w:t>RRMS</w:t>
            </w:r>
          </w:p>
        </w:tc>
        <w:tc>
          <w:tcPr>
            <w:tcW w:w="1724" w:type="pct"/>
            <w:shd w:val="clear" w:color="auto" w:fill="auto"/>
            <w:vAlign w:val="center"/>
          </w:tcPr>
          <w:p w14:paraId="44BD4260" w14:textId="77777777" w:rsidR="005A2754" w:rsidRPr="00691087" w:rsidRDefault="005A2754" w:rsidP="00750D38">
            <w:pPr>
              <w:pStyle w:val="TableText0"/>
              <w:jc w:val="center"/>
              <w:rPr>
                <w:rFonts w:ascii="Times" w:eastAsia="Times New Roman" w:hAnsi="Times" w:cs="Times New Roman"/>
              </w:rPr>
            </w:pPr>
            <w:r w:rsidRPr="00691087">
              <w:t>ARR, % remaining relapse free, 3-month disability progression</w:t>
            </w:r>
          </w:p>
        </w:tc>
      </w:tr>
      <w:tr w:rsidR="005A2754" w:rsidRPr="00691087" w14:paraId="0B1834C9" w14:textId="77777777" w:rsidTr="00750D38">
        <w:tc>
          <w:tcPr>
            <w:tcW w:w="5000" w:type="pct"/>
            <w:gridSpan w:val="6"/>
            <w:shd w:val="clear" w:color="auto" w:fill="auto"/>
            <w:vAlign w:val="center"/>
          </w:tcPr>
          <w:p w14:paraId="716A0394" w14:textId="77777777" w:rsidR="005A2754" w:rsidRPr="00691087" w:rsidRDefault="005A2754" w:rsidP="00750D38">
            <w:pPr>
              <w:pStyle w:val="TableText0"/>
            </w:pPr>
            <w:r w:rsidRPr="00691087">
              <w:t>Fingolimod versus placebo</w:t>
            </w:r>
          </w:p>
        </w:tc>
      </w:tr>
      <w:tr w:rsidR="005A2754" w:rsidRPr="00691087" w14:paraId="21652CFD" w14:textId="77777777" w:rsidTr="00750D38">
        <w:tc>
          <w:tcPr>
            <w:tcW w:w="936" w:type="pct"/>
            <w:shd w:val="clear" w:color="auto" w:fill="auto"/>
            <w:vAlign w:val="center"/>
          </w:tcPr>
          <w:p w14:paraId="3AADCBC7" w14:textId="77777777" w:rsidR="005A2754" w:rsidRPr="00691087" w:rsidRDefault="005A2754" w:rsidP="00750D38">
            <w:pPr>
              <w:pStyle w:val="TableText0"/>
              <w:rPr>
                <w:rFonts w:ascii="Times" w:eastAsia="Times New Roman" w:hAnsi="Times" w:cs="Times New Roman"/>
              </w:rPr>
            </w:pPr>
            <w:r w:rsidRPr="00691087">
              <w:t>FREEDOMS</w:t>
            </w:r>
          </w:p>
        </w:tc>
        <w:tc>
          <w:tcPr>
            <w:tcW w:w="390" w:type="pct"/>
            <w:shd w:val="clear" w:color="auto" w:fill="auto"/>
            <w:vAlign w:val="center"/>
          </w:tcPr>
          <w:p w14:paraId="386F5315" w14:textId="77777777" w:rsidR="005A2754" w:rsidRPr="00691087" w:rsidRDefault="005A2754" w:rsidP="00750D38">
            <w:pPr>
              <w:pStyle w:val="TableText0"/>
              <w:jc w:val="center"/>
              <w:rPr>
                <w:rFonts w:eastAsia="Times New Roman" w:cs="Times New Roman"/>
              </w:rPr>
            </w:pPr>
            <w:r w:rsidRPr="00691087">
              <w:rPr>
                <w:rFonts w:eastAsia="Times New Roman" w:cs="Times New Roman"/>
              </w:rPr>
              <w:t>843*</w:t>
            </w:r>
          </w:p>
        </w:tc>
        <w:tc>
          <w:tcPr>
            <w:tcW w:w="868" w:type="pct"/>
            <w:shd w:val="clear" w:color="auto" w:fill="auto"/>
            <w:vAlign w:val="center"/>
          </w:tcPr>
          <w:p w14:paraId="21D3128A" w14:textId="77777777" w:rsidR="005A2754" w:rsidRPr="00691087" w:rsidRDefault="005A2754" w:rsidP="00750D38">
            <w:pPr>
              <w:pStyle w:val="TableText0"/>
              <w:jc w:val="center"/>
              <w:rPr>
                <w:rFonts w:ascii="Times" w:eastAsia="Times New Roman" w:hAnsi="Times" w:cs="Times New Roman"/>
              </w:rPr>
            </w:pPr>
            <w:r w:rsidRPr="00691087">
              <w:t>R, DB</w:t>
            </w:r>
          </w:p>
          <w:p w14:paraId="397AFDAB" w14:textId="77777777" w:rsidR="005A2754" w:rsidRPr="00691087" w:rsidRDefault="005A2754" w:rsidP="00750D38">
            <w:pPr>
              <w:pStyle w:val="TableText0"/>
              <w:jc w:val="center"/>
              <w:rPr>
                <w:rFonts w:ascii="Times" w:eastAsia="Times New Roman" w:hAnsi="Times" w:cs="Times New Roman"/>
              </w:rPr>
            </w:pPr>
            <w:r w:rsidRPr="00691087">
              <w:t>96 weeks</w:t>
            </w:r>
          </w:p>
        </w:tc>
        <w:tc>
          <w:tcPr>
            <w:tcW w:w="581" w:type="pct"/>
            <w:shd w:val="clear" w:color="auto" w:fill="auto"/>
            <w:vAlign w:val="center"/>
          </w:tcPr>
          <w:p w14:paraId="3E62522D" w14:textId="77777777" w:rsidR="005A2754" w:rsidRPr="00691087" w:rsidRDefault="005A2754" w:rsidP="00750D38">
            <w:pPr>
              <w:pStyle w:val="TableText0"/>
              <w:jc w:val="center"/>
              <w:rPr>
                <w:rFonts w:ascii="Times" w:eastAsia="Times New Roman" w:hAnsi="Times" w:cs="Times New Roman"/>
              </w:rPr>
            </w:pPr>
            <w:r w:rsidRPr="00691087">
              <w:t>Low</w:t>
            </w:r>
          </w:p>
        </w:tc>
        <w:tc>
          <w:tcPr>
            <w:tcW w:w="501" w:type="pct"/>
            <w:vMerge w:val="restart"/>
            <w:shd w:val="clear" w:color="auto" w:fill="auto"/>
            <w:vAlign w:val="center"/>
          </w:tcPr>
          <w:p w14:paraId="5CF76602" w14:textId="77777777" w:rsidR="005A2754" w:rsidRPr="00691087" w:rsidRDefault="005A2754" w:rsidP="00750D38">
            <w:pPr>
              <w:pStyle w:val="TableText0"/>
              <w:jc w:val="center"/>
              <w:rPr>
                <w:rFonts w:ascii="Times" w:eastAsia="Times New Roman" w:hAnsi="Times" w:cs="Times New Roman"/>
              </w:rPr>
            </w:pPr>
            <w:r w:rsidRPr="00691087">
              <w:t>RRMS</w:t>
            </w:r>
          </w:p>
        </w:tc>
        <w:tc>
          <w:tcPr>
            <w:tcW w:w="1724" w:type="pct"/>
            <w:vMerge w:val="restart"/>
            <w:shd w:val="clear" w:color="auto" w:fill="auto"/>
            <w:vAlign w:val="center"/>
          </w:tcPr>
          <w:p w14:paraId="1A113684" w14:textId="77777777" w:rsidR="005A2754" w:rsidRPr="00691087" w:rsidRDefault="005A2754" w:rsidP="00750D38">
            <w:pPr>
              <w:pStyle w:val="TableText0"/>
              <w:jc w:val="center"/>
              <w:rPr>
                <w:rFonts w:ascii="Times" w:eastAsia="Times New Roman" w:hAnsi="Times" w:cs="Times New Roman"/>
              </w:rPr>
            </w:pPr>
            <w:r w:rsidRPr="00691087">
              <w:t>ARR, % remaining relapse free, 3-month disability progression, 6-month disability progression</w:t>
            </w:r>
          </w:p>
        </w:tc>
      </w:tr>
      <w:tr w:rsidR="005A2754" w:rsidRPr="00691087" w14:paraId="3C08DBEA" w14:textId="77777777" w:rsidTr="00750D38">
        <w:tc>
          <w:tcPr>
            <w:tcW w:w="936" w:type="pct"/>
            <w:shd w:val="clear" w:color="auto" w:fill="auto"/>
            <w:vAlign w:val="center"/>
          </w:tcPr>
          <w:p w14:paraId="417BA0E1" w14:textId="77777777" w:rsidR="005A2754" w:rsidRPr="00691087" w:rsidRDefault="005A2754" w:rsidP="00750D38">
            <w:pPr>
              <w:pStyle w:val="TableText0"/>
              <w:rPr>
                <w:rFonts w:ascii="Times" w:eastAsia="Times New Roman" w:hAnsi="Times" w:cs="Times New Roman"/>
              </w:rPr>
            </w:pPr>
            <w:r w:rsidRPr="00691087">
              <w:t>FREEDOMS II</w:t>
            </w:r>
          </w:p>
        </w:tc>
        <w:tc>
          <w:tcPr>
            <w:tcW w:w="390" w:type="pct"/>
            <w:shd w:val="clear" w:color="auto" w:fill="auto"/>
            <w:vAlign w:val="center"/>
          </w:tcPr>
          <w:p w14:paraId="3ED7AFB4" w14:textId="77777777" w:rsidR="005A2754" w:rsidRPr="00691087" w:rsidRDefault="005A2754" w:rsidP="00750D38">
            <w:pPr>
              <w:pStyle w:val="TableText0"/>
              <w:jc w:val="center"/>
              <w:rPr>
                <w:rFonts w:eastAsia="Times New Roman" w:cs="Times New Roman"/>
              </w:rPr>
            </w:pPr>
            <w:r w:rsidRPr="00691087">
              <w:rPr>
                <w:rFonts w:eastAsia="Times New Roman" w:cs="Times New Roman"/>
              </w:rPr>
              <w:t>713*</w:t>
            </w:r>
          </w:p>
        </w:tc>
        <w:tc>
          <w:tcPr>
            <w:tcW w:w="868" w:type="pct"/>
            <w:shd w:val="clear" w:color="auto" w:fill="auto"/>
            <w:vAlign w:val="center"/>
          </w:tcPr>
          <w:p w14:paraId="737C6FAB" w14:textId="77777777" w:rsidR="005A2754" w:rsidRPr="00691087" w:rsidRDefault="005A2754" w:rsidP="00750D38">
            <w:pPr>
              <w:pStyle w:val="TableText0"/>
              <w:jc w:val="center"/>
              <w:rPr>
                <w:rFonts w:ascii="Times" w:eastAsia="Times New Roman" w:hAnsi="Times" w:cs="Times New Roman"/>
              </w:rPr>
            </w:pPr>
            <w:r w:rsidRPr="00691087">
              <w:t>R, DB</w:t>
            </w:r>
          </w:p>
          <w:p w14:paraId="07D4E6D0" w14:textId="77777777" w:rsidR="005A2754" w:rsidRPr="00691087" w:rsidRDefault="005A2754" w:rsidP="00750D38">
            <w:pPr>
              <w:pStyle w:val="TableText0"/>
              <w:jc w:val="center"/>
              <w:rPr>
                <w:rFonts w:ascii="Times" w:eastAsia="Times New Roman" w:hAnsi="Times" w:cs="Times New Roman"/>
              </w:rPr>
            </w:pPr>
            <w:r w:rsidRPr="00691087">
              <w:t>96 weeks</w:t>
            </w:r>
          </w:p>
        </w:tc>
        <w:tc>
          <w:tcPr>
            <w:tcW w:w="581" w:type="pct"/>
            <w:shd w:val="clear" w:color="auto" w:fill="auto"/>
            <w:vAlign w:val="center"/>
          </w:tcPr>
          <w:p w14:paraId="0DA77E6D" w14:textId="77777777" w:rsidR="005A2754" w:rsidRPr="00691087" w:rsidRDefault="005A2754" w:rsidP="00750D38">
            <w:pPr>
              <w:pStyle w:val="TableText0"/>
              <w:jc w:val="center"/>
              <w:rPr>
                <w:rFonts w:ascii="Times" w:eastAsia="Times New Roman" w:hAnsi="Times" w:cs="Times New Roman"/>
              </w:rPr>
            </w:pPr>
            <w:r w:rsidRPr="00691087">
              <w:t>Low</w:t>
            </w:r>
          </w:p>
        </w:tc>
        <w:tc>
          <w:tcPr>
            <w:tcW w:w="501" w:type="pct"/>
            <w:vMerge/>
            <w:shd w:val="clear" w:color="auto" w:fill="auto"/>
            <w:vAlign w:val="center"/>
          </w:tcPr>
          <w:p w14:paraId="6DA9CC4C" w14:textId="77777777" w:rsidR="005A2754" w:rsidRPr="00691087" w:rsidRDefault="005A2754" w:rsidP="00750D38">
            <w:pPr>
              <w:pStyle w:val="TableText0"/>
              <w:rPr>
                <w:rFonts w:ascii="Times" w:eastAsia="Times New Roman" w:hAnsi="Times" w:cs="Times New Roman"/>
              </w:rPr>
            </w:pPr>
          </w:p>
        </w:tc>
        <w:tc>
          <w:tcPr>
            <w:tcW w:w="1724" w:type="pct"/>
            <w:vMerge/>
            <w:shd w:val="clear" w:color="auto" w:fill="auto"/>
            <w:vAlign w:val="center"/>
          </w:tcPr>
          <w:p w14:paraId="260F825C" w14:textId="77777777" w:rsidR="005A2754" w:rsidRPr="00691087" w:rsidRDefault="005A2754" w:rsidP="00750D38">
            <w:pPr>
              <w:pStyle w:val="TableText0"/>
              <w:rPr>
                <w:rFonts w:ascii="Times" w:eastAsia="Times New Roman" w:hAnsi="Times" w:cs="Times New Roman"/>
              </w:rPr>
            </w:pPr>
          </w:p>
        </w:tc>
      </w:tr>
      <w:tr w:rsidR="005A2754" w:rsidRPr="00691087" w14:paraId="4F27C2C1" w14:textId="77777777" w:rsidTr="00750D38">
        <w:tc>
          <w:tcPr>
            <w:tcW w:w="936" w:type="pct"/>
            <w:shd w:val="clear" w:color="auto" w:fill="auto"/>
            <w:vAlign w:val="center"/>
          </w:tcPr>
          <w:p w14:paraId="3AE96757" w14:textId="77777777" w:rsidR="005A2754" w:rsidRPr="00691087" w:rsidRDefault="005A2754" w:rsidP="00750D38">
            <w:pPr>
              <w:pStyle w:val="TableText0"/>
              <w:rPr>
                <w:rFonts w:ascii="Times" w:eastAsia="Times New Roman" w:hAnsi="Times" w:cs="Times New Roman"/>
              </w:rPr>
            </w:pPr>
            <w:r w:rsidRPr="00691087">
              <w:t>Meta-analysis</w:t>
            </w:r>
          </w:p>
        </w:tc>
        <w:tc>
          <w:tcPr>
            <w:tcW w:w="390" w:type="pct"/>
            <w:shd w:val="clear" w:color="auto" w:fill="auto"/>
            <w:vAlign w:val="center"/>
          </w:tcPr>
          <w:p w14:paraId="272E4B73" w14:textId="77777777" w:rsidR="005A2754" w:rsidRPr="00691087" w:rsidRDefault="005A2754" w:rsidP="005A5D70">
            <w:pPr>
              <w:pStyle w:val="TableText0"/>
              <w:jc w:val="center"/>
              <w:rPr>
                <w:rFonts w:eastAsia="Times New Roman" w:cs="Times New Roman"/>
              </w:rPr>
            </w:pPr>
            <w:r w:rsidRPr="00691087">
              <w:rPr>
                <w:rFonts w:eastAsia="Times New Roman" w:cs="Times New Roman"/>
              </w:rPr>
              <w:t>NA</w:t>
            </w:r>
          </w:p>
        </w:tc>
        <w:tc>
          <w:tcPr>
            <w:tcW w:w="3674" w:type="pct"/>
            <w:gridSpan w:val="4"/>
            <w:shd w:val="clear" w:color="auto" w:fill="auto"/>
            <w:vAlign w:val="center"/>
          </w:tcPr>
          <w:p w14:paraId="36114243" w14:textId="77777777" w:rsidR="005A2754" w:rsidRPr="00691087" w:rsidRDefault="005A2754" w:rsidP="00750D38">
            <w:pPr>
              <w:pStyle w:val="TableText0"/>
              <w:rPr>
                <w:rFonts w:ascii="Times" w:eastAsia="Times New Roman" w:hAnsi="Times" w:cs="Times New Roman"/>
              </w:rPr>
            </w:pPr>
            <w:r w:rsidRPr="00691087">
              <w:t>Pooled analysis of FREEDOMS and FREEDOMS II</w:t>
            </w:r>
          </w:p>
        </w:tc>
      </w:tr>
      <w:tr w:rsidR="005A2754" w:rsidRPr="00691087" w14:paraId="6CD09102" w14:textId="77777777" w:rsidTr="00750D38">
        <w:tc>
          <w:tcPr>
            <w:tcW w:w="5000" w:type="pct"/>
            <w:gridSpan w:val="6"/>
            <w:shd w:val="clear" w:color="auto" w:fill="auto"/>
            <w:vAlign w:val="center"/>
          </w:tcPr>
          <w:p w14:paraId="43674BB7" w14:textId="77777777" w:rsidR="005A2754" w:rsidRPr="00691087" w:rsidRDefault="005A2754" w:rsidP="00750D38">
            <w:pPr>
              <w:pStyle w:val="TableText0"/>
            </w:pPr>
            <w:r w:rsidRPr="00691087">
              <w:t>Trial extensions</w:t>
            </w:r>
          </w:p>
        </w:tc>
      </w:tr>
      <w:tr w:rsidR="005A2754" w:rsidRPr="00691087" w14:paraId="4021F15B" w14:textId="77777777" w:rsidTr="00750D38">
        <w:tc>
          <w:tcPr>
            <w:tcW w:w="936" w:type="pct"/>
            <w:shd w:val="clear" w:color="auto" w:fill="auto"/>
            <w:vAlign w:val="center"/>
          </w:tcPr>
          <w:p w14:paraId="1857D84A" w14:textId="77777777" w:rsidR="005A2754" w:rsidRPr="00691087" w:rsidRDefault="005A2754" w:rsidP="00750D38">
            <w:pPr>
              <w:pStyle w:val="TableText0"/>
            </w:pPr>
            <w:r w:rsidRPr="00691087">
              <w:t>CLARITY EXT</w:t>
            </w:r>
          </w:p>
        </w:tc>
        <w:tc>
          <w:tcPr>
            <w:tcW w:w="390" w:type="pct"/>
            <w:shd w:val="clear" w:color="auto" w:fill="auto"/>
            <w:vAlign w:val="center"/>
          </w:tcPr>
          <w:p w14:paraId="7D114B59" w14:textId="77777777" w:rsidR="005A2754" w:rsidRPr="00691087" w:rsidRDefault="005A2754" w:rsidP="00750D38">
            <w:pPr>
              <w:pStyle w:val="TableText0"/>
              <w:jc w:val="center"/>
              <w:rPr>
                <w:rFonts w:eastAsia="Times New Roman" w:cs="Times New Roman"/>
              </w:rPr>
            </w:pPr>
            <w:r w:rsidRPr="00691087">
              <w:rPr>
                <w:rFonts w:eastAsia="Times New Roman" w:cs="Times New Roman"/>
              </w:rPr>
              <w:t>284**</w:t>
            </w:r>
          </w:p>
        </w:tc>
        <w:tc>
          <w:tcPr>
            <w:tcW w:w="868" w:type="pct"/>
            <w:shd w:val="clear" w:color="auto" w:fill="auto"/>
            <w:vAlign w:val="center"/>
          </w:tcPr>
          <w:p w14:paraId="1B848594" w14:textId="77777777" w:rsidR="005A2754" w:rsidRPr="00691087" w:rsidRDefault="005A2754" w:rsidP="00750D38">
            <w:pPr>
              <w:pStyle w:val="TableText0"/>
              <w:jc w:val="center"/>
            </w:pPr>
            <w:r w:rsidRPr="00691087">
              <w:t>R, DB</w:t>
            </w:r>
          </w:p>
        </w:tc>
        <w:tc>
          <w:tcPr>
            <w:tcW w:w="581" w:type="pct"/>
            <w:shd w:val="clear" w:color="auto" w:fill="auto"/>
            <w:vAlign w:val="center"/>
          </w:tcPr>
          <w:p w14:paraId="46053623" w14:textId="77777777" w:rsidR="005A2754" w:rsidRPr="00691087" w:rsidRDefault="005A2754" w:rsidP="00750D38">
            <w:pPr>
              <w:pStyle w:val="TableText0"/>
              <w:jc w:val="center"/>
            </w:pPr>
            <w:r w:rsidRPr="00691087">
              <w:t>Unclear</w:t>
            </w:r>
          </w:p>
        </w:tc>
        <w:tc>
          <w:tcPr>
            <w:tcW w:w="501" w:type="pct"/>
            <w:vMerge w:val="restart"/>
            <w:shd w:val="clear" w:color="auto" w:fill="auto"/>
            <w:vAlign w:val="center"/>
          </w:tcPr>
          <w:p w14:paraId="50FABF78" w14:textId="77777777" w:rsidR="005A2754" w:rsidRPr="00691087" w:rsidRDefault="005A2754" w:rsidP="00750D38">
            <w:pPr>
              <w:pStyle w:val="TableText0"/>
              <w:jc w:val="center"/>
            </w:pPr>
            <w:r w:rsidRPr="00691087">
              <w:t>RRMS</w:t>
            </w:r>
          </w:p>
        </w:tc>
        <w:tc>
          <w:tcPr>
            <w:tcW w:w="1724" w:type="pct"/>
            <w:vMerge w:val="restart"/>
            <w:shd w:val="clear" w:color="auto" w:fill="auto"/>
            <w:vAlign w:val="center"/>
          </w:tcPr>
          <w:p w14:paraId="3E9047DE" w14:textId="77777777" w:rsidR="005A2754" w:rsidRPr="00691087" w:rsidRDefault="005A2754" w:rsidP="00750D38">
            <w:pPr>
              <w:pStyle w:val="TableText0"/>
              <w:jc w:val="center"/>
            </w:pPr>
            <w:r w:rsidRPr="00691087">
              <w:t>ARR, % remaining relapse free, 3-month disability progression, 6-month disability progression</w:t>
            </w:r>
          </w:p>
        </w:tc>
      </w:tr>
      <w:tr w:rsidR="005A2754" w:rsidRPr="00691087" w14:paraId="2DF86332" w14:textId="77777777" w:rsidTr="00750D38">
        <w:tc>
          <w:tcPr>
            <w:tcW w:w="936" w:type="pct"/>
            <w:shd w:val="clear" w:color="auto" w:fill="auto"/>
            <w:vAlign w:val="center"/>
          </w:tcPr>
          <w:p w14:paraId="71350480" w14:textId="77777777" w:rsidR="005A2754" w:rsidRPr="00691087" w:rsidRDefault="005A2754" w:rsidP="00750D38">
            <w:pPr>
              <w:pStyle w:val="TableText0"/>
            </w:pPr>
            <w:r w:rsidRPr="00691087">
              <w:t>FREEDOMS EXT</w:t>
            </w:r>
          </w:p>
        </w:tc>
        <w:tc>
          <w:tcPr>
            <w:tcW w:w="390" w:type="pct"/>
            <w:shd w:val="clear" w:color="auto" w:fill="auto"/>
            <w:vAlign w:val="center"/>
          </w:tcPr>
          <w:p w14:paraId="19FA978A" w14:textId="77777777" w:rsidR="005A2754" w:rsidRPr="00691087" w:rsidRDefault="005A2754" w:rsidP="00750D38">
            <w:pPr>
              <w:pStyle w:val="TableText0"/>
              <w:jc w:val="center"/>
              <w:rPr>
                <w:rFonts w:eastAsia="Times New Roman" w:cs="Times New Roman"/>
              </w:rPr>
            </w:pPr>
            <w:r w:rsidRPr="00691087">
              <w:rPr>
                <w:rFonts w:eastAsia="Times New Roman" w:cs="Times New Roman"/>
              </w:rPr>
              <w:t>486</w:t>
            </w:r>
          </w:p>
        </w:tc>
        <w:tc>
          <w:tcPr>
            <w:tcW w:w="868" w:type="pct"/>
            <w:shd w:val="clear" w:color="auto" w:fill="auto"/>
            <w:vAlign w:val="center"/>
          </w:tcPr>
          <w:p w14:paraId="3D94587B" w14:textId="77777777" w:rsidR="005A2754" w:rsidRPr="00691087" w:rsidRDefault="005A2754" w:rsidP="00750D38">
            <w:pPr>
              <w:pStyle w:val="TableText0"/>
              <w:jc w:val="center"/>
            </w:pPr>
            <w:r w:rsidRPr="00691087">
              <w:t>R, DB</w:t>
            </w:r>
          </w:p>
        </w:tc>
        <w:tc>
          <w:tcPr>
            <w:tcW w:w="581" w:type="pct"/>
            <w:shd w:val="clear" w:color="auto" w:fill="auto"/>
            <w:vAlign w:val="center"/>
          </w:tcPr>
          <w:p w14:paraId="7F134E3B" w14:textId="77777777" w:rsidR="005A2754" w:rsidRPr="00691087" w:rsidRDefault="005A2754" w:rsidP="00750D38">
            <w:pPr>
              <w:pStyle w:val="TableText0"/>
              <w:jc w:val="center"/>
            </w:pPr>
            <w:r w:rsidRPr="00691087">
              <w:t>Unclear</w:t>
            </w:r>
          </w:p>
        </w:tc>
        <w:tc>
          <w:tcPr>
            <w:tcW w:w="501" w:type="pct"/>
            <w:vMerge/>
            <w:shd w:val="clear" w:color="auto" w:fill="auto"/>
            <w:vAlign w:val="center"/>
          </w:tcPr>
          <w:p w14:paraId="22AD2EB0" w14:textId="77777777" w:rsidR="005A2754" w:rsidRPr="00691087" w:rsidRDefault="005A2754" w:rsidP="00750D38">
            <w:pPr>
              <w:pStyle w:val="TableText0"/>
            </w:pPr>
          </w:p>
        </w:tc>
        <w:tc>
          <w:tcPr>
            <w:tcW w:w="1724" w:type="pct"/>
            <w:vMerge/>
            <w:shd w:val="clear" w:color="auto" w:fill="auto"/>
            <w:vAlign w:val="center"/>
          </w:tcPr>
          <w:p w14:paraId="68E4D626" w14:textId="77777777" w:rsidR="005A2754" w:rsidRPr="00691087" w:rsidRDefault="005A2754" w:rsidP="00750D38">
            <w:pPr>
              <w:pStyle w:val="TableText0"/>
            </w:pPr>
          </w:p>
        </w:tc>
      </w:tr>
      <w:tr w:rsidR="005A2754" w:rsidRPr="00691087" w14:paraId="796979B7" w14:textId="77777777" w:rsidTr="00750D38">
        <w:tc>
          <w:tcPr>
            <w:tcW w:w="936" w:type="pct"/>
            <w:shd w:val="clear" w:color="auto" w:fill="auto"/>
            <w:vAlign w:val="center"/>
          </w:tcPr>
          <w:p w14:paraId="2D024484" w14:textId="77777777" w:rsidR="005A2754" w:rsidRPr="00691087" w:rsidRDefault="005A2754" w:rsidP="00750D38">
            <w:pPr>
              <w:pStyle w:val="TableText0"/>
            </w:pPr>
            <w:r w:rsidRPr="00691087">
              <w:t>FREEDOMS II EXT</w:t>
            </w:r>
          </w:p>
        </w:tc>
        <w:tc>
          <w:tcPr>
            <w:tcW w:w="390" w:type="pct"/>
            <w:shd w:val="clear" w:color="auto" w:fill="auto"/>
            <w:vAlign w:val="center"/>
          </w:tcPr>
          <w:p w14:paraId="4B0B3D24" w14:textId="77777777" w:rsidR="005A2754" w:rsidRPr="00691087" w:rsidRDefault="005A2754" w:rsidP="00750D38">
            <w:pPr>
              <w:pStyle w:val="TableText0"/>
              <w:jc w:val="center"/>
              <w:rPr>
                <w:rFonts w:eastAsia="Times New Roman" w:cs="Times New Roman"/>
              </w:rPr>
            </w:pPr>
            <w:r w:rsidRPr="00691087">
              <w:rPr>
                <w:rFonts w:eastAsia="Times New Roman" w:cs="Times New Roman"/>
              </w:rPr>
              <w:t>632</w:t>
            </w:r>
          </w:p>
        </w:tc>
        <w:tc>
          <w:tcPr>
            <w:tcW w:w="868" w:type="pct"/>
            <w:shd w:val="clear" w:color="auto" w:fill="auto"/>
            <w:vAlign w:val="center"/>
          </w:tcPr>
          <w:p w14:paraId="093568F8" w14:textId="77777777" w:rsidR="005A2754" w:rsidRPr="00691087" w:rsidRDefault="005A2754" w:rsidP="00750D38">
            <w:pPr>
              <w:pStyle w:val="TableText0"/>
              <w:jc w:val="center"/>
            </w:pPr>
            <w:r w:rsidRPr="00691087">
              <w:t>Trial design not reported</w:t>
            </w:r>
          </w:p>
        </w:tc>
        <w:tc>
          <w:tcPr>
            <w:tcW w:w="581" w:type="pct"/>
            <w:shd w:val="clear" w:color="auto" w:fill="auto"/>
            <w:vAlign w:val="center"/>
          </w:tcPr>
          <w:p w14:paraId="6108B23B" w14:textId="77777777" w:rsidR="005A2754" w:rsidRPr="00691087" w:rsidRDefault="005A2754" w:rsidP="00750D38">
            <w:pPr>
              <w:pStyle w:val="TableText0"/>
              <w:jc w:val="center"/>
            </w:pPr>
            <w:r w:rsidRPr="00691087">
              <w:t>Unclear</w:t>
            </w:r>
          </w:p>
        </w:tc>
        <w:tc>
          <w:tcPr>
            <w:tcW w:w="501" w:type="pct"/>
            <w:vMerge/>
            <w:shd w:val="clear" w:color="auto" w:fill="auto"/>
            <w:vAlign w:val="center"/>
          </w:tcPr>
          <w:p w14:paraId="25AA6DDB" w14:textId="77777777" w:rsidR="005A2754" w:rsidRPr="00691087" w:rsidRDefault="005A2754" w:rsidP="00750D38">
            <w:pPr>
              <w:pStyle w:val="TableText0"/>
            </w:pPr>
          </w:p>
        </w:tc>
        <w:tc>
          <w:tcPr>
            <w:tcW w:w="1724" w:type="pct"/>
            <w:vMerge/>
            <w:shd w:val="clear" w:color="auto" w:fill="auto"/>
            <w:vAlign w:val="center"/>
          </w:tcPr>
          <w:p w14:paraId="16453E08" w14:textId="77777777" w:rsidR="005A2754" w:rsidRPr="00691087" w:rsidRDefault="005A2754" w:rsidP="00750D38">
            <w:pPr>
              <w:pStyle w:val="TableText0"/>
            </w:pPr>
          </w:p>
        </w:tc>
      </w:tr>
    </w:tbl>
    <w:p w14:paraId="5E6F6640" w14:textId="77777777" w:rsidR="005A2754" w:rsidRPr="00691087" w:rsidRDefault="005A2754" w:rsidP="005A2754">
      <w:pPr>
        <w:pStyle w:val="TableFooter"/>
      </w:pPr>
      <w:r w:rsidRPr="00691087">
        <w:t>Source: compiled during the November 2017 evaluation</w:t>
      </w:r>
    </w:p>
    <w:p w14:paraId="72B2A05B" w14:textId="77777777" w:rsidR="005A2754" w:rsidRPr="00691087" w:rsidRDefault="005A2754" w:rsidP="005A2754">
      <w:pPr>
        <w:pStyle w:val="TableFooter"/>
      </w:pPr>
      <w:r w:rsidRPr="00691087">
        <w:t>ARR=annualised relapse rate; DB=double blind; EXT = extension; MC=multi-centre; NA = not applicable OL=open label; OS=overall survival; PFS=progression-free survival; R=randomised.</w:t>
      </w:r>
    </w:p>
    <w:p w14:paraId="49BEAD9B" w14:textId="77777777" w:rsidR="005A2754" w:rsidRPr="00691087" w:rsidRDefault="005A2754" w:rsidP="005A2754">
      <w:pPr>
        <w:pStyle w:val="TableFooter"/>
        <w:tabs>
          <w:tab w:val="left" w:pos="284"/>
        </w:tabs>
        <w:ind w:left="284" w:hanging="284"/>
      </w:pPr>
      <w:r w:rsidRPr="00691087">
        <w:t>*</w:t>
      </w:r>
      <w:r w:rsidRPr="00691087">
        <w:tab/>
        <w:t>N based on total randomised to the relevant active treatment arm (3.5 mg/kg cladribine and 0.5 mg fingolimod) plus placebo only</w:t>
      </w:r>
    </w:p>
    <w:p w14:paraId="134988D2" w14:textId="7AACC6BD" w:rsidR="005A2754" w:rsidRPr="00691087" w:rsidRDefault="005A2754" w:rsidP="00FE1A1E">
      <w:pPr>
        <w:pStyle w:val="TableFooter"/>
        <w:tabs>
          <w:tab w:val="left" w:pos="284"/>
        </w:tabs>
        <w:spacing w:after="120"/>
      </w:pPr>
      <w:r w:rsidRPr="00691087">
        <w:t>**</w:t>
      </w:r>
      <w:r w:rsidRPr="00691087">
        <w:tab/>
        <w:t>based only on relevant arms of extension study (cladribine 3.5 mg/kg to placebo arm and cladribine 3.5 mg/kg continued arm)</w:t>
      </w:r>
    </w:p>
    <w:p w14:paraId="0712AD18" w14:textId="77777777" w:rsidR="005A2754" w:rsidRPr="00691087" w:rsidRDefault="00B56649" w:rsidP="005A2754">
      <w:pPr>
        <w:pStyle w:val="ListParagraph"/>
        <w:widowControl/>
        <w:numPr>
          <w:ilvl w:val="1"/>
          <w:numId w:val="2"/>
        </w:numPr>
      </w:pPr>
      <w:r w:rsidRPr="00691087">
        <w:t>In t</w:t>
      </w:r>
      <w:r w:rsidR="005A2754" w:rsidRPr="00691087">
        <w:t xml:space="preserve">he November 2017 PBAC ratified </w:t>
      </w:r>
      <w:r w:rsidR="008B42AA">
        <w:t>PSD</w:t>
      </w:r>
      <w:r w:rsidR="005A2754" w:rsidRPr="00691087">
        <w:t xml:space="preserve"> for cladribine (Item 7.02), the PBAC noted concerns about the usefulness of CLARITY EXT in supporting a claim of non-inferior efficacy between cladribine and fingolimod over </w:t>
      </w:r>
      <w:r w:rsidRPr="00691087">
        <w:t>four</w:t>
      </w:r>
      <w:r w:rsidR="005A2754" w:rsidRPr="00691087">
        <w:t xml:space="preserve"> years. The current submission presented a summary of the PBAC issues and how these </w:t>
      </w:r>
      <w:r w:rsidR="00A471CD" w:rsidRPr="00691087">
        <w:t>we</w:t>
      </w:r>
      <w:r w:rsidR="005A2754" w:rsidRPr="00691087">
        <w:t>re addressed in the current submission.</w:t>
      </w:r>
    </w:p>
    <w:p w14:paraId="72872C29" w14:textId="77777777" w:rsidR="005A2754" w:rsidRPr="00691087" w:rsidRDefault="005A2754" w:rsidP="00B56649">
      <w:pPr>
        <w:pStyle w:val="BodyText"/>
        <w:numPr>
          <w:ilvl w:val="0"/>
          <w:numId w:val="12"/>
        </w:numPr>
        <w:spacing w:after="160"/>
        <w:ind w:left="993" w:hanging="284"/>
        <w:jc w:val="both"/>
      </w:pPr>
      <w:r w:rsidRPr="00691087">
        <w:t xml:space="preserve">Paragraph 6.25: “The ESC noted that of those randomised to low dose (3.5 mg/kg) cladribine in the CLARITY trial, only 71% (284/398) of subjects entered the extension study. Therefore, the ESC was concerned that the trial population for CLARITY and CLARITY EXT are not comparable.” The submission stated that using the proportion of patients continuing as “dispositive” of the similarities between the populations would be to ignore the baseline characteristics of populations in each group. Patients in CLARITY and EXT were similar in sex (68.8% vs 68.4%), race (98.2% vs 98.0% white), weight (68.1 vs 67.93 kg), and median EDSS score (2.5 vs 2.5). Additionally, only 77% of patients in the 0.5 mg population of FREEDOMS continued into FREEDOMS EXT, a likely insignificant 6% increase over cladribine. </w:t>
      </w:r>
      <w:r w:rsidR="00BE64DD">
        <w:t>During the evaluation it was considered</w:t>
      </w:r>
      <w:r w:rsidR="00CE1523">
        <w:t xml:space="preserve"> that</w:t>
      </w:r>
      <w:r w:rsidR="00BE64DD">
        <w:t>, g</w:t>
      </w:r>
      <w:r w:rsidRPr="00691087">
        <w:t xml:space="preserve">iven that a key claim of this submission is that patients continue treatment over a four year time horizon, the fact that nearly 30% of patients are effectively lost to follow-up after 2 years is </w:t>
      </w:r>
      <w:r w:rsidR="00A471CD" w:rsidRPr="00691087">
        <w:t>pertinent</w:t>
      </w:r>
      <w:r w:rsidRPr="00691087">
        <w:t xml:space="preserve">, regardless of the baseline characteristics of patients in the extension study. The fact that FREEDOMS EXT also had a high proportion of patients not electing to enter the extension makes a claim of non-inferiority more difficult to demonstrate. </w:t>
      </w:r>
    </w:p>
    <w:p w14:paraId="46B614CF" w14:textId="77777777" w:rsidR="005A2754" w:rsidRPr="00691087" w:rsidRDefault="005A2754" w:rsidP="00B56649">
      <w:pPr>
        <w:pStyle w:val="BodyText"/>
        <w:numPr>
          <w:ilvl w:val="0"/>
          <w:numId w:val="12"/>
        </w:numPr>
        <w:spacing w:after="160"/>
        <w:ind w:left="993" w:hanging="284"/>
        <w:jc w:val="both"/>
      </w:pPr>
      <w:r w:rsidRPr="00691087">
        <w:t xml:space="preserve">Paragraph 6.22: “…CLARITY extension was not powered to detect differences in efficacy outcomes.” Real world evidence published since 2017 and presented in this submission supports the efficacy findings of CLARITY EXT. These studies are discussed below but none provide </w:t>
      </w:r>
      <w:r w:rsidR="00FB54F5" w:rsidRPr="00691087">
        <w:t xml:space="preserve">evidence of </w:t>
      </w:r>
      <w:r w:rsidRPr="00691087">
        <w:t xml:space="preserve">improved comparative </w:t>
      </w:r>
      <w:r w:rsidR="00FB54F5" w:rsidRPr="00691087">
        <w:t xml:space="preserve">efficacy </w:t>
      </w:r>
      <w:r w:rsidRPr="00691087">
        <w:t xml:space="preserve">against fingolimod or any PBS-listed DMT. </w:t>
      </w:r>
    </w:p>
    <w:p w14:paraId="5249230A" w14:textId="77777777" w:rsidR="005A2754" w:rsidRPr="00691087" w:rsidRDefault="005A2754" w:rsidP="00B56649">
      <w:pPr>
        <w:pStyle w:val="BodyText"/>
        <w:numPr>
          <w:ilvl w:val="0"/>
          <w:numId w:val="12"/>
        </w:numPr>
        <w:spacing w:after="160"/>
        <w:ind w:left="993" w:hanging="284"/>
        <w:jc w:val="both"/>
      </w:pPr>
      <w:r w:rsidRPr="00691087">
        <w:t xml:space="preserve">Paragraph 6.27: “The PBAC considered that a naïve comparison of point estimates of the cladribine and fingolimod extension studies did not provide sufficient evidence to demonstrate that two years of cladribine treatment was comparable to four years of fingolimod treatment.” The submission also referred to additional real world evidence studies. As stated above, none of these studies provide improved comparative evidence against fingolimod. </w:t>
      </w:r>
    </w:p>
    <w:p w14:paraId="5AD2084E" w14:textId="77777777" w:rsidR="005A2754" w:rsidRPr="00691087" w:rsidRDefault="005A2754" w:rsidP="005A2754">
      <w:pPr>
        <w:pStyle w:val="ListParagraph"/>
        <w:widowControl/>
        <w:numPr>
          <w:ilvl w:val="1"/>
          <w:numId w:val="2"/>
        </w:numPr>
        <w:rPr>
          <w:color w:val="3366FF"/>
        </w:rPr>
      </w:pPr>
      <w:r w:rsidRPr="00691087">
        <w:t xml:space="preserve">The submission presented supplemental RWE from the following studies: </w:t>
      </w:r>
    </w:p>
    <w:p w14:paraId="469571BA" w14:textId="77777777" w:rsidR="005A2754" w:rsidRPr="00691087" w:rsidRDefault="005A2754" w:rsidP="00B56649">
      <w:pPr>
        <w:pStyle w:val="BodyText"/>
        <w:numPr>
          <w:ilvl w:val="0"/>
          <w:numId w:val="12"/>
        </w:numPr>
        <w:spacing w:after="160"/>
        <w:ind w:left="993" w:hanging="284"/>
        <w:jc w:val="both"/>
      </w:pPr>
      <w:r w:rsidRPr="00691087">
        <w:t xml:space="preserve">Pfeuffer (2021): studying 270 adults with RRMS who had cladribine treatment at two German tertiary centres over 36 months. The authors of the study acknowledged the limitation of the non-controlled real-world setting and unknown existence of confounders in patient subgroups. </w:t>
      </w:r>
    </w:p>
    <w:p w14:paraId="6E38BACB" w14:textId="77777777" w:rsidR="005A2754" w:rsidRPr="00691087" w:rsidRDefault="005A2754" w:rsidP="00B56649">
      <w:pPr>
        <w:pStyle w:val="BodyText"/>
        <w:numPr>
          <w:ilvl w:val="0"/>
          <w:numId w:val="12"/>
        </w:numPr>
        <w:spacing w:after="160"/>
        <w:ind w:left="993" w:hanging="284"/>
        <w:jc w:val="both"/>
      </w:pPr>
      <w:r w:rsidRPr="00691087">
        <w:t>De Stefano (2020): new analysis of frequency and severity of relapses in CLARITY and CLARITY EXT. This may not be considered RWE as it</w:t>
      </w:r>
      <w:r w:rsidR="008A1E50">
        <w:t xml:space="preserve"> is</w:t>
      </w:r>
      <w:r w:rsidRPr="00691087">
        <w:t xml:space="preserve"> a post-hoc analysis of CLARITY and CALRITY EXT. Furthermore, as it is based on the same data, it may not be considered confirmatory. </w:t>
      </w:r>
    </w:p>
    <w:p w14:paraId="1162EFDD" w14:textId="77777777" w:rsidR="005A2754" w:rsidRPr="00691087" w:rsidRDefault="005A2754" w:rsidP="00B56649">
      <w:pPr>
        <w:pStyle w:val="BodyText"/>
        <w:numPr>
          <w:ilvl w:val="0"/>
          <w:numId w:val="12"/>
        </w:numPr>
        <w:spacing w:after="160"/>
        <w:ind w:left="993" w:hanging="284"/>
        <w:jc w:val="both"/>
      </w:pPr>
      <w:r w:rsidRPr="00691087">
        <w:t xml:space="preserve">Patti (2020) – study of 34 patients from Italian MS centres who previously were enrolled in CLARITY and had one full course of treatment in Years 1 and 2. </w:t>
      </w:r>
    </w:p>
    <w:p w14:paraId="1B98BD57" w14:textId="62AC9A78" w:rsidR="007D2038" w:rsidRPr="00691087" w:rsidRDefault="005A2754" w:rsidP="007D2038">
      <w:pPr>
        <w:pStyle w:val="BodyText"/>
        <w:numPr>
          <w:ilvl w:val="0"/>
          <w:numId w:val="12"/>
        </w:numPr>
        <w:spacing w:after="160"/>
        <w:ind w:left="993" w:hanging="284"/>
        <w:jc w:val="both"/>
      </w:pPr>
      <w:r w:rsidRPr="00691087">
        <w:t>Giovannoni (2020)/ Giovannoni (2021)/ CLASSIC MS ongoing interim data of 147 patients who had initially received 1 dose of either cladribine or placebo in CLARITY, CLARITY EXT or ORACLE MS (a randomized, double-blind, clinical trial to assess the safety and efficacy of two doses of oral cladribine versus placebo in participants who had a first clinical demyelinating event [clinically isolated syndrome]).</w:t>
      </w:r>
    </w:p>
    <w:p w14:paraId="4DA47418" w14:textId="1F58ED1D" w:rsidR="007D2038" w:rsidRPr="00691087" w:rsidRDefault="007D2038" w:rsidP="00AF0918">
      <w:pPr>
        <w:pStyle w:val="ListParagraph"/>
        <w:widowControl/>
        <w:numPr>
          <w:ilvl w:val="1"/>
          <w:numId w:val="2"/>
        </w:numPr>
      </w:pPr>
      <w:r w:rsidRPr="00691087">
        <w:t xml:space="preserve">The submission also included discussion of Achiron (2021) to inform a cost per successfully vaccinated patient against COVID-19 analysis in </w:t>
      </w:r>
      <w:r w:rsidR="00A471CD" w:rsidRPr="00691087">
        <w:t xml:space="preserve">a supplementary analysis in </w:t>
      </w:r>
      <w:r w:rsidRPr="00691087">
        <w:t>the economic section (see below)</w:t>
      </w:r>
      <w:r w:rsidR="004A09E4" w:rsidRPr="00691087">
        <w:t>.</w:t>
      </w:r>
      <w:r w:rsidRPr="00691087">
        <w:t xml:space="preserve"> Achiron (2021) studied the effect of the COVID-19 vaccine </w:t>
      </w:r>
      <w:r w:rsidR="00AF0918">
        <w:t>(</w:t>
      </w:r>
      <w:r w:rsidR="00AF0918" w:rsidRPr="00691087">
        <w:t>BNT162b2-COVID-19</w:t>
      </w:r>
      <w:r w:rsidR="00AF0918">
        <w:t xml:space="preserve">; </w:t>
      </w:r>
      <w:r w:rsidR="00AF0918" w:rsidRPr="00691087">
        <w:t xml:space="preserve">Pfizer) </w:t>
      </w:r>
      <w:r w:rsidRPr="00691087">
        <w:t xml:space="preserve">on patients using cladribine, ocrelizumab, or fingolimod with the aim of analysing the humoral immunity of these patients. The submission presented limited evidence discussing a correlation between humoral response and clinically relevant endpoints, but this was not a validated surrogate measure. </w:t>
      </w:r>
      <w:r w:rsidR="005129D5" w:rsidRPr="00AB27A7">
        <w:t xml:space="preserve">The </w:t>
      </w:r>
      <w:r w:rsidR="008B42AA">
        <w:t>Pre-Sub-Committee Response</w:t>
      </w:r>
      <w:r w:rsidR="00FC0F0E">
        <w:t xml:space="preserve"> (</w:t>
      </w:r>
      <w:r w:rsidR="005129D5" w:rsidRPr="00AB27A7">
        <w:t>PSCR</w:t>
      </w:r>
      <w:r w:rsidR="00FC0F0E">
        <w:t>)</w:t>
      </w:r>
      <w:r w:rsidR="001D6A97" w:rsidRPr="00AB27A7">
        <w:t xml:space="preserve"> </w:t>
      </w:r>
      <w:r w:rsidR="005129D5" w:rsidRPr="00AB27A7">
        <w:t xml:space="preserve">reiterated the </w:t>
      </w:r>
      <w:r w:rsidR="001D6A97" w:rsidRPr="00AB27A7">
        <w:t>analysis of humoral response to COVID-19 vaccination with an mRNA vaccine was indicative only and was not used to support the primary efficacy claim, nor was a price advantage being sought on the basis of that claim.</w:t>
      </w:r>
      <w:r w:rsidR="000E6EDF" w:rsidRPr="00AB27A7">
        <w:t xml:space="preserve"> </w:t>
      </w:r>
    </w:p>
    <w:p w14:paraId="4B608DEA" w14:textId="51514BCD" w:rsidR="005A2754" w:rsidRPr="00691087" w:rsidRDefault="005A2754" w:rsidP="00FE1A1E">
      <w:pPr>
        <w:pStyle w:val="Heading2"/>
        <w:spacing w:after="120"/>
      </w:pPr>
      <w:bookmarkStart w:id="17" w:name="_Toc82600895"/>
      <w:r w:rsidRPr="00691087">
        <w:t>Comparative effectiveness</w:t>
      </w:r>
      <w:bookmarkEnd w:id="17"/>
    </w:p>
    <w:p w14:paraId="523137ED" w14:textId="77777777" w:rsidR="005A2754" w:rsidRDefault="005A2754" w:rsidP="005A2754">
      <w:pPr>
        <w:pStyle w:val="ListParagraph"/>
        <w:widowControl/>
        <w:numPr>
          <w:ilvl w:val="1"/>
          <w:numId w:val="2"/>
        </w:numPr>
      </w:pPr>
      <w:r w:rsidRPr="00691087">
        <w:t>The PBAC reviewed the results of CLARITY EXT in November 2017.</w:t>
      </w:r>
      <w:r w:rsidR="001455DC" w:rsidRPr="00691087">
        <w:t xml:space="preserve"> However, the current submission provided more detail regarding ‘gaps’ in the CLARITY EXT evidence. </w:t>
      </w:r>
      <w:r w:rsidR="004A09E4" w:rsidRPr="00691087">
        <w:t>S</w:t>
      </w:r>
      <w:r w:rsidR="001455DC" w:rsidRPr="00691087">
        <w:t xml:space="preserve">pecifically, the submission noted that between the end of the CLARITY trial and the beginning of the extension </w:t>
      </w:r>
      <w:r w:rsidR="002E3FFC">
        <w:t xml:space="preserve">phase there was a gap </w:t>
      </w:r>
      <w:r w:rsidR="001455DC" w:rsidRPr="00691087">
        <w:t>in which efficacy was evaluated retrospectively. The submission added annualised relapse rates calculated for relapses that occurred during the ‘gap.’</w:t>
      </w:r>
    </w:p>
    <w:p w14:paraId="453B6AD8" w14:textId="77777777" w:rsidR="00C54E17" w:rsidRPr="00691087" w:rsidRDefault="00C54E17" w:rsidP="00C54E17">
      <w:pPr>
        <w:pStyle w:val="ListParagraph"/>
        <w:widowControl/>
        <w:numPr>
          <w:ilvl w:val="1"/>
          <w:numId w:val="2"/>
        </w:numPr>
      </w:pPr>
      <w:r>
        <w:t xml:space="preserve">The ‘gap’ occurred because </w:t>
      </w:r>
      <w:r w:rsidRPr="00C54E17">
        <w:t>CLARITY EXT was initiated after 54%</w:t>
      </w:r>
      <w:r>
        <w:t xml:space="preserve"> of patients</w:t>
      </w:r>
      <w:r w:rsidRPr="00C54E17">
        <w:t xml:space="preserve"> enrolled in CLARITY had already completed that trial. This gap included </w:t>
      </w:r>
      <w:r w:rsidR="002E3FFC">
        <w:t xml:space="preserve">the </w:t>
      </w:r>
      <w:r w:rsidRPr="00C54E17">
        <w:t xml:space="preserve">time required for consent and ethics approval. </w:t>
      </w:r>
      <w:r w:rsidR="00547ED3">
        <w:t xml:space="preserve">The median duration of this gap was 40.3 weeks (range 1 day to 118 weeks). </w:t>
      </w:r>
      <w:r>
        <w:t xml:space="preserve">The submission </w:t>
      </w:r>
      <w:r w:rsidR="002E3FFC">
        <w:t xml:space="preserve">stated that, including this </w:t>
      </w:r>
      <w:r w:rsidR="00624811">
        <w:t>gap</w:t>
      </w:r>
      <w:r w:rsidR="00062C9B">
        <w:t xml:space="preserve"> (along with a second shorter gap between </w:t>
      </w:r>
      <w:r w:rsidR="00062C9B" w:rsidRPr="00C54E17">
        <w:t>CLARITY EXT</w:t>
      </w:r>
      <w:r w:rsidR="00062C9B">
        <w:t xml:space="preserve"> and a supplemental period of follow-up)</w:t>
      </w:r>
      <w:r w:rsidR="00624811">
        <w:t>, “</w:t>
      </w:r>
      <w:r w:rsidRPr="00C54E17">
        <w:t>means that the extended benefit of treatment demonstrated for the LL</w:t>
      </w:r>
      <w:r w:rsidR="00624811">
        <w:t>PP group described as ‘</w:t>
      </w:r>
      <w:r w:rsidRPr="00C54E17">
        <w:t>Years 3 and 4</w:t>
      </w:r>
      <w:r w:rsidR="00624811">
        <w:t>’</w:t>
      </w:r>
      <w:r w:rsidRPr="00C54E17">
        <w:t xml:space="preserve"> is in fact a conservative measure of the sustained duration of benefit of treatment with cladribine tablets at the start of Years 1 and 2 because the total duration of the observation period was just over 5 years</w:t>
      </w:r>
      <w:r w:rsidR="00624811">
        <w:t>”.</w:t>
      </w:r>
    </w:p>
    <w:p w14:paraId="137EC1F4" w14:textId="77777777" w:rsidR="005A2754" w:rsidRPr="00691087" w:rsidRDefault="00CF4092" w:rsidP="00624811">
      <w:pPr>
        <w:pStyle w:val="ListParagraph"/>
        <w:widowControl/>
        <w:numPr>
          <w:ilvl w:val="1"/>
          <w:numId w:val="2"/>
        </w:numPr>
      </w:pPr>
      <w:r>
        <w:t>Table 5</w:t>
      </w:r>
      <w:r w:rsidR="005A2754" w:rsidRPr="00691087">
        <w:t xml:space="preserve"> presents the annualised relapse rate during CLARITY EXT of the patients who had received low dose cladribine during the CLARITY trial and were randomised to placebo during the extension (LLPP). </w:t>
      </w:r>
      <w:r w:rsidR="00B56649" w:rsidRPr="00691087">
        <w:t>The ARR for cladribine 3.5 mg/kg in CLARITY (0.14) was maintained in the LLPP group in CLARITY EXT (0.15). This within-group difference was not significant (p=0.4526).</w:t>
      </w:r>
      <w:r w:rsidR="00624811">
        <w:t xml:space="preserve"> The submission stated that i</w:t>
      </w:r>
      <w:r w:rsidR="00624811" w:rsidRPr="00624811">
        <w:t xml:space="preserve">n order to explore the potential effect of the duration of the gap between CLARITY and CLARITY EXT, selected efficacy endpoints were assessed by </w:t>
      </w:r>
      <w:r w:rsidR="00624811">
        <w:t>the</w:t>
      </w:r>
      <w:r w:rsidR="00624811" w:rsidRPr="00624811">
        <w:t xml:space="preserve"> duration</w:t>
      </w:r>
      <w:r w:rsidR="00624811">
        <w:t xml:space="preserve"> of the gap (≤4 weeks, &gt;4 to </w:t>
      </w:r>
      <w:r w:rsidR="00624811" w:rsidRPr="00624811">
        <w:t>≤43 weeks, &gt;43 weeks.)</w:t>
      </w:r>
    </w:p>
    <w:p w14:paraId="00E36D2F" w14:textId="77777777" w:rsidR="005A2754" w:rsidRPr="00691087" w:rsidRDefault="005A2754" w:rsidP="005A2754">
      <w:pPr>
        <w:pStyle w:val="BodyText"/>
        <w:keepNext/>
        <w:rPr>
          <w:rStyle w:val="CommentReference"/>
        </w:rPr>
      </w:pPr>
      <w:bookmarkStart w:id="18" w:name="_Ref81492303"/>
      <w:r w:rsidRPr="00691087">
        <w:rPr>
          <w:rStyle w:val="CommentReference"/>
        </w:rPr>
        <w:t>Table</w:t>
      </w:r>
      <w:bookmarkEnd w:id="18"/>
      <w:r w:rsidR="00CF4092">
        <w:rPr>
          <w:rStyle w:val="CommentReference"/>
        </w:rPr>
        <w:t xml:space="preserve"> 5</w:t>
      </w:r>
      <w:r w:rsidRPr="00691087">
        <w:rPr>
          <w:rStyle w:val="CommentReference"/>
          <w:b w:val="0"/>
          <w:bCs/>
        </w:rPr>
        <w:t xml:space="preserve">: </w:t>
      </w:r>
      <w:r w:rsidRPr="00691087">
        <w:rPr>
          <w:rStyle w:val="CommentReference"/>
        </w:rPr>
        <w:t>Annualised relapse rate during CLARITY EXT (ITT population)</w:t>
      </w:r>
    </w:p>
    <w:tbl>
      <w:tblPr>
        <w:tblStyle w:val="TableGrid"/>
        <w:tblW w:w="9265" w:type="dxa"/>
        <w:tblLook w:val="04A0" w:firstRow="1" w:lastRow="0" w:firstColumn="1" w:lastColumn="0" w:noHBand="0" w:noVBand="1"/>
        <w:tblCaption w:val="Table 5: Annualised relapse rate during CLARITY EXT (ITT population)"/>
      </w:tblPr>
      <w:tblGrid>
        <w:gridCol w:w="6205"/>
        <w:gridCol w:w="3060"/>
      </w:tblGrid>
      <w:tr w:rsidR="005A2754" w:rsidRPr="00691087" w14:paraId="05360D56" w14:textId="77777777" w:rsidTr="00492001">
        <w:trPr>
          <w:tblHeader/>
        </w:trPr>
        <w:tc>
          <w:tcPr>
            <w:tcW w:w="6205" w:type="dxa"/>
          </w:tcPr>
          <w:p w14:paraId="2FE058C0" w14:textId="77777777" w:rsidR="005A2754" w:rsidRPr="00691087" w:rsidRDefault="005A2754" w:rsidP="00750D38">
            <w:pPr>
              <w:pStyle w:val="Tabletext"/>
              <w:keepNext/>
              <w:rPr>
                <w:b/>
                <w:bCs/>
              </w:rPr>
            </w:pPr>
          </w:p>
        </w:tc>
        <w:tc>
          <w:tcPr>
            <w:tcW w:w="3060" w:type="dxa"/>
          </w:tcPr>
          <w:p w14:paraId="4CB98BD3" w14:textId="77777777" w:rsidR="005A2754" w:rsidRPr="00691087" w:rsidRDefault="005A2754" w:rsidP="00750D38">
            <w:pPr>
              <w:pStyle w:val="Tabletext"/>
              <w:keepNext/>
              <w:jc w:val="center"/>
              <w:rPr>
                <w:b/>
                <w:bCs/>
              </w:rPr>
            </w:pPr>
            <w:r w:rsidRPr="00691087">
              <w:rPr>
                <w:b/>
                <w:bCs/>
              </w:rPr>
              <w:t>LLPP (n=98)</w:t>
            </w:r>
          </w:p>
        </w:tc>
      </w:tr>
      <w:tr w:rsidR="005A2754" w:rsidRPr="00691087" w14:paraId="36F8091D" w14:textId="77777777" w:rsidTr="00750D38">
        <w:tc>
          <w:tcPr>
            <w:tcW w:w="6205" w:type="dxa"/>
          </w:tcPr>
          <w:p w14:paraId="05AA58CA" w14:textId="77777777" w:rsidR="005A2754" w:rsidRPr="00691087" w:rsidRDefault="005A2754" w:rsidP="00750D38">
            <w:pPr>
              <w:pStyle w:val="Tabletext"/>
              <w:keepNext/>
            </w:pPr>
            <w:r w:rsidRPr="00691087">
              <w:t>Number of qualifying relapses, Mean (SD)</w:t>
            </w:r>
          </w:p>
        </w:tc>
        <w:tc>
          <w:tcPr>
            <w:tcW w:w="3060" w:type="dxa"/>
          </w:tcPr>
          <w:p w14:paraId="731CE7DD" w14:textId="77777777" w:rsidR="005A2754" w:rsidRPr="00691087" w:rsidRDefault="005A2754" w:rsidP="00750D38">
            <w:pPr>
              <w:pStyle w:val="Tabletext"/>
              <w:keepNext/>
              <w:jc w:val="center"/>
            </w:pPr>
            <w:r w:rsidRPr="00691087">
              <w:t>0.35 (0.79)</w:t>
            </w:r>
          </w:p>
        </w:tc>
      </w:tr>
      <w:tr w:rsidR="005A2754" w:rsidRPr="00691087" w14:paraId="2A8555D0" w14:textId="77777777" w:rsidTr="00750D38">
        <w:tc>
          <w:tcPr>
            <w:tcW w:w="6205" w:type="dxa"/>
          </w:tcPr>
          <w:p w14:paraId="648272E0" w14:textId="12AEDF0A" w:rsidR="005A2754" w:rsidRPr="00691087" w:rsidRDefault="005A2754" w:rsidP="00750D38">
            <w:pPr>
              <w:pStyle w:val="Tabletext"/>
              <w:keepNext/>
            </w:pPr>
            <w:r w:rsidRPr="00691087">
              <w:t>Annualised relapse rate (97.5% CI)</w:t>
            </w:r>
          </w:p>
        </w:tc>
        <w:tc>
          <w:tcPr>
            <w:tcW w:w="3060" w:type="dxa"/>
          </w:tcPr>
          <w:p w14:paraId="7B7DF74E" w14:textId="77777777" w:rsidR="005A2754" w:rsidRPr="00691087" w:rsidRDefault="005A2754" w:rsidP="00750D38">
            <w:pPr>
              <w:pStyle w:val="Tabletext"/>
              <w:keepNext/>
              <w:jc w:val="center"/>
            </w:pPr>
            <w:r w:rsidRPr="00691087">
              <w:t>0.15 (0.09, 0.21)</w:t>
            </w:r>
          </w:p>
        </w:tc>
      </w:tr>
      <w:tr w:rsidR="005A2754" w:rsidRPr="00691087" w14:paraId="3B2FC9CE" w14:textId="77777777" w:rsidTr="00750D38">
        <w:tc>
          <w:tcPr>
            <w:tcW w:w="9265" w:type="dxa"/>
            <w:gridSpan w:val="2"/>
          </w:tcPr>
          <w:p w14:paraId="5839C462" w14:textId="77777777" w:rsidR="005A2754" w:rsidRPr="00691087" w:rsidRDefault="005A2754" w:rsidP="00750D38">
            <w:pPr>
              <w:pStyle w:val="Tabletext"/>
              <w:keepNext/>
              <w:rPr>
                <w:b/>
                <w:bCs/>
                <w:iCs/>
              </w:rPr>
            </w:pPr>
            <w:r w:rsidRPr="00691087">
              <w:rPr>
                <w:b/>
                <w:bCs/>
                <w:iCs/>
              </w:rPr>
              <w:t>Annualised relapse rate by duration of gap</w:t>
            </w:r>
          </w:p>
        </w:tc>
      </w:tr>
      <w:tr w:rsidR="005A2754" w:rsidRPr="00691087" w14:paraId="5A6EE843" w14:textId="77777777" w:rsidTr="00750D38">
        <w:tc>
          <w:tcPr>
            <w:tcW w:w="6205" w:type="dxa"/>
          </w:tcPr>
          <w:p w14:paraId="335DB463" w14:textId="77777777" w:rsidR="005A2754" w:rsidRPr="00691087" w:rsidRDefault="005A2754" w:rsidP="00750D38">
            <w:pPr>
              <w:pStyle w:val="Tabletext"/>
              <w:keepNext/>
            </w:pPr>
            <w:r w:rsidRPr="00691087">
              <w:t>≤4 weeks</w:t>
            </w:r>
          </w:p>
        </w:tc>
        <w:tc>
          <w:tcPr>
            <w:tcW w:w="3060" w:type="dxa"/>
          </w:tcPr>
          <w:p w14:paraId="2CDDF78F" w14:textId="77777777" w:rsidR="005A2754" w:rsidRPr="00691087" w:rsidRDefault="005A2754" w:rsidP="00750D38">
            <w:pPr>
              <w:pStyle w:val="Tabletext"/>
              <w:keepNext/>
              <w:jc w:val="center"/>
            </w:pPr>
            <w:r w:rsidRPr="00691087">
              <w:t>0.17</w:t>
            </w:r>
            <w:r w:rsidR="008E23AE">
              <w:t xml:space="preserve"> (n = 9)</w:t>
            </w:r>
          </w:p>
        </w:tc>
      </w:tr>
      <w:tr w:rsidR="005A2754" w:rsidRPr="00691087" w14:paraId="097D31D8" w14:textId="77777777" w:rsidTr="00750D38">
        <w:tc>
          <w:tcPr>
            <w:tcW w:w="6205" w:type="dxa"/>
          </w:tcPr>
          <w:p w14:paraId="6BD13ED5" w14:textId="77777777" w:rsidR="005A2754" w:rsidRPr="00691087" w:rsidRDefault="005A2754" w:rsidP="00750D38">
            <w:pPr>
              <w:pStyle w:val="Tabletext"/>
              <w:keepNext/>
            </w:pPr>
            <w:r w:rsidRPr="00691087">
              <w:t>&gt;4 to ≤43 weeks</w:t>
            </w:r>
          </w:p>
        </w:tc>
        <w:tc>
          <w:tcPr>
            <w:tcW w:w="3060" w:type="dxa"/>
          </w:tcPr>
          <w:p w14:paraId="5564722E" w14:textId="77777777" w:rsidR="005A2754" w:rsidRPr="00691087" w:rsidRDefault="005A2754" w:rsidP="00750D38">
            <w:pPr>
              <w:pStyle w:val="Tabletext"/>
              <w:keepNext/>
              <w:jc w:val="center"/>
            </w:pPr>
            <w:r w:rsidRPr="00691087">
              <w:t>0.15</w:t>
            </w:r>
            <w:r w:rsidR="008E23AE">
              <w:t xml:space="preserve"> (n = 47)</w:t>
            </w:r>
          </w:p>
        </w:tc>
      </w:tr>
      <w:tr w:rsidR="005A2754" w:rsidRPr="00691087" w14:paraId="6E7B077F" w14:textId="77777777" w:rsidTr="00750D38">
        <w:tc>
          <w:tcPr>
            <w:tcW w:w="6205" w:type="dxa"/>
          </w:tcPr>
          <w:p w14:paraId="22EDEADC" w14:textId="77777777" w:rsidR="005A2754" w:rsidRPr="00691087" w:rsidRDefault="005A2754" w:rsidP="00750D38">
            <w:pPr>
              <w:pStyle w:val="Tabletext"/>
              <w:keepNext/>
            </w:pPr>
            <w:r w:rsidRPr="00691087">
              <w:t>&gt;43 weeks</w:t>
            </w:r>
          </w:p>
        </w:tc>
        <w:tc>
          <w:tcPr>
            <w:tcW w:w="3060" w:type="dxa"/>
          </w:tcPr>
          <w:p w14:paraId="1C57C707" w14:textId="77777777" w:rsidR="005A2754" w:rsidRPr="00691087" w:rsidRDefault="005A2754" w:rsidP="00750D38">
            <w:pPr>
              <w:pStyle w:val="Tabletext"/>
              <w:keepNext/>
              <w:jc w:val="center"/>
            </w:pPr>
            <w:r w:rsidRPr="00691087">
              <w:t>0.14</w:t>
            </w:r>
            <w:r w:rsidR="008E23AE">
              <w:t xml:space="preserve"> (n = 42)</w:t>
            </w:r>
          </w:p>
        </w:tc>
      </w:tr>
    </w:tbl>
    <w:p w14:paraId="7E607403" w14:textId="59AF3642" w:rsidR="005A2754" w:rsidRPr="00FE1A1E" w:rsidRDefault="005A2754" w:rsidP="00FE1A1E">
      <w:pPr>
        <w:pStyle w:val="TableFooter"/>
        <w:keepNext/>
        <w:spacing w:after="120"/>
      </w:pPr>
      <w:r w:rsidRPr="00691087">
        <w:t>Source: Table 16, p36 of the submission. LLPP = low dose cladribine followed by placebo; SD = standard deviation.</w:t>
      </w:r>
    </w:p>
    <w:p w14:paraId="554F810A" w14:textId="77777777" w:rsidR="005A2754" w:rsidRPr="00691087" w:rsidRDefault="00691087" w:rsidP="005A2754">
      <w:pPr>
        <w:pStyle w:val="ListParagraph"/>
        <w:widowControl/>
        <w:numPr>
          <w:ilvl w:val="1"/>
          <w:numId w:val="2"/>
        </w:numPr>
        <w:rPr>
          <w:i/>
          <w:iCs/>
        </w:rPr>
      </w:pPr>
      <w:r w:rsidRPr="00691087">
        <w:t xml:space="preserve">Table </w:t>
      </w:r>
      <w:r w:rsidR="00CF4092">
        <w:t>6</w:t>
      </w:r>
      <w:r w:rsidR="005A2754" w:rsidRPr="00691087">
        <w:t xml:space="preserve"> presents the proportion of patients remaining free from relapse for the patients who had received low dose cladribine during the CLARITY trial and were randomised to placebo during CLARITY EXT. </w:t>
      </w:r>
      <w:r w:rsidR="00B56649" w:rsidRPr="00691087">
        <w:t xml:space="preserve">The proportion of </w:t>
      </w:r>
      <w:r w:rsidR="00FB54F5" w:rsidRPr="00691087">
        <w:t xml:space="preserve">patients </w:t>
      </w:r>
      <w:r w:rsidR="00B56649" w:rsidRPr="00691087">
        <w:t>remaining relapse free in CLARITY EXT (75.6%) was similar to that demonstrated for cladribine in CLARITY (79.7%). The difference within the group was not significant (p=0.705).</w:t>
      </w:r>
    </w:p>
    <w:p w14:paraId="66163BDD" w14:textId="77777777" w:rsidR="005A2754" w:rsidRPr="00691087" w:rsidRDefault="005A2754" w:rsidP="005A2754">
      <w:pPr>
        <w:pStyle w:val="BodyText"/>
        <w:rPr>
          <w:rStyle w:val="CommentReference"/>
        </w:rPr>
      </w:pPr>
      <w:bookmarkStart w:id="19" w:name="_Ref81492316"/>
      <w:r w:rsidRPr="00691087">
        <w:rPr>
          <w:rStyle w:val="CommentReference"/>
        </w:rPr>
        <w:t xml:space="preserve">Table </w:t>
      </w:r>
      <w:bookmarkEnd w:id="19"/>
      <w:r w:rsidR="00CF4092">
        <w:rPr>
          <w:rStyle w:val="CommentReference"/>
        </w:rPr>
        <w:t>6</w:t>
      </w:r>
      <w:r w:rsidRPr="00691087">
        <w:rPr>
          <w:rStyle w:val="CommentReference"/>
        </w:rPr>
        <w:t>:</w:t>
      </w:r>
      <w:r w:rsidRPr="00691087">
        <w:rPr>
          <w:rStyle w:val="CommentReference"/>
          <w:b w:val="0"/>
          <w:bCs/>
        </w:rPr>
        <w:t xml:space="preserve"> </w:t>
      </w:r>
      <w:r w:rsidRPr="00691087">
        <w:rPr>
          <w:rStyle w:val="CommentReference"/>
        </w:rPr>
        <w:t xml:space="preserve">Proportion of </w:t>
      </w:r>
      <w:r w:rsidR="00FB54F5" w:rsidRPr="00691087">
        <w:rPr>
          <w:rStyle w:val="CommentReference"/>
        </w:rPr>
        <w:t xml:space="preserve">patients </w:t>
      </w:r>
      <w:r w:rsidRPr="00691087">
        <w:rPr>
          <w:rStyle w:val="CommentReference"/>
        </w:rPr>
        <w:t>remaining free from relapses during CLARITY EXT (ITT population)</w:t>
      </w:r>
    </w:p>
    <w:tbl>
      <w:tblPr>
        <w:tblStyle w:val="TableGrid"/>
        <w:tblW w:w="9265" w:type="dxa"/>
        <w:tblLook w:val="04A0" w:firstRow="1" w:lastRow="0" w:firstColumn="1" w:lastColumn="0" w:noHBand="0" w:noVBand="1"/>
        <w:tblCaption w:val="Table 6: Proportion of patients remaining free from relapses during CLARITY EXT (ITT population)"/>
      </w:tblPr>
      <w:tblGrid>
        <w:gridCol w:w="7015"/>
        <w:gridCol w:w="2250"/>
      </w:tblGrid>
      <w:tr w:rsidR="005A2754" w:rsidRPr="00691087" w14:paraId="2E5C62A4" w14:textId="77777777" w:rsidTr="00492001">
        <w:trPr>
          <w:tblHeader/>
        </w:trPr>
        <w:tc>
          <w:tcPr>
            <w:tcW w:w="7015" w:type="dxa"/>
          </w:tcPr>
          <w:p w14:paraId="7E038850" w14:textId="77777777" w:rsidR="005A2754" w:rsidRPr="00691087" w:rsidRDefault="005A2754" w:rsidP="00750D38">
            <w:pPr>
              <w:pStyle w:val="Tabletext"/>
              <w:rPr>
                <w:b/>
                <w:bCs/>
              </w:rPr>
            </w:pPr>
          </w:p>
        </w:tc>
        <w:tc>
          <w:tcPr>
            <w:tcW w:w="2250" w:type="dxa"/>
          </w:tcPr>
          <w:p w14:paraId="68916F01" w14:textId="77777777" w:rsidR="005A2754" w:rsidRPr="00691087" w:rsidRDefault="005A2754" w:rsidP="00750D38">
            <w:pPr>
              <w:pStyle w:val="Tabletext"/>
              <w:jc w:val="center"/>
              <w:rPr>
                <w:b/>
                <w:bCs/>
              </w:rPr>
            </w:pPr>
            <w:r w:rsidRPr="00691087">
              <w:rPr>
                <w:b/>
                <w:bCs/>
              </w:rPr>
              <w:t>LLPP (n=98)</w:t>
            </w:r>
          </w:p>
        </w:tc>
      </w:tr>
      <w:tr w:rsidR="005A2754" w:rsidRPr="00691087" w14:paraId="0A400564" w14:textId="77777777" w:rsidTr="00750D38">
        <w:tc>
          <w:tcPr>
            <w:tcW w:w="7015" w:type="dxa"/>
          </w:tcPr>
          <w:p w14:paraId="2940E8EC" w14:textId="77777777" w:rsidR="005A2754" w:rsidRPr="00691087" w:rsidRDefault="00FB54F5" w:rsidP="00750D38">
            <w:pPr>
              <w:pStyle w:val="Tabletext"/>
            </w:pPr>
            <w:r w:rsidRPr="00691087">
              <w:t xml:space="preserve">Patients </w:t>
            </w:r>
            <w:r w:rsidR="005A2754" w:rsidRPr="00691087">
              <w:t>relapse free (%)</w:t>
            </w:r>
          </w:p>
        </w:tc>
        <w:tc>
          <w:tcPr>
            <w:tcW w:w="2250" w:type="dxa"/>
          </w:tcPr>
          <w:p w14:paraId="3A347A2E" w14:textId="77777777" w:rsidR="005A2754" w:rsidRPr="00691087" w:rsidRDefault="005A2754" w:rsidP="00750D38">
            <w:pPr>
              <w:pStyle w:val="Tabletext"/>
              <w:jc w:val="center"/>
            </w:pPr>
            <w:r w:rsidRPr="00691087">
              <w:t>68 (75.6%)</w:t>
            </w:r>
          </w:p>
        </w:tc>
      </w:tr>
      <w:tr w:rsidR="00FE3F04" w:rsidRPr="00691087" w14:paraId="199102E0" w14:textId="77777777" w:rsidTr="00CE1523">
        <w:tc>
          <w:tcPr>
            <w:tcW w:w="9265" w:type="dxa"/>
            <w:gridSpan w:val="2"/>
          </w:tcPr>
          <w:p w14:paraId="551B762A" w14:textId="77777777" w:rsidR="00FE3F04" w:rsidRPr="00691087" w:rsidRDefault="00FE3F04" w:rsidP="00CE1523">
            <w:pPr>
              <w:pStyle w:val="Tabletext"/>
              <w:keepNext/>
              <w:rPr>
                <w:b/>
                <w:bCs/>
                <w:iCs/>
              </w:rPr>
            </w:pPr>
            <w:r>
              <w:rPr>
                <w:b/>
                <w:bCs/>
                <w:iCs/>
              </w:rPr>
              <w:t>Proportion of patients remaining free from relapse</w:t>
            </w:r>
            <w:r w:rsidRPr="00691087">
              <w:rPr>
                <w:b/>
                <w:bCs/>
                <w:iCs/>
              </w:rPr>
              <w:t xml:space="preserve"> by duration of gap</w:t>
            </w:r>
          </w:p>
        </w:tc>
      </w:tr>
      <w:tr w:rsidR="005A2754" w:rsidRPr="00691087" w14:paraId="5023E2A1" w14:textId="77777777" w:rsidTr="00750D38">
        <w:tc>
          <w:tcPr>
            <w:tcW w:w="7015" w:type="dxa"/>
          </w:tcPr>
          <w:p w14:paraId="6B280824" w14:textId="77777777" w:rsidR="005A2754" w:rsidRPr="00691087" w:rsidRDefault="005A2754" w:rsidP="00750D38">
            <w:pPr>
              <w:pStyle w:val="Tabletext"/>
            </w:pPr>
            <w:r w:rsidRPr="00691087">
              <w:t>≤4 weeks</w:t>
            </w:r>
          </w:p>
        </w:tc>
        <w:tc>
          <w:tcPr>
            <w:tcW w:w="2250" w:type="dxa"/>
          </w:tcPr>
          <w:p w14:paraId="79CD32D4" w14:textId="77777777" w:rsidR="005A2754" w:rsidRPr="00691087" w:rsidRDefault="005A2754" w:rsidP="00750D38">
            <w:pPr>
              <w:pStyle w:val="Tabletext"/>
              <w:jc w:val="center"/>
            </w:pPr>
            <w:r w:rsidRPr="00691087">
              <w:t>6 (75.0%)</w:t>
            </w:r>
            <w:r w:rsidR="008E23AE">
              <w:t>, n = 9</w:t>
            </w:r>
          </w:p>
        </w:tc>
      </w:tr>
      <w:tr w:rsidR="005A2754" w:rsidRPr="00691087" w14:paraId="091E6F86" w14:textId="77777777" w:rsidTr="00750D38">
        <w:tc>
          <w:tcPr>
            <w:tcW w:w="7015" w:type="dxa"/>
          </w:tcPr>
          <w:p w14:paraId="0BBA1ED2" w14:textId="77777777" w:rsidR="005A2754" w:rsidRPr="00691087" w:rsidRDefault="005A2754" w:rsidP="00750D38">
            <w:pPr>
              <w:pStyle w:val="Tabletext"/>
            </w:pPr>
            <w:r w:rsidRPr="00691087">
              <w:t>&gt;4 to ≤43 weeks</w:t>
            </w:r>
          </w:p>
        </w:tc>
        <w:tc>
          <w:tcPr>
            <w:tcW w:w="2250" w:type="dxa"/>
          </w:tcPr>
          <w:p w14:paraId="7E3D1A14" w14:textId="77777777" w:rsidR="005A2754" w:rsidRPr="00691087" w:rsidRDefault="005A2754" w:rsidP="00750D38">
            <w:pPr>
              <w:pStyle w:val="Tabletext"/>
              <w:jc w:val="center"/>
            </w:pPr>
            <w:r w:rsidRPr="00691087">
              <w:t>34 (75.6%)</w:t>
            </w:r>
            <w:r w:rsidR="008E23AE">
              <w:t>, n = 47</w:t>
            </w:r>
          </w:p>
        </w:tc>
      </w:tr>
      <w:tr w:rsidR="005A2754" w:rsidRPr="00691087" w14:paraId="0AD97791" w14:textId="77777777" w:rsidTr="00750D38">
        <w:tc>
          <w:tcPr>
            <w:tcW w:w="7015" w:type="dxa"/>
          </w:tcPr>
          <w:p w14:paraId="6FA91DB3" w14:textId="77777777" w:rsidR="005A2754" w:rsidRPr="00691087" w:rsidRDefault="005A2754" w:rsidP="00750D38">
            <w:pPr>
              <w:pStyle w:val="Tabletext"/>
            </w:pPr>
            <w:r w:rsidRPr="00691087">
              <w:t>&gt;43 weeks</w:t>
            </w:r>
          </w:p>
        </w:tc>
        <w:tc>
          <w:tcPr>
            <w:tcW w:w="2250" w:type="dxa"/>
          </w:tcPr>
          <w:p w14:paraId="45E55ACE" w14:textId="77777777" w:rsidR="005A2754" w:rsidRPr="00691087" w:rsidRDefault="005A2754" w:rsidP="00750D38">
            <w:pPr>
              <w:pStyle w:val="Tabletext"/>
              <w:jc w:val="center"/>
            </w:pPr>
            <w:r w:rsidRPr="00691087">
              <w:t>28 (75.7%)</w:t>
            </w:r>
            <w:r w:rsidR="008E23AE">
              <w:t xml:space="preserve"> n = 42</w:t>
            </w:r>
          </w:p>
        </w:tc>
      </w:tr>
    </w:tbl>
    <w:p w14:paraId="6DAD2CE6" w14:textId="31C16196" w:rsidR="005A2754" w:rsidRPr="00FE1A1E" w:rsidRDefault="005A2754" w:rsidP="00FE1A1E">
      <w:pPr>
        <w:pStyle w:val="TableFooter"/>
        <w:spacing w:after="120"/>
      </w:pPr>
      <w:r w:rsidRPr="00691087">
        <w:t xml:space="preserve">Source: Table 17, p37 of the submission. </w:t>
      </w:r>
    </w:p>
    <w:p w14:paraId="27A05BDB" w14:textId="27AEE878" w:rsidR="005A2754" w:rsidRPr="00067253" w:rsidRDefault="00CF4092" w:rsidP="00067253">
      <w:pPr>
        <w:pStyle w:val="ListParagraph"/>
        <w:widowControl/>
        <w:numPr>
          <w:ilvl w:val="1"/>
          <w:numId w:val="2"/>
        </w:numPr>
        <w:rPr>
          <w:i/>
          <w:iCs/>
        </w:rPr>
      </w:pPr>
      <w:r>
        <w:t xml:space="preserve">Table 7 </w:t>
      </w:r>
      <w:r w:rsidR="005A2754" w:rsidRPr="00691087">
        <w:t>presents the comparison of annualised relapse rates and proportion free of relapses in the CLARITY EXT and FREEDOMS I/II EXT</w:t>
      </w:r>
      <w:r w:rsidR="00F16970" w:rsidRPr="00691087">
        <w:t>.</w:t>
      </w:r>
      <w:r w:rsidR="005A2754" w:rsidRPr="00691087">
        <w:t xml:space="preserve"> </w:t>
      </w:r>
    </w:p>
    <w:p w14:paraId="4DF0B467" w14:textId="77777777" w:rsidR="005A2754" w:rsidRPr="00691087" w:rsidRDefault="005A2754" w:rsidP="005A2754">
      <w:pPr>
        <w:pStyle w:val="BodyText"/>
        <w:keepNext/>
        <w:keepLines/>
        <w:rPr>
          <w:rStyle w:val="CommentReference"/>
        </w:rPr>
      </w:pPr>
      <w:bookmarkStart w:id="20" w:name="_Ref81492824"/>
      <w:r w:rsidRPr="00691087">
        <w:rPr>
          <w:rStyle w:val="CommentReference"/>
        </w:rPr>
        <w:t xml:space="preserve">Table </w:t>
      </w:r>
      <w:bookmarkEnd w:id="20"/>
      <w:r w:rsidR="00CF4092">
        <w:rPr>
          <w:rStyle w:val="CommentReference"/>
        </w:rPr>
        <w:t>7</w:t>
      </w:r>
      <w:r w:rsidRPr="00691087">
        <w:rPr>
          <w:rStyle w:val="CommentReference"/>
        </w:rPr>
        <w:t>:</w:t>
      </w:r>
      <w:r w:rsidRPr="00691087">
        <w:rPr>
          <w:rStyle w:val="CommentReference"/>
          <w:b w:val="0"/>
          <w:bCs/>
        </w:rPr>
        <w:t xml:space="preserve"> </w:t>
      </w:r>
      <w:r w:rsidRPr="00691087">
        <w:rPr>
          <w:rStyle w:val="CommentReference"/>
        </w:rPr>
        <w:t>Comparison of the duration of benefit over four years (including the extension trials)</w:t>
      </w:r>
    </w:p>
    <w:tbl>
      <w:tblPr>
        <w:tblStyle w:val="TableGrid"/>
        <w:tblW w:w="9067" w:type="dxa"/>
        <w:tblLook w:val="04A0" w:firstRow="1" w:lastRow="0" w:firstColumn="1" w:lastColumn="0" w:noHBand="0" w:noVBand="1"/>
        <w:tblCaption w:val="Table 7: Comparison of the duration of benefit over four years (including the extension trials)"/>
      </w:tblPr>
      <w:tblGrid>
        <w:gridCol w:w="3964"/>
        <w:gridCol w:w="1701"/>
        <w:gridCol w:w="1701"/>
        <w:gridCol w:w="1701"/>
      </w:tblGrid>
      <w:tr w:rsidR="005A2754" w:rsidRPr="00691087" w14:paraId="1A243EC0" w14:textId="77777777" w:rsidTr="00492001">
        <w:trPr>
          <w:tblHeader/>
        </w:trPr>
        <w:tc>
          <w:tcPr>
            <w:tcW w:w="3964" w:type="dxa"/>
          </w:tcPr>
          <w:p w14:paraId="2645B713" w14:textId="77777777" w:rsidR="005A2754" w:rsidRPr="00691087" w:rsidRDefault="005A2754" w:rsidP="00750D38">
            <w:pPr>
              <w:pStyle w:val="TableText0"/>
              <w:spacing w:before="0" w:after="0"/>
              <w:rPr>
                <w:b/>
                <w:bCs/>
              </w:rPr>
            </w:pPr>
          </w:p>
        </w:tc>
        <w:tc>
          <w:tcPr>
            <w:tcW w:w="1701" w:type="dxa"/>
            <w:vAlign w:val="center"/>
          </w:tcPr>
          <w:p w14:paraId="5B8D1DB5" w14:textId="77777777" w:rsidR="005A2754" w:rsidRPr="00691087" w:rsidRDefault="005A2754" w:rsidP="00750D38">
            <w:pPr>
              <w:pStyle w:val="TableText0"/>
              <w:spacing w:before="0" w:after="0"/>
              <w:jc w:val="center"/>
              <w:rPr>
                <w:b/>
                <w:bCs/>
              </w:rPr>
            </w:pPr>
            <w:r w:rsidRPr="00691087">
              <w:rPr>
                <w:b/>
                <w:bCs/>
              </w:rPr>
              <w:t>CLARITY + EXT</w:t>
            </w:r>
          </w:p>
          <w:p w14:paraId="4FB97F5F" w14:textId="77777777" w:rsidR="005A2754" w:rsidRPr="00691087" w:rsidRDefault="005A2754" w:rsidP="00750D38">
            <w:pPr>
              <w:pStyle w:val="TableText0"/>
              <w:spacing w:before="0" w:after="0"/>
              <w:jc w:val="center"/>
              <w:rPr>
                <w:b/>
                <w:bCs/>
              </w:rPr>
            </w:pPr>
            <w:r w:rsidRPr="00691087">
              <w:rPr>
                <w:b/>
                <w:bCs/>
              </w:rPr>
              <w:t>(LLPP)</w:t>
            </w:r>
          </w:p>
        </w:tc>
        <w:tc>
          <w:tcPr>
            <w:tcW w:w="1701" w:type="dxa"/>
            <w:vAlign w:val="center"/>
          </w:tcPr>
          <w:p w14:paraId="1A583874" w14:textId="77777777" w:rsidR="005A2754" w:rsidRPr="00691087" w:rsidRDefault="005A2754" w:rsidP="00750D38">
            <w:pPr>
              <w:pStyle w:val="TableText0"/>
              <w:spacing w:before="0" w:after="0"/>
              <w:jc w:val="center"/>
              <w:rPr>
                <w:b/>
                <w:bCs/>
              </w:rPr>
            </w:pPr>
            <w:r w:rsidRPr="00691087">
              <w:rPr>
                <w:b/>
                <w:bCs/>
              </w:rPr>
              <w:t>FREEDOMS + EXT</w:t>
            </w:r>
          </w:p>
          <w:p w14:paraId="457A84EB" w14:textId="77777777" w:rsidR="005A2754" w:rsidRPr="00691087" w:rsidRDefault="005A2754" w:rsidP="00750D38">
            <w:pPr>
              <w:pStyle w:val="TableText0"/>
              <w:spacing w:before="0" w:after="0"/>
              <w:jc w:val="center"/>
              <w:rPr>
                <w:b/>
                <w:bCs/>
              </w:rPr>
            </w:pPr>
            <w:r w:rsidRPr="00691087">
              <w:rPr>
                <w:b/>
                <w:bCs/>
              </w:rPr>
              <w:t>(Continuous fingolimod 0.5 mg)</w:t>
            </w:r>
          </w:p>
        </w:tc>
        <w:tc>
          <w:tcPr>
            <w:tcW w:w="1701" w:type="dxa"/>
            <w:vAlign w:val="center"/>
          </w:tcPr>
          <w:p w14:paraId="084A0FDB" w14:textId="77777777" w:rsidR="005A2754" w:rsidRPr="00691087" w:rsidRDefault="005A2754" w:rsidP="00750D38">
            <w:pPr>
              <w:pStyle w:val="TableText0"/>
              <w:spacing w:before="0" w:after="0"/>
              <w:jc w:val="center"/>
              <w:rPr>
                <w:b/>
                <w:bCs/>
              </w:rPr>
            </w:pPr>
            <w:r w:rsidRPr="00691087">
              <w:rPr>
                <w:b/>
                <w:bCs/>
              </w:rPr>
              <w:t>FREEDOMS II + EXT</w:t>
            </w:r>
          </w:p>
          <w:p w14:paraId="1C4EE7ED" w14:textId="77777777" w:rsidR="005A2754" w:rsidRPr="00691087" w:rsidRDefault="005A2754" w:rsidP="00750D38">
            <w:pPr>
              <w:pStyle w:val="TableText0"/>
              <w:spacing w:before="0" w:after="0"/>
              <w:jc w:val="center"/>
              <w:rPr>
                <w:b/>
                <w:bCs/>
              </w:rPr>
            </w:pPr>
            <w:r w:rsidRPr="00691087">
              <w:rPr>
                <w:b/>
                <w:bCs/>
              </w:rPr>
              <w:t>(Continuous fingolimod 0.5 mg)</w:t>
            </w:r>
          </w:p>
        </w:tc>
      </w:tr>
      <w:tr w:rsidR="005A2754" w:rsidRPr="00691087" w14:paraId="155D4570" w14:textId="77777777" w:rsidTr="00750D38">
        <w:tc>
          <w:tcPr>
            <w:tcW w:w="3964" w:type="dxa"/>
          </w:tcPr>
          <w:p w14:paraId="7B880272" w14:textId="77777777" w:rsidR="005A2754" w:rsidRPr="00691087" w:rsidRDefault="005A2754" w:rsidP="00750D38">
            <w:pPr>
              <w:pStyle w:val="TableText0"/>
              <w:spacing w:before="0" w:after="0"/>
              <w:rPr>
                <w:i/>
              </w:rPr>
            </w:pPr>
            <w:r w:rsidRPr="00691087">
              <w:rPr>
                <w:i/>
              </w:rPr>
              <w:t>Annualised relapse rate</w:t>
            </w:r>
          </w:p>
          <w:p w14:paraId="2BD2C02F" w14:textId="77777777" w:rsidR="005A2754" w:rsidRPr="00691087" w:rsidRDefault="005A2754" w:rsidP="00750D38">
            <w:pPr>
              <w:pStyle w:val="TableText0"/>
              <w:spacing w:before="0" w:after="0"/>
            </w:pPr>
            <w:r w:rsidRPr="00691087">
              <w:t>Core study ITT (Years 1 and 2)</w:t>
            </w:r>
          </w:p>
          <w:p w14:paraId="4F238CC9" w14:textId="77777777" w:rsidR="005A2754" w:rsidRPr="00691087" w:rsidRDefault="005A2754" w:rsidP="00750D38">
            <w:pPr>
              <w:pStyle w:val="TableText0"/>
              <w:spacing w:before="0" w:after="0"/>
            </w:pPr>
            <w:r w:rsidRPr="00691087">
              <w:t>Extension study ITT (Years 3 and 4)</w:t>
            </w:r>
          </w:p>
          <w:p w14:paraId="21DCE053" w14:textId="77777777" w:rsidR="005A2754" w:rsidRPr="00691087" w:rsidRDefault="005A2754" w:rsidP="00750D38">
            <w:pPr>
              <w:pStyle w:val="TableText0"/>
              <w:spacing w:before="0" w:after="0"/>
            </w:pPr>
            <w:r w:rsidRPr="00691087">
              <w:t>Entire trial period (core + extension)(Years 1 to 4)</w:t>
            </w:r>
          </w:p>
        </w:tc>
        <w:tc>
          <w:tcPr>
            <w:tcW w:w="1701" w:type="dxa"/>
            <w:vAlign w:val="center"/>
          </w:tcPr>
          <w:p w14:paraId="319699CF" w14:textId="77777777" w:rsidR="005A2754" w:rsidRPr="00691087" w:rsidRDefault="005A2754" w:rsidP="00750D38">
            <w:pPr>
              <w:pStyle w:val="TableText0"/>
              <w:spacing w:before="0" w:after="0"/>
              <w:jc w:val="center"/>
            </w:pPr>
          </w:p>
          <w:p w14:paraId="799762E0" w14:textId="77777777" w:rsidR="005A2754" w:rsidRPr="00691087" w:rsidRDefault="005A2754" w:rsidP="00750D38">
            <w:pPr>
              <w:pStyle w:val="TableText0"/>
              <w:spacing w:before="0" w:after="0"/>
              <w:jc w:val="center"/>
            </w:pPr>
            <w:r w:rsidRPr="00691087">
              <w:t>0.14</w:t>
            </w:r>
          </w:p>
          <w:p w14:paraId="3FB932EC" w14:textId="77777777" w:rsidR="005A2754" w:rsidRPr="00691087" w:rsidRDefault="005A2754" w:rsidP="00750D38">
            <w:pPr>
              <w:pStyle w:val="TableText0"/>
              <w:spacing w:before="0" w:after="0"/>
              <w:jc w:val="center"/>
            </w:pPr>
            <w:r w:rsidRPr="00691087">
              <w:t>0.15</w:t>
            </w:r>
          </w:p>
          <w:p w14:paraId="3EE351D7" w14:textId="77777777" w:rsidR="005A2754" w:rsidRPr="00691087" w:rsidRDefault="005A2754" w:rsidP="00750D38">
            <w:pPr>
              <w:pStyle w:val="TableText0"/>
              <w:spacing w:before="0" w:after="0"/>
              <w:jc w:val="center"/>
            </w:pPr>
            <w:r w:rsidRPr="00691087">
              <w:t>-</w:t>
            </w:r>
          </w:p>
        </w:tc>
        <w:tc>
          <w:tcPr>
            <w:tcW w:w="1701" w:type="dxa"/>
            <w:vAlign w:val="center"/>
          </w:tcPr>
          <w:p w14:paraId="31C7713C" w14:textId="77777777" w:rsidR="005A2754" w:rsidRPr="00691087" w:rsidRDefault="005A2754" w:rsidP="00750D38">
            <w:pPr>
              <w:pStyle w:val="TableText0"/>
              <w:spacing w:before="0" w:after="0"/>
              <w:jc w:val="center"/>
            </w:pPr>
          </w:p>
          <w:p w14:paraId="4B4FD341" w14:textId="77777777" w:rsidR="005A2754" w:rsidRPr="00691087" w:rsidRDefault="005A2754" w:rsidP="00750D38">
            <w:pPr>
              <w:pStyle w:val="TableText0"/>
              <w:spacing w:before="0" w:after="0"/>
              <w:jc w:val="center"/>
            </w:pPr>
            <w:r w:rsidRPr="00691087">
              <w:t>0.20</w:t>
            </w:r>
          </w:p>
          <w:p w14:paraId="506830E4" w14:textId="77777777" w:rsidR="005A2754" w:rsidRPr="00691087" w:rsidRDefault="005A2754" w:rsidP="00750D38">
            <w:pPr>
              <w:pStyle w:val="TableText0"/>
              <w:spacing w:before="0" w:after="0"/>
              <w:jc w:val="center"/>
            </w:pPr>
            <w:r w:rsidRPr="00691087">
              <w:t>0.17</w:t>
            </w:r>
          </w:p>
          <w:p w14:paraId="48287138" w14:textId="77777777" w:rsidR="005A2754" w:rsidRPr="00691087" w:rsidRDefault="005A2754" w:rsidP="00750D38">
            <w:pPr>
              <w:pStyle w:val="TableText0"/>
              <w:spacing w:before="0" w:after="0"/>
              <w:jc w:val="center"/>
            </w:pPr>
            <w:r w:rsidRPr="00691087">
              <w:t>0.19</w:t>
            </w:r>
          </w:p>
        </w:tc>
        <w:tc>
          <w:tcPr>
            <w:tcW w:w="1701" w:type="dxa"/>
            <w:vAlign w:val="center"/>
          </w:tcPr>
          <w:p w14:paraId="528C5BBE" w14:textId="77777777" w:rsidR="005A2754" w:rsidRPr="00691087" w:rsidRDefault="005A2754" w:rsidP="00750D38">
            <w:pPr>
              <w:pStyle w:val="TableText0"/>
              <w:spacing w:before="0" w:after="0"/>
              <w:jc w:val="center"/>
            </w:pPr>
          </w:p>
          <w:p w14:paraId="6DA85F2A" w14:textId="77777777" w:rsidR="005A2754" w:rsidRPr="00691087" w:rsidRDefault="005A2754" w:rsidP="00750D38">
            <w:pPr>
              <w:pStyle w:val="TableText0"/>
              <w:spacing w:before="0" w:after="0"/>
              <w:jc w:val="center"/>
            </w:pPr>
            <w:r w:rsidRPr="00691087">
              <w:t>0.21</w:t>
            </w:r>
          </w:p>
          <w:p w14:paraId="6F57B19C" w14:textId="77777777" w:rsidR="005A2754" w:rsidRPr="00691087" w:rsidRDefault="005A2754" w:rsidP="00750D38">
            <w:pPr>
              <w:pStyle w:val="TableText0"/>
              <w:spacing w:before="0" w:after="0"/>
              <w:jc w:val="center"/>
            </w:pPr>
            <w:r w:rsidRPr="00691087">
              <w:t>-</w:t>
            </w:r>
          </w:p>
          <w:p w14:paraId="1245A87C" w14:textId="77777777" w:rsidR="005A2754" w:rsidRPr="00691087" w:rsidRDefault="005A2754" w:rsidP="00750D38">
            <w:pPr>
              <w:pStyle w:val="TableText0"/>
              <w:spacing w:before="0" w:after="0"/>
              <w:jc w:val="center"/>
            </w:pPr>
            <w:r w:rsidRPr="00691087">
              <w:t>0.19</w:t>
            </w:r>
          </w:p>
        </w:tc>
      </w:tr>
      <w:tr w:rsidR="005A2754" w:rsidRPr="00691087" w14:paraId="0E83E803" w14:textId="77777777" w:rsidTr="00750D38">
        <w:tc>
          <w:tcPr>
            <w:tcW w:w="3964" w:type="dxa"/>
          </w:tcPr>
          <w:p w14:paraId="363D897E" w14:textId="77777777" w:rsidR="005A2754" w:rsidRPr="00691087" w:rsidRDefault="005A2754" w:rsidP="00750D38">
            <w:pPr>
              <w:pStyle w:val="TableText0"/>
              <w:spacing w:before="0" w:after="0"/>
              <w:rPr>
                <w:i/>
              </w:rPr>
            </w:pPr>
            <w:r w:rsidRPr="00691087">
              <w:rPr>
                <w:i/>
              </w:rPr>
              <w:t>Proportion free from relapses</w:t>
            </w:r>
            <w:r w:rsidR="00551E1E" w:rsidRPr="00691087">
              <w:rPr>
                <w:i/>
              </w:rPr>
              <w:t>, n/N (%)</w:t>
            </w:r>
          </w:p>
          <w:p w14:paraId="71D07C44" w14:textId="77777777" w:rsidR="005A2754" w:rsidRPr="00691087" w:rsidRDefault="005A2754" w:rsidP="00750D38">
            <w:pPr>
              <w:pStyle w:val="TableText0"/>
              <w:spacing w:before="0" w:after="0"/>
            </w:pPr>
            <w:r w:rsidRPr="00691087">
              <w:t>Core study ITT (Years 1 and 2)</w:t>
            </w:r>
          </w:p>
          <w:p w14:paraId="663C2035" w14:textId="77777777" w:rsidR="005A2754" w:rsidRPr="00691087" w:rsidRDefault="005A2754" w:rsidP="00750D38">
            <w:pPr>
              <w:pStyle w:val="TableText0"/>
              <w:spacing w:before="0" w:after="0"/>
            </w:pPr>
            <w:r w:rsidRPr="00691087">
              <w:t>Extension study ITT (Years 3 and 4)</w:t>
            </w:r>
          </w:p>
          <w:p w14:paraId="2BAC737D" w14:textId="77777777" w:rsidR="005A2754" w:rsidRPr="00691087" w:rsidRDefault="005A2754" w:rsidP="00750D38">
            <w:pPr>
              <w:pStyle w:val="TableText0"/>
              <w:spacing w:before="0" w:after="0"/>
            </w:pPr>
            <w:r w:rsidRPr="00691087">
              <w:t>Entire trial period (core + extension) (Years 1 to 4)</w:t>
            </w:r>
          </w:p>
        </w:tc>
        <w:tc>
          <w:tcPr>
            <w:tcW w:w="1701" w:type="dxa"/>
            <w:vAlign w:val="center"/>
          </w:tcPr>
          <w:p w14:paraId="11D73AE9" w14:textId="77777777" w:rsidR="005A2754" w:rsidRPr="00691087" w:rsidRDefault="005A2754" w:rsidP="00750D38">
            <w:pPr>
              <w:pStyle w:val="TableText0"/>
              <w:spacing w:before="0" w:after="0"/>
              <w:jc w:val="center"/>
            </w:pPr>
          </w:p>
          <w:p w14:paraId="08FBAE7A" w14:textId="77777777" w:rsidR="005A2754" w:rsidRPr="00691087" w:rsidRDefault="001455DC" w:rsidP="00750D38">
            <w:pPr>
              <w:pStyle w:val="TableText0"/>
              <w:spacing w:before="0" w:after="0"/>
              <w:jc w:val="center"/>
            </w:pPr>
            <w:r w:rsidRPr="00691087">
              <w:t>345/433 (</w:t>
            </w:r>
            <w:r w:rsidR="005A2754" w:rsidRPr="00691087">
              <w:t>79.7%</w:t>
            </w:r>
            <w:r w:rsidRPr="00691087">
              <w:t>)</w:t>
            </w:r>
          </w:p>
          <w:p w14:paraId="3A6129C8" w14:textId="77777777" w:rsidR="005A2754" w:rsidRPr="00691087" w:rsidRDefault="003F0148" w:rsidP="00750D38">
            <w:pPr>
              <w:pStyle w:val="TableText0"/>
              <w:spacing w:before="0" w:after="0"/>
              <w:jc w:val="center"/>
            </w:pPr>
            <w:r w:rsidRPr="00691087">
              <w:t>68/98 (</w:t>
            </w:r>
            <w:r w:rsidR="005A2754" w:rsidRPr="00691087">
              <w:t>75.6%</w:t>
            </w:r>
            <w:r w:rsidRPr="00691087">
              <w:t>)</w:t>
            </w:r>
          </w:p>
          <w:p w14:paraId="3C8C9E9F" w14:textId="77777777" w:rsidR="005A2754" w:rsidRPr="00691087" w:rsidRDefault="005A2754" w:rsidP="00750D38">
            <w:pPr>
              <w:pStyle w:val="TableText0"/>
              <w:spacing w:before="0" w:after="0"/>
              <w:jc w:val="center"/>
            </w:pPr>
            <w:r w:rsidRPr="00691087">
              <w:t>-</w:t>
            </w:r>
          </w:p>
        </w:tc>
        <w:tc>
          <w:tcPr>
            <w:tcW w:w="1701" w:type="dxa"/>
            <w:vAlign w:val="center"/>
          </w:tcPr>
          <w:p w14:paraId="79ADFFBE" w14:textId="77777777" w:rsidR="005A2754" w:rsidRPr="00691087" w:rsidRDefault="005A2754" w:rsidP="00750D38">
            <w:pPr>
              <w:pStyle w:val="TableText0"/>
              <w:spacing w:before="0" w:after="0"/>
              <w:jc w:val="center"/>
            </w:pPr>
          </w:p>
          <w:p w14:paraId="23390EE4" w14:textId="77777777" w:rsidR="005A2754" w:rsidRPr="00691087" w:rsidRDefault="003F0148" w:rsidP="00750D38">
            <w:pPr>
              <w:pStyle w:val="TableText0"/>
              <w:spacing w:before="0" w:after="0"/>
              <w:jc w:val="center"/>
            </w:pPr>
            <w:r w:rsidRPr="00691087">
              <w:t>229/425 (</w:t>
            </w:r>
            <w:r w:rsidR="005A2754" w:rsidRPr="00691087">
              <w:t>70.4%</w:t>
            </w:r>
            <w:r w:rsidRPr="00691087">
              <w:t>)</w:t>
            </w:r>
          </w:p>
          <w:p w14:paraId="5EFD05D6" w14:textId="77777777" w:rsidR="005A2754" w:rsidRPr="00691087" w:rsidRDefault="005A2754" w:rsidP="00750D38">
            <w:pPr>
              <w:pStyle w:val="TableText0"/>
              <w:spacing w:before="0" w:after="0"/>
              <w:jc w:val="center"/>
            </w:pPr>
            <w:r w:rsidRPr="00691087">
              <w:t>-</w:t>
            </w:r>
          </w:p>
          <w:p w14:paraId="2BD5C7BF" w14:textId="77777777" w:rsidR="005A2754" w:rsidRPr="00691087" w:rsidRDefault="005A2754" w:rsidP="00750D38">
            <w:pPr>
              <w:pStyle w:val="TableText0"/>
              <w:spacing w:before="0" w:after="0"/>
              <w:jc w:val="center"/>
              <w:rPr>
                <w:vertAlign w:val="superscript"/>
              </w:rPr>
            </w:pPr>
            <w:r w:rsidRPr="00691087">
              <w:t>59.3%</w:t>
            </w:r>
            <w:r w:rsidR="00551E1E" w:rsidRPr="00691087">
              <w:rPr>
                <w:vertAlign w:val="superscript"/>
              </w:rPr>
              <w:t>a</w:t>
            </w:r>
          </w:p>
        </w:tc>
        <w:tc>
          <w:tcPr>
            <w:tcW w:w="1701" w:type="dxa"/>
            <w:vAlign w:val="center"/>
          </w:tcPr>
          <w:p w14:paraId="435CBE88" w14:textId="77777777" w:rsidR="005A2754" w:rsidRPr="00691087" w:rsidRDefault="005A2754" w:rsidP="00750D38">
            <w:pPr>
              <w:pStyle w:val="TableText0"/>
              <w:spacing w:before="0" w:after="0"/>
              <w:jc w:val="center"/>
            </w:pPr>
          </w:p>
          <w:p w14:paraId="58064092" w14:textId="77777777" w:rsidR="005A2754" w:rsidRPr="00691087" w:rsidRDefault="003F0148" w:rsidP="00750D38">
            <w:pPr>
              <w:pStyle w:val="TableText0"/>
              <w:spacing w:before="0" w:after="0"/>
              <w:jc w:val="center"/>
            </w:pPr>
            <w:r w:rsidRPr="00691087">
              <w:t>256/358 (</w:t>
            </w:r>
            <w:r w:rsidR="005A2754" w:rsidRPr="00691087">
              <w:t>71.5%</w:t>
            </w:r>
            <w:r w:rsidRPr="00691087">
              <w:t>)</w:t>
            </w:r>
          </w:p>
          <w:p w14:paraId="02E800BA" w14:textId="77777777" w:rsidR="005A2754" w:rsidRPr="00691087" w:rsidRDefault="005A2754" w:rsidP="00750D38">
            <w:pPr>
              <w:pStyle w:val="TableText0"/>
              <w:spacing w:before="0" w:after="0"/>
              <w:jc w:val="center"/>
            </w:pPr>
            <w:r w:rsidRPr="00691087">
              <w:t>-</w:t>
            </w:r>
          </w:p>
          <w:p w14:paraId="19709153" w14:textId="77777777" w:rsidR="005A2754" w:rsidRPr="00691087" w:rsidRDefault="005A2754" w:rsidP="00750D38">
            <w:pPr>
              <w:pStyle w:val="TableText0"/>
              <w:spacing w:before="0" w:after="0"/>
              <w:jc w:val="center"/>
              <w:rPr>
                <w:vertAlign w:val="superscript"/>
              </w:rPr>
            </w:pPr>
            <w:r w:rsidRPr="00691087">
              <w:t>66.6%</w:t>
            </w:r>
            <w:r w:rsidR="00551E1E" w:rsidRPr="00691087">
              <w:rPr>
                <w:vertAlign w:val="superscript"/>
              </w:rPr>
              <w:t>a</w:t>
            </w:r>
          </w:p>
        </w:tc>
      </w:tr>
    </w:tbl>
    <w:p w14:paraId="756870CF" w14:textId="77777777" w:rsidR="005A2754" w:rsidRPr="00691087" w:rsidRDefault="005A2754" w:rsidP="005A2754">
      <w:pPr>
        <w:pStyle w:val="TableFooter"/>
      </w:pPr>
      <w:r w:rsidRPr="00691087">
        <w:t xml:space="preserve">Source: Table 26, p48 of the submission. </w:t>
      </w:r>
    </w:p>
    <w:p w14:paraId="5DE3D271" w14:textId="6A82C748" w:rsidR="005A2754" w:rsidRPr="00691087" w:rsidRDefault="00551E1E" w:rsidP="00FE1A1E">
      <w:pPr>
        <w:pStyle w:val="TableFooter"/>
        <w:tabs>
          <w:tab w:val="left" w:pos="284"/>
        </w:tabs>
        <w:spacing w:after="120"/>
      </w:pPr>
      <w:r w:rsidRPr="00691087">
        <w:rPr>
          <w:vertAlign w:val="superscript"/>
        </w:rPr>
        <w:t>a</w:t>
      </w:r>
      <w:r w:rsidRPr="00691087">
        <w:tab/>
        <w:t>patient numbers (n/N) not presented.</w:t>
      </w:r>
    </w:p>
    <w:p w14:paraId="080D1285" w14:textId="77777777" w:rsidR="00D47892" w:rsidRDefault="005A2754" w:rsidP="000D2137">
      <w:pPr>
        <w:pStyle w:val="ListParagraph"/>
        <w:widowControl/>
        <w:numPr>
          <w:ilvl w:val="1"/>
          <w:numId w:val="2"/>
        </w:numPr>
        <w:rPr>
          <w:i/>
          <w:iCs/>
        </w:rPr>
      </w:pPr>
      <w:r w:rsidRPr="00691087">
        <w:t xml:space="preserve">As previously stated, the PBAC has </w:t>
      </w:r>
      <w:r w:rsidR="00FB54F5" w:rsidRPr="00691087">
        <w:t xml:space="preserve">previously </w:t>
      </w:r>
      <w:r w:rsidRPr="00691087">
        <w:t>reviewed the results of the naïve comparison of the trial extensions and considered that these results did not provide sufficient evidence to demonstrate that two years of cladribine treatment was comparable to four years of fingolimod treatment.</w:t>
      </w:r>
      <w:r w:rsidR="00332085" w:rsidRPr="00691087">
        <w:t xml:space="preserve"> </w:t>
      </w:r>
      <w:r w:rsidR="000D2137" w:rsidRPr="00AB27A7">
        <w:t xml:space="preserve">The ESC acknowledged the additional information </w:t>
      </w:r>
      <w:r w:rsidR="00963E16" w:rsidRPr="00AB27A7">
        <w:t xml:space="preserve">that was provided in the resubmission </w:t>
      </w:r>
      <w:r w:rsidR="000D2137" w:rsidRPr="00AB27A7">
        <w:t xml:space="preserve">regarding </w:t>
      </w:r>
      <w:r w:rsidR="00963E16" w:rsidRPr="00AB27A7">
        <w:t xml:space="preserve">the annualised relapsed rates (inclusion of </w:t>
      </w:r>
      <w:r w:rsidR="000D2137" w:rsidRPr="00AB27A7">
        <w:t>relapses that occurred during the ‘gap’ between the end of the CLARITY trial and the beginning of the extension</w:t>
      </w:r>
      <w:r w:rsidR="00963E16" w:rsidRPr="00AB27A7">
        <w:t>)</w:t>
      </w:r>
      <w:r w:rsidR="000D2137" w:rsidRPr="00AB27A7">
        <w:t>. However, t</w:t>
      </w:r>
      <w:r w:rsidR="00FB54F5" w:rsidRPr="00AB27A7">
        <w:t xml:space="preserve">he ESC </w:t>
      </w:r>
      <w:r w:rsidR="00D47892" w:rsidRPr="00AB27A7">
        <w:t>considered th</w:t>
      </w:r>
      <w:r w:rsidR="00955AE0" w:rsidRPr="00AB27A7">
        <w:t>at the additional information</w:t>
      </w:r>
      <w:r w:rsidR="000D2137" w:rsidRPr="00AB27A7">
        <w:t>, which still relied on a naïve comparison of point estimates of the cladribine and fingolimod extension studies</w:t>
      </w:r>
      <w:r w:rsidR="00F4782F" w:rsidRPr="00AB27A7">
        <w:t>,</w:t>
      </w:r>
      <w:r w:rsidR="00955AE0" w:rsidRPr="00AB27A7">
        <w:t xml:space="preserve"> </w:t>
      </w:r>
      <w:r w:rsidR="00F4782F" w:rsidRPr="00AB27A7">
        <w:t>still did not provide sufficient evidence to demonstrate that two years of cladribine treatment was comparable to four years of fingolimod treatment.</w:t>
      </w:r>
      <w:r w:rsidR="000E6EDF" w:rsidRPr="00691087">
        <w:rPr>
          <w:i/>
          <w:iCs/>
        </w:rPr>
        <w:t xml:space="preserve"> </w:t>
      </w:r>
    </w:p>
    <w:p w14:paraId="788C2725" w14:textId="77777777" w:rsidR="005A2754" w:rsidRPr="00691087" w:rsidRDefault="00CF4092" w:rsidP="005A2754">
      <w:pPr>
        <w:pStyle w:val="ListParagraph"/>
        <w:widowControl/>
        <w:numPr>
          <w:ilvl w:val="1"/>
          <w:numId w:val="2"/>
        </w:numPr>
      </w:pPr>
      <w:r>
        <w:t xml:space="preserve">Table 8 </w:t>
      </w:r>
      <w:r w:rsidR="005A2754" w:rsidRPr="00691087">
        <w:t xml:space="preserve">presents a summary of the results of the </w:t>
      </w:r>
      <w:r w:rsidR="00537628" w:rsidRPr="00691087">
        <w:t>‘real world evidence’ (</w:t>
      </w:r>
      <w:r w:rsidR="005A2754" w:rsidRPr="00691087">
        <w:t>RWE</w:t>
      </w:r>
      <w:r w:rsidR="00537628" w:rsidRPr="00691087">
        <w:t>)</w:t>
      </w:r>
      <w:r w:rsidR="005A2754" w:rsidRPr="00691087">
        <w:t xml:space="preserve"> studies.</w:t>
      </w:r>
    </w:p>
    <w:p w14:paraId="33C6A470" w14:textId="77777777" w:rsidR="005A2754" w:rsidRPr="00691087" w:rsidRDefault="005A2754" w:rsidP="00537628">
      <w:pPr>
        <w:pStyle w:val="BodyText"/>
        <w:keepNext/>
        <w:rPr>
          <w:rStyle w:val="CommentReference"/>
        </w:rPr>
      </w:pPr>
      <w:bookmarkStart w:id="21" w:name="_Ref81838228"/>
      <w:r w:rsidRPr="00691087">
        <w:rPr>
          <w:rStyle w:val="CommentReference"/>
        </w:rPr>
        <w:t xml:space="preserve">Table </w:t>
      </w:r>
      <w:bookmarkEnd w:id="21"/>
      <w:r w:rsidR="00CF4092">
        <w:rPr>
          <w:rStyle w:val="CommentReference"/>
        </w:rPr>
        <w:t>8</w:t>
      </w:r>
      <w:r w:rsidRPr="00691087">
        <w:rPr>
          <w:rStyle w:val="CommentReference"/>
        </w:rPr>
        <w:t>: Summary of published RWE on duration of treatment effect</w:t>
      </w:r>
    </w:p>
    <w:tbl>
      <w:tblPr>
        <w:tblStyle w:val="TableGrid"/>
        <w:tblW w:w="9214" w:type="dxa"/>
        <w:tblCellMar>
          <w:left w:w="29" w:type="dxa"/>
          <w:right w:w="29" w:type="dxa"/>
        </w:tblCellMar>
        <w:tblLook w:val="04A0" w:firstRow="1" w:lastRow="0" w:firstColumn="1" w:lastColumn="0" w:noHBand="0" w:noVBand="1"/>
        <w:tblCaption w:val="Table 8: Summary of published RWE on duration of treatment effect"/>
      </w:tblPr>
      <w:tblGrid>
        <w:gridCol w:w="3397"/>
        <w:gridCol w:w="1560"/>
        <w:gridCol w:w="4257"/>
      </w:tblGrid>
      <w:tr w:rsidR="005A2754" w:rsidRPr="00691087" w14:paraId="2D7F5FBE" w14:textId="77777777" w:rsidTr="00492001">
        <w:trPr>
          <w:tblHeader/>
        </w:trPr>
        <w:tc>
          <w:tcPr>
            <w:tcW w:w="3397" w:type="dxa"/>
            <w:hideMark/>
          </w:tcPr>
          <w:p w14:paraId="669F290A" w14:textId="77777777" w:rsidR="005A2754" w:rsidRPr="00691087" w:rsidRDefault="005A2754" w:rsidP="00537628">
            <w:pPr>
              <w:pStyle w:val="Tabletext"/>
              <w:keepNext/>
              <w:rPr>
                <w:b/>
                <w:bCs/>
              </w:rPr>
            </w:pPr>
            <w:r w:rsidRPr="00691087">
              <w:rPr>
                <w:b/>
                <w:bCs/>
              </w:rPr>
              <w:t>Reference</w:t>
            </w:r>
          </w:p>
        </w:tc>
        <w:tc>
          <w:tcPr>
            <w:tcW w:w="1560" w:type="dxa"/>
            <w:vAlign w:val="center"/>
            <w:hideMark/>
          </w:tcPr>
          <w:p w14:paraId="02F641FF" w14:textId="77777777" w:rsidR="005A2754" w:rsidRPr="00691087" w:rsidRDefault="005A2754" w:rsidP="00537628">
            <w:pPr>
              <w:pStyle w:val="Tabletext"/>
              <w:keepNext/>
              <w:jc w:val="center"/>
              <w:rPr>
                <w:b/>
                <w:bCs/>
              </w:rPr>
            </w:pPr>
            <w:r w:rsidRPr="00691087">
              <w:rPr>
                <w:b/>
                <w:bCs/>
              </w:rPr>
              <w:t>Relapses</w:t>
            </w:r>
          </w:p>
        </w:tc>
        <w:tc>
          <w:tcPr>
            <w:tcW w:w="4257" w:type="dxa"/>
            <w:vAlign w:val="center"/>
            <w:hideMark/>
          </w:tcPr>
          <w:p w14:paraId="3C4E938D" w14:textId="77777777" w:rsidR="005A2754" w:rsidRPr="00691087" w:rsidRDefault="005A2754" w:rsidP="00537628">
            <w:pPr>
              <w:pStyle w:val="Tabletext"/>
              <w:keepNext/>
              <w:jc w:val="center"/>
              <w:rPr>
                <w:b/>
                <w:bCs/>
                <w:sz w:val="24"/>
              </w:rPr>
            </w:pPr>
            <w:r w:rsidRPr="00691087">
              <w:rPr>
                <w:b/>
                <w:bCs/>
                <w:szCs w:val="16"/>
              </w:rPr>
              <w:t>Treatment switch</w:t>
            </w:r>
          </w:p>
        </w:tc>
      </w:tr>
      <w:tr w:rsidR="005A2754" w:rsidRPr="00691087" w14:paraId="6DADA9FF" w14:textId="77777777" w:rsidTr="00750D38">
        <w:trPr>
          <w:trHeight w:val="319"/>
        </w:trPr>
        <w:tc>
          <w:tcPr>
            <w:tcW w:w="3397" w:type="dxa"/>
            <w:hideMark/>
          </w:tcPr>
          <w:p w14:paraId="0A88CC80" w14:textId="77777777" w:rsidR="005A2754" w:rsidRPr="00691087" w:rsidRDefault="005A2754" w:rsidP="00537628">
            <w:pPr>
              <w:pStyle w:val="Tabletext"/>
              <w:keepNext/>
            </w:pPr>
            <w:r w:rsidRPr="00691087">
              <w:t>Pfeuffer (2021)</w:t>
            </w:r>
          </w:p>
          <w:p w14:paraId="3D1A0120" w14:textId="77777777" w:rsidR="005A2754" w:rsidRPr="00691087" w:rsidRDefault="005A2754" w:rsidP="00537628">
            <w:pPr>
              <w:pStyle w:val="Tabletext"/>
              <w:keepNext/>
            </w:pPr>
            <w:r w:rsidRPr="00691087">
              <w:t>Real-world experience from two tertiary centres</w:t>
            </w:r>
          </w:p>
        </w:tc>
        <w:tc>
          <w:tcPr>
            <w:tcW w:w="1560" w:type="dxa"/>
            <w:vAlign w:val="center"/>
            <w:hideMark/>
          </w:tcPr>
          <w:p w14:paraId="29A9EC10" w14:textId="77777777" w:rsidR="005A2754" w:rsidRPr="00691087" w:rsidRDefault="005A2754" w:rsidP="00537628">
            <w:pPr>
              <w:pStyle w:val="Tabletext"/>
              <w:keepNext/>
              <w:jc w:val="center"/>
            </w:pPr>
            <w:r w:rsidRPr="00691087">
              <w:t>25.6% - 4 years</w:t>
            </w:r>
          </w:p>
        </w:tc>
        <w:tc>
          <w:tcPr>
            <w:tcW w:w="4257" w:type="dxa"/>
            <w:vAlign w:val="center"/>
            <w:hideMark/>
          </w:tcPr>
          <w:p w14:paraId="76D1E791" w14:textId="77777777" w:rsidR="005A2754" w:rsidRPr="00691087" w:rsidRDefault="005A2754" w:rsidP="00537628">
            <w:pPr>
              <w:pStyle w:val="Tabletext"/>
              <w:keepNext/>
              <w:jc w:val="center"/>
            </w:pPr>
            <w:r w:rsidRPr="00691087">
              <w:t>5.6% - 3 years</w:t>
            </w:r>
          </w:p>
        </w:tc>
      </w:tr>
      <w:tr w:rsidR="005A2754" w:rsidRPr="00691087" w14:paraId="6B69E0EA" w14:textId="77777777" w:rsidTr="00750D38">
        <w:trPr>
          <w:trHeight w:val="471"/>
        </w:trPr>
        <w:tc>
          <w:tcPr>
            <w:tcW w:w="3397" w:type="dxa"/>
            <w:hideMark/>
          </w:tcPr>
          <w:p w14:paraId="3A5F9373" w14:textId="77777777" w:rsidR="005A2754" w:rsidRPr="00691087" w:rsidRDefault="005A2754" w:rsidP="00537628">
            <w:pPr>
              <w:pStyle w:val="Tabletext"/>
              <w:keepNext/>
            </w:pPr>
            <w:r w:rsidRPr="00691087">
              <w:t>De Steffano (2020)</w:t>
            </w:r>
          </w:p>
          <w:p w14:paraId="7FA86755" w14:textId="77777777" w:rsidR="005A2754" w:rsidRPr="00691087" w:rsidRDefault="005A2754" w:rsidP="00537628">
            <w:pPr>
              <w:pStyle w:val="Tabletext"/>
              <w:keepNext/>
            </w:pPr>
            <w:r w:rsidRPr="00691087">
              <w:t>Analysis of frequency and severity of relapses in the CLARITY and CLARITY Extension studies</w:t>
            </w:r>
          </w:p>
        </w:tc>
        <w:tc>
          <w:tcPr>
            <w:tcW w:w="1560" w:type="dxa"/>
            <w:vAlign w:val="center"/>
            <w:hideMark/>
          </w:tcPr>
          <w:p w14:paraId="7A912FCC" w14:textId="77777777" w:rsidR="005A2754" w:rsidRPr="00691087" w:rsidRDefault="005A2754" w:rsidP="00537628">
            <w:pPr>
              <w:pStyle w:val="Tabletext"/>
              <w:keepNext/>
              <w:jc w:val="center"/>
            </w:pPr>
            <w:r w:rsidRPr="00691087">
              <w:t>15.3% (qualifying relapses) to 26.5% (all relapses) - 4 years</w:t>
            </w:r>
          </w:p>
        </w:tc>
        <w:tc>
          <w:tcPr>
            <w:tcW w:w="4257" w:type="dxa"/>
            <w:vAlign w:val="center"/>
            <w:hideMark/>
          </w:tcPr>
          <w:p w14:paraId="2EE39222" w14:textId="77777777" w:rsidR="005A2754" w:rsidRPr="00691087" w:rsidRDefault="005A2754" w:rsidP="00537628">
            <w:pPr>
              <w:pStyle w:val="Tabletext"/>
              <w:keepNext/>
              <w:jc w:val="center"/>
              <w:rPr>
                <w:vertAlign w:val="superscript"/>
              </w:rPr>
            </w:pPr>
            <w:r w:rsidRPr="00691087">
              <w:t>15.3% (qualifying relapses) to 26.5% (all relapses) - 4 years</w:t>
            </w:r>
            <w:r w:rsidRPr="00691087">
              <w:rPr>
                <w:vertAlign w:val="superscript"/>
              </w:rPr>
              <w:t>a</w:t>
            </w:r>
          </w:p>
        </w:tc>
      </w:tr>
      <w:tr w:rsidR="005A2754" w:rsidRPr="00691087" w14:paraId="0C0F2D67" w14:textId="77777777" w:rsidTr="00750D38">
        <w:trPr>
          <w:trHeight w:val="257"/>
        </w:trPr>
        <w:tc>
          <w:tcPr>
            <w:tcW w:w="3397" w:type="dxa"/>
            <w:hideMark/>
          </w:tcPr>
          <w:p w14:paraId="57E6648C" w14:textId="77777777" w:rsidR="005A2754" w:rsidRPr="00691087" w:rsidRDefault="005A2754" w:rsidP="00537628">
            <w:pPr>
              <w:pStyle w:val="Tabletext"/>
              <w:keepNext/>
            </w:pPr>
            <w:r w:rsidRPr="00691087">
              <w:t>Patti (2020)</w:t>
            </w:r>
          </w:p>
          <w:p w14:paraId="3CAC2C4C" w14:textId="77777777" w:rsidR="005A2754" w:rsidRPr="00691087" w:rsidRDefault="005A2754" w:rsidP="00537628">
            <w:pPr>
              <w:pStyle w:val="Tabletext"/>
              <w:keepNext/>
            </w:pPr>
            <w:r w:rsidRPr="00691087">
              <w:t>Long-term effectiveness in patients previously treated with cladribine tablets: a real-world analysis of the Italian MS registry (CLARINET-MS)</w:t>
            </w:r>
          </w:p>
        </w:tc>
        <w:tc>
          <w:tcPr>
            <w:tcW w:w="1560" w:type="dxa"/>
            <w:vAlign w:val="center"/>
            <w:hideMark/>
          </w:tcPr>
          <w:p w14:paraId="342C267E" w14:textId="77777777" w:rsidR="005A2754" w:rsidRPr="00691087" w:rsidRDefault="005A2754" w:rsidP="00537628">
            <w:pPr>
              <w:pStyle w:val="Tabletext"/>
              <w:keepNext/>
              <w:jc w:val="center"/>
            </w:pPr>
            <w:r w:rsidRPr="00691087">
              <w:t>14.6% – 2 years</w:t>
            </w:r>
          </w:p>
          <w:p w14:paraId="1CCD832C" w14:textId="77777777" w:rsidR="005A2754" w:rsidRPr="00691087" w:rsidRDefault="005A2754" w:rsidP="00537628">
            <w:pPr>
              <w:pStyle w:val="Tabletext"/>
              <w:keepNext/>
              <w:jc w:val="center"/>
            </w:pPr>
            <w:r w:rsidRPr="00691087">
              <w:t>33.8% – 4 years</w:t>
            </w:r>
          </w:p>
          <w:p w14:paraId="132DE8D5" w14:textId="77777777" w:rsidR="005A2754" w:rsidRPr="00691087" w:rsidRDefault="005A2754" w:rsidP="00537628">
            <w:pPr>
              <w:pStyle w:val="Tabletext"/>
              <w:keepNext/>
              <w:jc w:val="center"/>
            </w:pPr>
            <w:r w:rsidRPr="00691087">
              <w:t>41.1% – 6 years</w:t>
            </w:r>
          </w:p>
        </w:tc>
        <w:tc>
          <w:tcPr>
            <w:tcW w:w="4257" w:type="dxa"/>
            <w:vAlign w:val="center"/>
            <w:hideMark/>
          </w:tcPr>
          <w:p w14:paraId="6349EF8B" w14:textId="77777777" w:rsidR="005A2754" w:rsidRPr="00691087" w:rsidRDefault="005A2754" w:rsidP="00537628">
            <w:pPr>
              <w:pStyle w:val="Tabletext"/>
              <w:keepNext/>
              <w:jc w:val="center"/>
            </w:pPr>
            <w:r w:rsidRPr="00691087">
              <w:t>20.6% - 2 years</w:t>
            </w:r>
          </w:p>
          <w:p w14:paraId="2677A23B" w14:textId="77777777" w:rsidR="005A2754" w:rsidRPr="00691087" w:rsidRDefault="005A2754" w:rsidP="00537628">
            <w:pPr>
              <w:pStyle w:val="Tabletext"/>
              <w:keepNext/>
              <w:jc w:val="center"/>
            </w:pPr>
            <w:r w:rsidRPr="00691087">
              <w:t>44.4% - 4 years</w:t>
            </w:r>
          </w:p>
          <w:p w14:paraId="56977924" w14:textId="77777777" w:rsidR="005A2754" w:rsidRPr="00691087" w:rsidRDefault="005A2754" w:rsidP="00537628">
            <w:pPr>
              <w:pStyle w:val="Tabletext"/>
              <w:keepNext/>
              <w:jc w:val="center"/>
            </w:pPr>
            <w:r w:rsidRPr="00691087">
              <w:t>67.6% - 6 years</w:t>
            </w:r>
          </w:p>
        </w:tc>
      </w:tr>
      <w:tr w:rsidR="005A2754" w:rsidRPr="00691087" w14:paraId="0B88DCB5" w14:textId="77777777" w:rsidTr="00750D38">
        <w:trPr>
          <w:trHeight w:val="1082"/>
        </w:trPr>
        <w:tc>
          <w:tcPr>
            <w:tcW w:w="3397" w:type="dxa"/>
            <w:hideMark/>
          </w:tcPr>
          <w:p w14:paraId="3D4D7B4B" w14:textId="77777777" w:rsidR="005A2754" w:rsidRPr="00691087" w:rsidRDefault="005A2754" w:rsidP="00537628">
            <w:pPr>
              <w:pStyle w:val="Tabletext"/>
              <w:keepNext/>
            </w:pPr>
            <w:r w:rsidRPr="00691087">
              <w:t>Giovannoni (2021)</w:t>
            </w:r>
          </w:p>
          <w:p w14:paraId="607FD2E5" w14:textId="77777777" w:rsidR="005A2754" w:rsidRPr="00691087" w:rsidRDefault="005A2754" w:rsidP="00537628">
            <w:pPr>
              <w:pStyle w:val="Tabletext"/>
              <w:keepNext/>
            </w:pPr>
            <w:r w:rsidRPr="00691087">
              <w:t>CLASSIC-MS: Long-term Efficacy and Real-World Treatment Patterns for Patients with Relapsing Multiple Sclerosis who Received Cladribine Tablets in Phase III Parent Trials (1919)</w:t>
            </w:r>
          </w:p>
        </w:tc>
        <w:tc>
          <w:tcPr>
            <w:tcW w:w="1560" w:type="dxa"/>
            <w:vAlign w:val="center"/>
            <w:hideMark/>
          </w:tcPr>
          <w:p w14:paraId="22CA958D" w14:textId="77777777" w:rsidR="005A2754" w:rsidRPr="00691087" w:rsidRDefault="005A2754" w:rsidP="00537628">
            <w:pPr>
              <w:pStyle w:val="Tabletext"/>
              <w:keepNext/>
              <w:jc w:val="center"/>
            </w:pPr>
            <w:r w:rsidRPr="00691087">
              <w:t>NR</w:t>
            </w:r>
          </w:p>
        </w:tc>
        <w:tc>
          <w:tcPr>
            <w:tcW w:w="4257" w:type="dxa"/>
            <w:vAlign w:val="center"/>
            <w:hideMark/>
          </w:tcPr>
          <w:p w14:paraId="50D80D73" w14:textId="77777777" w:rsidR="005A2754" w:rsidRPr="00691087" w:rsidRDefault="005A2754" w:rsidP="00537628">
            <w:pPr>
              <w:pStyle w:val="Tabletext"/>
              <w:keepNext/>
              <w:jc w:val="center"/>
            </w:pPr>
            <w:r w:rsidRPr="00691087">
              <w:t>17.2%</w:t>
            </w:r>
            <w:r w:rsidRPr="00691087">
              <w:rPr>
                <w:vertAlign w:val="superscript"/>
              </w:rPr>
              <w:t>a</w:t>
            </w:r>
            <w:r w:rsidRPr="00691087">
              <w:t xml:space="preserve"> - 4 years</w:t>
            </w:r>
          </w:p>
        </w:tc>
      </w:tr>
      <w:tr w:rsidR="005A2754" w:rsidRPr="00691087" w14:paraId="1762B2B7" w14:textId="77777777" w:rsidTr="00750D38">
        <w:trPr>
          <w:trHeight w:val="1257"/>
        </w:trPr>
        <w:tc>
          <w:tcPr>
            <w:tcW w:w="3397" w:type="dxa"/>
            <w:vAlign w:val="center"/>
          </w:tcPr>
          <w:p w14:paraId="1C87BCC2" w14:textId="40AF2667" w:rsidR="005A2754" w:rsidRPr="00691087" w:rsidRDefault="005A2754" w:rsidP="00537628">
            <w:pPr>
              <w:pStyle w:val="Tabletext"/>
              <w:keepNext/>
            </w:pPr>
            <w:r w:rsidRPr="00691087">
              <w:t xml:space="preserve">Lizak (2020) -excluded on the basis that some patients </w:t>
            </w:r>
            <w:r w:rsidR="00691087" w:rsidRPr="00691087">
              <w:t>received</w:t>
            </w:r>
            <w:r w:rsidRPr="00691087">
              <w:t xml:space="preserve"> incorrect dosage of cladribine</w:t>
            </w:r>
          </w:p>
          <w:p w14:paraId="1E613060" w14:textId="77777777" w:rsidR="005A2754" w:rsidRPr="00691087" w:rsidRDefault="005A2754" w:rsidP="00537628">
            <w:pPr>
              <w:pStyle w:val="Tabletext"/>
              <w:keepNext/>
            </w:pPr>
          </w:p>
          <w:p w14:paraId="11899ACF" w14:textId="77777777" w:rsidR="005A2754" w:rsidRPr="00691087" w:rsidRDefault="005A2754" w:rsidP="00537628">
            <w:pPr>
              <w:pStyle w:val="Tabletext"/>
              <w:keepNext/>
            </w:pPr>
            <w:r w:rsidRPr="00691087">
              <w:t>MSBase Australian Registry sub study.</w:t>
            </w:r>
          </w:p>
        </w:tc>
        <w:tc>
          <w:tcPr>
            <w:tcW w:w="1560" w:type="dxa"/>
            <w:vAlign w:val="center"/>
          </w:tcPr>
          <w:p w14:paraId="6704B90F" w14:textId="77777777" w:rsidR="005A2754" w:rsidRPr="00691087" w:rsidRDefault="005A2754" w:rsidP="00537628">
            <w:pPr>
              <w:pStyle w:val="Tabletext"/>
              <w:keepNext/>
              <w:jc w:val="center"/>
            </w:pPr>
            <w:r w:rsidRPr="00691087">
              <w:t>NR</w:t>
            </w:r>
          </w:p>
        </w:tc>
        <w:tc>
          <w:tcPr>
            <w:tcW w:w="4257" w:type="dxa"/>
            <w:vAlign w:val="center"/>
          </w:tcPr>
          <w:p w14:paraId="3B3C67B1" w14:textId="77777777" w:rsidR="005A2754" w:rsidRPr="00691087" w:rsidRDefault="005A2754" w:rsidP="00537628">
            <w:pPr>
              <w:pStyle w:val="TableText0"/>
              <w:jc w:val="center"/>
              <w:rPr>
                <w:lang w:eastAsia="en-AU"/>
              </w:rPr>
            </w:pPr>
            <w:r w:rsidRPr="00691087">
              <w:rPr>
                <w:lang w:eastAsia="en-AU"/>
              </w:rPr>
              <w:t>62 of 90 patients (69%) received another DMT following cladribine treatment during the reported follow-up period (median 3.5 years). Overall, 45 (73%) patients who switched did so before a relapse and 17 (27%) experienced relapses prior to switching. The median (95% CI) time to next DMT was 1.7 years (1.36–2.28).</w:t>
            </w:r>
          </w:p>
        </w:tc>
      </w:tr>
    </w:tbl>
    <w:p w14:paraId="406EDFE9" w14:textId="7C191556" w:rsidR="005A2754" w:rsidRPr="00691087" w:rsidRDefault="005A2754" w:rsidP="00537628">
      <w:pPr>
        <w:pStyle w:val="TableFooter"/>
        <w:keepNext/>
      </w:pPr>
      <w:r w:rsidRPr="00691087">
        <w:t>Source: Table 30, p57-58 of the submission. NR = not reported</w:t>
      </w:r>
    </w:p>
    <w:p w14:paraId="654D3133" w14:textId="20BEC2D2" w:rsidR="005A2754" w:rsidRPr="00691087" w:rsidRDefault="005A2754" w:rsidP="00FE1A1E">
      <w:pPr>
        <w:pStyle w:val="TableFooter"/>
        <w:keepNext/>
        <w:spacing w:after="120"/>
        <w:ind w:left="284" w:hanging="284"/>
      </w:pPr>
      <w:r w:rsidRPr="00691087">
        <w:rPr>
          <w:vertAlign w:val="superscript"/>
        </w:rPr>
        <w:t>a</w:t>
      </w:r>
      <w:r w:rsidRPr="00691087">
        <w:tab/>
        <w:t xml:space="preserve">Using proportion of patients who relapse in the study period as a surrogate endpoint for patients who switch treatments if treatment switching is not explicitly recorded. </w:t>
      </w:r>
    </w:p>
    <w:p w14:paraId="5D6560F2" w14:textId="77777777" w:rsidR="005A2754" w:rsidRPr="00691087" w:rsidRDefault="005A2754" w:rsidP="005A2754">
      <w:pPr>
        <w:pStyle w:val="ListParagraph"/>
        <w:widowControl/>
        <w:numPr>
          <w:ilvl w:val="1"/>
          <w:numId w:val="2"/>
        </w:numPr>
      </w:pPr>
      <w:r w:rsidRPr="00691087">
        <w:t>The point estimates of relapse in these observational studies overall indicated some preservation of clinical effect beyond two years. However, none of these studies provided comparative effect estimates to fingolimod</w:t>
      </w:r>
      <w:r w:rsidR="00DB10C4" w:rsidRPr="00691087">
        <w:t xml:space="preserve"> to inform a non-inferiority claim over </w:t>
      </w:r>
      <w:r w:rsidR="004A09E4" w:rsidRPr="00691087">
        <w:t xml:space="preserve">four </w:t>
      </w:r>
      <w:r w:rsidR="00DB10C4" w:rsidRPr="00691087">
        <w:t>years</w:t>
      </w:r>
      <w:r w:rsidRPr="00691087">
        <w:t>.</w:t>
      </w:r>
    </w:p>
    <w:p w14:paraId="15450194" w14:textId="77777777" w:rsidR="005A2754" w:rsidRPr="00691087" w:rsidRDefault="005A2754" w:rsidP="005A2754">
      <w:pPr>
        <w:pStyle w:val="ListParagraph"/>
        <w:widowControl/>
        <w:numPr>
          <w:ilvl w:val="1"/>
          <w:numId w:val="2"/>
        </w:numPr>
      </w:pPr>
      <w:r w:rsidRPr="00691087">
        <w:t xml:space="preserve">Furthermore, Giovannoni (2021) and Patti (2020) followed cohorts of patients who had originally been in the cladribine trials, and consequently, may not be appropriate to serve as confirmatory studies. De Steffano (2020) was a re-analysis of CLARITY EXT, and consequently does not necessarily address the limitations of the extension study. </w:t>
      </w:r>
    </w:p>
    <w:p w14:paraId="135A4031" w14:textId="77777777" w:rsidR="005A2754" w:rsidRPr="00691087" w:rsidRDefault="005A2754" w:rsidP="005A2754">
      <w:pPr>
        <w:pStyle w:val="ListParagraph"/>
        <w:widowControl/>
        <w:numPr>
          <w:ilvl w:val="1"/>
          <w:numId w:val="2"/>
        </w:numPr>
      </w:pPr>
      <w:r w:rsidRPr="00691087">
        <w:t>Estimates of treatment switch</w:t>
      </w:r>
      <w:r w:rsidR="00065C22" w:rsidRPr="00691087">
        <w:t xml:space="preserve"> rates</w:t>
      </w:r>
      <w:r w:rsidRPr="00691087">
        <w:t xml:space="preserve">, which </w:t>
      </w:r>
      <w:r w:rsidR="00601F91" w:rsidRPr="00691087">
        <w:t>were used in</w:t>
      </w:r>
      <w:r w:rsidRPr="00691087">
        <w:t xml:space="preserve"> the cost</w:t>
      </w:r>
      <w:r w:rsidR="00537628" w:rsidRPr="00691087">
        <w:t>-</w:t>
      </w:r>
      <w:r w:rsidRPr="00691087">
        <w:t xml:space="preserve">minimisation </w:t>
      </w:r>
      <w:r w:rsidR="00601F91" w:rsidRPr="00691087">
        <w:t xml:space="preserve">analysis </w:t>
      </w:r>
      <w:r w:rsidRPr="00691087">
        <w:t xml:space="preserve">were all from foreign jurisdictions except for the excluded Lizak (2020). It was unreasonable to assume that post cladribine treatment switch </w:t>
      </w:r>
      <w:r w:rsidR="00601F91" w:rsidRPr="00691087">
        <w:t xml:space="preserve">data </w:t>
      </w:r>
      <w:r w:rsidRPr="00691087">
        <w:t xml:space="preserve">from other jurisdictions would be </w:t>
      </w:r>
      <w:r w:rsidR="008A1E50">
        <w:t xml:space="preserve">directly </w:t>
      </w:r>
      <w:r w:rsidRPr="00691087">
        <w:t>appli</w:t>
      </w:r>
      <w:r w:rsidR="008A1E50">
        <w:t>cable to the Australian context.</w:t>
      </w:r>
    </w:p>
    <w:p w14:paraId="085D5ED6" w14:textId="439F342D" w:rsidR="00E55E4C" w:rsidRPr="00AB27A7" w:rsidRDefault="00E55E4C" w:rsidP="005A2754">
      <w:pPr>
        <w:pStyle w:val="ListParagraph"/>
        <w:widowControl/>
        <w:numPr>
          <w:ilvl w:val="1"/>
          <w:numId w:val="2"/>
        </w:numPr>
      </w:pPr>
      <w:r w:rsidRPr="00AB27A7">
        <w:t>The PSCR argued the evidence presented, including the RWE</w:t>
      </w:r>
      <w:r w:rsidR="005354F4" w:rsidRPr="00AB27A7">
        <w:t>,</w:t>
      </w:r>
      <w:r w:rsidRPr="00AB27A7">
        <w:t xml:space="preserve"> indicated a majority of patients continue to experience a therapeutic effect after 2 years and further argued the current basis upon which cladribine is listed assumes no patients </w:t>
      </w:r>
      <w:r w:rsidR="005129D5" w:rsidRPr="00AB27A7">
        <w:t>experience any benefit beyond 2 years of treatment.</w:t>
      </w:r>
      <w:r w:rsidR="006A20C7" w:rsidRPr="00AB27A7">
        <w:t xml:space="preserve"> The PSCR</w:t>
      </w:r>
      <w:r w:rsidR="00412C3C" w:rsidRPr="00AB27A7">
        <w:t xml:space="preserve"> </w:t>
      </w:r>
      <w:r w:rsidR="006A20C7" w:rsidRPr="00AB27A7">
        <w:t xml:space="preserve">also stated the Sponsor surveyed six hospitals </w:t>
      </w:r>
      <w:r w:rsidR="00955AE0" w:rsidRPr="00AB27A7">
        <w:t xml:space="preserve">that </w:t>
      </w:r>
      <w:r w:rsidR="006A20C7" w:rsidRPr="00AB27A7">
        <w:t xml:space="preserve">participated in </w:t>
      </w:r>
      <w:r w:rsidR="00412C3C" w:rsidRPr="00AB27A7">
        <w:t xml:space="preserve">a cladribine patient access program between May and December 2018 (prior to its PBS listing on 1 January 2019), representing </w:t>
      </w:r>
      <w:r w:rsidR="00955AE0" w:rsidRPr="00AB27A7">
        <w:t>145/273 (</w:t>
      </w:r>
      <w:r w:rsidR="00412C3C" w:rsidRPr="00AB27A7">
        <w:t>53%</w:t>
      </w:r>
      <w:r w:rsidR="00955AE0" w:rsidRPr="00AB27A7">
        <w:t>)</w:t>
      </w:r>
      <w:r w:rsidR="00412C3C" w:rsidRPr="00AB27A7">
        <w:t xml:space="preserve"> of patients in the program and within that cohort, 84% of patients </w:t>
      </w:r>
      <w:r w:rsidR="00955AE0" w:rsidRPr="00AB27A7">
        <w:t>were stated to “</w:t>
      </w:r>
      <w:r w:rsidR="00412C3C" w:rsidRPr="00AB27A7">
        <w:t>continue to benefit from treatment</w:t>
      </w:r>
      <w:r w:rsidR="00955AE0" w:rsidRPr="00AB27A7">
        <w:t>”</w:t>
      </w:r>
      <w:r w:rsidR="00412C3C" w:rsidRPr="00AB27A7">
        <w:t xml:space="preserve"> </w:t>
      </w:r>
      <w:r w:rsidR="00B6538D" w:rsidRPr="00AB27A7">
        <w:t>… “</w:t>
      </w:r>
      <w:r w:rsidR="00955AE0" w:rsidRPr="00AB27A7">
        <w:t>with no additional treatment for MS”</w:t>
      </w:r>
      <w:r w:rsidR="00B6538D" w:rsidRPr="00AB27A7">
        <w:t xml:space="preserve">. The methodology and </w:t>
      </w:r>
      <w:r w:rsidR="00412C3C" w:rsidRPr="00AB27A7">
        <w:t xml:space="preserve">raw data </w:t>
      </w:r>
      <w:r w:rsidR="00B6538D" w:rsidRPr="00AB27A7">
        <w:t xml:space="preserve">were </w:t>
      </w:r>
      <w:r w:rsidR="00412C3C" w:rsidRPr="00AB27A7">
        <w:t>not provided</w:t>
      </w:r>
      <w:r w:rsidR="00B6538D" w:rsidRPr="00AB27A7">
        <w:t>, so this information could not be assessed</w:t>
      </w:r>
      <w:r w:rsidR="00412C3C" w:rsidRPr="00AB27A7">
        <w:t>.</w:t>
      </w:r>
    </w:p>
    <w:p w14:paraId="010BF2B7" w14:textId="77777777" w:rsidR="00D47892" w:rsidRDefault="00D47892" w:rsidP="00D47892">
      <w:pPr>
        <w:pStyle w:val="ListParagraph"/>
        <w:numPr>
          <w:ilvl w:val="1"/>
          <w:numId w:val="2"/>
        </w:numPr>
      </w:pPr>
      <w:r w:rsidRPr="00AB27A7">
        <w:t xml:space="preserve">The ESC noted the RWE evidence presented was based upon the rate of initiation of alternative DMTs </w:t>
      </w:r>
      <w:r w:rsidR="00332085" w:rsidRPr="00AB27A7">
        <w:t>which is</w:t>
      </w:r>
      <w:r w:rsidRPr="00AB27A7">
        <w:t xml:space="preserve"> not a direct measure of the effect</w:t>
      </w:r>
      <w:r w:rsidR="00181E4E" w:rsidRPr="00AB27A7">
        <w:t>iveness</w:t>
      </w:r>
      <w:r w:rsidRPr="00AB27A7">
        <w:t xml:space="preserve"> of cladribine in years 3 and 4</w:t>
      </w:r>
      <w:r w:rsidR="00332085" w:rsidRPr="00AB27A7">
        <w:t xml:space="preserve">, and it was unclear whether this was a </w:t>
      </w:r>
      <w:r w:rsidRPr="00AB27A7">
        <w:t xml:space="preserve">reasonable </w:t>
      </w:r>
      <w:r w:rsidR="005E1D3E" w:rsidRPr="00AB27A7">
        <w:t xml:space="preserve">surrogate </w:t>
      </w:r>
      <w:r w:rsidR="00332085" w:rsidRPr="00AB27A7">
        <w:t>measure</w:t>
      </w:r>
      <w:r w:rsidR="00B46FD8" w:rsidRPr="00AB27A7">
        <w:t>.</w:t>
      </w:r>
      <w:r w:rsidR="00181E4E" w:rsidRPr="00AB27A7">
        <w:t xml:space="preserve"> </w:t>
      </w:r>
    </w:p>
    <w:p w14:paraId="426B0815" w14:textId="69548AF6" w:rsidR="00B720E9" w:rsidRDefault="00B720E9" w:rsidP="00D47892">
      <w:pPr>
        <w:pStyle w:val="ListParagraph"/>
        <w:numPr>
          <w:ilvl w:val="1"/>
          <w:numId w:val="2"/>
        </w:numPr>
      </w:pPr>
      <w:r>
        <w:t>The Pre-PBAC Response argued it was reasonable to suggest that if a patient switches treatment it is likely due to a lack of efficacy on their current treatment and argued that based on the available Australian data to date, the international studies which formed the basis of the cost minimisation approach (see economic analysis section) were conservative, however acknowledged the Australian data on the rate and timing of switching to other DMTs after treatment with cladribine w</w:t>
      </w:r>
      <w:r w:rsidR="003A153F">
        <w:t>ere</w:t>
      </w:r>
      <w:r>
        <w:t xml:space="preserve"> immature.</w:t>
      </w:r>
    </w:p>
    <w:p w14:paraId="1F21F0EA" w14:textId="69BEF765" w:rsidR="00523F0A" w:rsidRPr="00523F0A" w:rsidRDefault="00523F0A" w:rsidP="00523F0A">
      <w:pPr>
        <w:pStyle w:val="ListParagraph"/>
        <w:widowControl/>
        <w:numPr>
          <w:ilvl w:val="1"/>
          <w:numId w:val="2"/>
        </w:numPr>
        <w:rPr>
          <w:i/>
          <w:iCs/>
        </w:rPr>
      </w:pPr>
      <w:r>
        <w:t>The Pre-PBAC Response</w:t>
      </w:r>
      <w:r w:rsidR="00067253">
        <w:t xml:space="preserve"> </w:t>
      </w:r>
      <w:r>
        <w:t xml:space="preserve">also argued that </w:t>
      </w:r>
      <w:r w:rsidR="00863832">
        <w:t xml:space="preserve">the RWE </w:t>
      </w:r>
      <w:r>
        <w:t xml:space="preserve">demonstrates many </w:t>
      </w:r>
      <w:r w:rsidR="00863832">
        <w:t xml:space="preserve">cladribine </w:t>
      </w:r>
      <w:r>
        <w:t>patients continue without additional DMT treatment for a period beyond 2 yea</w:t>
      </w:r>
      <w:r w:rsidR="008731D9">
        <w:t xml:space="preserve">rs. The PBAC acknowledged that </w:t>
      </w:r>
      <w:r>
        <w:t xml:space="preserve">some patients continue for a period without further DMT treatment following 2 years’ treatment with cladribine, however agreed with the ESC </w:t>
      </w:r>
      <w:r w:rsidR="003C252C">
        <w:t>that</w:t>
      </w:r>
      <w:r>
        <w:t xml:space="preserve"> the rate and timing of switching to alternative DMTs was unsupported as a valid surrogate marker of efficacy for informing the clinical claim of non-inferiority over 4 years.</w:t>
      </w:r>
    </w:p>
    <w:p w14:paraId="7423F36F" w14:textId="77777777" w:rsidR="00C93BEC" w:rsidRPr="00AB27A7" w:rsidRDefault="00D47892" w:rsidP="00D47892">
      <w:pPr>
        <w:pStyle w:val="ListParagraph"/>
        <w:numPr>
          <w:ilvl w:val="1"/>
          <w:numId w:val="2"/>
        </w:numPr>
      </w:pPr>
      <w:r w:rsidRPr="00AB27A7">
        <w:t xml:space="preserve">Furthermore, the ESC </w:t>
      </w:r>
      <w:r w:rsidR="00C93BEC" w:rsidRPr="00AB27A7">
        <w:t>considered there were additional issues with the RWE studies, including:</w:t>
      </w:r>
    </w:p>
    <w:p w14:paraId="223ECC88" w14:textId="77777777" w:rsidR="00C93BEC" w:rsidRPr="00AB27A7" w:rsidRDefault="00C93BEC" w:rsidP="00C93BEC">
      <w:pPr>
        <w:pStyle w:val="ListParagraph"/>
        <w:numPr>
          <w:ilvl w:val="0"/>
          <w:numId w:val="25"/>
        </w:numPr>
      </w:pPr>
      <w:r w:rsidRPr="00AB27A7">
        <w:t xml:space="preserve">The ESC agreed with the evaluation and considered the </w:t>
      </w:r>
      <w:r w:rsidR="00D47892" w:rsidRPr="00AB27A7">
        <w:t>data from Patti 2020, a</w:t>
      </w:r>
      <w:r w:rsidR="00AA3C44" w:rsidRPr="00AB27A7">
        <w:t>n</w:t>
      </w:r>
      <w:r w:rsidR="00D47892" w:rsidRPr="00AB27A7">
        <w:t xml:space="preserve"> Italian study of 3</w:t>
      </w:r>
      <w:r w:rsidR="00563902" w:rsidRPr="00AB27A7">
        <w:t>4</w:t>
      </w:r>
      <w:r w:rsidR="00D47892" w:rsidRPr="00AB27A7">
        <w:t xml:space="preserve"> patients, was </w:t>
      </w:r>
      <w:r w:rsidR="00065C22" w:rsidRPr="00AB27A7">
        <w:t>un</w:t>
      </w:r>
      <w:r w:rsidR="00D47892" w:rsidRPr="00AB27A7">
        <w:t>likely t</w:t>
      </w:r>
      <w:r w:rsidR="00065C22" w:rsidRPr="00AB27A7">
        <w:t>o be</w:t>
      </w:r>
      <w:r w:rsidR="00D47892" w:rsidRPr="00AB27A7">
        <w:t xml:space="preserve"> applicable to the Australian population; and additionally given the small size of the study, was unlikely to be reliable for estimating the rates of DMT initiation in the Australian context following 2 years of treatment with cladribine.</w:t>
      </w:r>
    </w:p>
    <w:p w14:paraId="5E3943C3" w14:textId="77777777" w:rsidR="00C93BEC" w:rsidRPr="00AB27A7" w:rsidRDefault="00C93BEC" w:rsidP="00C93BEC">
      <w:pPr>
        <w:pStyle w:val="ListParagraph"/>
        <w:numPr>
          <w:ilvl w:val="0"/>
          <w:numId w:val="25"/>
        </w:numPr>
      </w:pPr>
      <w:r w:rsidRPr="00AB27A7">
        <w:t xml:space="preserve">The ESC considered the Lizak 2020 study, the only Australian RWE evidence presented, was also not applicable to the submission request as it was largely based </w:t>
      </w:r>
      <w:r w:rsidR="005E1D3E" w:rsidRPr="00AB27A7">
        <w:t xml:space="preserve">on the </w:t>
      </w:r>
      <w:r w:rsidRPr="00AB27A7">
        <w:t xml:space="preserve">patient familiarisation program implemented around the time of the first rejection for cladribine in March 2011 </w:t>
      </w:r>
      <w:r w:rsidR="00181E4E" w:rsidRPr="00AB27A7">
        <w:t>in which</w:t>
      </w:r>
      <w:r w:rsidRPr="00AB27A7">
        <w:t xml:space="preserve"> most patients only received one dose of cladribine.</w:t>
      </w:r>
    </w:p>
    <w:p w14:paraId="79C104C3" w14:textId="1853F1B2" w:rsidR="00D47892" w:rsidRPr="00FE1A1E" w:rsidRDefault="00C93BEC" w:rsidP="00FE1A1E">
      <w:pPr>
        <w:pStyle w:val="ListParagraph"/>
        <w:numPr>
          <w:ilvl w:val="0"/>
          <w:numId w:val="25"/>
        </w:numPr>
        <w:rPr>
          <w:rStyle w:val="CommentReference"/>
          <w:rFonts w:ascii="Calibri" w:hAnsi="Calibri"/>
          <w:b w:val="0"/>
          <w:sz w:val="24"/>
          <w:szCs w:val="22"/>
        </w:rPr>
      </w:pPr>
      <w:r w:rsidRPr="00AB27A7">
        <w:t>The ESC considered the Giovannoni</w:t>
      </w:r>
      <w:r w:rsidR="007D29DE" w:rsidRPr="00AB27A7">
        <w:t xml:space="preserve"> 2021</w:t>
      </w:r>
      <w:r w:rsidRPr="00AB27A7">
        <w:t xml:space="preserve"> publication (a combination of 3 studies) was also not applicable to the RRMS population as one of the studies was in clinically isolated syndrome (CIS) and therefore the study population was likely heterogeneous.</w:t>
      </w:r>
    </w:p>
    <w:p w14:paraId="53442631" w14:textId="676BF993" w:rsidR="005A2754" w:rsidRPr="00691087" w:rsidRDefault="005A2754" w:rsidP="00FE1A1E">
      <w:pPr>
        <w:pStyle w:val="Heading2"/>
        <w:spacing w:after="120"/>
      </w:pPr>
      <w:bookmarkStart w:id="22" w:name="_Toc82600896"/>
      <w:r w:rsidRPr="00691087">
        <w:t>Comparative harms</w:t>
      </w:r>
      <w:bookmarkEnd w:id="22"/>
    </w:p>
    <w:p w14:paraId="787A0ABA" w14:textId="77777777" w:rsidR="005A2754" w:rsidRPr="00691087" w:rsidRDefault="00691087" w:rsidP="005A2754">
      <w:pPr>
        <w:pStyle w:val="ListParagraph"/>
        <w:widowControl/>
        <w:numPr>
          <w:ilvl w:val="1"/>
          <w:numId w:val="2"/>
        </w:numPr>
      </w:pPr>
      <w:r w:rsidRPr="00691087">
        <w:t xml:space="preserve">Table </w:t>
      </w:r>
      <w:r w:rsidR="00CF4092">
        <w:t>9</w:t>
      </w:r>
      <w:r w:rsidR="005A2754" w:rsidRPr="00691087">
        <w:t xml:space="preserve"> pres</w:t>
      </w:r>
      <w:r w:rsidR="005A2754" w:rsidRPr="00691087">
        <w:rPr>
          <w:snapToGrid/>
        </w:rPr>
        <w:t>ents</w:t>
      </w:r>
      <w:r w:rsidR="005A2754" w:rsidRPr="00691087">
        <w:t xml:space="preserve"> a comparison of safety in the CLARITY trial and in CLARITY EXT.</w:t>
      </w:r>
      <w:r w:rsidR="00AE0668" w:rsidRPr="00691087">
        <w:t xml:space="preserve"> This comparison was previously considered by the PBAC at the November 2017 Meeting. </w:t>
      </w:r>
    </w:p>
    <w:p w14:paraId="7CFA751B" w14:textId="5E25DF17" w:rsidR="005A2754" w:rsidRPr="00691087" w:rsidRDefault="005A2754" w:rsidP="00537628">
      <w:pPr>
        <w:pStyle w:val="BodyText"/>
        <w:keepNext/>
        <w:rPr>
          <w:rStyle w:val="CommentReference"/>
        </w:rPr>
      </w:pPr>
      <w:bookmarkStart w:id="23" w:name="_Ref81503376"/>
      <w:r w:rsidRPr="00691087">
        <w:rPr>
          <w:rStyle w:val="CommentReference"/>
        </w:rPr>
        <w:t xml:space="preserve">Table </w:t>
      </w:r>
      <w:bookmarkEnd w:id="23"/>
      <w:r w:rsidR="00CF4092">
        <w:rPr>
          <w:rStyle w:val="CommentReference"/>
        </w:rPr>
        <w:t>9</w:t>
      </w:r>
      <w:r w:rsidRPr="00691087">
        <w:rPr>
          <w:rStyle w:val="CommentReference"/>
        </w:rPr>
        <w:t>: Summary of safety in CLARITY and CLARITY EXT</w:t>
      </w:r>
    </w:p>
    <w:tbl>
      <w:tblPr>
        <w:tblStyle w:val="TableGrid"/>
        <w:tblW w:w="8926" w:type="dxa"/>
        <w:tblLook w:val="04A0" w:firstRow="1" w:lastRow="0" w:firstColumn="1" w:lastColumn="0" w:noHBand="0" w:noVBand="1"/>
        <w:tblCaption w:val="Table 9:  Summary of safety in CLARITY and CLARITY EXT"/>
      </w:tblPr>
      <w:tblGrid>
        <w:gridCol w:w="3256"/>
        <w:gridCol w:w="1842"/>
        <w:gridCol w:w="1843"/>
        <w:gridCol w:w="1985"/>
      </w:tblGrid>
      <w:tr w:rsidR="005A2754" w:rsidRPr="00691087" w14:paraId="337FC849" w14:textId="77777777" w:rsidTr="00492001">
        <w:trPr>
          <w:tblHeader/>
        </w:trPr>
        <w:tc>
          <w:tcPr>
            <w:tcW w:w="3256" w:type="dxa"/>
          </w:tcPr>
          <w:p w14:paraId="2F6B909C" w14:textId="77777777" w:rsidR="005A2754" w:rsidRPr="00691087" w:rsidRDefault="005A2754" w:rsidP="00537628">
            <w:pPr>
              <w:pStyle w:val="Tabletext"/>
              <w:keepNext/>
              <w:rPr>
                <w:b/>
                <w:bCs/>
              </w:rPr>
            </w:pPr>
          </w:p>
        </w:tc>
        <w:tc>
          <w:tcPr>
            <w:tcW w:w="3685" w:type="dxa"/>
            <w:gridSpan w:val="2"/>
          </w:tcPr>
          <w:p w14:paraId="4C9777A1" w14:textId="77777777" w:rsidR="005A2754" w:rsidRPr="00691087" w:rsidRDefault="005A2754" w:rsidP="00537628">
            <w:pPr>
              <w:pStyle w:val="Tabletext"/>
              <w:keepNext/>
              <w:jc w:val="center"/>
              <w:rPr>
                <w:b/>
                <w:bCs/>
              </w:rPr>
            </w:pPr>
            <w:r w:rsidRPr="00691087">
              <w:rPr>
                <w:b/>
                <w:bCs/>
              </w:rPr>
              <w:t>CLARITY</w:t>
            </w:r>
          </w:p>
        </w:tc>
        <w:tc>
          <w:tcPr>
            <w:tcW w:w="1985" w:type="dxa"/>
          </w:tcPr>
          <w:p w14:paraId="69D535D9" w14:textId="77777777" w:rsidR="005A2754" w:rsidRPr="00691087" w:rsidRDefault="005A2754" w:rsidP="00537628">
            <w:pPr>
              <w:pStyle w:val="Tabletext"/>
              <w:keepNext/>
              <w:jc w:val="center"/>
              <w:rPr>
                <w:b/>
                <w:bCs/>
              </w:rPr>
            </w:pPr>
            <w:r w:rsidRPr="00691087">
              <w:rPr>
                <w:b/>
                <w:bCs/>
              </w:rPr>
              <w:t>CLARITY EXT</w:t>
            </w:r>
          </w:p>
        </w:tc>
      </w:tr>
      <w:tr w:rsidR="005A2754" w:rsidRPr="00691087" w14:paraId="5550588A" w14:textId="77777777" w:rsidTr="005A5D70">
        <w:tc>
          <w:tcPr>
            <w:tcW w:w="3256" w:type="dxa"/>
          </w:tcPr>
          <w:p w14:paraId="48335510" w14:textId="77777777" w:rsidR="005A2754" w:rsidRPr="00691087" w:rsidRDefault="005A2754" w:rsidP="00537628">
            <w:pPr>
              <w:pStyle w:val="Tabletext"/>
              <w:keepNext/>
              <w:rPr>
                <w:b/>
                <w:bCs/>
              </w:rPr>
            </w:pPr>
          </w:p>
        </w:tc>
        <w:tc>
          <w:tcPr>
            <w:tcW w:w="1842" w:type="dxa"/>
          </w:tcPr>
          <w:p w14:paraId="745317A8" w14:textId="77777777" w:rsidR="005A2754" w:rsidRPr="00691087" w:rsidRDefault="005A2754" w:rsidP="00537628">
            <w:pPr>
              <w:pStyle w:val="Tabletext"/>
              <w:keepNext/>
              <w:jc w:val="center"/>
              <w:rPr>
                <w:b/>
                <w:bCs/>
              </w:rPr>
            </w:pPr>
            <w:r w:rsidRPr="00691087">
              <w:rPr>
                <w:b/>
                <w:bCs/>
              </w:rPr>
              <w:t>Cladribine 3.5 mg/kg</w:t>
            </w:r>
          </w:p>
          <w:p w14:paraId="32BF87DC" w14:textId="77777777" w:rsidR="005A2754" w:rsidRPr="00691087" w:rsidRDefault="005A2754" w:rsidP="00537628">
            <w:pPr>
              <w:pStyle w:val="Tabletext"/>
              <w:keepNext/>
              <w:jc w:val="center"/>
              <w:rPr>
                <w:b/>
                <w:bCs/>
              </w:rPr>
            </w:pPr>
            <w:r w:rsidRPr="00691087">
              <w:rPr>
                <w:b/>
                <w:bCs/>
              </w:rPr>
              <w:t>(n=430)</w:t>
            </w:r>
          </w:p>
        </w:tc>
        <w:tc>
          <w:tcPr>
            <w:tcW w:w="1843" w:type="dxa"/>
          </w:tcPr>
          <w:p w14:paraId="78CBD843" w14:textId="77777777" w:rsidR="005A2754" w:rsidRPr="00691087" w:rsidRDefault="005A2754" w:rsidP="00537628">
            <w:pPr>
              <w:pStyle w:val="Tabletext"/>
              <w:keepNext/>
              <w:jc w:val="center"/>
              <w:rPr>
                <w:b/>
                <w:bCs/>
              </w:rPr>
            </w:pPr>
            <w:r w:rsidRPr="00691087">
              <w:rPr>
                <w:b/>
                <w:bCs/>
              </w:rPr>
              <w:t>Placebo</w:t>
            </w:r>
          </w:p>
          <w:p w14:paraId="3F347E46" w14:textId="77777777" w:rsidR="005A2754" w:rsidRPr="00691087" w:rsidRDefault="005A2754" w:rsidP="00537628">
            <w:pPr>
              <w:pStyle w:val="Tabletext"/>
              <w:keepNext/>
              <w:jc w:val="center"/>
              <w:rPr>
                <w:b/>
                <w:bCs/>
              </w:rPr>
            </w:pPr>
            <w:r w:rsidRPr="00691087">
              <w:rPr>
                <w:b/>
                <w:bCs/>
              </w:rPr>
              <w:t>(n=435)</w:t>
            </w:r>
          </w:p>
        </w:tc>
        <w:tc>
          <w:tcPr>
            <w:tcW w:w="1985" w:type="dxa"/>
          </w:tcPr>
          <w:p w14:paraId="5BDD07B0" w14:textId="77777777" w:rsidR="005A2754" w:rsidRPr="00691087" w:rsidRDefault="005A2754" w:rsidP="00537628">
            <w:pPr>
              <w:pStyle w:val="Tabletext"/>
              <w:keepNext/>
              <w:jc w:val="center"/>
              <w:rPr>
                <w:b/>
                <w:bCs/>
              </w:rPr>
            </w:pPr>
            <w:r w:rsidRPr="00691087">
              <w:rPr>
                <w:b/>
                <w:bCs/>
              </w:rPr>
              <w:t>LLPP</w:t>
            </w:r>
          </w:p>
          <w:p w14:paraId="497CD6FC" w14:textId="77777777" w:rsidR="005A2754" w:rsidRPr="00691087" w:rsidRDefault="005A2754" w:rsidP="00537628">
            <w:pPr>
              <w:pStyle w:val="Tabletext"/>
              <w:keepNext/>
              <w:jc w:val="center"/>
              <w:rPr>
                <w:b/>
                <w:bCs/>
              </w:rPr>
            </w:pPr>
            <w:r w:rsidRPr="00691087">
              <w:rPr>
                <w:b/>
                <w:bCs/>
              </w:rPr>
              <w:t>(n=98)</w:t>
            </w:r>
          </w:p>
        </w:tc>
      </w:tr>
      <w:tr w:rsidR="005A2754" w:rsidRPr="00691087" w14:paraId="3D90D1EE" w14:textId="77777777" w:rsidTr="005A5D70">
        <w:tc>
          <w:tcPr>
            <w:tcW w:w="3256" w:type="dxa"/>
          </w:tcPr>
          <w:p w14:paraId="06617B8E" w14:textId="77777777" w:rsidR="005A2754" w:rsidRPr="00691087" w:rsidRDefault="005A2754" w:rsidP="00537628">
            <w:pPr>
              <w:pStyle w:val="Tabletext"/>
              <w:keepNext/>
            </w:pPr>
            <w:r w:rsidRPr="00691087">
              <w:t>Any AE</w:t>
            </w:r>
          </w:p>
          <w:p w14:paraId="64CDACC2" w14:textId="77777777" w:rsidR="005A2754" w:rsidRPr="00691087" w:rsidRDefault="005A2754" w:rsidP="00537628">
            <w:pPr>
              <w:pStyle w:val="Tabletext"/>
              <w:keepNext/>
            </w:pPr>
            <w:r w:rsidRPr="00691087">
              <w:t>Any SAE</w:t>
            </w:r>
          </w:p>
          <w:p w14:paraId="416974D4" w14:textId="77777777" w:rsidR="005A2754" w:rsidRPr="00691087" w:rsidRDefault="005A2754" w:rsidP="00537628">
            <w:pPr>
              <w:pStyle w:val="Tabletext"/>
              <w:keepNext/>
            </w:pPr>
            <w:r w:rsidRPr="00691087">
              <w:t>AE resulting in treatment discontinuation</w:t>
            </w:r>
          </w:p>
          <w:p w14:paraId="05B3C781" w14:textId="77777777" w:rsidR="005A2754" w:rsidRPr="00691087" w:rsidRDefault="005A2754" w:rsidP="00537628">
            <w:pPr>
              <w:pStyle w:val="Tabletext"/>
              <w:keepNext/>
            </w:pPr>
            <w:r w:rsidRPr="00691087">
              <w:t>Deaths</w:t>
            </w:r>
          </w:p>
        </w:tc>
        <w:tc>
          <w:tcPr>
            <w:tcW w:w="1842" w:type="dxa"/>
          </w:tcPr>
          <w:p w14:paraId="5CF95536" w14:textId="77777777" w:rsidR="005A2754" w:rsidRPr="00691087" w:rsidRDefault="005A2754" w:rsidP="00537628">
            <w:pPr>
              <w:pStyle w:val="Tabletext"/>
              <w:keepNext/>
              <w:jc w:val="center"/>
            </w:pPr>
            <w:r w:rsidRPr="00691087">
              <w:t>80.7%</w:t>
            </w:r>
          </w:p>
          <w:p w14:paraId="6446DF0B" w14:textId="77777777" w:rsidR="005A2754" w:rsidRPr="00691087" w:rsidRDefault="005A2754" w:rsidP="00537628">
            <w:pPr>
              <w:pStyle w:val="Tabletext"/>
              <w:keepNext/>
              <w:jc w:val="center"/>
            </w:pPr>
            <w:r w:rsidRPr="00691087">
              <w:t>8.4%</w:t>
            </w:r>
          </w:p>
          <w:p w14:paraId="0DE78E74" w14:textId="77777777" w:rsidR="005A2754" w:rsidRPr="00691087" w:rsidRDefault="005A2754" w:rsidP="00537628">
            <w:pPr>
              <w:pStyle w:val="Tabletext"/>
              <w:keepNext/>
              <w:jc w:val="center"/>
            </w:pPr>
            <w:r w:rsidRPr="00691087">
              <w:t>3.5%</w:t>
            </w:r>
          </w:p>
          <w:p w14:paraId="0750A95F" w14:textId="77777777" w:rsidR="005A2754" w:rsidRPr="00691087" w:rsidRDefault="005A2754" w:rsidP="00537628">
            <w:pPr>
              <w:pStyle w:val="Tabletext"/>
              <w:keepNext/>
              <w:jc w:val="center"/>
            </w:pPr>
            <w:r w:rsidRPr="00691087">
              <w:t xml:space="preserve">0.5% </w:t>
            </w:r>
          </w:p>
        </w:tc>
        <w:tc>
          <w:tcPr>
            <w:tcW w:w="1843" w:type="dxa"/>
          </w:tcPr>
          <w:p w14:paraId="3C7E61F3" w14:textId="77777777" w:rsidR="005A2754" w:rsidRPr="00691087" w:rsidRDefault="005A2754" w:rsidP="00537628">
            <w:pPr>
              <w:pStyle w:val="Tabletext"/>
              <w:keepNext/>
              <w:jc w:val="center"/>
            </w:pPr>
            <w:r w:rsidRPr="00691087">
              <w:t>73.3%</w:t>
            </w:r>
          </w:p>
          <w:p w14:paraId="57808935" w14:textId="77777777" w:rsidR="005A2754" w:rsidRPr="00691087" w:rsidRDefault="005A2754" w:rsidP="00537628">
            <w:pPr>
              <w:pStyle w:val="Tabletext"/>
              <w:keepNext/>
              <w:jc w:val="center"/>
            </w:pPr>
            <w:r w:rsidRPr="00691087">
              <w:t>6.4%</w:t>
            </w:r>
          </w:p>
          <w:p w14:paraId="791C9F9A" w14:textId="77777777" w:rsidR="005A2754" w:rsidRPr="00691087" w:rsidRDefault="005A2754" w:rsidP="00537628">
            <w:pPr>
              <w:pStyle w:val="Tabletext"/>
              <w:keepNext/>
              <w:jc w:val="center"/>
            </w:pPr>
            <w:r w:rsidRPr="00691087">
              <w:t>2.1%</w:t>
            </w:r>
          </w:p>
          <w:p w14:paraId="5A23BF9E" w14:textId="77777777" w:rsidR="005A2754" w:rsidRPr="00691087" w:rsidRDefault="005A2754" w:rsidP="00537628">
            <w:pPr>
              <w:pStyle w:val="Tabletext"/>
              <w:keepNext/>
              <w:jc w:val="center"/>
            </w:pPr>
            <w:r w:rsidRPr="00691087">
              <w:t xml:space="preserve">0.5% </w:t>
            </w:r>
          </w:p>
        </w:tc>
        <w:tc>
          <w:tcPr>
            <w:tcW w:w="1985" w:type="dxa"/>
          </w:tcPr>
          <w:p w14:paraId="287B0729" w14:textId="77777777" w:rsidR="005A2754" w:rsidRPr="00691087" w:rsidRDefault="005A2754" w:rsidP="00537628">
            <w:pPr>
              <w:pStyle w:val="Tabletext"/>
              <w:keepNext/>
              <w:jc w:val="center"/>
            </w:pPr>
            <w:r w:rsidRPr="00691087">
              <w:t>75.5%</w:t>
            </w:r>
          </w:p>
          <w:p w14:paraId="12CE85EA" w14:textId="77777777" w:rsidR="005A2754" w:rsidRPr="00691087" w:rsidRDefault="005A2754" w:rsidP="00537628">
            <w:pPr>
              <w:pStyle w:val="Tabletext"/>
              <w:keepNext/>
              <w:jc w:val="center"/>
            </w:pPr>
            <w:r w:rsidRPr="00691087">
              <w:t>16.3%</w:t>
            </w:r>
          </w:p>
          <w:p w14:paraId="17F42991" w14:textId="77777777" w:rsidR="005A2754" w:rsidRPr="00691087" w:rsidRDefault="005A2754" w:rsidP="00537628">
            <w:pPr>
              <w:pStyle w:val="Tabletext"/>
              <w:keepNext/>
              <w:jc w:val="center"/>
            </w:pPr>
            <w:r w:rsidRPr="00691087">
              <w:t>3.1%</w:t>
            </w:r>
          </w:p>
          <w:p w14:paraId="0CEB6510" w14:textId="77777777" w:rsidR="005A2754" w:rsidRPr="00691087" w:rsidRDefault="005A2754" w:rsidP="00537628">
            <w:pPr>
              <w:pStyle w:val="Tabletext"/>
              <w:keepNext/>
              <w:jc w:val="center"/>
            </w:pPr>
            <w:r w:rsidRPr="00691087">
              <w:t xml:space="preserve">2.0% </w:t>
            </w:r>
          </w:p>
        </w:tc>
      </w:tr>
      <w:tr w:rsidR="005A2754" w:rsidRPr="00691087" w14:paraId="0EF0E3B8" w14:textId="77777777" w:rsidTr="005A5D70">
        <w:tc>
          <w:tcPr>
            <w:tcW w:w="3256" w:type="dxa"/>
          </w:tcPr>
          <w:p w14:paraId="77D27D5C" w14:textId="77777777" w:rsidR="005A2754" w:rsidRPr="00691087" w:rsidRDefault="005A2754" w:rsidP="00537628">
            <w:pPr>
              <w:pStyle w:val="Tabletext"/>
              <w:keepNext/>
            </w:pPr>
            <w:r w:rsidRPr="00691087">
              <w:t>Lymphopenia</w:t>
            </w:r>
          </w:p>
          <w:p w14:paraId="612033D2" w14:textId="77777777" w:rsidR="005A2754" w:rsidRPr="00691087" w:rsidRDefault="005A2754" w:rsidP="00537628">
            <w:pPr>
              <w:pStyle w:val="Tabletext"/>
              <w:keepNext/>
            </w:pPr>
            <w:r w:rsidRPr="00691087">
              <w:t>Grade 3 lymphopenia</w:t>
            </w:r>
          </w:p>
          <w:p w14:paraId="2B70F3CE" w14:textId="77777777" w:rsidR="005A2754" w:rsidRPr="00691087" w:rsidRDefault="005A2754" w:rsidP="00537628">
            <w:pPr>
              <w:pStyle w:val="Tabletext"/>
              <w:keepNext/>
            </w:pPr>
            <w:r w:rsidRPr="00691087">
              <w:t>Grade 4 lymphopenia</w:t>
            </w:r>
          </w:p>
        </w:tc>
        <w:tc>
          <w:tcPr>
            <w:tcW w:w="1842" w:type="dxa"/>
          </w:tcPr>
          <w:p w14:paraId="2745EA9F" w14:textId="77777777" w:rsidR="005A2754" w:rsidRPr="00691087" w:rsidRDefault="005A2754" w:rsidP="00537628">
            <w:pPr>
              <w:pStyle w:val="Tabletext"/>
              <w:keepNext/>
              <w:jc w:val="center"/>
            </w:pPr>
            <w:r w:rsidRPr="00691087">
              <w:t>21.6%</w:t>
            </w:r>
          </w:p>
          <w:p w14:paraId="4046A5DC" w14:textId="77777777" w:rsidR="005A2754" w:rsidRPr="00691087" w:rsidRDefault="005A2754" w:rsidP="00537628">
            <w:pPr>
              <w:pStyle w:val="Tabletext"/>
              <w:keepNext/>
              <w:jc w:val="center"/>
            </w:pPr>
            <w:r w:rsidRPr="00691087">
              <w:t>24.9%</w:t>
            </w:r>
          </w:p>
          <w:p w14:paraId="7155C96D" w14:textId="77777777" w:rsidR="005A2754" w:rsidRPr="00691087" w:rsidRDefault="005A2754" w:rsidP="00537628">
            <w:pPr>
              <w:pStyle w:val="Tabletext"/>
              <w:keepNext/>
              <w:jc w:val="center"/>
            </w:pPr>
            <w:r w:rsidRPr="00691087">
              <w:t>0.7%</w:t>
            </w:r>
          </w:p>
        </w:tc>
        <w:tc>
          <w:tcPr>
            <w:tcW w:w="1843" w:type="dxa"/>
          </w:tcPr>
          <w:p w14:paraId="031D5901" w14:textId="77777777" w:rsidR="005A2754" w:rsidRPr="00691087" w:rsidRDefault="005A2754" w:rsidP="00537628">
            <w:pPr>
              <w:pStyle w:val="Tabletext"/>
              <w:keepNext/>
              <w:jc w:val="center"/>
            </w:pPr>
            <w:r w:rsidRPr="00691087">
              <w:t>1.8%</w:t>
            </w:r>
          </w:p>
          <w:p w14:paraId="17EC3F53" w14:textId="77777777" w:rsidR="005A2754" w:rsidRPr="00691087" w:rsidRDefault="005A2754" w:rsidP="00537628">
            <w:pPr>
              <w:pStyle w:val="Tabletext"/>
              <w:keepNext/>
              <w:jc w:val="center"/>
            </w:pPr>
            <w:r w:rsidRPr="00691087">
              <w:t>0.5%</w:t>
            </w:r>
          </w:p>
          <w:p w14:paraId="5D462354" w14:textId="77777777" w:rsidR="005A2754" w:rsidRPr="00691087" w:rsidRDefault="005A2754" w:rsidP="00537628">
            <w:pPr>
              <w:pStyle w:val="Tabletext"/>
              <w:keepNext/>
              <w:jc w:val="center"/>
            </w:pPr>
            <w:r w:rsidRPr="00691087">
              <w:t>0</w:t>
            </w:r>
          </w:p>
        </w:tc>
        <w:tc>
          <w:tcPr>
            <w:tcW w:w="1985" w:type="dxa"/>
          </w:tcPr>
          <w:p w14:paraId="66C625A1" w14:textId="77777777" w:rsidR="005A2754" w:rsidRPr="00691087" w:rsidRDefault="005A2754" w:rsidP="00537628">
            <w:pPr>
              <w:pStyle w:val="Tabletext"/>
              <w:keepNext/>
              <w:jc w:val="center"/>
            </w:pPr>
            <w:r w:rsidRPr="00691087">
              <w:t>9.2%</w:t>
            </w:r>
          </w:p>
          <w:p w14:paraId="5A9E82B4" w14:textId="77777777" w:rsidR="005A2754" w:rsidRPr="00691087" w:rsidRDefault="005A2754" w:rsidP="00537628">
            <w:pPr>
              <w:pStyle w:val="Tabletext"/>
              <w:keepNext/>
              <w:jc w:val="center"/>
            </w:pPr>
            <w:r w:rsidRPr="00691087">
              <w:t>5.1%</w:t>
            </w:r>
          </w:p>
          <w:p w14:paraId="0E091ED7" w14:textId="77777777" w:rsidR="005A2754" w:rsidRPr="00691087" w:rsidRDefault="005A2754" w:rsidP="00537628">
            <w:pPr>
              <w:pStyle w:val="Tabletext"/>
              <w:keepNext/>
              <w:jc w:val="center"/>
            </w:pPr>
            <w:r w:rsidRPr="00691087">
              <w:t>0</w:t>
            </w:r>
          </w:p>
        </w:tc>
      </w:tr>
      <w:tr w:rsidR="005A2754" w:rsidRPr="00691087" w14:paraId="3A136D7B" w14:textId="77777777" w:rsidTr="005A5D70">
        <w:tc>
          <w:tcPr>
            <w:tcW w:w="3256" w:type="dxa"/>
          </w:tcPr>
          <w:p w14:paraId="4A5CB381" w14:textId="77777777" w:rsidR="005A2754" w:rsidRPr="00691087" w:rsidRDefault="005A2754" w:rsidP="00537628">
            <w:pPr>
              <w:pStyle w:val="Tabletext"/>
              <w:keepNext/>
            </w:pPr>
            <w:r w:rsidRPr="00691087">
              <w:t>Infections</w:t>
            </w:r>
          </w:p>
          <w:p w14:paraId="615F3567" w14:textId="77777777" w:rsidR="005A2754" w:rsidRPr="00691087" w:rsidRDefault="005A2754" w:rsidP="00537628">
            <w:pPr>
              <w:pStyle w:val="Tabletext"/>
              <w:keepNext/>
            </w:pPr>
            <w:r w:rsidRPr="00691087">
              <w:t>Infections reported as a SAE</w:t>
            </w:r>
          </w:p>
        </w:tc>
        <w:tc>
          <w:tcPr>
            <w:tcW w:w="1842" w:type="dxa"/>
          </w:tcPr>
          <w:p w14:paraId="1C908C95" w14:textId="77777777" w:rsidR="005A2754" w:rsidRPr="00691087" w:rsidRDefault="005A2754" w:rsidP="00537628">
            <w:pPr>
              <w:pStyle w:val="Tabletext"/>
              <w:keepNext/>
              <w:jc w:val="center"/>
            </w:pPr>
            <w:r w:rsidRPr="00691087">
              <w:t>47.7%</w:t>
            </w:r>
          </w:p>
          <w:p w14:paraId="706DF3A3" w14:textId="77777777" w:rsidR="005A2754" w:rsidRPr="00691087" w:rsidRDefault="005A2754" w:rsidP="00537628">
            <w:pPr>
              <w:pStyle w:val="Tabletext"/>
              <w:keepNext/>
              <w:jc w:val="center"/>
            </w:pPr>
            <w:r w:rsidRPr="00691087">
              <w:t>2.3%</w:t>
            </w:r>
          </w:p>
        </w:tc>
        <w:tc>
          <w:tcPr>
            <w:tcW w:w="1843" w:type="dxa"/>
          </w:tcPr>
          <w:p w14:paraId="4528A74E" w14:textId="77777777" w:rsidR="005A2754" w:rsidRPr="00691087" w:rsidRDefault="005A2754" w:rsidP="00537628">
            <w:pPr>
              <w:pStyle w:val="Tabletext"/>
              <w:keepNext/>
              <w:jc w:val="center"/>
            </w:pPr>
            <w:r w:rsidRPr="00691087">
              <w:t>42.5%</w:t>
            </w:r>
          </w:p>
          <w:p w14:paraId="43A7352D" w14:textId="77777777" w:rsidR="005A2754" w:rsidRPr="00691087" w:rsidRDefault="005A2754" w:rsidP="00537628">
            <w:pPr>
              <w:pStyle w:val="Tabletext"/>
              <w:keepNext/>
              <w:jc w:val="center"/>
            </w:pPr>
            <w:r w:rsidRPr="00691087">
              <w:t>1.6%</w:t>
            </w:r>
          </w:p>
        </w:tc>
        <w:tc>
          <w:tcPr>
            <w:tcW w:w="1985" w:type="dxa"/>
          </w:tcPr>
          <w:p w14:paraId="00AFD106" w14:textId="77777777" w:rsidR="005A2754" w:rsidRPr="00691087" w:rsidRDefault="005A2754" w:rsidP="00537628">
            <w:pPr>
              <w:pStyle w:val="Tabletext"/>
              <w:keepNext/>
              <w:jc w:val="center"/>
            </w:pPr>
            <w:r w:rsidRPr="00691087">
              <w:t>49.0%</w:t>
            </w:r>
          </w:p>
          <w:p w14:paraId="73F28634" w14:textId="77777777" w:rsidR="005A2754" w:rsidRPr="00691087" w:rsidRDefault="005A2754" w:rsidP="00537628">
            <w:pPr>
              <w:pStyle w:val="Tabletext"/>
              <w:keepNext/>
              <w:jc w:val="center"/>
            </w:pPr>
            <w:r w:rsidRPr="00691087">
              <w:t>2.0%</w:t>
            </w:r>
          </w:p>
        </w:tc>
      </w:tr>
      <w:tr w:rsidR="005A2754" w:rsidRPr="00691087" w14:paraId="7B77BCB2" w14:textId="77777777" w:rsidTr="005A5D70">
        <w:tc>
          <w:tcPr>
            <w:tcW w:w="3256" w:type="dxa"/>
          </w:tcPr>
          <w:p w14:paraId="165BDEFA" w14:textId="77777777" w:rsidR="005A2754" w:rsidRPr="00691087" w:rsidRDefault="005A2754" w:rsidP="00537628">
            <w:pPr>
              <w:pStyle w:val="Tabletext"/>
              <w:keepNext/>
            </w:pPr>
            <w:r w:rsidRPr="00691087">
              <w:t>Herpes zoster</w:t>
            </w:r>
          </w:p>
        </w:tc>
        <w:tc>
          <w:tcPr>
            <w:tcW w:w="1842" w:type="dxa"/>
          </w:tcPr>
          <w:p w14:paraId="5D85E7BF" w14:textId="77777777" w:rsidR="005A2754" w:rsidRPr="00691087" w:rsidRDefault="005A2754" w:rsidP="00537628">
            <w:pPr>
              <w:pStyle w:val="Tabletext"/>
              <w:keepNext/>
              <w:jc w:val="center"/>
            </w:pPr>
            <w:r w:rsidRPr="00691087">
              <w:t>1.9%</w:t>
            </w:r>
          </w:p>
        </w:tc>
        <w:tc>
          <w:tcPr>
            <w:tcW w:w="1843" w:type="dxa"/>
          </w:tcPr>
          <w:p w14:paraId="75187CCD" w14:textId="77777777" w:rsidR="005A2754" w:rsidRPr="00691087" w:rsidRDefault="005A2754" w:rsidP="00537628">
            <w:pPr>
              <w:pStyle w:val="Tabletext"/>
              <w:keepNext/>
              <w:jc w:val="center"/>
            </w:pPr>
            <w:r w:rsidRPr="00691087">
              <w:t>0</w:t>
            </w:r>
          </w:p>
        </w:tc>
        <w:tc>
          <w:tcPr>
            <w:tcW w:w="1985" w:type="dxa"/>
          </w:tcPr>
          <w:p w14:paraId="4778AC53" w14:textId="77777777" w:rsidR="005A2754" w:rsidRPr="00691087" w:rsidRDefault="005A2754" w:rsidP="00537628">
            <w:pPr>
              <w:pStyle w:val="Tabletext"/>
              <w:keepNext/>
              <w:jc w:val="center"/>
            </w:pPr>
            <w:r w:rsidRPr="00691087">
              <w:t>2.0%</w:t>
            </w:r>
          </w:p>
        </w:tc>
      </w:tr>
      <w:tr w:rsidR="005A2754" w:rsidRPr="00691087" w14:paraId="265EC0E7" w14:textId="77777777" w:rsidTr="005A5D70">
        <w:tc>
          <w:tcPr>
            <w:tcW w:w="3256" w:type="dxa"/>
          </w:tcPr>
          <w:p w14:paraId="3B8F02FB" w14:textId="77777777" w:rsidR="005A2754" w:rsidRPr="00691087" w:rsidRDefault="005A2754" w:rsidP="00537628">
            <w:pPr>
              <w:pStyle w:val="Tabletext"/>
              <w:keepNext/>
            </w:pPr>
            <w:r w:rsidRPr="00691087">
              <w:t>Malignancies</w:t>
            </w:r>
          </w:p>
        </w:tc>
        <w:tc>
          <w:tcPr>
            <w:tcW w:w="1842" w:type="dxa"/>
          </w:tcPr>
          <w:p w14:paraId="78723D02" w14:textId="77777777" w:rsidR="005A2754" w:rsidRPr="00691087" w:rsidRDefault="005A2754" w:rsidP="00537628">
            <w:pPr>
              <w:pStyle w:val="Tabletext"/>
              <w:keepNext/>
              <w:jc w:val="center"/>
            </w:pPr>
            <w:r w:rsidRPr="00691087">
              <w:t>0.6%</w:t>
            </w:r>
          </w:p>
        </w:tc>
        <w:tc>
          <w:tcPr>
            <w:tcW w:w="1843" w:type="dxa"/>
          </w:tcPr>
          <w:p w14:paraId="519B7029" w14:textId="77777777" w:rsidR="005A2754" w:rsidRPr="00691087" w:rsidRDefault="005A2754" w:rsidP="00537628">
            <w:pPr>
              <w:pStyle w:val="Tabletext"/>
              <w:keepNext/>
              <w:jc w:val="center"/>
            </w:pPr>
            <w:r w:rsidRPr="00691087">
              <w:t>0</w:t>
            </w:r>
          </w:p>
        </w:tc>
        <w:tc>
          <w:tcPr>
            <w:tcW w:w="1985" w:type="dxa"/>
          </w:tcPr>
          <w:p w14:paraId="532AA73D" w14:textId="77777777" w:rsidR="005A2754" w:rsidRPr="00691087" w:rsidRDefault="005A2754" w:rsidP="00537628">
            <w:pPr>
              <w:pStyle w:val="Tabletext"/>
              <w:keepNext/>
              <w:jc w:val="center"/>
            </w:pPr>
            <w:r w:rsidRPr="00691087">
              <w:t>2.0%</w:t>
            </w:r>
          </w:p>
        </w:tc>
      </w:tr>
    </w:tbl>
    <w:p w14:paraId="1C1B2D6B" w14:textId="77777777" w:rsidR="005A2754" w:rsidRPr="00691087" w:rsidRDefault="005A2754" w:rsidP="00537628">
      <w:pPr>
        <w:pStyle w:val="TableFooter"/>
        <w:keepNext/>
      </w:pPr>
      <w:r w:rsidRPr="00691087">
        <w:t xml:space="preserve">Source: Table 23, p43 of the submission. </w:t>
      </w:r>
    </w:p>
    <w:p w14:paraId="71267948" w14:textId="34527A48" w:rsidR="00537628" w:rsidRPr="00691087" w:rsidRDefault="005A2754" w:rsidP="00FE1A1E">
      <w:pPr>
        <w:pStyle w:val="TableFooter"/>
        <w:keepNext/>
        <w:spacing w:after="120"/>
      </w:pPr>
      <w:r w:rsidRPr="00691087">
        <w:t>AE = adverse event; SAE = serious adverse event</w:t>
      </w:r>
    </w:p>
    <w:p w14:paraId="6C07A668" w14:textId="77777777" w:rsidR="005A2754" w:rsidRPr="00691087" w:rsidRDefault="005A2754" w:rsidP="00407213">
      <w:pPr>
        <w:pStyle w:val="ListParagraph"/>
        <w:widowControl/>
        <w:numPr>
          <w:ilvl w:val="1"/>
          <w:numId w:val="2"/>
        </w:numPr>
      </w:pPr>
      <w:r w:rsidRPr="00691087">
        <w:t>The submission did not explain the high rate of serious adverse events (SAE) in the CLARITY extension (LLPP arm) compared to the arms of the pivotal trial. It is unclear why over an observation period, serious adverse events would increase substantially compared to an active treatment period. This may be a result of longer follow-up.</w:t>
      </w:r>
    </w:p>
    <w:p w14:paraId="0042BA56" w14:textId="74B4FEF6" w:rsidR="005A2754" w:rsidRPr="00691087" w:rsidRDefault="005A2754" w:rsidP="00FE1A1E">
      <w:pPr>
        <w:pStyle w:val="Heading2"/>
        <w:spacing w:after="120"/>
      </w:pPr>
      <w:bookmarkStart w:id="24" w:name="_Toc82600897"/>
      <w:r w:rsidRPr="00691087">
        <w:t>Clinical claim</w:t>
      </w:r>
      <w:bookmarkEnd w:id="24"/>
    </w:p>
    <w:p w14:paraId="1AF3389B" w14:textId="77777777" w:rsidR="005A2754" w:rsidRPr="00691087" w:rsidRDefault="005A2754" w:rsidP="005A2754">
      <w:pPr>
        <w:pStyle w:val="ListParagraph"/>
        <w:widowControl/>
        <w:numPr>
          <w:ilvl w:val="1"/>
          <w:numId w:val="2"/>
        </w:numPr>
      </w:pPr>
      <w:r w:rsidRPr="00691087">
        <w:t xml:space="preserve">The submission made the following claims: </w:t>
      </w:r>
    </w:p>
    <w:p w14:paraId="7FCF5119" w14:textId="77777777" w:rsidR="005A2754" w:rsidRPr="00691087" w:rsidRDefault="005A2754" w:rsidP="00537628">
      <w:pPr>
        <w:pStyle w:val="ListParagraph"/>
        <w:numPr>
          <w:ilvl w:val="0"/>
          <w:numId w:val="17"/>
        </w:numPr>
        <w:ind w:left="993" w:hanging="284"/>
      </w:pPr>
      <w:r w:rsidRPr="00691087">
        <w:t>RCT and supporting RWE demonstrates that cladribine is non-inferior in terms of effectiveness compared with fingolimod over both a two year and a four-year treatment period. However, due to their different mechanisms of action, cladribine tablets are administered over 4-5 days in Weeks 1 and 5 of the first two years of therapy only, followed by observation in the following two years, whereas fingolimod must be administered on an ongoing daily basis.</w:t>
      </w:r>
    </w:p>
    <w:p w14:paraId="4F671C8C" w14:textId="77777777" w:rsidR="005A2754" w:rsidRPr="00691087" w:rsidRDefault="005A2754" w:rsidP="000D2137">
      <w:pPr>
        <w:pStyle w:val="ListParagraph"/>
        <w:numPr>
          <w:ilvl w:val="1"/>
          <w:numId w:val="17"/>
        </w:numPr>
        <w:rPr>
          <w:i/>
          <w:iCs/>
        </w:rPr>
      </w:pPr>
      <w:r w:rsidRPr="00691087">
        <w:t xml:space="preserve">The submission’s main basis for </w:t>
      </w:r>
      <w:r w:rsidR="00DB10C4" w:rsidRPr="00691087">
        <w:t xml:space="preserve">the claim of non-inferiority over </w:t>
      </w:r>
      <w:r w:rsidR="004A09E4" w:rsidRPr="00691087">
        <w:t xml:space="preserve">four </w:t>
      </w:r>
      <w:r w:rsidR="00DB10C4" w:rsidRPr="00691087">
        <w:t xml:space="preserve">years </w:t>
      </w:r>
      <w:r w:rsidRPr="00691087">
        <w:t xml:space="preserve">was a naïve comparison of the results of CLARITY EXT versus FREEDOMS I and II EXT, which has already been reviewed </w:t>
      </w:r>
      <w:r w:rsidR="000034D1" w:rsidRPr="00691087">
        <w:t xml:space="preserve">by the PBAC in </w:t>
      </w:r>
      <w:r w:rsidRPr="00691087">
        <w:t>November 2017. The PBAC at the time considered that a naïve comparison of point estimates of the cladribine and fingolimod extension studies did not provide sufficient evidence to demonstrate that two years of cladribine treatment was comparable to four years of fingolimod treatment</w:t>
      </w:r>
      <w:r w:rsidR="000034D1" w:rsidRPr="00691087">
        <w:t xml:space="preserve"> (paragraph 6.27)</w:t>
      </w:r>
      <w:r w:rsidRPr="00691087">
        <w:t>.</w:t>
      </w:r>
      <w:r w:rsidR="00AA3C44" w:rsidRPr="00691087">
        <w:t xml:space="preserve"> </w:t>
      </w:r>
      <w:r w:rsidR="00AA3C44" w:rsidRPr="00AB27A7">
        <w:t xml:space="preserve">The ESC </w:t>
      </w:r>
      <w:r w:rsidR="000D2137" w:rsidRPr="00AB27A7">
        <w:t xml:space="preserve">considered that the additional information provided in the resubmission did not </w:t>
      </w:r>
      <w:r w:rsidR="00F4782F" w:rsidRPr="00AB27A7">
        <w:t xml:space="preserve">adequately justify </w:t>
      </w:r>
      <w:r w:rsidR="000D2137" w:rsidRPr="00AB27A7">
        <w:t>the efficacy claim that was made</w:t>
      </w:r>
      <w:r w:rsidR="00AA3C44" w:rsidRPr="00AB27A7">
        <w:t>.</w:t>
      </w:r>
    </w:p>
    <w:p w14:paraId="41BF196D" w14:textId="77777777" w:rsidR="005A2754" w:rsidRPr="00691087" w:rsidRDefault="005A2754" w:rsidP="00537628">
      <w:pPr>
        <w:pStyle w:val="ListParagraph"/>
        <w:numPr>
          <w:ilvl w:val="1"/>
          <w:numId w:val="17"/>
        </w:numPr>
        <w:ind w:left="1276" w:hanging="283"/>
      </w:pPr>
      <w:r w:rsidRPr="00691087">
        <w:t xml:space="preserve">The submission presented more recent RWE to serve as confirmatory results. These observational studies did not include any comparative evidence versus fingolimod, and many of these studies were based on patients from the CLARITY or other cladribine trials. Overall, these studies </w:t>
      </w:r>
      <w:r w:rsidR="003208C8" w:rsidRPr="00691087">
        <w:t xml:space="preserve">did not </w:t>
      </w:r>
      <w:r w:rsidRPr="00691087">
        <w:t>provid</w:t>
      </w:r>
      <w:r w:rsidR="003208C8" w:rsidRPr="00691087">
        <w:t>e</w:t>
      </w:r>
      <w:r w:rsidRPr="00691087">
        <w:t xml:space="preserve"> better evidence of comparative long term non-inferiority. </w:t>
      </w:r>
    </w:p>
    <w:p w14:paraId="5B3F3A05" w14:textId="77777777" w:rsidR="005A2754" w:rsidRPr="00691087" w:rsidRDefault="005A2754" w:rsidP="00537628">
      <w:pPr>
        <w:pStyle w:val="ListParagraph"/>
        <w:numPr>
          <w:ilvl w:val="1"/>
          <w:numId w:val="17"/>
        </w:numPr>
        <w:ind w:left="1276" w:hanging="283"/>
      </w:pPr>
      <w:r w:rsidRPr="00691087">
        <w:t xml:space="preserve">Applicability issues of these </w:t>
      </w:r>
      <w:r w:rsidR="00537628" w:rsidRPr="00691087">
        <w:t>RWE</w:t>
      </w:r>
      <w:r w:rsidRPr="00691087">
        <w:t xml:space="preserve"> studies were particularly relevant in consideration of proportion of patients receiving subsequent DMTs in Years 3 or 4 when treated with cladribine. It was unlikely that these studies provided applicable estimates of switching for the Australian population. </w:t>
      </w:r>
    </w:p>
    <w:p w14:paraId="23A1C056" w14:textId="77777777" w:rsidR="0015367E" w:rsidRPr="00691087" w:rsidRDefault="005A2754" w:rsidP="0015367E">
      <w:pPr>
        <w:pStyle w:val="ListParagraph"/>
        <w:numPr>
          <w:ilvl w:val="0"/>
          <w:numId w:val="17"/>
        </w:numPr>
        <w:ind w:left="993" w:hanging="284"/>
      </w:pPr>
      <w:r w:rsidRPr="00691087">
        <w:t xml:space="preserve">Cladribine is non-inferior in terms of safety compared with fingolimod. The two agents have different but comparable safety profiles. </w:t>
      </w:r>
      <w:r w:rsidR="007C7DEA" w:rsidRPr="00691087">
        <w:t>The submission stated i</w:t>
      </w:r>
      <w:r w:rsidRPr="00691087">
        <w:t xml:space="preserve">t is likely that cladribine is superior to fingolimod in many key aspects, particularly over </w:t>
      </w:r>
      <w:r w:rsidR="00537628" w:rsidRPr="00691087">
        <w:t>four</w:t>
      </w:r>
      <w:r w:rsidRPr="00691087">
        <w:t xml:space="preserve"> years. In lieu of a full analysis, only a non-inferior claim is made. As with the efficacy data, non-inferior safety </w:t>
      </w:r>
      <w:r w:rsidR="005E1D3E" w:rsidRPr="00691087">
        <w:t>was not adequately</w:t>
      </w:r>
      <w:r w:rsidRPr="00691087">
        <w:t xml:space="preserve"> demonstrated on the basis of the trial extensions. </w:t>
      </w:r>
      <w:r w:rsidR="00407213" w:rsidRPr="00691087">
        <w:t xml:space="preserve">The submission did not explain the high rate of serious adverse events (SAE) in the CLARITY extension (LLPP arm) compared to the arms of the pivotal trial. </w:t>
      </w:r>
    </w:p>
    <w:p w14:paraId="0F5C7A03" w14:textId="77777777" w:rsidR="0015367E" w:rsidRDefault="0015367E" w:rsidP="0015367E">
      <w:pPr>
        <w:pStyle w:val="ListParagraph"/>
        <w:widowControl/>
        <w:numPr>
          <w:ilvl w:val="1"/>
          <w:numId w:val="2"/>
        </w:numPr>
      </w:pPr>
      <w:r w:rsidRPr="00AB27A7">
        <w:t>The ESC</w:t>
      </w:r>
      <w:r w:rsidR="00B720E9">
        <w:t xml:space="preserve"> and PBAC</w:t>
      </w:r>
      <w:r w:rsidRPr="00AB27A7">
        <w:t xml:space="preserve"> considered the clinical claim of non-inferior comparative efficacy and safety of cladribine and fingolimod over four years was not adequately justified, </w:t>
      </w:r>
      <w:r w:rsidR="00065C22" w:rsidRPr="00AB27A7">
        <w:t>as outlined in the paragraph</w:t>
      </w:r>
      <w:r w:rsidR="00B720E9">
        <w:t>s</w:t>
      </w:r>
      <w:r w:rsidR="00065C22" w:rsidRPr="00AB27A7">
        <w:t xml:space="preserve"> above</w:t>
      </w:r>
      <w:r w:rsidR="00D22009" w:rsidRPr="00AB27A7">
        <w:t>.</w:t>
      </w:r>
    </w:p>
    <w:p w14:paraId="402F4DD8" w14:textId="5EA60C57" w:rsidR="005A2754" w:rsidRPr="00691087" w:rsidRDefault="005A2754" w:rsidP="00FE1A1E">
      <w:pPr>
        <w:pStyle w:val="Heading2"/>
        <w:spacing w:after="120"/>
      </w:pPr>
      <w:bookmarkStart w:id="25" w:name="_Toc82600898"/>
      <w:r w:rsidRPr="00691087">
        <w:t>Economic analysis</w:t>
      </w:r>
      <w:bookmarkEnd w:id="25"/>
      <w:r w:rsidRPr="00691087">
        <w:t xml:space="preserve"> </w:t>
      </w:r>
    </w:p>
    <w:p w14:paraId="71CA3CB2" w14:textId="77777777" w:rsidR="005A2754" w:rsidRPr="00691087" w:rsidRDefault="005A2754" w:rsidP="005A2754">
      <w:pPr>
        <w:pStyle w:val="ListParagraph"/>
        <w:widowControl/>
        <w:numPr>
          <w:ilvl w:val="1"/>
          <w:numId w:val="2"/>
        </w:numPr>
      </w:pPr>
      <w:r w:rsidRPr="00691087">
        <w:t>The submission presented a cost</w:t>
      </w:r>
      <w:r w:rsidR="00537628" w:rsidRPr="00691087">
        <w:t>-</w:t>
      </w:r>
      <w:r w:rsidRPr="00691087">
        <w:t>minimisation analysis of cladribine against fingolimod over four years. This differed from the July 2018 submission, where the PBAC recommended cladribine on the basis of a cost</w:t>
      </w:r>
      <w:r w:rsidR="00537628" w:rsidRPr="00691087">
        <w:t>-</w:t>
      </w:r>
      <w:r w:rsidRPr="00691087">
        <w:t xml:space="preserve">minimisation analysis versus two years of fingolimod. </w:t>
      </w:r>
    </w:p>
    <w:p w14:paraId="768761B6" w14:textId="77777777" w:rsidR="005A2754" w:rsidRPr="00691087" w:rsidRDefault="00CF4092" w:rsidP="005A2754">
      <w:pPr>
        <w:pStyle w:val="ListParagraph"/>
        <w:widowControl/>
        <w:numPr>
          <w:ilvl w:val="1"/>
          <w:numId w:val="2"/>
        </w:numPr>
      </w:pPr>
      <w:r>
        <w:t>Table 10</w:t>
      </w:r>
      <w:r w:rsidR="005A2754" w:rsidRPr="00691087">
        <w:t xml:space="preserve"> presents the key components and assumptions of the cost-minimisation analysis.</w:t>
      </w:r>
    </w:p>
    <w:p w14:paraId="42BC766F" w14:textId="77777777" w:rsidR="005A2754" w:rsidRPr="00691087" w:rsidRDefault="005A2754" w:rsidP="005A2754">
      <w:pPr>
        <w:keepNext/>
        <w:rPr>
          <w:rStyle w:val="CommentReference"/>
        </w:rPr>
      </w:pPr>
      <w:bookmarkStart w:id="26" w:name="_Ref81493990"/>
      <w:r w:rsidRPr="00691087">
        <w:rPr>
          <w:rStyle w:val="CommentReference"/>
        </w:rPr>
        <w:t xml:space="preserve">Table </w:t>
      </w:r>
      <w:bookmarkEnd w:id="26"/>
      <w:r w:rsidR="00CF4092">
        <w:rPr>
          <w:rStyle w:val="CommentReference"/>
        </w:rPr>
        <w:t>10</w:t>
      </w:r>
      <w:r w:rsidRPr="00691087">
        <w:rPr>
          <w:rStyle w:val="CommentReference"/>
        </w:rPr>
        <w:t>: Key components and assumptions of the cost-minimisation analysis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Key components and assumptions of the cost-minimisation analysis"/>
      </w:tblPr>
      <w:tblGrid>
        <w:gridCol w:w="2660"/>
        <w:gridCol w:w="6520"/>
      </w:tblGrid>
      <w:tr w:rsidR="005A2754" w:rsidRPr="00691087" w14:paraId="360A6338" w14:textId="77777777" w:rsidTr="00750D38">
        <w:tc>
          <w:tcPr>
            <w:tcW w:w="2660" w:type="dxa"/>
            <w:vAlign w:val="center"/>
          </w:tcPr>
          <w:p w14:paraId="531848C7" w14:textId="77777777" w:rsidR="005A2754" w:rsidRPr="00691087" w:rsidRDefault="005A2754" w:rsidP="00750D38">
            <w:pPr>
              <w:pStyle w:val="Tabletext"/>
              <w:keepNext/>
              <w:rPr>
                <w:b/>
              </w:rPr>
            </w:pPr>
            <w:r w:rsidRPr="00691087">
              <w:rPr>
                <w:b/>
              </w:rPr>
              <w:t>Component</w:t>
            </w:r>
          </w:p>
        </w:tc>
        <w:tc>
          <w:tcPr>
            <w:tcW w:w="6520" w:type="dxa"/>
            <w:vAlign w:val="center"/>
          </w:tcPr>
          <w:p w14:paraId="65ACECEE" w14:textId="77777777" w:rsidR="005A2754" w:rsidRPr="00691087" w:rsidRDefault="005A2754" w:rsidP="00750D38">
            <w:pPr>
              <w:pStyle w:val="Tabletext"/>
              <w:keepNext/>
              <w:jc w:val="center"/>
              <w:rPr>
                <w:b/>
              </w:rPr>
            </w:pPr>
            <w:r w:rsidRPr="00691087">
              <w:rPr>
                <w:b/>
              </w:rPr>
              <w:t>Claim or assumption</w:t>
            </w:r>
          </w:p>
        </w:tc>
      </w:tr>
      <w:tr w:rsidR="005A2754" w:rsidRPr="00691087" w14:paraId="02FDA399" w14:textId="77777777" w:rsidTr="00750D38">
        <w:tc>
          <w:tcPr>
            <w:tcW w:w="2660" w:type="dxa"/>
            <w:vAlign w:val="center"/>
          </w:tcPr>
          <w:p w14:paraId="478D1F61" w14:textId="77777777" w:rsidR="005A2754" w:rsidRPr="00691087" w:rsidRDefault="005A2754" w:rsidP="00BC0788">
            <w:pPr>
              <w:pStyle w:val="Tabletext"/>
              <w:keepNext/>
            </w:pPr>
            <w:r w:rsidRPr="00691087">
              <w:t>Equi-effective doses</w:t>
            </w:r>
          </w:p>
        </w:tc>
        <w:tc>
          <w:tcPr>
            <w:tcW w:w="6520" w:type="dxa"/>
            <w:vAlign w:val="center"/>
          </w:tcPr>
          <w:p w14:paraId="0BF9A362" w14:textId="77777777" w:rsidR="005A2754" w:rsidRPr="00691087" w:rsidRDefault="005A2754" w:rsidP="00BC0788">
            <w:pPr>
              <w:pStyle w:val="Tabletext"/>
              <w:keepNext/>
            </w:pPr>
            <w:r w:rsidRPr="00691087">
              <w:t>Cladribine 3.5 mg/kg over 2 years administered as 1 treatment course of 1.75 mg/kg per year (consisting of 2 treatment weeks per year) = Fingolimod 500 mcg once daily over 4 years/Ozanimod 920 mcg once daily over 4 years.</w:t>
            </w:r>
          </w:p>
        </w:tc>
      </w:tr>
      <w:tr w:rsidR="005A2754" w:rsidRPr="00691087" w14:paraId="16D8BEBF" w14:textId="77777777" w:rsidTr="00750D38">
        <w:tc>
          <w:tcPr>
            <w:tcW w:w="2660" w:type="dxa"/>
            <w:vAlign w:val="center"/>
          </w:tcPr>
          <w:p w14:paraId="5779D283" w14:textId="77777777" w:rsidR="005A2754" w:rsidRPr="00691087" w:rsidRDefault="005A2754" w:rsidP="00BC0788">
            <w:pPr>
              <w:pStyle w:val="Tabletext"/>
              <w:keepNext/>
            </w:pPr>
            <w:r w:rsidRPr="00691087">
              <w:t>Direct medicine costs</w:t>
            </w:r>
          </w:p>
        </w:tc>
        <w:tc>
          <w:tcPr>
            <w:tcW w:w="6520" w:type="dxa"/>
            <w:vAlign w:val="center"/>
          </w:tcPr>
          <w:p w14:paraId="778DD2B1" w14:textId="77777777" w:rsidR="005A2754" w:rsidRPr="00691087" w:rsidRDefault="005A2754" w:rsidP="00BC0788">
            <w:pPr>
              <w:pStyle w:val="Tabletext"/>
              <w:keepNext/>
            </w:pPr>
            <w:r w:rsidRPr="00691087">
              <w:t>Two years of cladribine medicine costs is no more expensive than four years of fingolimod or ozanimod treatment costs.</w:t>
            </w:r>
          </w:p>
        </w:tc>
      </w:tr>
      <w:tr w:rsidR="005A2754" w:rsidRPr="00691087" w14:paraId="6087A9D8" w14:textId="77777777" w:rsidTr="00750D38">
        <w:tc>
          <w:tcPr>
            <w:tcW w:w="2660" w:type="dxa"/>
            <w:vAlign w:val="center"/>
          </w:tcPr>
          <w:p w14:paraId="141A7557" w14:textId="77777777" w:rsidR="005A2754" w:rsidRPr="00691087" w:rsidRDefault="005A2754" w:rsidP="00750D38">
            <w:pPr>
              <w:pStyle w:val="Tabletext"/>
            </w:pPr>
            <w:r w:rsidRPr="00691087">
              <w:t>Other costs or cost offsets</w:t>
            </w:r>
          </w:p>
        </w:tc>
        <w:tc>
          <w:tcPr>
            <w:tcW w:w="6520" w:type="dxa"/>
            <w:vAlign w:val="center"/>
          </w:tcPr>
          <w:p w14:paraId="561436D0" w14:textId="77777777" w:rsidR="005A2754" w:rsidRPr="00691087" w:rsidRDefault="005A2754" w:rsidP="00CE1523">
            <w:pPr>
              <w:pStyle w:val="Tabletext"/>
            </w:pPr>
            <w:r w:rsidRPr="00691087">
              <w:t xml:space="preserve">For MS outcomes, some cost offsets in healthcare professional (HCP) time as shown by </w:t>
            </w:r>
            <w:r w:rsidR="00D37A25">
              <w:t>a</w:t>
            </w:r>
            <w:r w:rsidRPr="00691087">
              <w:t xml:space="preserve"> Time and Motion (T&amp;M) study. Additional medicine costs for cladribine patients who switch to another treatment after 2 years.</w:t>
            </w:r>
          </w:p>
        </w:tc>
      </w:tr>
    </w:tbl>
    <w:p w14:paraId="4F8BACF8" w14:textId="77777777" w:rsidR="005A2754" w:rsidRPr="00691087" w:rsidRDefault="005A2754" w:rsidP="005A2754">
      <w:pPr>
        <w:pStyle w:val="TableFooter"/>
        <w:rPr>
          <w:sz w:val="20"/>
        </w:rPr>
      </w:pPr>
      <w:r w:rsidRPr="00691087">
        <w:t>Source: Table 36, p67 of the submission. MS = multiple sclerosis</w:t>
      </w:r>
    </w:p>
    <w:p w14:paraId="3C777658" w14:textId="77777777" w:rsidR="005A2754" w:rsidRPr="00691087" w:rsidRDefault="005A2754" w:rsidP="005A2754"/>
    <w:p w14:paraId="4E03D60D" w14:textId="77777777" w:rsidR="005A2754" w:rsidRPr="00691087" w:rsidRDefault="005A2754" w:rsidP="005A2754">
      <w:pPr>
        <w:pStyle w:val="ListParagraph"/>
        <w:widowControl/>
        <w:numPr>
          <w:ilvl w:val="1"/>
          <w:numId w:val="2"/>
        </w:numPr>
      </w:pPr>
      <w:r w:rsidRPr="00691087">
        <w:t xml:space="preserve">If the clinical claim of non-inferiority over </w:t>
      </w:r>
      <w:r w:rsidR="00537628" w:rsidRPr="00691087">
        <w:t>four</w:t>
      </w:r>
      <w:r w:rsidRPr="00691087">
        <w:t xml:space="preserve"> years </w:t>
      </w:r>
      <w:r w:rsidR="00074A4C" w:rsidRPr="00691087">
        <w:t xml:space="preserve">is </w:t>
      </w:r>
      <w:r w:rsidRPr="00691087">
        <w:t>not accepted, a cost</w:t>
      </w:r>
      <w:r w:rsidR="00537628" w:rsidRPr="00691087">
        <w:t>-</w:t>
      </w:r>
      <w:r w:rsidRPr="00691087">
        <w:t xml:space="preserve">minimisation over </w:t>
      </w:r>
      <w:r w:rsidR="00537628" w:rsidRPr="00691087">
        <w:t>four</w:t>
      </w:r>
      <w:r w:rsidRPr="00691087">
        <w:t xml:space="preserve"> years</w:t>
      </w:r>
      <w:r w:rsidR="00074A4C" w:rsidRPr="00691087">
        <w:t xml:space="preserve"> is not appropriate.</w:t>
      </w:r>
      <w:r w:rsidRPr="00691087">
        <w:t xml:space="preserve"> </w:t>
      </w:r>
    </w:p>
    <w:p w14:paraId="04378086" w14:textId="77777777" w:rsidR="005A2754" w:rsidRPr="00691087" w:rsidRDefault="005A2754" w:rsidP="005A2754">
      <w:pPr>
        <w:pStyle w:val="ListParagraph"/>
        <w:widowControl/>
        <w:numPr>
          <w:ilvl w:val="1"/>
          <w:numId w:val="2"/>
        </w:numPr>
      </w:pPr>
      <w:r w:rsidRPr="00691087">
        <w:t xml:space="preserve">The submission </w:t>
      </w:r>
      <w:r w:rsidR="00DB10C4" w:rsidRPr="00691087">
        <w:t>also presented a cost-minimisation against ozanimod</w:t>
      </w:r>
      <w:r w:rsidRPr="00691087">
        <w:t>. This is not expected to have an impact on any economic considerations</w:t>
      </w:r>
      <w:r w:rsidR="00DB10C4" w:rsidRPr="00691087">
        <w:t xml:space="preserve"> because of the same costs </w:t>
      </w:r>
      <w:r w:rsidR="00FE3F04">
        <w:t>for</w:t>
      </w:r>
      <w:r w:rsidR="00FE3F04" w:rsidRPr="00691087">
        <w:t xml:space="preserve"> </w:t>
      </w:r>
      <w:r w:rsidR="00DB10C4" w:rsidRPr="00691087">
        <w:t>ozanimod and fingolimod</w:t>
      </w:r>
      <w:r w:rsidRPr="00691087">
        <w:t xml:space="preserve">. </w:t>
      </w:r>
    </w:p>
    <w:p w14:paraId="604A5950" w14:textId="77777777" w:rsidR="005A2754" w:rsidRPr="00691087" w:rsidRDefault="005A2754" w:rsidP="005A2754">
      <w:pPr>
        <w:pStyle w:val="ListParagraph"/>
        <w:widowControl/>
        <w:numPr>
          <w:ilvl w:val="1"/>
          <w:numId w:val="2"/>
        </w:numPr>
      </w:pPr>
      <w:r w:rsidRPr="00691087">
        <w:t>The proposed equi-effective dose</w:t>
      </w:r>
      <w:r w:rsidR="00FE3F04">
        <w:t>s</w:t>
      </w:r>
      <w:r w:rsidRPr="00691087">
        <w:t xml:space="preserve"> </w:t>
      </w:r>
      <w:r w:rsidR="00FE3F04">
        <w:t>were</w:t>
      </w:r>
      <w:r w:rsidRPr="00691087">
        <w:t>:</w:t>
      </w:r>
    </w:p>
    <w:p w14:paraId="1F513A97" w14:textId="77777777" w:rsidR="005A2754" w:rsidRPr="00691087" w:rsidRDefault="005A2754" w:rsidP="00537628">
      <w:pPr>
        <w:pStyle w:val="ListParagraph"/>
        <w:numPr>
          <w:ilvl w:val="0"/>
          <w:numId w:val="20"/>
        </w:numPr>
        <w:ind w:left="993" w:hanging="284"/>
      </w:pPr>
      <w:r w:rsidRPr="00691087">
        <w:t>Cladribine 3.5 mg/kg over 2 years administered as 1 treatment course of 1.75 mg/kg per year (consisting of 2 treatment weeks)</w:t>
      </w:r>
      <w:r w:rsidR="000034D1" w:rsidRPr="00691087">
        <w:t xml:space="preserve">, with observation (i.e. no active </w:t>
      </w:r>
      <w:r w:rsidR="00DB10C4" w:rsidRPr="00691087">
        <w:t xml:space="preserve">cladribine </w:t>
      </w:r>
      <w:r w:rsidR="000034D1" w:rsidRPr="00691087">
        <w:t xml:space="preserve">treatment) in </w:t>
      </w:r>
      <w:r w:rsidR="009E7A13" w:rsidRPr="00691087">
        <w:t>Y</w:t>
      </w:r>
      <w:r w:rsidR="000034D1" w:rsidRPr="00691087">
        <w:t>ears 3 and 4</w:t>
      </w:r>
      <w:r w:rsidRPr="00691087">
        <w:t xml:space="preserve">. </w:t>
      </w:r>
    </w:p>
    <w:p w14:paraId="0A41753F" w14:textId="77777777" w:rsidR="005A2754" w:rsidRPr="00691087" w:rsidRDefault="005A2754" w:rsidP="00537628">
      <w:pPr>
        <w:pStyle w:val="ListParagraph"/>
        <w:numPr>
          <w:ilvl w:val="0"/>
          <w:numId w:val="20"/>
        </w:numPr>
        <w:ind w:left="993" w:hanging="284"/>
      </w:pPr>
      <w:r w:rsidRPr="00691087">
        <w:t>Fingolimod 500 mcg once daily over 4 years.</w:t>
      </w:r>
    </w:p>
    <w:p w14:paraId="0C3BA2D2" w14:textId="77777777" w:rsidR="005A2754" w:rsidRPr="00691087" w:rsidRDefault="005A2754" w:rsidP="00537628">
      <w:pPr>
        <w:pStyle w:val="ListParagraph"/>
        <w:numPr>
          <w:ilvl w:val="0"/>
          <w:numId w:val="20"/>
        </w:numPr>
        <w:ind w:left="993" w:hanging="284"/>
      </w:pPr>
      <w:r w:rsidRPr="00691087">
        <w:t>Ozanimod 920 mcg once daily over 4 years.</w:t>
      </w:r>
    </w:p>
    <w:p w14:paraId="66E1F6DA" w14:textId="77777777" w:rsidR="005A2754" w:rsidRPr="00691087" w:rsidRDefault="005A2754" w:rsidP="005A2754">
      <w:pPr>
        <w:pStyle w:val="ListParagraph"/>
        <w:widowControl/>
        <w:numPr>
          <w:ilvl w:val="1"/>
          <w:numId w:val="2"/>
        </w:numPr>
      </w:pPr>
      <w:r w:rsidRPr="00691087">
        <w:t xml:space="preserve">The submission proposed that </w:t>
      </w:r>
      <w:r w:rsidR="00537628" w:rsidRPr="00691087">
        <w:t>two</w:t>
      </w:r>
      <w:r w:rsidRPr="00691087">
        <w:t xml:space="preserve"> years of cladribine treatment is equivalent to </w:t>
      </w:r>
      <w:r w:rsidR="00537628" w:rsidRPr="00691087">
        <w:t xml:space="preserve">four </w:t>
      </w:r>
      <w:r w:rsidRPr="00691087">
        <w:t>years of fingolimod and ozanimod treatment in the absence of progression.</w:t>
      </w:r>
      <w:r w:rsidR="0032182B" w:rsidRPr="00691087">
        <w:t xml:space="preserve"> The submission did not explain the qualification of the ‘absence of progression’ in its consideration of equi-effective dose. </w:t>
      </w:r>
    </w:p>
    <w:p w14:paraId="05C7FB9D" w14:textId="77777777" w:rsidR="005A2754" w:rsidRPr="00691087" w:rsidRDefault="005A2754" w:rsidP="005A2754">
      <w:pPr>
        <w:pStyle w:val="ListParagraph"/>
        <w:widowControl/>
        <w:numPr>
          <w:ilvl w:val="1"/>
          <w:numId w:val="2"/>
        </w:numPr>
      </w:pPr>
      <w:r w:rsidRPr="00691087">
        <w:t>The submission made a claim that two years of cladribine treatment (plus two years of observation) is equivalent to four years of fingolimod and based equi-effective doses on this claim. Treatment switching was not addressed in the consideration of equi-effective doses but rather included as an offset</w:t>
      </w:r>
      <w:r w:rsidR="004C4EC6" w:rsidRPr="00691087">
        <w:t>.</w:t>
      </w:r>
      <w:r w:rsidRPr="00691087">
        <w:t xml:space="preserve"> This approach may be the simplest way to calculate the effects of treatment switching. However, it is unclear if these doses can be accepted as equi-effective when a large portion of patients are assumed to switch to another DMT before four years of cladribine treatment. </w:t>
      </w:r>
      <w:r w:rsidR="00D33D2A" w:rsidRPr="00AB27A7">
        <w:rPr>
          <w:iCs/>
        </w:rPr>
        <w:t>Further, the ESC noted that inclusion of any rate of treatment switching would only be appropriate if non-inferiority is demonstrated.</w:t>
      </w:r>
    </w:p>
    <w:p w14:paraId="640C7785" w14:textId="77777777" w:rsidR="005A2754" w:rsidRPr="00691087" w:rsidRDefault="001F37D6" w:rsidP="005A2754">
      <w:pPr>
        <w:pStyle w:val="ListParagraph"/>
        <w:widowControl/>
        <w:numPr>
          <w:ilvl w:val="1"/>
          <w:numId w:val="2"/>
        </w:numPr>
      </w:pPr>
      <w:r w:rsidRPr="00691087">
        <w:t>The submission calculated</w:t>
      </w:r>
      <w:r w:rsidR="005A2754" w:rsidRPr="00691087">
        <w:t xml:space="preserve"> the number of patients who </w:t>
      </w:r>
      <w:r w:rsidR="00537628" w:rsidRPr="00691087">
        <w:t>we</w:t>
      </w:r>
      <w:r w:rsidR="005A2754" w:rsidRPr="00691087">
        <w:t>re administered alternative MS treatments in Year 3 and 4 following two years of cladribine</w:t>
      </w:r>
      <w:r w:rsidRPr="00691087">
        <w:t xml:space="preserve"> using estimates of treatment switch from Patti (2020). (</w:t>
      </w:r>
      <w:r w:rsidR="00537628" w:rsidRPr="00691087">
        <w:t>S</w:t>
      </w:r>
      <w:r w:rsidRPr="00691087">
        <w:t>ensitivity analyses were presented using PBS 10% data and MSBase registry data).</w:t>
      </w:r>
    </w:p>
    <w:p w14:paraId="4D522014" w14:textId="77777777" w:rsidR="005A2754" w:rsidRPr="00691087" w:rsidRDefault="005A2754" w:rsidP="005A2754">
      <w:pPr>
        <w:pStyle w:val="ListParagraph"/>
        <w:widowControl/>
        <w:numPr>
          <w:ilvl w:val="1"/>
          <w:numId w:val="2"/>
        </w:numPr>
      </w:pPr>
      <w:r w:rsidRPr="00691087">
        <w:t>Patti (2020) reported that over 44.4% of CLARITY patients commenced another therapy after cladribine treatment over a period of 36 months after the last dose of cladribine (</w:t>
      </w:r>
      <w:r w:rsidR="00537628" w:rsidRPr="00691087">
        <w:t>four</w:t>
      </w:r>
      <w:r w:rsidRPr="00691087">
        <w:t xml:space="preserve"> years from first dose). The submission stated the reason for the higher rate of treatment switching versus the other RWE publication is unknown, as the study identified low relapse rates and disability progression. </w:t>
      </w:r>
      <w:r w:rsidR="001F37D6" w:rsidRPr="00691087">
        <w:t>S</w:t>
      </w:r>
      <w:r w:rsidRPr="00691087">
        <w:t>witch estimates from Patti (2020) were not likely to be applicable to the Australian population</w:t>
      </w:r>
      <w:r w:rsidR="00537628" w:rsidRPr="00691087">
        <w:t xml:space="preserve"> given it reflected an Italian health care context</w:t>
      </w:r>
      <w:r w:rsidRPr="00691087">
        <w:t xml:space="preserve">. </w:t>
      </w:r>
      <w:r w:rsidR="008A7FF3" w:rsidRPr="00691087">
        <w:t xml:space="preserve">It was unclear if these rates would be expected to be higher or lower. </w:t>
      </w:r>
      <w:r w:rsidR="00D33D2A" w:rsidRPr="00AB27A7">
        <w:rPr>
          <w:iCs/>
        </w:rPr>
        <w:t>Further, the ESC noted that the study was based on 3</w:t>
      </w:r>
      <w:r w:rsidR="00563902" w:rsidRPr="00AB27A7">
        <w:rPr>
          <w:iCs/>
        </w:rPr>
        <w:t>4</w:t>
      </w:r>
      <w:r w:rsidR="00D33D2A" w:rsidRPr="00AB27A7">
        <w:rPr>
          <w:iCs/>
        </w:rPr>
        <w:t xml:space="preserve"> patients</w:t>
      </w:r>
      <w:r w:rsidR="00DB271E" w:rsidRPr="00AB27A7">
        <w:rPr>
          <w:iCs/>
        </w:rPr>
        <w:t xml:space="preserve"> (the CLARITY extension cohort)</w:t>
      </w:r>
      <w:r w:rsidR="00D33D2A" w:rsidRPr="00AB27A7">
        <w:rPr>
          <w:iCs/>
        </w:rPr>
        <w:t xml:space="preserve"> and so may not be sufficiently reliable to inform this parameter.</w:t>
      </w:r>
    </w:p>
    <w:p w14:paraId="62A57548" w14:textId="77777777" w:rsidR="005A2754" w:rsidRPr="00691087" w:rsidRDefault="005A2754" w:rsidP="005A2754">
      <w:pPr>
        <w:pStyle w:val="ListParagraph"/>
        <w:widowControl/>
        <w:numPr>
          <w:ilvl w:val="1"/>
          <w:numId w:val="2"/>
        </w:numPr>
      </w:pPr>
      <w:r w:rsidRPr="00691087">
        <w:t xml:space="preserve">The submission also identified </w:t>
      </w:r>
      <w:r w:rsidR="00537628" w:rsidRPr="00691087">
        <w:t xml:space="preserve">a </w:t>
      </w:r>
      <w:r w:rsidRPr="00691087">
        <w:t>PBS 10% Sample Dataset as a supplementary data source to calculate the number of patients who switch treatment. The dataset consist</w:t>
      </w:r>
      <w:r w:rsidR="00537628" w:rsidRPr="00691087">
        <w:t>ed</w:t>
      </w:r>
      <w:r w:rsidRPr="00691087">
        <w:t xml:space="preserve"> of claims information for a 10% sample of the Australian Medicare population, providing detailed information of medicine utilisation. As cladribine was first listed on the PBS in January 2019, limited data </w:t>
      </w:r>
      <w:r w:rsidR="00537628" w:rsidRPr="00691087">
        <w:t>wa</w:t>
      </w:r>
      <w:r w:rsidRPr="00691087">
        <w:t xml:space="preserve">s available on patients treated for more than two years following initiation. The switch rate for cladribine patients in Year 3 of treatment </w:t>
      </w:r>
      <w:r w:rsidR="00537628" w:rsidRPr="00691087">
        <w:t>wa</w:t>
      </w:r>
      <w:r w:rsidRPr="00691087">
        <w:t xml:space="preserve">s 30 out of 220 (13.6%). The submission considered that this confirms the Patti (2020) findings and supports the claims in this submission for a re-pricing of cladribine. </w:t>
      </w:r>
    </w:p>
    <w:p w14:paraId="00913915" w14:textId="77777777" w:rsidR="005A2754" w:rsidRPr="00691087" w:rsidRDefault="005A2754" w:rsidP="005A2754">
      <w:pPr>
        <w:pStyle w:val="ListParagraph"/>
        <w:widowControl/>
        <w:numPr>
          <w:ilvl w:val="1"/>
          <w:numId w:val="2"/>
        </w:numPr>
      </w:pPr>
      <w:r w:rsidRPr="00691087">
        <w:t xml:space="preserve">In the absence of Year 4 data, the submission applied </w:t>
      </w:r>
      <w:r w:rsidR="00B43FFB" w:rsidRPr="00691087">
        <w:t xml:space="preserve">the </w:t>
      </w:r>
      <w:r w:rsidRPr="00691087">
        <w:t xml:space="preserve">relative change in switch rates from Patti (2020) between Year 3 and 4 to Year 4 of cladribine patients when using this dataset. This dataset was used in the sensitivity analysis. Of note was that the PBS 10% sample appeared to be only based on 2 months of the third year. Consequently, this can neither serve to confirm the validity of the Patti </w:t>
      </w:r>
      <w:r w:rsidR="00537628" w:rsidRPr="00691087">
        <w:t>(</w:t>
      </w:r>
      <w:r w:rsidRPr="00691087">
        <w:t>2020</w:t>
      </w:r>
      <w:r w:rsidR="00537628" w:rsidRPr="00691087">
        <w:t>)</w:t>
      </w:r>
      <w:r w:rsidRPr="00691087">
        <w:t xml:space="preserve"> estimates, nor as an informative sensitivity analysis. It should however be noted that data for Year 3 and Year 4 switch rates may eventually be available from the PBS 10% data, and this could provide Australian PBS-specific estimates of treatment switching</w:t>
      </w:r>
      <w:r w:rsidR="00D33D2A" w:rsidRPr="00691087">
        <w:t xml:space="preserve"> </w:t>
      </w:r>
      <w:r w:rsidR="00D33D2A" w:rsidRPr="00EB49D2">
        <w:rPr>
          <w:iCs/>
        </w:rPr>
        <w:t>should non-inferiority be accepted</w:t>
      </w:r>
      <w:r w:rsidRPr="00EB49D2">
        <w:rPr>
          <w:iCs/>
        </w:rPr>
        <w:t>.</w:t>
      </w:r>
    </w:p>
    <w:p w14:paraId="5E4779A6" w14:textId="77777777" w:rsidR="005A2754" w:rsidRPr="00691087" w:rsidRDefault="005A2754" w:rsidP="005A2754">
      <w:pPr>
        <w:pStyle w:val="ListParagraph"/>
        <w:widowControl/>
        <w:numPr>
          <w:ilvl w:val="1"/>
          <w:numId w:val="2"/>
        </w:numPr>
      </w:pPr>
      <w:r w:rsidRPr="00691087">
        <w:t xml:space="preserve">The submission used Patti (2020) to derive the basket of post-cladribine treatments. As previously stated, Patti (2020) </w:t>
      </w:r>
      <w:r w:rsidR="00537628" w:rsidRPr="00691087">
        <w:t>was likely</w:t>
      </w:r>
      <w:r w:rsidRPr="00691087">
        <w:t xml:space="preserve"> not applicable to the Australian setting.</w:t>
      </w:r>
    </w:p>
    <w:p w14:paraId="7712B6C9" w14:textId="77777777" w:rsidR="005A2754" w:rsidRPr="00691087" w:rsidRDefault="005A2754" w:rsidP="005A2754">
      <w:pPr>
        <w:pStyle w:val="ListParagraph"/>
        <w:widowControl/>
        <w:numPr>
          <w:ilvl w:val="1"/>
          <w:numId w:val="2"/>
        </w:numPr>
      </w:pPr>
      <w:r w:rsidRPr="00691087">
        <w:t xml:space="preserve">The submission’s base case estimated that a proportion of patients who switch from cladribine would switch to treatments that are not considered equivalent to </w:t>
      </w:r>
      <w:r w:rsidR="008A7FF3" w:rsidRPr="00691087">
        <w:t xml:space="preserve">(and likely to be less effective than) </w:t>
      </w:r>
      <w:r w:rsidRPr="00691087">
        <w:t>cladribine according to the PBS, and thus are less expensive (teriflunomide, cyclophosphamide, dimethyl fumarate, glatiramer acetate, interferon, azathioprine). Consequently, this further underestimate</w:t>
      </w:r>
      <w:r w:rsidR="00537628" w:rsidRPr="00691087">
        <w:t>d</w:t>
      </w:r>
      <w:r w:rsidRPr="00691087">
        <w:t xml:space="preserve"> the costs </w:t>
      </w:r>
      <w:r w:rsidR="008A7FF3" w:rsidRPr="00691087">
        <w:t>associate</w:t>
      </w:r>
      <w:r w:rsidR="009E7A13" w:rsidRPr="00691087">
        <w:t>d</w:t>
      </w:r>
      <w:r w:rsidR="008A7FF3" w:rsidRPr="00691087">
        <w:t xml:space="preserve"> with </w:t>
      </w:r>
      <w:r w:rsidRPr="00691087">
        <w:t xml:space="preserve">cladribine. The PBS sample which estimated that patients only switched to high efficacy DMTs (ocrelizumab and natalizumab) was probably more realistic, acknowledging that patients may also switch to other high efficacy DMTs. </w:t>
      </w:r>
    </w:p>
    <w:p w14:paraId="23FB2E63" w14:textId="77777777" w:rsidR="005A2754" w:rsidRPr="00691087" w:rsidRDefault="005A2754" w:rsidP="005A2754">
      <w:pPr>
        <w:pStyle w:val="ListParagraph"/>
        <w:widowControl/>
        <w:numPr>
          <w:ilvl w:val="1"/>
          <w:numId w:val="2"/>
        </w:numPr>
      </w:pPr>
      <w:r w:rsidRPr="00691087">
        <w:t>The submission used a time and motion study conducted by the sponsor to estimate the difference in medical costs for nurse and neurologist consultations between cladribine and fingolimod. The study compared the time burden associated with the treatment regimens of three MS treatments (cladribine, fingolimod and ocrelizumab).</w:t>
      </w:r>
    </w:p>
    <w:p w14:paraId="762F5F0F" w14:textId="77777777" w:rsidR="005A2754" w:rsidRDefault="005A2754" w:rsidP="005A2754">
      <w:pPr>
        <w:pStyle w:val="ListParagraph"/>
        <w:widowControl/>
        <w:numPr>
          <w:ilvl w:val="1"/>
          <w:numId w:val="2"/>
        </w:numPr>
      </w:pPr>
      <w:r w:rsidRPr="00691087">
        <w:t>The study estimated the difference in time for a number of health services associated with:</w:t>
      </w:r>
    </w:p>
    <w:p w14:paraId="125EAD26" w14:textId="77777777" w:rsidR="005A2754" w:rsidRPr="00691087" w:rsidRDefault="005A2754" w:rsidP="00FE1A1E">
      <w:pPr>
        <w:pStyle w:val="ListParagraph"/>
        <w:numPr>
          <w:ilvl w:val="0"/>
          <w:numId w:val="15"/>
        </w:numPr>
        <w:spacing w:after="120"/>
        <w:ind w:left="993" w:hanging="284"/>
      </w:pPr>
      <w:r w:rsidRPr="00691087">
        <w:t>The workup, education and administration of RRMS therapies (cladribine, fingolimod, ocrelizumab).</w:t>
      </w:r>
    </w:p>
    <w:p w14:paraId="55255775" w14:textId="77777777" w:rsidR="005A2754" w:rsidRPr="00691087" w:rsidRDefault="005A2754" w:rsidP="00FE1A1E">
      <w:pPr>
        <w:pStyle w:val="ListParagraph"/>
        <w:numPr>
          <w:ilvl w:val="0"/>
          <w:numId w:val="15"/>
        </w:numPr>
        <w:spacing w:after="120"/>
        <w:ind w:left="993" w:hanging="284"/>
      </w:pPr>
      <w:r w:rsidRPr="00691087">
        <w:t>The follow-up and monitoring requirements for that medicine.</w:t>
      </w:r>
    </w:p>
    <w:p w14:paraId="1498F661" w14:textId="77777777" w:rsidR="005A2754" w:rsidRPr="00691087" w:rsidRDefault="005A2754" w:rsidP="00537628">
      <w:pPr>
        <w:pStyle w:val="ListParagraph"/>
        <w:numPr>
          <w:ilvl w:val="0"/>
          <w:numId w:val="15"/>
        </w:numPr>
        <w:spacing w:after="0"/>
        <w:ind w:left="993" w:hanging="284"/>
      </w:pPr>
      <w:r w:rsidRPr="00691087">
        <w:t>The time burden associated with the management of treatment complications.</w:t>
      </w:r>
    </w:p>
    <w:p w14:paraId="4B3096AB" w14:textId="77777777" w:rsidR="005A2754" w:rsidRPr="00691087" w:rsidRDefault="005A2754" w:rsidP="005A2754"/>
    <w:p w14:paraId="2210F723" w14:textId="77777777" w:rsidR="005A2754" w:rsidRPr="00691087" w:rsidRDefault="005A2754" w:rsidP="005A2754">
      <w:pPr>
        <w:pStyle w:val="ListParagraph"/>
        <w:widowControl/>
        <w:numPr>
          <w:ilvl w:val="1"/>
          <w:numId w:val="2"/>
        </w:numPr>
      </w:pPr>
      <w:r w:rsidRPr="00691087">
        <w:t xml:space="preserve">The submission applied a price for each hour for neurologist and nurse time, sourced from the MBS schedule. The submission considered </w:t>
      </w:r>
      <w:r w:rsidR="00B43FFB" w:rsidRPr="00691087">
        <w:t xml:space="preserve">the </w:t>
      </w:r>
      <w:r w:rsidRPr="00691087">
        <w:t xml:space="preserve">MBS item </w:t>
      </w:r>
      <w:r w:rsidR="00B43FFB" w:rsidRPr="00691087">
        <w:t xml:space="preserve">that would be </w:t>
      </w:r>
      <w:r w:rsidRPr="00691087">
        <w:t xml:space="preserve">used for </w:t>
      </w:r>
      <w:r w:rsidR="00537628" w:rsidRPr="00691087">
        <w:t>one</w:t>
      </w:r>
      <w:r w:rsidRPr="00691087">
        <w:t xml:space="preserve"> hour of neurologist time (MBS Item 116) is likely to be only a 30-45 minute consultation (based on a “personal communication”). The submission claimed that using this MBS item is conservative as the cost of </w:t>
      </w:r>
      <w:r w:rsidR="00537628" w:rsidRPr="00691087">
        <w:t>one</w:t>
      </w:r>
      <w:r w:rsidRPr="00691087">
        <w:t xml:space="preserve"> hour of neurologist time is likely to be much higher than the item number used, and using this item does not favour cladribine. </w:t>
      </w:r>
    </w:p>
    <w:p w14:paraId="7FE5CB75" w14:textId="77777777" w:rsidR="005A2754" w:rsidRPr="00691087" w:rsidRDefault="005A2754" w:rsidP="005A2754">
      <w:pPr>
        <w:pStyle w:val="ListParagraph"/>
        <w:widowControl/>
        <w:numPr>
          <w:ilvl w:val="1"/>
          <w:numId w:val="2"/>
        </w:numPr>
      </w:pPr>
      <w:r w:rsidRPr="00691087">
        <w:t xml:space="preserve">The submission claimed that the MBS item used for </w:t>
      </w:r>
      <w:r w:rsidR="00537628" w:rsidRPr="00691087">
        <w:t>one</w:t>
      </w:r>
      <w:r w:rsidRPr="00691087">
        <w:t xml:space="preserve"> hour of nurse time was a reasonable approximation of an hour of nurse time as the code specifies at least 40</w:t>
      </w:r>
      <w:r w:rsidR="00F54C18">
        <w:t> </w:t>
      </w:r>
      <w:r w:rsidRPr="00691087">
        <w:t>min</w:t>
      </w:r>
      <w:r w:rsidR="00F54C18">
        <w:t>ute</w:t>
      </w:r>
      <w:r w:rsidRPr="00691087">
        <w:t>s (which could be an hour or well over an hour).</w:t>
      </w:r>
    </w:p>
    <w:p w14:paraId="2DBB4E3A" w14:textId="6DEC69CB" w:rsidR="005A2754" w:rsidRPr="00691087" w:rsidRDefault="005A2754" w:rsidP="005A2754">
      <w:pPr>
        <w:pStyle w:val="ListParagraph"/>
        <w:widowControl/>
        <w:numPr>
          <w:ilvl w:val="1"/>
          <w:numId w:val="2"/>
        </w:numPr>
      </w:pPr>
      <w:r w:rsidRPr="00691087">
        <w:t>Though the time and motion study presented in the submission was informative, MBS costs are not typically accrued in this manner. Consequently, specifically estimating</w:t>
      </w:r>
      <w:r w:rsidR="00D37A25">
        <w:t xml:space="preserve"> the</w:t>
      </w:r>
      <w:r w:rsidRPr="00691087">
        <w:t xml:space="preserve"> number of visits per patient for each treatment is likely more consistent with other approaches to cost</w:t>
      </w:r>
      <w:r w:rsidR="00537628" w:rsidRPr="00691087">
        <w:t>-</w:t>
      </w:r>
      <w:r w:rsidRPr="00691087">
        <w:t xml:space="preserve">minimisation analysis in MS and more consistent with how costs to the MBS may be accrued. It is, for example, not necessarily reasonable that nurse and neurologist hours, as recalled in a specific survey, translate minute per minute to approved MBS items. </w:t>
      </w:r>
    </w:p>
    <w:p w14:paraId="05B4D154" w14:textId="77777777" w:rsidR="008A7FF3" w:rsidRPr="00691087" w:rsidRDefault="008A7FF3" w:rsidP="005A2754">
      <w:pPr>
        <w:pStyle w:val="ListParagraph"/>
        <w:widowControl/>
        <w:numPr>
          <w:ilvl w:val="1"/>
          <w:numId w:val="2"/>
        </w:numPr>
      </w:pPr>
      <w:r w:rsidRPr="00691087">
        <w:t xml:space="preserve">Additionally, given the claim of non-inferior efficacy, fewer scripts does not necessarily translate to a lesser frequency of neurologist follow-up visits, as frequency of visits to manage clinical relapse would be expected to be equivalent between treatments. </w:t>
      </w:r>
    </w:p>
    <w:p w14:paraId="04CF3738" w14:textId="77777777" w:rsidR="005A2754" w:rsidRPr="00691087" w:rsidRDefault="005A2754" w:rsidP="005A2754">
      <w:pPr>
        <w:pStyle w:val="ListParagraph"/>
        <w:widowControl/>
        <w:numPr>
          <w:ilvl w:val="1"/>
          <w:numId w:val="2"/>
        </w:numPr>
      </w:pPr>
      <w:r w:rsidRPr="00691087">
        <w:t>The November 2017 cladribine submission based its MBS cost offsets on MBS items and expected frequency of appointments and tests. Total offsets estimated</w:t>
      </w:r>
      <w:r w:rsidR="00A01279" w:rsidRPr="00691087">
        <w:t xml:space="preserve"> over </w:t>
      </w:r>
      <w:r w:rsidR="006B1A5B" w:rsidRPr="00691087">
        <w:t>four</w:t>
      </w:r>
      <w:r w:rsidR="00A01279" w:rsidRPr="00691087">
        <w:t xml:space="preserve"> years</w:t>
      </w:r>
      <w:r w:rsidRPr="00691087">
        <w:t xml:space="preserve"> were $585.54 compared to $1,722 in the current submission. </w:t>
      </w:r>
    </w:p>
    <w:p w14:paraId="1C861F8F" w14:textId="77777777" w:rsidR="004C4EC6" w:rsidRPr="00EB49D2" w:rsidRDefault="005F33F8" w:rsidP="005A2754">
      <w:pPr>
        <w:pStyle w:val="ListParagraph"/>
        <w:widowControl/>
        <w:numPr>
          <w:ilvl w:val="1"/>
          <w:numId w:val="2"/>
        </w:numPr>
      </w:pPr>
      <w:r>
        <w:t>The PSCR</w:t>
      </w:r>
      <w:r w:rsidR="004C4EC6" w:rsidRPr="00EB49D2">
        <w:t xml:space="preserve"> noted the time and motion studies between the 2017 submission and current application were different in terms of survey types, sample size and interview method. The PSCR stated it showed a greater time burden for cladribine in years 1 and 2 versus years 3 and 4 and supported a claim that there would be lower MBS costs in years 3 and 4 for patients treated with cladribine, however also noted the inclusion of these offsets (or not) do</w:t>
      </w:r>
      <w:r w:rsidR="00B43FFB" w:rsidRPr="00EB49D2">
        <w:t>es</w:t>
      </w:r>
      <w:r w:rsidR="004C4EC6" w:rsidRPr="00EB49D2">
        <w:t xml:space="preserve"> not have a substantial impact on the proposed price.</w:t>
      </w:r>
      <w:r w:rsidR="00FD0F38" w:rsidRPr="00EB49D2">
        <w:t xml:space="preserve"> The ESC considered the results of the time and motion study may not reflect clinical practice overall as neurologists would continue to see patients at regular intervals irrespective of whether patients were actively receiving treatment at that point in time.</w:t>
      </w:r>
    </w:p>
    <w:p w14:paraId="60757DF9" w14:textId="77777777" w:rsidR="005A2754" w:rsidRPr="00691087" w:rsidRDefault="005A2754" w:rsidP="005A2754">
      <w:pPr>
        <w:pStyle w:val="ListParagraph"/>
        <w:widowControl/>
        <w:numPr>
          <w:ilvl w:val="1"/>
          <w:numId w:val="2"/>
        </w:numPr>
      </w:pPr>
      <w:r w:rsidRPr="00691087">
        <w:t>The submission stated there were three stages in the stepped analysis, as follows:</w:t>
      </w:r>
    </w:p>
    <w:p w14:paraId="166EAF2C" w14:textId="77777777" w:rsidR="005A2754" w:rsidRPr="00691087" w:rsidRDefault="005A2754" w:rsidP="00FE1A1E">
      <w:pPr>
        <w:pStyle w:val="ListParagraph"/>
        <w:numPr>
          <w:ilvl w:val="0"/>
          <w:numId w:val="15"/>
        </w:numPr>
        <w:spacing w:after="120"/>
        <w:ind w:left="993" w:hanging="284"/>
      </w:pPr>
      <w:r w:rsidRPr="00691087">
        <w:t>Step 1: the total medicine cost for fingolimod and ozanimod over two years.</w:t>
      </w:r>
    </w:p>
    <w:p w14:paraId="2F42EC2C" w14:textId="1A611649" w:rsidR="005A2754" w:rsidRPr="00691087" w:rsidRDefault="005A2754" w:rsidP="00FE1A1E">
      <w:pPr>
        <w:pStyle w:val="ListParagraph"/>
        <w:numPr>
          <w:ilvl w:val="0"/>
          <w:numId w:val="15"/>
        </w:numPr>
        <w:spacing w:after="120"/>
        <w:ind w:left="993" w:hanging="284"/>
      </w:pPr>
      <w:r w:rsidRPr="00691087">
        <w:t>Step 2: the total medicine cost for fingolimod and ozanimod over four years.</w:t>
      </w:r>
    </w:p>
    <w:p w14:paraId="356B2EE0" w14:textId="77777777" w:rsidR="005A2754" w:rsidRPr="00691087" w:rsidRDefault="005A2754" w:rsidP="009F663D">
      <w:pPr>
        <w:pStyle w:val="ListParagraph"/>
        <w:numPr>
          <w:ilvl w:val="0"/>
          <w:numId w:val="15"/>
        </w:numPr>
        <w:spacing w:after="120"/>
        <w:ind w:left="993" w:hanging="284"/>
      </w:pPr>
      <w:r w:rsidRPr="00691087">
        <w:t xml:space="preserve">Step 3: the base case model which calculated the cost-minimised price of a </w:t>
      </w:r>
      <w:r w:rsidR="00537628" w:rsidRPr="00691087">
        <w:t>one</w:t>
      </w:r>
      <w:r w:rsidRPr="00691087">
        <w:t xml:space="preserve"> tablet pack of cladribine based on an equivalent total healthcare cost for fingolimod and ozanimod over four years, including the cost offsets and cost for switch patients.</w:t>
      </w:r>
    </w:p>
    <w:p w14:paraId="6BF20783" w14:textId="77777777" w:rsidR="005A2754" w:rsidRPr="00691087" w:rsidRDefault="00CF4092" w:rsidP="005A2754">
      <w:pPr>
        <w:pStyle w:val="ListParagraph"/>
        <w:widowControl/>
        <w:numPr>
          <w:ilvl w:val="1"/>
          <w:numId w:val="2"/>
        </w:numPr>
      </w:pPr>
      <w:r>
        <w:t>Table 11</w:t>
      </w:r>
      <w:r w:rsidR="005A2754" w:rsidRPr="00691087">
        <w:t xml:space="preserve"> presents </w:t>
      </w:r>
      <w:r w:rsidR="00181DB5" w:rsidRPr="00691087">
        <w:t xml:space="preserve">a summary of the </w:t>
      </w:r>
      <w:r w:rsidR="00F54C18">
        <w:t>cost-minimisation a</w:t>
      </w:r>
      <w:r w:rsidR="00885F6E">
        <w:t>pproach</w:t>
      </w:r>
      <w:r w:rsidR="004214FA">
        <w:t xml:space="preserve"> </w:t>
      </w:r>
      <w:r w:rsidR="00F54C18">
        <w:t>(</w:t>
      </w:r>
      <w:r w:rsidR="00181DB5" w:rsidRPr="00691087">
        <w:t>CMA</w:t>
      </w:r>
      <w:r w:rsidR="00F54C18">
        <w:t>)</w:t>
      </w:r>
      <w:r w:rsidR="00181DB5" w:rsidRPr="00691087">
        <w:t>.</w:t>
      </w:r>
    </w:p>
    <w:p w14:paraId="3F171903" w14:textId="77777777" w:rsidR="005A2754" w:rsidRPr="00691087" w:rsidRDefault="005A2754" w:rsidP="005C1CFF">
      <w:pPr>
        <w:pStyle w:val="BodyText"/>
        <w:keepNext/>
        <w:keepLines/>
        <w:rPr>
          <w:rStyle w:val="CommentReference"/>
        </w:rPr>
      </w:pPr>
      <w:bookmarkStart w:id="27" w:name="_Ref81495791"/>
      <w:r w:rsidRPr="00691087">
        <w:rPr>
          <w:rStyle w:val="CommentReference"/>
        </w:rPr>
        <w:t xml:space="preserve">Table </w:t>
      </w:r>
      <w:r w:rsidR="00CF4092">
        <w:rPr>
          <w:rStyle w:val="CommentReference"/>
        </w:rPr>
        <w:t>11</w:t>
      </w:r>
      <w:bookmarkEnd w:id="27"/>
      <w:r w:rsidRPr="00691087">
        <w:rPr>
          <w:rStyle w:val="CommentReference"/>
        </w:rPr>
        <w:t xml:space="preserve">: </w:t>
      </w:r>
      <w:r w:rsidR="00181DB5" w:rsidRPr="00691087">
        <w:rPr>
          <w:rStyle w:val="CommentReference"/>
        </w:rPr>
        <w:t>CMA of cladribine versus fingolimod and ozanimod</w:t>
      </w:r>
    </w:p>
    <w:tbl>
      <w:tblPr>
        <w:tblStyle w:val="TableGrid"/>
        <w:tblW w:w="0" w:type="auto"/>
        <w:tblLook w:val="04A0" w:firstRow="1" w:lastRow="0" w:firstColumn="1" w:lastColumn="0" w:noHBand="0" w:noVBand="1"/>
        <w:tblCaption w:val="Table 11: CMA of cladribine versus fingolimod and ozanimod"/>
      </w:tblPr>
      <w:tblGrid>
        <w:gridCol w:w="3775"/>
        <w:gridCol w:w="1620"/>
        <w:gridCol w:w="36"/>
        <w:gridCol w:w="1494"/>
        <w:gridCol w:w="1980"/>
      </w:tblGrid>
      <w:tr w:rsidR="00181DB5" w:rsidRPr="00691087" w14:paraId="24F34400" w14:textId="77777777" w:rsidTr="00492001">
        <w:trPr>
          <w:trHeight w:val="59"/>
          <w:tblHeader/>
        </w:trPr>
        <w:tc>
          <w:tcPr>
            <w:tcW w:w="8905" w:type="dxa"/>
            <w:gridSpan w:val="5"/>
            <w:noWrap/>
            <w:hideMark/>
          </w:tcPr>
          <w:p w14:paraId="74275BA2" w14:textId="77777777" w:rsidR="00181DB5" w:rsidRPr="00691087" w:rsidRDefault="00181DB5" w:rsidP="005C1CFF">
            <w:pPr>
              <w:pStyle w:val="Tabletext"/>
              <w:keepNext/>
              <w:keepLines/>
              <w:rPr>
                <w:b/>
                <w:bCs/>
                <w:lang w:eastAsia="en-AU"/>
              </w:rPr>
            </w:pPr>
            <w:r w:rsidRPr="00691087">
              <w:rPr>
                <w:b/>
                <w:bCs/>
                <w:lang w:eastAsia="en-AU"/>
              </w:rPr>
              <w:t>Step 1: equi-effective price over two years</w:t>
            </w:r>
          </w:p>
        </w:tc>
      </w:tr>
      <w:tr w:rsidR="00181DB5" w:rsidRPr="00691087" w14:paraId="36559A41" w14:textId="77777777" w:rsidTr="00181DB5">
        <w:trPr>
          <w:trHeight w:val="59"/>
        </w:trPr>
        <w:tc>
          <w:tcPr>
            <w:tcW w:w="3775" w:type="dxa"/>
            <w:noWrap/>
          </w:tcPr>
          <w:p w14:paraId="23846814" w14:textId="77777777" w:rsidR="00181DB5" w:rsidRPr="00691087" w:rsidRDefault="00181DB5" w:rsidP="005C1CFF">
            <w:pPr>
              <w:pStyle w:val="Tabletext"/>
              <w:keepNext/>
              <w:keepLines/>
              <w:rPr>
                <w:lang w:eastAsia="en-AU"/>
              </w:rPr>
            </w:pPr>
          </w:p>
        </w:tc>
        <w:tc>
          <w:tcPr>
            <w:tcW w:w="1656" w:type="dxa"/>
            <w:gridSpan w:val="2"/>
            <w:noWrap/>
          </w:tcPr>
          <w:p w14:paraId="299983F6" w14:textId="77777777" w:rsidR="00181DB5" w:rsidRPr="00691087" w:rsidRDefault="00181DB5" w:rsidP="005C1CFF">
            <w:pPr>
              <w:pStyle w:val="Tabletext"/>
              <w:keepNext/>
              <w:keepLines/>
              <w:jc w:val="center"/>
              <w:rPr>
                <w:b/>
                <w:bCs/>
                <w:lang w:eastAsia="en-AU"/>
              </w:rPr>
            </w:pPr>
            <w:r w:rsidRPr="00691087">
              <w:rPr>
                <w:b/>
                <w:bCs/>
                <w:lang w:eastAsia="en-AU"/>
              </w:rPr>
              <w:t xml:space="preserve">Cladribine </w:t>
            </w:r>
          </w:p>
        </w:tc>
        <w:tc>
          <w:tcPr>
            <w:tcW w:w="1494" w:type="dxa"/>
            <w:noWrap/>
          </w:tcPr>
          <w:p w14:paraId="01682CCB" w14:textId="77777777" w:rsidR="00181DB5" w:rsidRPr="00691087" w:rsidRDefault="00181DB5" w:rsidP="005C1CFF">
            <w:pPr>
              <w:pStyle w:val="Tabletext"/>
              <w:keepNext/>
              <w:keepLines/>
              <w:jc w:val="center"/>
              <w:rPr>
                <w:b/>
                <w:bCs/>
                <w:lang w:eastAsia="en-AU"/>
              </w:rPr>
            </w:pPr>
            <w:r w:rsidRPr="00691087">
              <w:rPr>
                <w:b/>
                <w:bCs/>
                <w:lang w:eastAsia="en-AU"/>
              </w:rPr>
              <w:t>Fingolimod</w:t>
            </w:r>
          </w:p>
        </w:tc>
        <w:tc>
          <w:tcPr>
            <w:tcW w:w="1980" w:type="dxa"/>
          </w:tcPr>
          <w:p w14:paraId="148B129C" w14:textId="77777777" w:rsidR="00181DB5" w:rsidRPr="00691087" w:rsidRDefault="00181DB5" w:rsidP="005C1CFF">
            <w:pPr>
              <w:pStyle w:val="Tabletext"/>
              <w:keepNext/>
              <w:keepLines/>
              <w:jc w:val="center"/>
              <w:rPr>
                <w:b/>
                <w:bCs/>
                <w:lang w:eastAsia="en-AU"/>
              </w:rPr>
            </w:pPr>
            <w:r w:rsidRPr="00691087">
              <w:rPr>
                <w:b/>
                <w:bCs/>
                <w:lang w:eastAsia="en-AU"/>
              </w:rPr>
              <w:t>Ozanimod</w:t>
            </w:r>
          </w:p>
        </w:tc>
      </w:tr>
      <w:tr w:rsidR="00181DB5" w:rsidRPr="00691087" w14:paraId="319CAA17" w14:textId="77777777" w:rsidTr="00181DB5">
        <w:trPr>
          <w:trHeight w:val="59"/>
        </w:trPr>
        <w:tc>
          <w:tcPr>
            <w:tcW w:w="3775" w:type="dxa"/>
            <w:noWrap/>
            <w:hideMark/>
          </w:tcPr>
          <w:p w14:paraId="0D0B7BB5" w14:textId="77777777" w:rsidR="00181DB5" w:rsidRPr="00691087" w:rsidRDefault="00181DB5" w:rsidP="005C1CFF">
            <w:pPr>
              <w:pStyle w:val="Tabletext"/>
              <w:keepNext/>
              <w:keepLines/>
              <w:rPr>
                <w:lang w:eastAsia="en-AU"/>
              </w:rPr>
            </w:pPr>
            <w:r w:rsidRPr="00691087">
              <w:rPr>
                <w:lang w:eastAsia="en-AU"/>
              </w:rPr>
              <w:t>Number of years</w:t>
            </w:r>
          </w:p>
        </w:tc>
        <w:tc>
          <w:tcPr>
            <w:tcW w:w="1656" w:type="dxa"/>
            <w:gridSpan w:val="2"/>
            <w:noWrap/>
            <w:hideMark/>
          </w:tcPr>
          <w:p w14:paraId="0C958082" w14:textId="77777777" w:rsidR="00181DB5" w:rsidRPr="00691087" w:rsidRDefault="00181DB5" w:rsidP="005C1CFF">
            <w:pPr>
              <w:pStyle w:val="Tabletext"/>
              <w:keepNext/>
              <w:keepLines/>
              <w:jc w:val="center"/>
              <w:rPr>
                <w:lang w:eastAsia="en-AU"/>
              </w:rPr>
            </w:pPr>
            <w:r w:rsidRPr="00691087">
              <w:rPr>
                <w:lang w:eastAsia="en-AU"/>
              </w:rPr>
              <w:t>2</w:t>
            </w:r>
          </w:p>
        </w:tc>
        <w:tc>
          <w:tcPr>
            <w:tcW w:w="1494" w:type="dxa"/>
            <w:noWrap/>
            <w:hideMark/>
          </w:tcPr>
          <w:p w14:paraId="5E6FC614" w14:textId="77777777" w:rsidR="00181DB5" w:rsidRPr="00691087" w:rsidRDefault="00181DB5" w:rsidP="005C1CFF">
            <w:pPr>
              <w:pStyle w:val="Tabletext"/>
              <w:keepNext/>
              <w:keepLines/>
              <w:jc w:val="center"/>
              <w:rPr>
                <w:lang w:eastAsia="en-AU"/>
              </w:rPr>
            </w:pPr>
            <w:r w:rsidRPr="00691087">
              <w:rPr>
                <w:lang w:eastAsia="en-AU"/>
              </w:rPr>
              <w:t>2</w:t>
            </w:r>
          </w:p>
        </w:tc>
        <w:tc>
          <w:tcPr>
            <w:tcW w:w="1980" w:type="dxa"/>
            <w:vMerge w:val="restart"/>
          </w:tcPr>
          <w:p w14:paraId="010ED8B8" w14:textId="77777777" w:rsidR="00181DB5" w:rsidRPr="00691087" w:rsidRDefault="00181DB5" w:rsidP="005C1CFF">
            <w:pPr>
              <w:pStyle w:val="Tabletext"/>
              <w:keepNext/>
              <w:keepLines/>
              <w:jc w:val="center"/>
              <w:rPr>
                <w:lang w:eastAsia="en-AU"/>
              </w:rPr>
            </w:pPr>
            <w:r w:rsidRPr="00691087">
              <w:rPr>
                <w:lang w:eastAsia="en-AU"/>
              </w:rPr>
              <w:t>Not presented</w:t>
            </w:r>
          </w:p>
        </w:tc>
      </w:tr>
      <w:tr w:rsidR="00181DB5" w:rsidRPr="00691087" w14:paraId="2A831A54" w14:textId="77777777" w:rsidTr="00181DB5">
        <w:trPr>
          <w:trHeight w:val="59"/>
        </w:trPr>
        <w:tc>
          <w:tcPr>
            <w:tcW w:w="3775" w:type="dxa"/>
            <w:noWrap/>
            <w:hideMark/>
          </w:tcPr>
          <w:p w14:paraId="62360461" w14:textId="77777777" w:rsidR="00181DB5" w:rsidRPr="00691087" w:rsidRDefault="00181DB5" w:rsidP="005C1CFF">
            <w:pPr>
              <w:pStyle w:val="Tabletext"/>
              <w:keepNext/>
              <w:keepLines/>
              <w:rPr>
                <w:lang w:eastAsia="en-AU"/>
              </w:rPr>
            </w:pPr>
            <w:r w:rsidRPr="00691087">
              <w:rPr>
                <w:lang w:eastAsia="en-AU"/>
              </w:rPr>
              <w:t>Total mg</w:t>
            </w:r>
          </w:p>
        </w:tc>
        <w:tc>
          <w:tcPr>
            <w:tcW w:w="1656" w:type="dxa"/>
            <w:gridSpan w:val="2"/>
            <w:noWrap/>
            <w:hideMark/>
          </w:tcPr>
          <w:p w14:paraId="4D52E247" w14:textId="77777777" w:rsidR="00181DB5" w:rsidRPr="00691087" w:rsidRDefault="00181DB5" w:rsidP="005C1CFF">
            <w:pPr>
              <w:pStyle w:val="Tabletext"/>
              <w:keepNext/>
              <w:keepLines/>
              <w:jc w:val="center"/>
              <w:rPr>
                <w:lang w:eastAsia="en-AU"/>
              </w:rPr>
            </w:pPr>
            <w:r w:rsidRPr="00691087">
              <w:rPr>
                <w:lang w:eastAsia="en-AU"/>
              </w:rPr>
              <w:t>280</w:t>
            </w:r>
          </w:p>
        </w:tc>
        <w:tc>
          <w:tcPr>
            <w:tcW w:w="1494" w:type="dxa"/>
            <w:noWrap/>
            <w:hideMark/>
          </w:tcPr>
          <w:p w14:paraId="7FBFA8A3" w14:textId="77777777" w:rsidR="00181DB5" w:rsidRPr="00691087" w:rsidRDefault="00181DB5" w:rsidP="005C1CFF">
            <w:pPr>
              <w:pStyle w:val="Tabletext"/>
              <w:keepNext/>
              <w:keepLines/>
              <w:jc w:val="center"/>
              <w:rPr>
                <w:lang w:eastAsia="en-AU"/>
              </w:rPr>
            </w:pPr>
            <w:r w:rsidRPr="00691087">
              <w:rPr>
                <w:lang w:eastAsia="en-AU"/>
              </w:rPr>
              <w:t>348.5</w:t>
            </w:r>
          </w:p>
        </w:tc>
        <w:tc>
          <w:tcPr>
            <w:tcW w:w="1980" w:type="dxa"/>
            <w:vMerge/>
          </w:tcPr>
          <w:p w14:paraId="76B5762A" w14:textId="77777777" w:rsidR="00181DB5" w:rsidRPr="00691087" w:rsidRDefault="00181DB5" w:rsidP="005C1CFF">
            <w:pPr>
              <w:pStyle w:val="Tabletext"/>
              <w:keepNext/>
              <w:keepLines/>
              <w:jc w:val="center"/>
              <w:rPr>
                <w:lang w:eastAsia="en-AU"/>
              </w:rPr>
            </w:pPr>
          </w:p>
        </w:tc>
      </w:tr>
      <w:tr w:rsidR="00181DB5" w:rsidRPr="00691087" w14:paraId="18D283D1" w14:textId="77777777" w:rsidTr="00181DB5">
        <w:trPr>
          <w:trHeight w:val="59"/>
        </w:trPr>
        <w:tc>
          <w:tcPr>
            <w:tcW w:w="3775" w:type="dxa"/>
            <w:noWrap/>
            <w:hideMark/>
          </w:tcPr>
          <w:p w14:paraId="0295BFBE" w14:textId="77777777" w:rsidR="00181DB5" w:rsidRPr="00691087" w:rsidRDefault="00181DB5" w:rsidP="005C1CFF">
            <w:pPr>
              <w:pStyle w:val="Tabletext"/>
              <w:keepNext/>
              <w:keepLines/>
              <w:rPr>
                <w:lang w:eastAsia="en-AU"/>
              </w:rPr>
            </w:pPr>
            <w:r w:rsidRPr="00691087">
              <w:rPr>
                <w:lang w:eastAsia="en-AU"/>
              </w:rPr>
              <w:t xml:space="preserve">Prescriptions over 2 years </w:t>
            </w:r>
          </w:p>
        </w:tc>
        <w:tc>
          <w:tcPr>
            <w:tcW w:w="1656" w:type="dxa"/>
            <w:gridSpan w:val="2"/>
            <w:noWrap/>
            <w:hideMark/>
          </w:tcPr>
          <w:p w14:paraId="45E98A7B" w14:textId="77777777" w:rsidR="00181DB5" w:rsidRPr="00691087" w:rsidRDefault="00181DB5" w:rsidP="005C1CFF">
            <w:pPr>
              <w:pStyle w:val="Tabletext"/>
              <w:keepNext/>
              <w:keepLines/>
              <w:jc w:val="center"/>
              <w:rPr>
                <w:lang w:eastAsia="en-AU"/>
              </w:rPr>
            </w:pPr>
            <w:r w:rsidRPr="00691087">
              <w:rPr>
                <w:lang w:eastAsia="en-AU"/>
              </w:rPr>
              <w:t>28</w:t>
            </w:r>
          </w:p>
        </w:tc>
        <w:tc>
          <w:tcPr>
            <w:tcW w:w="1494" w:type="dxa"/>
            <w:noWrap/>
            <w:hideMark/>
          </w:tcPr>
          <w:p w14:paraId="2B725BD7" w14:textId="77777777" w:rsidR="00181DB5" w:rsidRPr="00691087" w:rsidRDefault="00181DB5" w:rsidP="005C1CFF">
            <w:pPr>
              <w:pStyle w:val="Tabletext"/>
              <w:keepNext/>
              <w:keepLines/>
              <w:jc w:val="center"/>
              <w:rPr>
                <w:lang w:eastAsia="en-AU"/>
              </w:rPr>
            </w:pPr>
            <w:r w:rsidRPr="00691087">
              <w:rPr>
                <w:lang w:eastAsia="en-AU"/>
              </w:rPr>
              <w:t>24.89</w:t>
            </w:r>
          </w:p>
        </w:tc>
        <w:tc>
          <w:tcPr>
            <w:tcW w:w="1980" w:type="dxa"/>
            <w:vMerge/>
          </w:tcPr>
          <w:p w14:paraId="5D3A18B3" w14:textId="77777777" w:rsidR="00181DB5" w:rsidRPr="00691087" w:rsidRDefault="00181DB5" w:rsidP="005C1CFF">
            <w:pPr>
              <w:pStyle w:val="Tabletext"/>
              <w:keepNext/>
              <w:keepLines/>
              <w:jc w:val="center"/>
              <w:rPr>
                <w:lang w:eastAsia="en-AU"/>
              </w:rPr>
            </w:pPr>
          </w:p>
        </w:tc>
      </w:tr>
      <w:tr w:rsidR="00181DB5" w:rsidRPr="00691087" w14:paraId="14144EE4" w14:textId="77777777" w:rsidTr="00181DB5">
        <w:trPr>
          <w:trHeight w:val="59"/>
        </w:trPr>
        <w:tc>
          <w:tcPr>
            <w:tcW w:w="3775" w:type="dxa"/>
            <w:noWrap/>
            <w:hideMark/>
          </w:tcPr>
          <w:p w14:paraId="5F1794E8" w14:textId="77777777" w:rsidR="00181DB5" w:rsidRPr="00691087" w:rsidRDefault="00181DB5" w:rsidP="005C1CFF">
            <w:pPr>
              <w:pStyle w:val="Tabletext"/>
              <w:keepNext/>
              <w:keepLines/>
              <w:rPr>
                <w:lang w:eastAsia="en-AU"/>
              </w:rPr>
            </w:pPr>
            <w:r w:rsidRPr="00691087">
              <w:rPr>
                <w:lang w:eastAsia="en-AU"/>
              </w:rPr>
              <w:t>Total medicine cost over two years (at proposed price)</w:t>
            </w:r>
          </w:p>
        </w:tc>
        <w:tc>
          <w:tcPr>
            <w:tcW w:w="1656" w:type="dxa"/>
            <w:gridSpan w:val="2"/>
            <w:noWrap/>
            <w:hideMark/>
          </w:tcPr>
          <w:p w14:paraId="26B87A06"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494" w:type="dxa"/>
            <w:noWrap/>
            <w:hideMark/>
          </w:tcPr>
          <w:p w14:paraId="0E2E07AF"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980" w:type="dxa"/>
            <w:vMerge/>
          </w:tcPr>
          <w:p w14:paraId="16E96D57" w14:textId="77777777" w:rsidR="00181DB5" w:rsidRPr="00691087" w:rsidRDefault="00181DB5" w:rsidP="005C1CFF">
            <w:pPr>
              <w:pStyle w:val="Tabletext"/>
              <w:keepNext/>
              <w:keepLines/>
              <w:jc w:val="center"/>
            </w:pPr>
          </w:p>
        </w:tc>
      </w:tr>
      <w:tr w:rsidR="00181DB5" w:rsidRPr="00691087" w14:paraId="1453FB6E" w14:textId="77777777" w:rsidTr="00181DB5">
        <w:trPr>
          <w:trHeight w:val="59"/>
        </w:trPr>
        <w:tc>
          <w:tcPr>
            <w:tcW w:w="3775" w:type="dxa"/>
            <w:noWrap/>
            <w:hideMark/>
          </w:tcPr>
          <w:p w14:paraId="6A2341B7" w14:textId="77777777" w:rsidR="00181DB5" w:rsidRPr="001A1696" w:rsidRDefault="00181DB5" w:rsidP="005C1CFF">
            <w:pPr>
              <w:pStyle w:val="Tabletext"/>
              <w:keepNext/>
              <w:keepLines/>
              <w:rPr>
                <w:lang w:eastAsia="en-AU"/>
              </w:rPr>
            </w:pPr>
            <w:r w:rsidRPr="001A1696">
              <w:rPr>
                <w:lang w:eastAsia="en-AU"/>
              </w:rPr>
              <w:t>Difference in treatment cost over two years</w:t>
            </w:r>
          </w:p>
        </w:tc>
        <w:tc>
          <w:tcPr>
            <w:tcW w:w="1656" w:type="dxa"/>
            <w:gridSpan w:val="2"/>
            <w:noWrap/>
            <w:hideMark/>
          </w:tcPr>
          <w:p w14:paraId="659CEEDB" w14:textId="77777777" w:rsidR="00181DB5" w:rsidRPr="001A1696" w:rsidRDefault="00181DB5" w:rsidP="005C1CFF">
            <w:pPr>
              <w:pStyle w:val="Tabletext"/>
              <w:keepNext/>
              <w:keepLines/>
              <w:jc w:val="center"/>
              <w:rPr>
                <w:lang w:eastAsia="en-AU"/>
              </w:rPr>
            </w:pPr>
            <w:r w:rsidRPr="001A1696">
              <w:rPr>
                <w:lang w:eastAsia="en-AU"/>
              </w:rPr>
              <w:t>$</w:t>
            </w:r>
            <w:r w:rsidR="00790620">
              <w:rPr>
                <w:noProof/>
                <w:color w:val="000000"/>
                <w:highlight w:val="black"/>
                <w:lang w:eastAsia="en-AU"/>
              </w:rPr>
              <w:t>''''''''''''''''''''''</w:t>
            </w:r>
          </w:p>
        </w:tc>
        <w:tc>
          <w:tcPr>
            <w:tcW w:w="1494" w:type="dxa"/>
            <w:noWrap/>
            <w:hideMark/>
          </w:tcPr>
          <w:p w14:paraId="50843E8B" w14:textId="77777777" w:rsidR="00181DB5" w:rsidRPr="001A1696" w:rsidRDefault="00181DB5" w:rsidP="005C1CFF">
            <w:pPr>
              <w:pStyle w:val="Tabletext"/>
              <w:keepNext/>
              <w:keepLines/>
              <w:jc w:val="center"/>
              <w:rPr>
                <w:lang w:eastAsia="en-AU"/>
              </w:rPr>
            </w:pPr>
          </w:p>
        </w:tc>
        <w:tc>
          <w:tcPr>
            <w:tcW w:w="1980" w:type="dxa"/>
            <w:vMerge/>
          </w:tcPr>
          <w:p w14:paraId="7C60456A" w14:textId="77777777" w:rsidR="00181DB5" w:rsidRPr="00691087" w:rsidRDefault="00181DB5" w:rsidP="005C1CFF">
            <w:pPr>
              <w:pStyle w:val="Tabletext"/>
              <w:keepNext/>
              <w:keepLines/>
              <w:jc w:val="center"/>
              <w:rPr>
                <w:lang w:eastAsia="en-AU"/>
              </w:rPr>
            </w:pPr>
          </w:p>
        </w:tc>
      </w:tr>
      <w:tr w:rsidR="00181DB5" w:rsidRPr="00691087" w14:paraId="3CB5AA61" w14:textId="77777777" w:rsidTr="00181DB5">
        <w:trPr>
          <w:trHeight w:val="59"/>
        </w:trPr>
        <w:tc>
          <w:tcPr>
            <w:tcW w:w="3775" w:type="dxa"/>
            <w:noWrap/>
          </w:tcPr>
          <w:p w14:paraId="74E1719E" w14:textId="77777777" w:rsidR="00181DB5" w:rsidRPr="00691087" w:rsidRDefault="00181DB5" w:rsidP="005C1CFF">
            <w:pPr>
              <w:pStyle w:val="Tabletext"/>
              <w:keepNext/>
              <w:keepLines/>
              <w:rPr>
                <w:b/>
                <w:bCs/>
                <w:lang w:eastAsia="en-AU"/>
              </w:rPr>
            </w:pPr>
            <w:r w:rsidRPr="00691087">
              <w:rPr>
                <w:b/>
                <w:bCs/>
                <w:lang w:eastAsia="en-AU"/>
              </w:rPr>
              <w:t>Effective AEMP (maximum quantity; 1 tablet of cladribine)</w:t>
            </w:r>
          </w:p>
        </w:tc>
        <w:tc>
          <w:tcPr>
            <w:tcW w:w="1656" w:type="dxa"/>
            <w:gridSpan w:val="2"/>
            <w:noWrap/>
          </w:tcPr>
          <w:p w14:paraId="07D09F41" w14:textId="77777777" w:rsidR="00181DB5" w:rsidRPr="00691087" w:rsidRDefault="00181DB5" w:rsidP="005C1CFF">
            <w:pPr>
              <w:pStyle w:val="Tabletext"/>
              <w:keepNext/>
              <w:keepLines/>
              <w:jc w:val="center"/>
              <w:rPr>
                <w:b/>
                <w:bCs/>
                <w:lang w:eastAsia="en-AU"/>
              </w:rPr>
            </w:pPr>
            <w:r w:rsidRPr="00691087">
              <w:t>$</w:t>
            </w:r>
            <w:r w:rsidR="00790620">
              <w:rPr>
                <w:noProof/>
                <w:color w:val="000000"/>
                <w:highlight w:val="black"/>
              </w:rPr>
              <w:t>'''''''''''''''''''</w:t>
            </w:r>
          </w:p>
        </w:tc>
        <w:tc>
          <w:tcPr>
            <w:tcW w:w="1494" w:type="dxa"/>
            <w:noWrap/>
          </w:tcPr>
          <w:p w14:paraId="697A46F8" w14:textId="77777777" w:rsidR="00181DB5" w:rsidRPr="00691087" w:rsidRDefault="00181DB5" w:rsidP="005C1CFF">
            <w:pPr>
              <w:pStyle w:val="Tabletext"/>
              <w:keepNext/>
              <w:keepLines/>
              <w:jc w:val="center"/>
              <w:rPr>
                <w:b/>
                <w:bCs/>
                <w:lang w:eastAsia="en-AU"/>
              </w:rPr>
            </w:pPr>
            <w:r w:rsidRPr="00691087">
              <w:t>$</w:t>
            </w:r>
            <w:r w:rsidR="00790620">
              <w:rPr>
                <w:noProof/>
                <w:color w:val="000000"/>
                <w:highlight w:val="black"/>
              </w:rPr>
              <w:t>''''''''''''''''''''''</w:t>
            </w:r>
          </w:p>
        </w:tc>
        <w:tc>
          <w:tcPr>
            <w:tcW w:w="1980" w:type="dxa"/>
            <w:vMerge/>
          </w:tcPr>
          <w:p w14:paraId="13018771" w14:textId="77777777" w:rsidR="00181DB5" w:rsidRPr="00691087" w:rsidRDefault="00181DB5" w:rsidP="005C1CFF">
            <w:pPr>
              <w:pStyle w:val="Tabletext"/>
              <w:keepNext/>
              <w:keepLines/>
              <w:jc w:val="center"/>
            </w:pPr>
          </w:p>
        </w:tc>
      </w:tr>
      <w:tr w:rsidR="00181DB5" w:rsidRPr="00691087" w14:paraId="24C21777" w14:textId="77777777" w:rsidTr="00185968">
        <w:trPr>
          <w:trHeight w:val="70"/>
        </w:trPr>
        <w:tc>
          <w:tcPr>
            <w:tcW w:w="8905" w:type="dxa"/>
            <w:gridSpan w:val="5"/>
            <w:noWrap/>
          </w:tcPr>
          <w:p w14:paraId="20562B26" w14:textId="77777777" w:rsidR="00181DB5" w:rsidRPr="00691087" w:rsidRDefault="00181DB5" w:rsidP="005C1CFF">
            <w:pPr>
              <w:pStyle w:val="Tabletext"/>
              <w:keepNext/>
              <w:keepLines/>
              <w:rPr>
                <w:b/>
                <w:bCs/>
                <w:lang w:eastAsia="en-AU"/>
              </w:rPr>
            </w:pPr>
            <w:r w:rsidRPr="00691087">
              <w:rPr>
                <w:b/>
                <w:bCs/>
                <w:lang w:eastAsia="en-AU"/>
              </w:rPr>
              <w:t>Step 2: equi-effective price over 4 years</w:t>
            </w:r>
          </w:p>
        </w:tc>
      </w:tr>
      <w:tr w:rsidR="00181DB5" w:rsidRPr="00691087" w14:paraId="7751B3B5" w14:textId="77777777" w:rsidTr="00181DB5">
        <w:trPr>
          <w:trHeight w:val="70"/>
        </w:trPr>
        <w:tc>
          <w:tcPr>
            <w:tcW w:w="3775" w:type="dxa"/>
            <w:noWrap/>
            <w:hideMark/>
          </w:tcPr>
          <w:p w14:paraId="450AEEB8" w14:textId="77777777" w:rsidR="00181DB5" w:rsidRPr="00691087" w:rsidRDefault="00181DB5" w:rsidP="005C1CFF">
            <w:pPr>
              <w:pStyle w:val="Tabletext"/>
              <w:keepNext/>
              <w:keepLines/>
              <w:rPr>
                <w:lang w:eastAsia="en-AU"/>
              </w:rPr>
            </w:pPr>
          </w:p>
        </w:tc>
        <w:tc>
          <w:tcPr>
            <w:tcW w:w="1656" w:type="dxa"/>
            <w:gridSpan w:val="2"/>
            <w:noWrap/>
            <w:hideMark/>
          </w:tcPr>
          <w:p w14:paraId="4F74F56A" w14:textId="77777777" w:rsidR="00181DB5" w:rsidRPr="00691087" w:rsidRDefault="00181DB5" w:rsidP="005C1CFF">
            <w:pPr>
              <w:pStyle w:val="Tabletext"/>
              <w:keepNext/>
              <w:keepLines/>
              <w:jc w:val="center"/>
              <w:rPr>
                <w:b/>
                <w:bCs/>
                <w:lang w:eastAsia="en-AU"/>
              </w:rPr>
            </w:pPr>
            <w:r w:rsidRPr="00691087">
              <w:rPr>
                <w:b/>
                <w:bCs/>
                <w:lang w:eastAsia="en-AU"/>
              </w:rPr>
              <w:t xml:space="preserve">Cladribine </w:t>
            </w:r>
          </w:p>
        </w:tc>
        <w:tc>
          <w:tcPr>
            <w:tcW w:w="1494" w:type="dxa"/>
            <w:noWrap/>
            <w:hideMark/>
          </w:tcPr>
          <w:p w14:paraId="54F7C4EA" w14:textId="77777777" w:rsidR="00181DB5" w:rsidRPr="00691087" w:rsidRDefault="00181DB5" w:rsidP="005C1CFF">
            <w:pPr>
              <w:pStyle w:val="Tabletext"/>
              <w:keepNext/>
              <w:keepLines/>
              <w:jc w:val="center"/>
              <w:rPr>
                <w:b/>
                <w:bCs/>
                <w:lang w:eastAsia="en-AU"/>
              </w:rPr>
            </w:pPr>
            <w:r w:rsidRPr="00691087">
              <w:rPr>
                <w:b/>
                <w:bCs/>
                <w:lang w:eastAsia="en-AU"/>
              </w:rPr>
              <w:t>Fingolimod</w:t>
            </w:r>
          </w:p>
        </w:tc>
        <w:tc>
          <w:tcPr>
            <w:tcW w:w="1980" w:type="dxa"/>
          </w:tcPr>
          <w:p w14:paraId="404A23F1" w14:textId="77777777" w:rsidR="00181DB5" w:rsidRPr="00691087" w:rsidRDefault="00181DB5" w:rsidP="005C1CFF">
            <w:pPr>
              <w:pStyle w:val="Tabletext"/>
              <w:keepNext/>
              <w:keepLines/>
              <w:jc w:val="center"/>
              <w:rPr>
                <w:b/>
                <w:bCs/>
                <w:lang w:eastAsia="en-AU"/>
              </w:rPr>
            </w:pPr>
            <w:r w:rsidRPr="00691087">
              <w:rPr>
                <w:b/>
                <w:bCs/>
                <w:lang w:eastAsia="en-AU"/>
              </w:rPr>
              <w:t>Ozanimod</w:t>
            </w:r>
          </w:p>
        </w:tc>
      </w:tr>
      <w:tr w:rsidR="00181DB5" w:rsidRPr="00691087" w14:paraId="53ACB624" w14:textId="77777777" w:rsidTr="00181DB5">
        <w:trPr>
          <w:trHeight w:val="125"/>
        </w:trPr>
        <w:tc>
          <w:tcPr>
            <w:tcW w:w="3775" w:type="dxa"/>
            <w:noWrap/>
            <w:hideMark/>
          </w:tcPr>
          <w:p w14:paraId="14681AD2" w14:textId="77777777" w:rsidR="00181DB5" w:rsidRPr="00691087" w:rsidRDefault="00181DB5" w:rsidP="005C1CFF">
            <w:pPr>
              <w:pStyle w:val="Tabletext"/>
              <w:keepNext/>
              <w:keepLines/>
              <w:rPr>
                <w:lang w:eastAsia="en-AU"/>
              </w:rPr>
            </w:pPr>
            <w:r w:rsidRPr="00691087">
              <w:rPr>
                <w:lang w:eastAsia="en-AU"/>
              </w:rPr>
              <w:t>Number of years of treatment</w:t>
            </w:r>
          </w:p>
        </w:tc>
        <w:tc>
          <w:tcPr>
            <w:tcW w:w="1656" w:type="dxa"/>
            <w:gridSpan w:val="2"/>
            <w:noWrap/>
            <w:hideMark/>
          </w:tcPr>
          <w:p w14:paraId="78D9ABB3" w14:textId="77777777" w:rsidR="00181DB5" w:rsidRPr="00691087" w:rsidRDefault="00181DB5" w:rsidP="005C1CFF">
            <w:pPr>
              <w:pStyle w:val="Tabletext"/>
              <w:keepNext/>
              <w:keepLines/>
              <w:jc w:val="center"/>
              <w:rPr>
                <w:lang w:eastAsia="en-AU"/>
              </w:rPr>
            </w:pPr>
            <w:r w:rsidRPr="00691087">
              <w:rPr>
                <w:lang w:eastAsia="en-AU"/>
              </w:rPr>
              <w:t>2</w:t>
            </w:r>
          </w:p>
        </w:tc>
        <w:tc>
          <w:tcPr>
            <w:tcW w:w="1494" w:type="dxa"/>
            <w:noWrap/>
            <w:hideMark/>
          </w:tcPr>
          <w:p w14:paraId="519CE1D2" w14:textId="77777777" w:rsidR="00181DB5" w:rsidRPr="00691087" w:rsidRDefault="00181DB5" w:rsidP="005C1CFF">
            <w:pPr>
              <w:pStyle w:val="Tabletext"/>
              <w:keepNext/>
              <w:keepLines/>
              <w:jc w:val="center"/>
              <w:rPr>
                <w:lang w:eastAsia="en-AU"/>
              </w:rPr>
            </w:pPr>
            <w:r w:rsidRPr="00691087">
              <w:rPr>
                <w:lang w:eastAsia="en-AU"/>
              </w:rPr>
              <w:t>4</w:t>
            </w:r>
          </w:p>
        </w:tc>
        <w:tc>
          <w:tcPr>
            <w:tcW w:w="1980" w:type="dxa"/>
          </w:tcPr>
          <w:p w14:paraId="0A900F6E" w14:textId="77777777" w:rsidR="00181DB5" w:rsidRPr="00691087" w:rsidRDefault="00181DB5" w:rsidP="005C1CFF">
            <w:pPr>
              <w:pStyle w:val="Tabletext"/>
              <w:keepNext/>
              <w:keepLines/>
              <w:jc w:val="center"/>
              <w:rPr>
                <w:lang w:eastAsia="en-AU"/>
              </w:rPr>
            </w:pPr>
            <w:r w:rsidRPr="00691087">
              <w:rPr>
                <w:lang w:eastAsia="en-AU"/>
              </w:rPr>
              <w:t>4</w:t>
            </w:r>
          </w:p>
        </w:tc>
      </w:tr>
      <w:tr w:rsidR="00181DB5" w:rsidRPr="00691087" w14:paraId="54A75316" w14:textId="77777777" w:rsidTr="00181DB5">
        <w:trPr>
          <w:trHeight w:val="70"/>
        </w:trPr>
        <w:tc>
          <w:tcPr>
            <w:tcW w:w="3775" w:type="dxa"/>
            <w:noWrap/>
            <w:hideMark/>
          </w:tcPr>
          <w:p w14:paraId="23D47259" w14:textId="77777777" w:rsidR="00181DB5" w:rsidRPr="00691087" w:rsidRDefault="00181DB5" w:rsidP="005C1CFF">
            <w:pPr>
              <w:pStyle w:val="Tabletext"/>
              <w:keepNext/>
              <w:keepLines/>
              <w:rPr>
                <w:lang w:eastAsia="en-AU"/>
              </w:rPr>
            </w:pPr>
            <w:r w:rsidRPr="00691087">
              <w:rPr>
                <w:lang w:eastAsia="en-AU"/>
              </w:rPr>
              <w:t>Total mg</w:t>
            </w:r>
          </w:p>
        </w:tc>
        <w:tc>
          <w:tcPr>
            <w:tcW w:w="1656" w:type="dxa"/>
            <w:gridSpan w:val="2"/>
            <w:noWrap/>
            <w:hideMark/>
          </w:tcPr>
          <w:p w14:paraId="2833900F" w14:textId="77777777" w:rsidR="00181DB5" w:rsidRPr="00691087" w:rsidRDefault="00181DB5" w:rsidP="005C1CFF">
            <w:pPr>
              <w:pStyle w:val="Tabletext"/>
              <w:keepNext/>
              <w:keepLines/>
              <w:jc w:val="center"/>
              <w:rPr>
                <w:lang w:eastAsia="en-AU"/>
              </w:rPr>
            </w:pPr>
            <w:r w:rsidRPr="00691087">
              <w:rPr>
                <w:lang w:eastAsia="en-AU"/>
              </w:rPr>
              <w:t>280</w:t>
            </w:r>
          </w:p>
        </w:tc>
        <w:tc>
          <w:tcPr>
            <w:tcW w:w="1494" w:type="dxa"/>
            <w:noWrap/>
            <w:hideMark/>
          </w:tcPr>
          <w:p w14:paraId="5D2A4D1D" w14:textId="77777777" w:rsidR="00181DB5" w:rsidRPr="00691087" w:rsidRDefault="00181DB5" w:rsidP="005C1CFF">
            <w:pPr>
              <w:pStyle w:val="Tabletext"/>
              <w:keepNext/>
              <w:keepLines/>
              <w:jc w:val="center"/>
              <w:rPr>
                <w:lang w:eastAsia="en-AU"/>
              </w:rPr>
            </w:pPr>
            <w:r w:rsidRPr="00691087">
              <w:rPr>
                <w:lang w:eastAsia="en-AU"/>
              </w:rPr>
              <w:t>697.50</w:t>
            </w:r>
          </w:p>
        </w:tc>
        <w:tc>
          <w:tcPr>
            <w:tcW w:w="1980" w:type="dxa"/>
          </w:tcPr>
          <w:p w14:paraId="3ADD3E2F" w14:textId="77777777" w:rsidR="00181DB5" w:rsidRPr="00691087" w:rsidRDefault="00181DB5" w:rsidP="005C1CFF">
            <w:pPr>
              <w:pStyle w:val="Tabletext"/>
              <w:keepNext/>
              <w:keepLines/>
              <w:jc w:val="center"/>
              <w:rPr>
                <w:lang w:eastAsia="en-AU"/>
              </w:rPr>
            </w:pPr>
            <w:r w:rsidRPr="00691087">
              <w:rPr>
                <w:lang w:eastAsia="en-AU"/>
              </w:rPr>
              <w:t>1283.39</w:t>
            </w:r>
          </w:p>
        </w:tc>
      </w:tr>
      <w:tr w:rsidR="00181DB5" w:rsidRPr="00691087" w14:paraId="54E2AB63" w14:textId="77777777" w:rsidTr="00181DB5">
        <w:trPr>
          <w:trHeight w:val="70"/>
        </w:trPr>
        <w:tc>
          <w:tcPr>
            <w:tcW w:w="3775" w:type="dxa"/>
            <w:noWrap/>
            <w:hideMark/>
          </w:tcPr>
          <w:p w14:paraId="322B4DCE" w14:textId="77777777" w:rsidR="00181DB5" w:rsidRPr="00691087" w:rsidRDefault="00181DB5" w:rsidP="005C1CFF">
            <w:pPr>
              <w:pStyle w:val="Tabletext"/>
              <w:keepNext/>
              <w:keepLines/>
              <w:rPr>
                <w:lang w:eastAsia="en-AU"/>
              </w:rPr>
            </w:pPr>
            <w:r w:rsidRPr="00691087">
              <w:rPr>
                <w:lang w:eastAsia="en-AU"/>
              </w:rPr>
              <w:t>Equi-effective dosage vs fingolimod</w:t>
            </w:r>
          </w:p>
        </w:tc>
        <w:tc>
          <w:tcPr>
            <w:tcW w:w="1656" w:type="dxa"/>
            <w:gridSpan w:val="2"/>
            <w:noWrap/>
            <w:hideMark/>
          </w:tcPr>
          <w:p w14:paraId="4254B75F" w14:textId="77777777" w:rsidR="00181DB5" w:rsidRPr="00691087" w:rsidRDefault="00181DB5" w:rsidP="005C1CFF">
            <w:pPr>
              <w:pStyle w:val="Tabletext"/>
              <w:keepNext/>
              <w:keepLines/>
              <w:jc w:val="center"/>
              <w:rPr>
                <w:lang w:eastAsia="en-AU"/>
              </w:rPr>
            </w:pPr>
            <w:r w:rsidRPr="00691087">
              <w:rPr>
                <w:lang w:eastAsia="en-AU"/>
              </w:rPr>
              <w:t>0.40</w:t>
            </w:r>
          </w:p>
        </w:tc>
        <w:tc>
          <w:tcPr>
            <w:tcW w:w="1494" w:type="dxa"/>
            <w:noWrap/>
            <w:hideMark/>
          </w:tcPr>
          <w:p w14:paraId="470B81B1" w14:textId="77777777" w:rsidR="00181DB5" w:rsidRPr="00691087" w:rsidRDefault="00181DB5" w:rsidP="005C1CFF">
            <w:pPr>
              <w:pStyle w:val="Tabletext"/>
              <w:keepNext/>
              <w:keepLines/>
              <w:jc w:val="center"/>
              <w:rPr>
                <w:lang w:eastAsia="en-AU"/>
              </w:rPr>
            </w:pPr>
            <w:r w:rsidRPr="00691087">
              <w:rPr>
                <w:lang w:eastAsia="en-AU"/>
              </w:rPr>
              <w:t>1</w:t>
            </w:r>
          </w:p>
        </w:tc>
        <w:tc>
          <w:tcPr>
            <w:tcW w:w="1980" w:type="dxa"/>
          </w:tcPr>
          <w:p w14:paraId="1F7B3666" w14:textId="77777777" w:rsidR="00181DB5" w:rsidRPr="00691087" w:rsidRDefault="00181DB5" w:rsidP="005C1CFF">
            <w:pPr>
              <w:pStyle w:val="Tabletext"/>
              <w:keepNext/>
              <w:keepLines/>
              <w:jc w:val="center"/>
              <w:rPr>
                <w:lang w:eastAsia="en-AU"/>
              </w:rPr>
            </w:pPr>
            <w:r w:rsidRPr="00691087">
              <w:rPr>
                <w:lang w:eastAsia="en-AU"/>
              </w:rPr>
              <w:t>1.84</w:t>
            </w:r>
          </w:p>
        </w:tc>
      </w:tr>
      <w:tr w:rsidR="00181DB5" w:rsidRPr="00691087" w14:paraId="0EF1B2DD" w14:textId="77777777" w:rsidTr="00181DB5">
        <w:trPr>
          <w:trHeight w:val="70"/>
        </w:trPr>
        <w:tc>
          <w:tcPr>
            <w:tcW w:w="3775" w:type="dxa"/>
            <w:noWrap/>
          </w:tcPr>
          <w:p w14:paraId="16D5E7FC" w14:textId="77777777" w:rsidR="00181DB5" w:rsidRPr="00691087" w:rsidRDefault="00181DB5" w:rsidP="005C1CFF">
            <w:pPr>
              <w:pStyle w:val="Tabletext"/>
              <w:keepNext/>
              <w:keepLines/>
              <w:rPr>
                <w:lang w:eastAsia="en-AU"/>
              </w:rPr>
            </w:pPr>
            <w:r w:rsidRPr="00691087">
              <w:rPr>
                <w:lang w:eastAsia="en-AU"/>
              </w:rPr>
              <w:t>Equi-effective dosage vs ozanimod</w:t>
            </w:r>
          </w:p>
        </w:tc>
        <w:tc>
          <w:tcPr>
            <w:tcW w:w="1656" w:type="dxa"/>
            <w:gridSpan w:val="2"/>
            <w:noWrap/>
          </w:tcPr>
          <w:p w14:paraId="27315B0E" w14:textId="77777777" w:rsidR="00181DB5" w:rsidRPr="00691087" w:rsidRDefault="00181DB5" w:rsidP="005C1CFF">
            <w:pPr>
              <w:pStyle w:val="Tabletext"/>
              <w:keepNext/>
              <w:keepLines/>
              <w:jc w:val="center"/>
              <w:rPr>
                <w:lang w:eastAsia="en-AU"/>
              </w:rPr>
            </w:pPr>
            <w:r w:rsidRPr="00691087">
              <w:t>0.22</w:t>
            </w:r>
          </w:p>
        </w:tc>
        <w:tc>
          <w:tcPr>
            <w:tcW w:w="1494" w:type="dxa"/>
            <w:noWrap/>
          </w:tcPr>
          <w:p w14:paraId="2B7EFDE1" w14:textId="77777777" w:rsidR="00181DB5" w:rsidRPr="00691087" w:rsidRDefault="00181DB5" w:rsidP="005C1CFF">
            <w:pPr>
              <w:pStyle w:val="Tabletext"/>
              <w:keepNext/>
              <w:keepLines/>
              <w:jc w:val="center"/>
              <w:rPr>
                <w:lang w:eastAsia="en-AU"/>
              </w:rPr>
            </w:pPr>
            <w:r w:rsidRPr="00691087">
              <w:t>1.84</w:t>
            </w:r>
          </w:p>
        </w:tc>
        <w:tc>
          <w:tcPr>
            <w:tcW w:w="1980" w:type="dxa"/>
          </w:tcPr>
          <w:p w14:paraId="41DE79C1" w14:textId="77777777" w:rsidR="00181DB5" w:rsidRPr="00691087" w:rsidRDefault="00181DB5" w:rsidP="005C1CFF">
            <w:pPr>
              <w:pStyle w:val="Tabletext"/>
              <w:keepNext/>
              <w:keepLines/>
              <w:jc w:val="center"/>
              <w:rPr>
                <w:lang w:eastAsia="en-AU"/>
              </w:rPr>
            </w:pPr>
            <w:r w:rsidRPr="00691087">
              <w:rPr>
                <w:lang w:eastAsia="en-AU"/>
              </w:rPr>
              <w:t>1</w:t>
            </w:r>
          </w:p>
        </w:tc>
      </w:tr>
      <w:tr w:rsidR="00181DB5" w:rsidRPr="00691087" w14:paraId="3324FF00" w14:textId="77777777" w:rsidTr="00181DB5">
        <w:trPr>
          <w:trHeight w:val="70"/>
        </w:trPr>
        <w:tc>
          <w:tcPr>
            <w:tcW w:w="3775" w:type="dxa"/>
            <w:noWrap/>
          </w:tcPr>
          <w:p w14:paraId="69678247" w14:textId="77777777" w:rsidR="00181DB5" w:rsidRPr="00691087" w:rsidRDefault="00181DB5" w:rsidP="005C1CFF">
            <w:pPr>
              <w:pStyle w:val="Tabletext"/>
              <w:keepNext/>
              <w:keepLines/>
              <w:rPr>
                <w:lang w:eastAsia="en-AU"/>
              </w:rPr>
            </w:pPr>
            <w:r w:rsidRPr="00691087">
              <w:rPr>
                <w:lang w:eastAsia="en-AU"/>
              </w:rPr>
              <w:t>Effective Price per mg</w:t>
            </w:r>
          </w:p>
        </w:tc>
        <w:tc>
          <w:tcPr>
            <w:tcW w:w="1656" w:type="dxa"/>
            <w:gridSpan w:val="2"/>
            <w:noWrap/>
          </w:tcPr>
          <w:p w14:paraId="42FDCE43"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494" w:type="dxa"/>
            <w:noWrap/>
          </w:tcPr>
          <w:p w14:paraId="1DDEAC78"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980" w:type="dxa"/>
          </w:tcPr>
          <w:p w14:paraId="028B400E"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r>
      <w:tr w:rsidR="00181DB5" w:rsidRPr="00691087" w14:paraId="49F93680" w14:textId="77777777" w:rsidTr="00181DB5">
        <w:trPr>
          <w:trHeight w:val="70"/>
        </w:trPr>
        <w:tc>
          <w:tcPr>
            <w:tcW w:w="3775" w:type="dxa"/>
            <w:noWrap/>
          </w:tcPr>
          <w:p w14:paraId="2D577965" w14:textId="77777777" w:rsidR="00181DB5" w:rsidRPr="00691087" w:rsidRDefault="00181DB5" w:rsidP="005C1CFF">
            <w:pPr>
              <w:pStyle w:val="Tabletext"/>
              <w:keepNext/>
              <w:keepLines/>
              <w:rPr>
                <w:lang w:eastAsia="en-AU"/>
              </w:rPr>
            </w:pPr>
            <w:r w:rsidRPr="00691087">
              <w:rPr>
                <w:lang w:eastAsia="en-AU"/>
              </w:rPr>
              <w:t>Mg per max quantity</w:t>
            </w:r>
          </w:p>
        </w:tc>
        <w:tc>
          <w:tcPr>
            <w:tcW w:w="1656" w:type="dxa"/>
            <w:gridSpan w:val="2"/>
            <w:noWrap/>
          </w:tcPr>
          <w:p w14:paraId="0FD8F2BC" w14:textId="77777777" w:rsidR="00181DB5" w:rsidRPr="00691087" w:rsidRDefault="00181DB5" w:rsidP="005C1CFF">
            <w:pPr>
              <w:pStyle w:val="Tabletext"/>
              <w:keepNext/>
              <w:keepLines/>
              <w:jc w:val="center"/>
              <w:rPr>
                <w:lang w:eastAsia="en-AU"/>
              </w:rPr>
            </w:pPr>
            <w:r w:rsidRPr="00691087">
              <w:rPr>
                <w:lang w:eastAsia="en-AU"/>
              </w:rPr>
              <w:t>10</w:t>
            </w:r>
          </w:p>
        </w:tc>
        <w:tc>
          <w:tcPr>
            <w:tcW w:w="1494" w:type="dxa"/>
            <w:noWrap/>
          </w:tcPr>
          <w:p w14:paraId="10E4BE03" w14:textId="77777777" w:rsidR="00181DB5" w:rsidRPr="00691087" w:rsidRDefault="00181DB5" w:rsidP="005C1CFF">
            <w:pPr>
              <w:pStyle w:val="Tabletext"/>
              <w:keepNext/>
              <w:keepLines/>
              <w:jc w:val="center"/>
              <w:rPr>
                <w:lang w:eastAsia="en-AU"/>
              </w:rPr>
            </w:pPr>
            <w:r w:rsidRPr="00691087">
              <w:rPr>
                <w:lang w:eastAsia="en-AU"/>
              </w:rPr>
              <w:t>14</w:t>
            </w:r>
          </w:p>
        </w:tc>
        <w:tc>
          <w:tcPr>
            <w:tcW w:w="1980" w:type="dxa"/>
          </w:tcPr>
          <w:p w14:paraId="325A36E8" w14:textId="77777777" w:rsidR="00181DB5" w:rsidRPr="00691087" w:rsidRDefault="00181DB5" w:rsidP="005C1CFF">
            <w:pPr>
              <w:pStyle w:val="Tabletext"/>
              <w:keepNext/>
              <w:keepLines/>
              <w:jc w:val="center"/>
              <w:rPr>
                <w:lang w:eastAsia="en-AU"/>
              </w:rPr>
            </w:pPr>
            <w:r w:rsidRPr="00691087">
              <w:rPr>
                <w:lang w:eastAsia="en-AU"/>
              </w:rPr>
              <w:t>25.76</w:t>
            </w:r>
          </w:p>
        </w:tc>
      </w:tr>
      <w:tr w:rsidR="00181DB5" w:rsidRPr="00691087" w14:paraId="43E89B81" w14:textId="77777777" w:rsidTr="00181DB5">
        <w:trPr>
          <w:trHeight w:val="70"/>
        </w:trPr>
        <w:tc>
          <w:tcPr>
            <w:tcW w:w="3775" w:type="dxa"/>
            <w:noWrap/>
          </w:tcPr>
          <w:p w14:paraId="78ACACA1" w14:textId="77777777" w:rsidR="00181DB5" w:rsidRPr="00691087" w:rsidRDefault="00181DB5" w:rsidP="005C1CFF">
            <w:pPr>
              <w:pStyle w:val="Tabletext"/>
              <w:keepNext/>
              <w:keepLines/>
              <w:rPr>
                <w:lang w:eastAsia="en-AU"/>
              </w:rPr>
            </w:pPr>
            <w:r w:rsidRPr="00691087">
              <w:rPr>
                <w:lang w:eastAsia="en-AU"/>
              </w:rPr>
              <w:t>Max quants overs 4 years</w:t>
            </w:r>
          </w:p>
        </w:tc>
        <w:tc>
          <w:tcPr>
            <w:tcW w:w="1656" w:type="dxa"/>
            <w:gridSpan w:val="2"/>
            <w:noWrap/>
          </w:tcPr>
          <w:p w14:paraId="13679E6B" w14:textId="77777777" w:rsidR="00181DB5" w:rsidRPr="00691087" w:rsidRDefault="00181DB5" w:rsidP="005C1CFF">
            <w:pPr>
              <w:pStyle w:val="Tabletext"/>
              <w:keepNext/>
              <w:keepLines/>
              <w:jc w:val="center"/>
              <w:rPr>
                <w:lang w:eastAsia="en-AU"/>
              </w:rPr>
            </w:pPr>
            <w:r w:rsidRPr="00691087">
              <w:rPr>
                <w:lang w:eastAsia="en-AU"/>
              </w:rPr>
              <w:t>28</w:t>
            </w:r>
          </w:p>
        </w:tc>
        <w:tc>
          <w:tcPr>
            <w:tcW w:w="1494" w:type="dxa"/>
            <w:noWrap/>
          </w:tcPr>
          <w:p w14:paraId="09352127" w14:textId="77777777" w:rsidR="00181DB5" w:rsidRPr="00691087" w:rsidRDefault="00181DB5" w:rsidP="005C1CFF">
            <w:pPr>
              <w:pStyle w:val="Tabletext"/>
              <w:keepNext/>
              <w:keepLines/>
              <w:jc w:val="center"/>
              <w:rPr>
                <w:lang w:eastAsia="en-AU"/>
              </w:rPr>
            </w:pPr>
            <w:r w:rsidRPr="00691087">
              <w:rPr>
                <w:lang w:eastAsia="en-AU"/>
              </w:rPr>
              <w:t>49.82</w:t>
            </w:r>
          </w:p>
        </w:tc>
        <w:tc>
          <w:tcPr>
            <w:tcW w:w="1980" w:type="dxa"/>
          </w:tcPr>
          <w:p w14:paraId="56458412" w14:textId="77777777" w:rsidR="00181DB5" w:rsidRPr="00691087" w:rsidRDefault="00181DB5" w:rsidP="005C1CFF">
            <w:pPr>
              <w:pStyle w:val="Tabletext"/>
              <w:keepNext/>
              <w:keepLines/>
              <w:jc w:val="center"/>
              <w:rPr>
                <w:lang w:eastAsia="en-AU"/>
              </w:rPr>
            </w:pPr>
            <w:r w:rsidRPr="00691087">
              <w:rPr>
                <w:lang w:eastAsia="en-AU"/>
              </w:rPr>
              <w:t>49.82</w:t>
            </w:r>
          </w:p>
        </w:tc>
      </w:tr>
      <w:tr w:rsidR="00181DB5" w:rsidRPr="00691087" w14:paraId="3D7066AE" w14:textId="77777777" w:rsidTr="00181DB5">
        <w:trPr>
          <w:trHeight w:val="70"/>
        </w:trPr>
        <w:tc>
          <w:tcPr>
            <w:tcW w:w="3775" w:type="dxa"/>
            <w:noWrap/>
          </w:tcPr>
          <w:p w14:paraId="4DA26C18" w14:textId="77777777" w:rsidR="00181DB5" w:rsidRPr="00691087" w:rsidDel="00864A5F" w:rsidRDefault="00181DB5" w:rsidP="005C1CFF">
            <w:pPr>
              <w:pStyle w:val="Tabletext"/>
              <w:keepNext/>
              <w:keepLines/>
              <w:rPr>
                <w:lang w:eastAsia="en-AU"/>
              </w:rPr>
            </w:pPr>
            <w:r w:rsidRPr="00691087">
              <w:t>Effective AEMP</w:t>
            </w:r>
          </w:p>
        </w:tc>
        <w:tc>
          <w:tcPr>
            <w:tcW w:w="1656" w:type="dxa"/>
            <w:gridSpan w:val="2"/>
            <w:noWrap/>
          </w:tcPr>
          <w:p w14:paraId="6B19B274"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494" w:type="dxa"/>
            <w:noWrap/>
          </w:tcPr>
          <w:p w14:paraId="53DFEEE5"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980" w:type="dxa"/>
          </w:tcPr>
          <w:p w14:paraId="50DCB09D"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r>
      <w:tr w:rsidR="00181DB5" w:rsidRPr="00691087" w14:paraId="5E396227" w14:textId="77777777" w:rsidTr="00181DB5">
        <w:trPr>
          <w:trHeight w:val="98"/>
        </w:trPr>
        <w:tc>
          <w:tcPr>
            <w:tcW w:w="3775" w:type="dxa"/>
            <w:noWrap/>
          </w:tcPr>
          <w:p w14:paraId="1C1FED6A" w14:textId="77777777" w:rsidR="00181DB5" w:rsidRPr="00691087" w:rsidRDefault="00181DB5" w:rsidP="005C1CFF">
            <w:pPr>
              <w:pStyle w:val="Tabletext"/>
              <w:keepNext/>
              <w:keepLines/>
              <w:rPr>
                <w:b/>
                <w:bCs/>
                <w:lang w:eastAsia="en-AU"/>
              </w:rPr>
            </w:pPr>
            <w:r w:rsidRPr="00691087">
              <w:rPr>
                <w:b/>
                <w:bCs/>
                <w:lang w:eastAsia="en-AU"/>
              </w:rPr>
              <w:t>Total medicine cost over four years</w:t>
            </w:r>
          </w:p>
        </w:tc>
        <w:tc>
          <w:tcPr>
            <w:tcW w:w="1656" w:type="dxa"/>
            <w:gridSpan w:val="2"/>
            <w:noWrap/>
          </w:tcPr>
          <w:p w14:paraId="0FE3CAEF" w14:textId="77777777" w:rsidR="00181DB5" w:rsidRPr="00691087" w:rsidRDefault="00181DB5" w:rsidP="005C1CFF">
            <w:pPr>
              <w:pStyle w:val="Tabletext"/>
              <w:keepNext/>
              <w:keepLines/>
              <w:jc w:val="center"/>
              <w:rPr>
                <w:lang w:eastAsia="en-AU"/>
              </w:rPr>
            </w:pPr>
            <w:r w:rsidRPr="00691087">
              <w:rPr>
                <w:lang w:eastAsia="en-AU"/>
              </w:rPr>
              <w:t>$</w:t>
            </w:r>
            <w:r w:rsidR="00790620">
              <w:rPr>
                <w:noProof/>
                <w:color w:val="000000"/>
                <w:highlight w:val="black"/>
                <w:lang w:eastAsia="en-AU"/>
              </w:rPr>
              <w:t>'''''''''''''''''''''''</w:t>
            </w:r>
          </w:p>
        </w:tc>
        <w:tc>
          <w:tcPr>
            <w:tcW w:w="1494" w:type="dxa"/>
            <w:noWrap/>
          </w:tcPr>
          <w:p w14:paraId="30ECFAFB"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c>
          <w:tcPr>
            <w:tcW w:w="1980" w:type="dxa"/>
          </w:tcPr>
          <w:p w14:paraId="0E6545F4" w14:textId="77777777" w:rsidR="00181DB5" w:rsidRPr="00691087" w:rsidRDefault="00181DB5" w:rsidP="005C1CFF">
            <w:pPr>
              <w:pStyle w:val="Tabletext"/>
              <w:keepNext/>
              <w:keepLines/>
              <w:jc w:val="center"/>
              <w:rPr>
                <w:lang w:eastAsia="en-AU"/>
              </w:rPr>
            </w:pPr>
            <w:r w:rsidRPr="00691087">
              <w:t>$</w:t>
            </w:r>
            <w:r w:rsidR="00790620">
              <w:rPr>
                <w:noProof/>
                <w:color w:val="000000"/>
                <w:highlight w:val="black"/>
              </w:rPr>
              <w:t>'''''''''''''''''''''</w:t>
            </w:r>
          </w:p>
        </w:tc>
      </w:tr>
      <w:tr w:rsidR="00181DB5" w:rsidRPr="00691087" w14:paraId="60D7437F" w14:textId="77777777" w:rsidTr="00181DB5">
        <w:trPr>
          <w:trHeight w:val="70"/>
        </w:trPr>
        <w:tc>
          <w:tcPr>
            <w:tcW w:w="3775" w:type="dxa"/>
            <w:noWrap/>
          </w:tcPr>
          <w:p w14:paraId="5A775B11" w14:textId="77777777" w:rsidR="00181DB5" w:rsidRPr="00691087" w:rsidRDefault="00181DB5" w:rsidP="005C1CFF">
            <w:pPr>
              <w:pStyle w:val="Tabletext"/>
              <w:keepNext/>
              <w:keepLines/>
              <w:rPr>
                <w:b/>
                <w:lang w:eastAsia="en-AU"/>
              </w:rPr>
            </w:pPr>
            <w:r w:rsidRPr="00691087">
              <w:rPr>
                <w:b/>
                <w:bCs/>
                <w:lang w:eastAsia="en-AU"/>
              </w:rPr>
              <w:t>Difference in treatment cost over four years</w:t>
            </w:r>
          </w:p>
        </w:tc>
        <w:tc>
          <w:tcPr>
            <w:tcW w:w="1656" w:type="dxa"/>
            <w:gridSpan w:val="2"/>
            <w:noWrap/>
          </w:tcPr>
          <w:p w14:paraId="2FED8068" w14:textId="77777777" w:rsidR="00181DB5" w:rsidRPr="001A1696" w:rsidRDefault="00181DB5" w:rsidP="005C1CFF">
            <w:pPr>
              <w:pStyle w:val="Tabletext"/>
              <w:keepNext/>
              <w:keepLines/>
              <w:jc w:val="center"/>
              <w:rPr>
                <w:lang w:eastAsia="en-AU"/>
              </w:rPr>
            </w:pPr>
            <w:r w:rsidRPr="001A1696">
              <w:rPr>
                <w:lang w:eastAsia="en-AU"/>
              </w:rPr>
              <w:t>-$</w:t>
            </w:r>
            <w:r w:rsidR="00790620">
              <w:rPr>
                <w:noProof/>
                <w:color w:val="000000"/>
                <w:highlight w:val="black"/>
                <w:lang w:eastAsia="en-AU"/>
              </w:rPr>
              <w:t>''''''''''''''''''</w:t>
            </w:r>
          </w:p>
        </w:tc>
        <w:tc>
          <w:tcPr>
            <w:tcW w:w="1494" w:type="dxa"/>
            <w:noWrap/>
          </w:tcPr>
          <w:p w14:paraId="4563D878" w14:textId="77777777" w:rsidR="00181DB5" w:rsidRPr="001A1696" w:rsidRDefault="00181DB5" w:rsidP="005C1CFF">
            <w:pPr>
              <w:pStyle w:val="Tabletext"/>
              <w:keepNext/>
              <w:keepLines/>
              <w:jc w:val="center"/>
            </w:pPr>
          </w:p>
        </w:tc>
        <w:tc>
          <w:tcPr>
            <w:tcW w:w="1980" w:type="dxa"/>
          </w:tcPr>
          <w:p w14:paraId="22744066" w14:textId="77777777" w:rsidR="00181DB5" w:rsidRPr="00691087" w:rsidRDefault="00181DB5" w:rsidP="005C1CFF">
            <w:pPr>
              <w:pStyle w:val="Tabletext"/>
              <w:keepNext/>
              <w:keepLines/>
              <w:jc w:val="center"/>
            </w:pPr>
          </w:p>
        </w:tc>
      </w:tr>
      <w:tr w:rsidR="00181DB5" w:rsidRPr="00691087" w14:paraId="278FF37D" w14:textId="77777777" w:rsidTr="00181DB5">
        <w:trPr>
          <w:trHeight w:val="59"/>
        </w:trPr>
        <w:tc>
          <w:tcPr>
            <w:tcW w:w="8905" w:type="dxa"/>
            <w:gridSpan w:val="5"/>
            <w:noWrap/>
          </w:tcPr>
          <w:p w14:paraId="3D45530D" w14:textId="77777777" w:rsidR="00181DB5" w:rsidRPr="00691087" w:rsidRDefault="00181DB5" w:rsidP="005C1CFF">
            <w:pPr>
              <w:pStyle w:val="Tabletext"/>
              <w:keepNext/>
              <w:keepLines/>
              <w:rPr>
                <w:b/>
                <w:bCs/>
                <w:lang w:eastAsia="en-AU"/>
              </w:rPr>
            </w:pPr>
            <w:r w:rsidRPr="00691087">
              <w:rPr>
                <w:b/>
                <w:bCs/>
                <w:lang w:eastAsia="en-AU"/>
              </w:rPr>
              <w:t>Step 3: including offsets over 4 years</w:t>
            </w:r>
          </w:p>
        </w:tc>
      </w:tr>
      <w:tr w:rsidR="00181DB5" w:rsidRPr="00691087" w14:paraId="0B383FE5" w14:textId="77777777" w:rsidTr="00181DB5">
        <w:trPr>
          <w:trHeight w:val="59"/>
        </w:trPr>
        <w:tc>
          <w:tcPr>
            <w:tcW w:w="5395" w:type="dxa"/>
            <w:gridSpan w:val="2"/>
            <w:noWrap/>
          </w:tcPr>
          <w:p w14:paraId="587CCD1D" w14:textId="77777777" w:rsidR="00181DB5" w:rsidRPr="00691087" w:rsidRDefault="00181DB5" w:rsidP="005C1CFF">
            <w:pPr>
              <w:pStyle w:val="Tabletext"/>
              <w:keepNext/>
              <w:keepLines/>
              <w:rPr>
                <w:lang w:eastAsia="en-AU"/>
              </w:rPr>
            </w:pPr>
          </w:p>
        </w:tc>
        <w:tc>
          <w:tcPr>
            <w:tcW w:w="1530" w:type="dxa"/>
            <w:gridSpan w:val="2"/>
            <w:noWrap/>
            <w:hideMark/>
          </w:tcPr>
          <w:p w14:paraId="46D5AF0C" w14:textId="77777777" w:rsidR="00181DB5" w:rsidRPr="00691087" w:rsidRDefault="00181DB5" w:rsidP="005C1CFF">
            <w:pPr>
              <w:pStyle w:val="Tabletext"/>
              <w:keepNext/>
              <w:keepLines/>
              <w:jc w:val="center"/>
              <w:rPr>
                <w:b/>
                <w:bCs/>
                <w:lang w:eastAsia="en-AU"/>
              </w:rPr>
            </w:pPr>
            <w:r w:rsidRPr="00691087">
              <w:rPr>
                <w:b/>
                <w:bCs/>
                <w:lang w:eastAsia="en-AU"/>
              </w:rPr>
              <w:t>Value</w:t>
            </w:r>
          </w:p>
        </w:tc>
        <w:tc>
          <w:tcPr>
            <w:tcW w:w="1980" w:type="dxa"/>
          </w:tcPr>
          <w:p w14:paraId="0EA92D37" w14:textId="77777777" w:rsidR="00181DB5" w:rsidRPr="00691087" w:rsidRDefault="00181DB5" w:rsidP="005C1CFF">
            <w:pPr>
              <w:pStyle w:val="Tabletext"/>
              <w:keepNext/>
              <w:keepLines/>
              <w:rPr>
                <w:b/>
                <w:bCs/>
                <w:lang w:eastAsia="en-AU"/>
              </w:rPr>
            </w:pPr>
            <w:r w:rsidRPr="00691087">
              <w:rPr>
                <w:b/>
                <w:bCs/>
                <w:lang w:eastAsia="en-AU"/>
              </w:rPr>
              <w:t>Source/Note</w:t>
            </w:r>
          </w:p>
        </w:tc>
      </w:tr>
      <w:tr w:rsidR="00181DB5" w:rsidRPr="00691087" w14:paraId="49C78C30" w14:textId="77777777" w:rsidTr="00181DB5">
        <w:trPr>
          <w:trHeight w:val="59"/>
        </w:trPr>
        <w:tc>
          <w:tcPr>
            <w:tcW w:w="5395" w:type="dxa"/>
            <w:gridSpan w:val="2"/>
            <w:noWrap/>
          </w:tcPr>
          <w:p w14:paraId="07F7EE6A" w14:textId="77777777" w:rsidR="00181DB5" w:rsidRPr="00691087" w:rsidRDefault="00181DB5" w:rsidP="005C1CFF">
            <w:pPr>
              <w:pStyle w:val="Tabletext"/>
              <w:keepNext/>
              <w:keepLines/>
              <w:rPr>
                <w:lang w:eastAsia="en-AU"/>
              </w:rPr>
            </w:pPr>
            <w:r w:rsidRPr="00691087">
              <w:rPr>
                <w:lang w:eastAsia="en-AU"/>
              </w:rPr>
              <w:t>Total cost of cladribine treatment for 4 years from Step 2</w:t>
            </w:r>
          </w:p>
        </w:tc>
        <w:tc>
          <w:tcPr>
            <w:tcW w:w="1530" w:type="dxa"/>
            <w:gridSpan w:val="2"/>
            <w:noWrap/>
          </w:tcPr>
          <w:p w14:paraId="4D821127" w14:textId="77777777" w:rsidR="00181DB5" w:rsidRPr="00691087" w:rsidRDefault="00181DB5" w:rsidP="005C1CFF">
            <w:pPr>
              <w:pStyle w:val="Tabletext"/>
              <w:keepNext/>
              <w:keepLines/>
              <w:jc w:val="center"/>
              <w:rPr>
                <w:lang w:eastAsia="en-AU"/>
              </w:rPr>
            </w:pPr>
            <w:r w:rsidRPr="00691087">
              <w:rPr>
                <w:lang w:eastAsia="en-AU"/>
              </w:rPr>
              <w:t>$</w:t>
            </w:r>
            <w:r w:rsidR="00790620">
              <w:rPr>
                <w:noProof/>
                <w:color w:val="000000"/>
                <w:highlight w:val="black"/>
                <w:lang w:eastAsia="en-AU"/>
              </w:rPr>
              <w:t>''''''''''''''''''''''''''</w:t>
            </w:r>
          </w:p>
        </w:tc>
        <w:tc>
          <w:tcPr>
            <w:tcW w:w="1980" w:type="dxa"/>
          </w:tcPr>
          <w:p w14:paraId="11D8EB4C" w14:textId="77777777" w:rsidR="00181DB5" w:rsidRPr="00691087" w:rsidRDefault="003B48BE" w:rsidP="005C1CFF">
            <w:pPr>
              <w:pStyle w:val="Tabletext"/>
              <w:keepNext/>
              <w:keepLines/>
              <w:rPr>
                <w:lang w:eastAsia="en-AU"/>
              </w:rPr>
            </w:pPr>
            <w:r w:rsidRPr="00691087">
              <w:rPr>
                <w:lang w:eastAsia="en-AU"/>
              </w:rPr>
              <w:t>See above</w:t>
            </w:r>
          </w:p>
        </w:tc>
      </w:tr>
      <w:tr w:rsidR="00181DB5" w:rsidRPr="00691087" w14:paraId="1DC6BE84" w14:textId="77777777" w:rsidTr="00181DB5">
        <w:trPr>
          <w:trHeight w:val="71"/>
        </w:trPr>
        <w:tc>
          <w:tcPr>
            <w:tcW w:w="5395" w:type="dxa"/>
            <w:gridSpan w:val="2"/>
            <w:noWrap/>
          </w:tcPr>
          <w:p w14:paraId="0759F584" w14:textId="77777777" w:rsidR="00181DB5" w:rsidRPr="00691087" w:rsidRDefault="00181DB5" w:rsidP="005C1CFF">
            <w:pPr>
              <w:pStyle w:val="Tabletext"/>
              <w:keepNext/>
              <w:keepLines/>
              <w:rPr>
                <w:lang w:eastAsia="en-AU"/>
              </w:rPr>
            </w:pPr>
            <w:r w:rsidRPr="00691087">
              <w:t>Cladribine patients who switch in year 3</w:t>
            </w:r>
          </w:p>
        </w:tc>
        <w:tc>
          <w:tcPr>
            <w:tcW w:w="1530" w:type="dxa"/>
            <w:gridSpan w:val="2"/>
            <w:noWrap/>
          </w:tcPr>
          <w:p w14:paraId="212C87E5" w14:textId="77777777" w:rsidR="00181DB5" w:rsidRPr="00691087" w:rsidRDefault="00181DB5" w:rsidP="005C1CFF">
            <w:pPr>
              <w:pStyle w:val="Tabletext"/>
              <w:keepNext/>
              <w:keepLines/>
              <w:jc w:val="center"/>
              <w:rPr>
                <w:lang w:eastAsia="en-AU"/>
              </w:rPr>
            </w:pPr>
            <w:r w:rsidRPr="00691087">
              <w:t>30%</w:t>
            </w:r>
          </w:p>
        </w:tc>
        <w:tc>
          <w:tcPr>
            <w:tcW w:w="1980" w:type="dxa"/>
          </w:tcPr>
          <w:p w14:paraId="446625D9" w14:textId="77777777" w:rsidR="00181DB5" w:rsidRPr="00691087" w:rsidRDefault="00181DB5" w:rsidP="005C1CFF">
            <w:pPr>
              <w:pStyle w:val="Tabletext"/>
              <w:keepNext/>
              <w:keepLines/>
              <w:rPr>
                <w:lang w:eastAsia="en-AU"/>
              </w:rPr>
            </w:pPr>
            <w:r w:rsidRPr="00691087">
              <w:t>Patti (2020)</w:t>
            </w:r>
          </w:p>
        </w:tc>
      </w:tr>
      <w:tr w:rsidR="00181DB5" w:rsidRPr="00691087" w14:paraId="6AD1669E" w14:textId="77777777" w:rsidTr="00181DB5">
        <w:trPr>
          <w:trHeight w:val="59"/>
        </w:trPr>
        <w:tc>
          <w:tcPr>
            <w:tcW w:w="5395" w:type="dxa"/>
            <w:gridSpan w:val="2"/>
            <w:noWrap/>
          </w:tcPr>
          <w:p w14:paraId="6C8788C5" w14:textId="77777777" w:rsidR="00181DB5" w:rsidRPr="00691087" w:rsidRDefault="00181DB5" w:rsidP="005C1CFF">
            <w:pPr>
              <w:pStyle w:val="Tabletext"/>
              <w:keepNext/>
              <w:keepLines/>
              <w:rPr>
                <w:lang w:eastAsia="en-AU"/>
              </w:rPr>
            </w:pPr>
            <w:r w:rsidRPr="00691087">
              <w:t>Cladribine patients who do not switch in year 3</w:t>
            </w:r>
          </w:p>
        </w:tc>
        <w:tc>
          <w:tcPr>
            <w:tcW w:w="1530" w:type="dxa"/>
            <w:gridSpan w:val="2"/>
            <w:noWrap/>
          </w:tcPr>
          <w:p w14:paraId="2696DDF6" w14:textId="77777777" w:rsidR="00181DB5" w:rsidRPr="00691087" w:rsidRDefault="00181DB5" w:rsidP="005C1CFF">
            <w:pPr>
              <w:pStyle w:val="Tabletext"/>
              <w:keepNext/>
              <w:keepLines/>
              <w:jc w:val="center"/>
              <w:rPr>
                <w:lang w:eastAsia="en-AU"/>
              </w:rPr>
            </w:pPr>
            <w:r w:rsidRPr="00691087">
              <w:t>70%</w:t>
            </w:r>
          </w:p>
        </w:tc>
        <w:tc>
          <w:tcPr>
            <w:tcW w:w="1980" w:type="dxa"/>
          </w:tcPr>
          <w:p w14:paraId="04CDEB88" w14:textId="77777777" w:rsidR="00181DB5" w:rsidRPr="00691087" w:rsidRDefault="00181DB5" w:rsidP="005C1CFF">
            <w:pPr>
              <w:pStyle w:val="Tabletext"/>
              <w:keepNext/>
              <w:keepLines/>
              <w:rPr>
                <w:lang w:eastAsia="en-AU"/>
              </w:rPr>
            </w:pPr>
            <w:r w:rsidRPr="00691087">
              <w:t>Patti (2020)</w:t>
            </w:r>
          </w:p>
        </w:tc>
      </w:tr>
      <w:tr w:rsidR="00181DB5" w:rsidRPr="00691087" w14:paraId="114839BC" w14:textId="77777777" w:rsidTr="00181DB5">
        <w:trPr>
          <w:trHeight w:val="59"/>
        </w:trPr>
        <w:tc>
          <w:tcPr>
            <w:tcW w:w="5395" w:type="dxa"/>
            <w:gridSpan w:val="2"/>
            <w:noWrap/>
          </w:tcPr>
          <w:p w14:paraId="7E5AADA9" w14:textId="77777777" w:rsidR="00181DB5" w:rsidRPr="00691087" w:rsidRDefault="00181DB5" w:rsidP="005C1CFF">
            <w:pPr>
              <w:pStyle w:val="Tabletext"/>
              <w:keepNext/>
              <w:keepLines/>
              <w:rPr>
                <w:lang w:eastAsia="en-AU"/>
              </w:rPr>
            </w:pPr>
            <w:r w:rsidRPr="00691087">
              <w:t>Cladribine patients who switch in year 4</w:t>
            </w:r>
          </w:p>
        </w:tc>
        <w:tc>
          <w:tcPr>
            <w:tcW w:w="1530" w:type="dxa"/>
            <w:gridSpan w:val="2"/>
            <w:noWrap/>
          </w:tcPr>
          <w:p w14:paraId="77C52CBE" w14:textId="77777777" w:rsidR="00181DB5" w:rsidRPr="00691087" w:rsidRDefault="00181DB5" w:rsidP="005C1CFF">
            <w:pPr>
              <w:pStyle w:val="Tabletext"/>
              <w:keepNext/>
              <w:keepLines/>
              <w:jc w:val="center"/>
              <w:rPr>
                <w:lang w:eastAsia="en-AU"/>
              </w:rPr>
            </w:pPr>
            <w:r w:rsidRPr="00691087">
              <w:t>44.4%</w:t>
            </w:r>
          </w:p>
        </w:tc>
        <w:tc>
          <w:tcPr>
            <w:tcW w:w="1980" w:type="dxa"/>
          </w:tcPr>
          <w:p w14:paraId="62527B12" w14:textId="77777777" w:rsidR="00181DB5" w:rsidRPr="00691087" w:rsidRDefault="00181DB5" w:rsidP="005C1CFF">
            <w:pPr>
              <w:pStyle w:val="Tabletext"/>
              <w:keepNext/>
              <w:keepLines/>
              <w:rPr>
                <w:lang w:eastAsia="en-AU"/>
              </w:rPr>
            </w:pPr>
            <w:r w:rsidRPr="00691087">
              <w:t>Patti (2020)</w:t>
            </w:r>
          </w:p>
        </w:tc>
      </w:tr>
      <w:tr w:rsidR="00181DB5" w:rsidRPr="00691087" w14:paraId="6EFE4DEB" w14:textId="77777777" w:rsidTr="00181DB5">
        <w:trPr>
          <w:trHeight w:val="59"/>
        </w:trPr>
        <w:tc>
          <w:tcPr>
            <w:tcW w:w="5395" w:type="dxa"/>
            <w:gridSpan w:val="2"/>
            <w:noWrap/>
          </w:tcPr>
          <w:p w14:paraId="1ADB8CC2" w14:textId="77777777" w:rsidR="00181DB5" w:rsidRPr="00691087" w:rsidRDefault="00181DB5" w:rsidP="005C1CFF">
            <w:pPr>
              <w:pStyle w:val="Tabletext"/>
              <w:keepNext/>
              <w:keepLines/>
              <w:rPr>
                <w:lang w:eastAsia="en-AU"/>
              </w:rPr>
            </w:pPr>
            <w:r w:rsidRPr="00691087">
              <w:t>Cladribine patients who do not switch in year 4</w:t>
            </w:r>
          </w:p>
        </w:tc>
        <w:tc>
          <w:tcPr>
            <w:tcW w:w="1530" w:type="dxa"/>
            <w:gridSpan w:val="2"/>
            <w:noWrap/>
          </w:tcPr>
          <w:p w14:paraId="73B3AF70" w14:textId="77777777" w:rsidR="00181DB5" w:rsidRPr="00691087" w:rsidRDefault="00181DB5" w:rsidP="005C1CFF">
            <w:pPr>
              <w:pStyle w:val="Tabletext"/>
              <w:keepNext/>
              <w:keepLines/>
              <w:jc w:val="center"/>
              <w:rPr>
                <w:lang w:eastAsia="en-AU"/>
              </w:rPr>
            </w:pPr>
            <w:r w:rsidRPr="00691087">
              <w:t>55.6%</w:t>
            </w:r>
          </w:p>
        </w:tc>
        <w:tc>
          <w:tcPr>
            <w:tcW w:w="1980" w:type="dxa"/>
          </w:tcPr>
          <w:p w14:paraId="4F5E4809" w14:textId="77777777" w:rsidR="00181DB5" w:rsidRPr="00691087" w:rsidRDefault="00181DB5" w:rsidP="005C1CFF">
            <w:pPr>
              <w:pStyle w:val="Tabletext"/>
              <w:keepNext/>
              <w:keepLines/>
              <w:rPr>
                <w:lang w:eastAsia="en-AU"/>
              </w:rPr>
            </w:pPr>
            <w:r w:rsidRPr="00691087">
              <w:t>Patti (2020)</w:t>
            </w:r>
          </w:p>
        </w:tc>
      </w:tr>
      <w:tr w:rsidR="00181DB5" w:rsidRPr="00691087" w14:paraId="741DB78B" w14:textId="77777777" w:rsidTr="00181DB5">
        <w:trPr>
          <w:trHeight w:val="269"/>
        </w:trPr>
        <w:tc>
          <w:tcPr>
            <w:tcW w:w="5395" w:type="dxa"/>
            <w:gridSpan w:val="2"/>
            <w:noWrap/>
          </w:tcPr>
          <w:p w14:paraId="2D00299B" w14:textId="77777777" w:rsidR="00181DB5" w:rsidRPr="00691087" w:rsidRDefault="00181DB5" w:rsidP="005C1CFF">
            <w:pPr>
              <w:pStyle w:val="Tabletext"/>
              <w:keepNext/>
              <w:keepLines/>
              <w:rPr>
                <w:lang w:eastAsia="en-AU"/>
              </w:rPr>
            </w:pPr>
            <w:r w:rsidRPr="00691087">
              <w:rPr>
                <w:lang w:eastAsia="en-AU"/>
              </w:rPr>
              <w:t>Maximum quantity of cladribine packs over 4 years (1 tablet per pack at average patient weight)</w:t>
            </w:r>
          </w:p>
        </w:tc>
        <w:tc>
          <w:tcPr>
            <w:tcW w:w="1530" w:type="dxa"/>
            <w:gridSpan w:val="2"/>
            <w:noWrap/>
          </w:tcPr>
          <w:p w14:paraId="7A48F540" w14:textId="77777777" w:rsidR="00181DB5" w:rsidRPr="00691087" w:rsidRDefault="00181DB5" w:rsidP="005C1CFF">
            <w:pPr>
              <w:pStyle w:val="Tabletext"/>
              <w:keepNext/>
              <w:keepLines/>
              <w:jc w:val="center"/>
              <w:rPr>
                <w:lang w:eastAsia="en-AU"/>
              </w:rPr>
            </w:pPr>
            <w:r w:rsidRPr="00691087">
              <w:rPr>
                <w:lang w:eastAsia="en-AU"/>
              </w:rPr>
              <w:t>28</w:t>
            </w:r>
          </w:p>
        </w:tc>
        <w:tc>
          <w:tcPr>
            <w:tcW w:w="1980" w:type="dxa"/>
          </w:tcPr>
          <w:p w14:paraId="5BF57F33" w14:textId="77777777" w:rsidR="00181DB5" w:rsidRPr="00691087" w:rsidRDefault="00181DB5" w:rsidP="005C1CFF">
            <w:pPr>
              <w:pStyle w:val="Tabletext"/>
              <w:keepNext/>
              <w:keepLines/>
              <w:rPr>
                <w:lang w:eastAsia="en-AU"/>
              </w:rPr>
            </w:pPr>
            <w:r w:rsidRPr="00691087">
              <w:rPr>
                <w:lang w:eastAsia="en-AU"/>
              </w:rPr>
              <w:t>Cladribine PI</w:t>
            </w:r>
          </w:p>
        </w:tc>
      </w:tr>
      <w:tr w:rsidR="00181DB5" w:rsidRPr="00691087" w14:paraId="09B7B773" w14:textId="77777777" w:rsidTr="00181DB5">
        <w:trPr>
          <w:trHeight w:val="59"/>
        </w:trPr>
        <w:tc>
          <w:tcPr>
            <w:tcW w:w="5395" w:type="dxa"/>
            <w:gridSpan w:val="2"/>
            <w:noWrap/>
          </w:tcPr>
          <w:p w14:paraId="33173E8A" w14:textId="77777777" w:rsidR="00181DB5" w:rsidRPr="00691087" w:rsidRDefault="00181DB5" w:rsidP="005C1CFF">
            <w:pPr>
              <w:pStyle w:val="Tabletext"/>
              <w:keepNext/>
              <w:keepLines/>
              <w:rPr>
                <w:b/>
                <w:bCs/>
                <w:lang w:eastAsia="en-AU"/>
              </w:rPr>
            </w:pPr>
            <w:r w:rsidRPr="00691087">
              <w:rPr>
                <w:lang w:eastAsia="en-AU"/>
              </w:rPr>
              <w:t>Weighted average drug cost per year for switch patients</w:t>
            </w:r>
          </w:p>
        </w:tc>
        <w:tc>
          <w:tcPr>
            <w:tcW w:w="1530" w:type="dxa"/>
            <w:gridSpan w:val="2"/>
            <w:noWrap/>
          </w:tcPr>
          <w:p w14:paraId="1DC71578" w14:textId="77777777" w:rsidR="00181DB5" w:rsidRPr="00691087" w:rsidRDefault="00181DB5" w:rsidP="005C1CFF">
            <w:pPr>
              <w:pStyle w:val="Tabletext"/>
              <w:keepNext/>
              <w:keepLines/>
              <w:jc w:val="center"/>
              <w:rPr>
                <w:b/>
                <w:bCs/>
                <w:lang w:eastAsia="en-AU"/>
              </w:rPr>
            </w:pPr>
            <w:r w:rsidRPr="00691087">
              <w:t>$</w:t>
            </w:r>
            <w:r w:rsidR="00790620">
              <w:rPr>
                <w:noProof/>
                <w:color w:val="000000"/>
                <w:highlight w:val="black"/>
              </w:rPr>
              <w:t>'''''''''''''''''''''''</w:t>
            </w:r>
          </w:p>
        </w:tc>
        <w:tc>
          <w:tcPr>
            <w:tcW w:w="1980" w:type="dxa"/>
          </w:tcPr>
          <w:p w14:paraId="798F4E31" w14:textId="77777777" w:rsidR="00181DB5" w:rsidRPr="00691087" w:rsidRDefault="00181DB5" w:rsidP="005C1CFF">
            <w:pPr>
              <w:pStyle w:val="Tabletext"/>
              <w:keepNext/>
              <w:keepLines/>
              <w:rPr>
                <w:lang w:eastAsia="en-AU"/>
              </w:rPr>
            </w:pPr>
            <w:r w:rsidRPr="00691087">
              <w:rPr>
                <w:lang w:eastAsia="en-AU"/>
              </w:rPr>
              <w:t xml:space="preserve">Calculated </w:t>
            </w:r>
          </w:p>
        </w:tc>
      </w:tr>
      <w:tr w:rsidR="00181DB5" w:rsidRPr="00691087" w14:paraId="15621537" w14:textId="77777777" w:rsidTr="00181DB5">
        <w:trPr>
          <w:trHeight w:val="59"/>
        </w:trPr>
        <w:tc>
          <w:tcPr>
            <w:tcW w:w="5395" w:type="dxa"/>
            <w:gridSpan w:val="2"/>
            <w:noWrap/>
          </w:tcPr>
          <w:p w14:paraId="68055DD0" w14:textId="77777777" w:rsidR="00181DB5" w:rsidRPr="00691087" w:rsidRDefault="00181DB5" w:rsidP="005C1CFF">
            <w:pPr>
              <w:pStyle w:val="Tabletext"/>
              <w:keepNext/>
              <w:keepLines/>
              <w:rPr>
                <w:b/>
                <w:bCs/>
                <w:lang w:eastAsia="en-AU"/>
              </w:rPr>
            </w:pPr>
            <w:r w:rsidRPr="00691087">
              <w:rPr>
                <w:lang w:eastAsia="en-AU"/>
              </w:rPr>
              <w:t>Total cost offsets from HCPs resource use over 4 years</w:t>
            </w:r>
          </w:p>
        </w:tc>
        <w:tc>
          <w:tcPr>
            <w:tcW w:w="1530" w:type="dxa"/>
            <w:gridSpan w:val="2"/>
            <w:noWrap/>
          </w:tcPr>
          <w:p w14:paraId="30ECE6C1" w14:textId="77777777" w:rsidR="00181DB5" w:rsidRPr="00691087" w:rsidRDefault="00181DB5" w:rsidP="005C1CFF">
            <w:pPr>
              <w:pStyle w:val="Tabletext"/>
              <w:keepNext/>
              <w:keepLines/>
              <w:jc w:val="center"/>
              <w:rPr>
                <w:lang w:eastAsia="en-AU"/>
              </w:rPr>
            </w:pPr>
            <w:r w:rsidRPr="00691087">
              <w:rPr>
                <w:lang w:eastAsia="en-AU"/>
              </w:rPr>
              <w:t>$1,722</w:t>
            </w:r>
          </w:p>
        </w:tc>
        <w:tc>
          <w:tcPr>
            <w:tcW w:w="1980" w:type="dxa"/>
          </w:tcPr>
          <w:p w14:paraId="0B5D4D10" w14:textId="77777777" w:rsidR="00181DB5" w:rsidRPr="00691087" w:rsidRDefault="00181DB5" w:rsidP="005C1CFF">
            <w:pPr>
              <w:pStyle w:val="Tabletext"/>
              <w:keepNext/>
              <w:keepLines/>
              <w:rPr>
                <w:lang w:eastAsia="en-AU"/>
              </w:rPr>
            </w:pPr>
            <w:r w:rsidRPr="00691087">
              <w:rPr>
                <w:lang w:eastAsia="en-AU"/>
              </w:rPr>
              <w:t xml:space="preserve">Calculated </w:t>
            </w:r>
          </w:p>
        </w:tc>
      </w:tr>
      <w:tr w:rsidR="00181DB5" w:rsidRPr="00691087" w14:paraId="6B81D293" w14:textId="77777777" w:rsidTr="00181DB5">
        <w:trPr>
          <w:trHeight w:val="59"/>
        </w:trPr>
        <w:tc>
          <w:tcPr>
            <w:tcW w:w="5395" w:type="dxa"/>
            <w:gridSpan w:val="2"/>
            <w:noWrap/>
          </w:tcPr>
          <w:p w14:paraId="6ED48D82" w14:textId="77777777" w:rsidR="00181DB5" w:rsidRPr="00691087" w:rsidRDefault="00181DB5" w:rsidP="005C1CFF">
            <w:pPr>
              <w:pStyle w:val="Tabletext"/>
              <w:keepNext/>
              <w:keepLines/>
              <w:rPr>
                <w:b/>
                <w:bCs/>
                <w:lang w:eastAsia="en-AU"/>
              </w:rPr>
            </w:pPr>
            <w:r w:rsidRPr="00691087">
              <w:rPr>
                <w:lang w:eastAsia="en-AU"/>
              </w:rPr>
              <w:t>Effective price per mg</w:t>
            </w:r>
          </w:p>
        </w:tc>
        <w:tc>
          <w:tcPr>
            <w:tcW w:w="1530" w:type="dxa"/>
            <w:gridSpan w:val="2"/>
            <w:noWrap/>
          </w:tcPr>
          <w:p w14:paraId="6B45ACB5" w14:textId="77777777" w:rsidR="00181DB5" w:rsidRPr="00691087" w:rsidRDefault="00181DB5" w:rsidP="005C1CFF">
            <w:pPr>
              <w:pStyle w:val="Tabletext"/>
              <w:keepNext/>
              <w:keepLines/>
              <w:jc w:val="center"/>
              <w:rPr>
                <w:b/>
                <w:bCs/>
                <w:lang w:eastAsia="en-AU"/>
              </w:rPr>
            </w:pPr>
            <w:r w:rsidRPr="00691087">
              <w:rPr>
                <w:lang w:eastAsia="en-AU"/>
              </w:rPr>
              <w:t>$</w:t>
            </w:r>
            <w:r w:rsidR="00790620">
              <w:rPr>
                <w:noProof/>
                <w:color w:val="000000"/>
                <w:highlight w:val="black"/>
                <w:lang w:eastAsia="en-AU"/>
              </w:rPr>
              <w:t>'''''''''''''''</w:t>
            </w:r>
          </w:p>
        </w:tc>
        <w:tc>
          <w:tcPr>
            <w:tcW w:w="1980" w:type="dxa"/>
          </w:tcPr>
          <w:p w14:paraId="6AFF9EF3" w14:textId="77777777" w:rsidR="00181DB5" w:rsidRPr="00691087" w:rsidRDefault="00181DB5" w:rsidP="005C1CFF">
            <w:pPr>
              <w:pStyle w:val="Tabletext"/>
              <w:keepNext/>
              <w:keepLines/>
              <w:rPr>
                <w:lang w:eastAsia="en-AU"/>
              </w:rPr>
            </w:pPr>
            <w:r w:rsidRPr="00691087">
              <w:rPr>
                <w:lang w:eastAsia="en-AU"/>
              </w:rPr>
              <w:t>-</w:t>
            </w:r>
          </w:p>
        </w:tc>
      </w:tr>
      <w:tr w:rsidR="00181DB5" w:rsidRPr="00691087" w14:paraId="203E286A" w14:textId="77777777" w:rsidTr="00181DB5">
        <w:trPr>
          <w:trHeight w:val="59"/>
        </w:trPr>
        <w:tc>
          <w:tcPr>
            <w:tcW w:w="5395" w:type="dxa"/>
            <w:gridSpan w:val="2"/>
            <w:noWrap/>
          </w:tcPr>
          <w:p w14:paraId="6E784CCF" w14:textId="77777777" w:rsidR="00181DB5" w:rsidRPr="00691087" w:rsidRDefault="00181DB5" w:rsidP="005C1CFF">
            <w:pPr>
              <w:pStyle w:val="Tabletext"/>
              <w:keepNext/>
              <w:keepLines/>
              <w:rPr>
                <w:lang w:eastAsia="en-AU"/>
              </w:rPr>
            </w:pPr>
            <w:r w:rsidRPr="00691087">
              <w:rPr>
                <w:lang w:eastAsia="en-AU"/>
              </w:rPr>
              <w:t>Mg per maximum quantity</w:t>
            </w:r>
          </w:p>
        </w:tc>
        <w:tc>
          <w:tcPr>
            <w:tcW w:w="1530" w:type="dxa"/>
            <w:gridSpan w:val="2"/>
            <w:noWrap/>
          </w:tcPr>
          <w:p w14:paraId="18278156" w14:textId="77777777" w:rsidR="00181DB5" w:rsidRPr="00691087" w:rsidRDefault="00181DB5" w:rsidP="005C1CFF">
            <w:pPr>
              <w:pStyle w:val="Tabletext"/>
              <w:keepNext/>
              <w:keepLines/>
              <w:jc w:val="center"/>
              <w:rPr>
                <w:lang w:eastAsia="en-AU"/>
              </w:rPr>
            </w:pPr>
            <w:r w:rsidRPr="00691087">
              <w:rPr>
                <w:lang w:eastAsia="en-AU"/>
              </w:rPr>
              <w:t>10</w:t>
            </w:r>
          </w:p>
        </w:tc>
        <w:tc>
          <w:tcPr>
            <w:tcW w:w="1980" w:type="dxa"/>
          </w:tcPr>
          <w:p w14:paraId="3E997584" w14:textId="77777777" w:rsidR="00181DB5" w:rsidRPr="00691087" w:rsidRDefault="00181DB5" w:rsidP="005C1CFF">
            <w:pPr>
              <w:pStyle w:val="Tabletext"/>
              <w:keepNext/>
              <w:keepLines/>
              <w:rPr>
                <w:lang w:eastAsia="en-AU"/>
              </w:rPr>
            </w:pPr>
            <w:r w:rsidRPr="00691087">
              <w:rPr>
                <w:lang w:eastAsia="en-AU"/>
              </w:rPr>
              <w:t>Max quantity of 1 tablet</w:t>
            </w:r>
          </w:p>
        </w:tc>
      </w:tr>
      <w:tr w:rsidR="00181DB5" w:rsidRPr="00691087" w14:paraId="2B0D7C1B" w14:textId="77777777" w:rsidTr="00181DB5">
        <w:trPr>
          <w:trHeight w:val="308"/>
        </w:trPr>
        <w:tc>
          <w:tcPr>
            <w:tcW w:w="5395" w:type="dxa"/>
            <w:gridSpan w:val="2"/>
            <w:noWrap/>
          </w:tcPr>
          <w:p w14:paraId="0BA12DB9" w14:textId="77777777" w:rsidR="00181DB5" w:rsidRPr="00691087" w:rsidRDefault="00181DB5" w:rsidP="005C1CFF">
            <w:pPr>
              <w:pStyle w:val="Tabletext"/>
              <w:keepNext/>
              <w:keepLines/>
              <w:rPr>
                <w:lang w:eastAsia="en-AU"/>
              </w:rPr>
            </w:pPr>
            <w:r w:rsidRPr="00691087">
              <w:rPr>
                <w:lang w:eastAsia="en-AU"/>
              </w:rPr>
              <w:t>% of fingolimod and ozanimod patients who discontinue treatment in years 3 and 4</w:t>
            </w:r>
          </w:p>
        </w:tc>
        <w:tc>
          <w:tcPr>
            <w:tcW w:w="1530" w:type="dxa"/>
            <w:gridSpan w:val="2"/>
            <w:noWrap/>
          </w:tcPr>
          <w:p w14:paraId="4163C30F" w14:textId="77777777" w:rsidR="00181DB5" w:rsidRPr="00691087" w:rsidRDefault="00181DB5" w:rsidP="005C1CFF">
            <w:pPr>
              <w:pStyle w:val="Tabletext"/>
              <w:keepNext/>
              <w:keepLines/>
              <w:jc w:val="center"/>
              <w:rPr>
                <w:lang w:eastAsia="en-AU"/>
              </w:rPr>
            </w:pPr>
            <w:r w:rsidRPr="00691087">
              <w:rPr>
                <w:lang w:eastAsia="en-AU"/>
              </w:rPr>
              <w:t>8.28%</w:t>
            </w:r>
          </w:p>
        </w:tc>
        <w:tc>
          <w:tcPr>
            <w:tcW w:w="1980" w:type="dxa"/>
          </w:tcPr>
          <w:p w14:paraId="2B3F00C6" w14:textId="77777777" w:rsidR="00181DB5" w:rsidRPr="00691087" w:rsidRDefault="00181DB5" w:rsidP="005C1CFF">
            <w:pPr>
              <w:pStyle w:val="Tabletext"/>
              <w:keepNext/>
              <w:keepLines/>
              <w:rPr>
                <w:lang w:eastAsia="en-AU"/>
              </w:rPr>
            </w:pPr>
            <w:r w:rsidRPr="00691087">
              <w:rPr>
                <w:lang w:eastAsia="en-AU"/>
              </w:rPr>
              <w:t xml:space="preserve">Calculated </w:t>
            </w:r>
          </w:p>
        </w:tc>
      </w:tr>
      <w:tr w:rsidR="00181DB5" w:rsidRPr="00691087" w14:paraId="734440ED" w14:textId="77777777" w:rsidTr="00181DB5">
        <w:trPr>
          <w:trHeight w:val="308"/>
        </w:trPr>
        <w:tc>
          <w:tcPr>
            <w:tcW w:w="5395" w:type="dxa"/>
            <w:gridSpan w:val="2"/>
            <w:noWrap/>
          </w:tcPr>
          <w:p w14:paraId="3F5ED8EC" w14:textId="77777777" w:rsidR="00181DB5" w:rsidRPr="00691087" w:rsidRDefault="00181DB5" w:rsidP="005C1CFF">
            <w:pPr>
              <w:pStyle w:val="Tabletext"/>
              <w:keepNext/>
              <w:keepLines/>
              <w:rPr>
                <w:lang w:eastAsia="en-AU"/>
              </w:rPr>
            </w:pPr>
            <w:r w:rsidRPr="00691087">
              <w:rPr>
                <w:lang w:eastAsia="en-AU"/>
              </w:rPr>
              <w:t>Total cost of fingolimod and ozanimod treatment per patient including patient discontinuation</w:t>
            </w:r>
          </w:p>
        </w:tc>
        <w:tc>
          <w:tcPr>
            <w:tcW w:w="1530" w:type="dxa"/>
            <w:gridSpan w:val="2"/>
            <w:noWrap/>
          </w:tcPr>
          <w:p w14:paraId="34B4A9A8" w14:textId="77777777" w:rsidR="00181DB5" w:rsidRPr="00691087" w:rsidRDefault="00181DB5" w:rsidP="005C1CFF">
            <w:pPr>
              <w:pStyle w:val="Tabletext"/>
              <w:keepNext/>
              <w:keepLines/>
              <w:jc w:val="center"/>
              <w:rPr>
                <w:lang w:eastAsia="en-AU"/>
              </w:rPr>
            </w:pPr>
            <w:r w:rsidRPr="00691087">
              <w:rPr>
                <w:lang w:eastAsia="en-AU"/>
              </w:rPr>
              <w:t>$</w:t>
            </w:r>
            <w:r w:rsidR="00790620">
              <w:rPr>
                <w:noProof/>
                <w:color w:val="000000"/>
                <w:highlight w:val="black"/>
                <w:lang w:eastAsia="en-AU"/>
              </w:rPr>
              <w:t>'''''''''''''''''''''''</w:t>
            </w:r>
          </w:p>
        </w:tc>
        <w:tc>
          <w:tcPr>
            <w:tcW w:w="1980" w:type="dxa"/>
          </w:tcPr>
          <w:p w14:paraId="11DD564B" w14:textId="77777777" w:rsidR="00181DB5" w:rsidRPr="00691087" w:rsidRDefault="00181DB5" w:rsidP="005C1CFF">
            <w:pPr>
              <w:pStyle w:val="Tabletext"/>
              <w:keepNext/>
              <w:keepLines/>
              <w:rPr>
                <w:lang w:eastAsia="en-AU"/>
              </w:rPr>
            </w:pPr>
            <w:r w:rsidRPr="00691087">
              <w:rPr>
                <w:lang w:eastAsia="en-AU"/>
              </w:rPr>
              <w:t>-</w:t>
            </w:r>
          </w:p>
        </w:tc>
      </w:tr>
      <w:tr w:rsidR="00181DB5" w:rsidRPr="00691087" w14:paraId="6E5DBB49" w14:textId="77777777" w:rsidTr="00181DB5">
        <w:trPr>
          <w:trHeight w:val="59"/>
        </w:trPr>
        <w:tc>
          <w:tcPr>
            <w:tcW w:w="5395" w:type="dxa"/>
            <w:gridSpan w:val="2"/>
            <w:noWrap/>
          </w:tcPr>
          <w:p w14:paraId="1C7BC175" w14:textId="19A0B255" w:rsidR="00181DB5" w:rsidRPr="00691087" w:rsidRDefault="00181DB5" w:rsidP="005C1CFF">
            <w:pPr>
              <w:pStyle w:val="Tabletext"/>
              <w:keepNext/>
              <w:keepLines/>
              <w:rPr>
                <w:b/>
                <w:bCs/>
                <w:lang w:eastAsia="en-AU"/>
              </w:rPr>
            </w:pPr>
            <w:r w:rsidRPr="00691087">
              <w:rPr>
                <w:b/>
                <w:bCs/>
                <w:lang w:eastAsia="en-AU"/>
              </w:rPr>
              <w:t xml:space="preserve">Cladribine effective AEMP </w:t>
            </w:r>
          </w:p>
        </w:tc>
        <w:tc>
          <w:tcPr>
            <w:tcW w:w="1530" w:type="dxa"/>
            <w:gridSpan w:val="2"/>
            <w:noWrap/>
          </w:tcPr>
          <w:p w14:paraId="52B954A2" w14:textId="77777777" w:rsidR="00181DB5" w:rsidRPr="00691087" w:rsidRDefault="00181DB5" w:rsidP="005C1CFF">
            <w:pPr>
              <w:pStyle w:val="Tabletext"/>
              <w:keepNext/>
              <w:keepLines/>
              <w:jc w:val="center"/>
              <w:rPr>
                <w:b/>
                <w:bCs/>
                <w:lang w:eastAsia="en-AU"/>
              </w:rPr>
            </w:pPr>
            <w:r w:rsidRPr="00691087">
              <w:rPr>
                <w:b/>
                <w:bCs/>
                <w:lang w:eastAsia="en-AU"/>
              </w:rPr>
              <w:t>$</w:t>
            </w:r>
            <w:r w:rsidR="00790620">
              <w:rPr>
                <w:b/>
                <w:bCs/>
                <w:noProof/>
                <w:color w:val="000000"/>
                <w:highlight w:val="black"/>
                <w:lang w:eastAsia="en-AU"/>
              </w:rPr>
              <w:t>'''''''''''''''''</w:t>
            </w:r>
          </w:p>
        </w:tc>
        <w:tc>
          <w:tcPr>
            <w:tcW w:w="1980" w:type="dxa"/>
          </w:tcPr>
          <w:p w14:paraId="2AF0AE5C" w14:textId="77777777" w:rsidR="00181DB5" w:rsidRPr="00691087" w:rsidRDefault="00181DB5" w:rsidP="005C1CFF">
            <w:pPr>
              <w:pStyle w:val="Tabletext"/>
              <w:keepNext/>
              <w:keepLines/>
              <w:rPr>
                <w:b/>
                <w:bCs/>
                <w:lang w:eastAsia="en-AU"/>
              </w:rPr>
            </w:pPr>
            <w:r w:rsidRPr="00691087">
              <w:rPr>
                <w:b/>
                <w:bCs/>
                <w:lang w:eastAsia="en-AU"/>
              </w:rPr>
              <w:t>-</w:t>
            </w:r>
          </w:p>
        </w:tc>
      </w:tr>
      <w:tr w:rsidR="00181DB5" w:rsidRPr="00691087" w14:paraId="1078F395" w14:textId="77777777" w:rsidTr="00181DB5">
        <w:trPr>
          <w:trHeight w:val="59"/>
        </w:trPr>
        <w:tc>
          <w:tcPr>
            <w:tcW w:w="5395" w:type="dxa"/>
            <w:gridSpan w:val="2"/>
            <w:noWrap/>
          </w:tcPr>
          <w:p w14:paraId="1CE6E4BF" w14:textId="77777777" w:rsidR="00181DB5" w:rsidRPr="00691087" w:rsidRDefault="00181DB5" w:rsidP="005C1CFF">
            <w:pPr>
              <w:pStyle w:val="Tabletext"/>
              <w:keepNext/>
              <w:keepLines/>
              <w:rPr>
                <w:b/>
                <w:bCs/>
                <w:lang w:eastAsia="en-AU"/>
              </w:rPr>
            </w:pPr>
            <w:r w:rsidRPr="00691087">
              <w:rPr>
                <w:b/>
                <w:bCs/>
                <w:lang w:eastAsia="en-AU"/>
              </w:rPr>
              <w:t>Recalculated cost of cladribine treatment for 4 years</w:t>
            </w:r>
          </w:p>
        </w:tc>
        <w:tc>
          <w:tcPr>
            <w:tcW w:w="1530" w:type="dxa"/>
            <w:gridSpan w:val="2"/>
            <w:noWrap/>
          </w:tcPr>
          <w:p w14:paraId="60E2255D" w14:textId="77777777" w:rsidR="00181DB5" w:rsidRPr="00691087" w:rsidRDefault="00181DB5" w:rsidP="005C1CFF">
            <w:pPr>
              <w:pStyle w:val="Tabletext"/>
              <w:keepNext/>
              <w:keepLines/>
              <w:jc w:val="center"/>
              <w:rPr>
                <w:b/>
                <w:bCs/>
                <w:lang w:eastAsia="en-AU"/>
              </w:rPr>
            </w:pPr>
            <w:r w:rsidRPr="00691087">
              <w:rPr>
                <w:b/>
                <w:bCs/>
                <w:lang w:eastAsia="en-AU"/>
              </w:rPr>
              <w:t>$</w:t>
            </w:r>
            <w:r w:rsidR="00790620">
              <w:rPr>
                <w:b/>
                <w:bCs/>
                <w:noProof/>
                <w:color w:val="000000"/>
                <w:highlight w:val="black"/>
                <w:lang w:eastAsia="en-AU"/>
              </w:rPr>
              <w:t>''''''''''''''''''</w:t>
            </w:r>
          </w:p>
        </w:tc>
        <w:tc>
          <w:tcPr>
            <w:tcW w:w="1980" w:type="dxa"/>
          </w:tcPr>
          <w:p w14:paraId="5EC0408B" w14:textId="77777777" w:rsidR="00181DB5" w:rsidRPr="00691087" w:rsidRDefault="00181DB5" w:rsidP="005C1CFF">
            <w:pPr>
              <w:pStyle w:val="Tabletext"/>
              <w:keepNext/>
              <w:keepLines/>
              <w:rPr>
                <w:b/>
                <w:bCs/>
                <w:lang w:eastAsia="en-AU"/>
              </w:rPr>
            </w:pPr>
            <w:r w:rsidRPr="00691087">
              <w:rPr>
                <w:b/>
                <w:bCs/>
                <w:lang w:eastAsia="en-AU"/>
              </w:rPr>
              <w:t>-</w:t>
            </w:r>
          </w:p>
        </w:tc>
      </w:tr>
    </w:tbl>
    <w:p w14:paraId="342820BF" w14:textId="1469487D" w:rsidR="005A2754" w:rsidRPr="00FE1A1E" w:rsidRDefault="005A2754" w:rsidP="007016AD">
      <w:pPr>
        <w:pStyle w:val="TableFooter"/>
        <w:keepNext/>
        <w:keepLines/>
        <w:spacing w:after="120"/>
      </w:pPr>
      <w:r w:rsidRPr="00691087">
        <w:t>Source: Table</w:t>
      </w:r>
      <w:r w:rsidR="00181DB5" w:rsidRPr="00691087">
        <w:t>s 47-</w:t>
      </w:r>
      <w:r w:rsidRPr="00691087">
        <w:t>49, p</w:t>
      </w:r>
      <w:r w:rsidR="00181DB5" w:rsidRPr="00691087">
        <w:t>p79-</w:t>
      </w:r>
      <w:r w:rsidRPr="00691087">
        <w:t xml:space="preserve">81 of the submission. AEMP = </w:t>
      </w:r>
      <w:r w:rsidR="003A358B" w:rsidRPr="00691087">
        <w:t>ap</w:t>
      </w:r>
      <w:r w:rsidR="00A01279" w:rsidRPr="00691087">
        <w:t>pr</w:t>
      </w:r>
      <w:r w:rsidR="003A358B" w:rsidRPr="00691087">
        <w:t>oved</w:t>
      </w:r>
      <w:r w:rsidRPr="00691087">
        <w:t xml:space="preserve"> ex-manufacturer price</w:t>
      </w:r>
    </w:p>
    <w:p w14:paraId="027D017A" w14:textId="77777777" w:rsidR="005A2754" w:rsidRPr="00691087" w:rsidRDefault="005A2754" w:rsidP="005A2754">
      <w:pPr>
        <w:pStyle w:val="ListParagraph"/>
        <w:widowControl/>
        <w:numPr>
          <w:ilvl w:val="1"/>
          <w:numId w:val="2"/>
        </w:numPr>
      </w:pPr>
      <w:r w:rsidRPr="00691087">
        <w:t xml:space="preserve">Overall, even if non-inferiority over </w:t>
      </w:r>
      <w:r w:rsidR="00537628" w:rsidRPr="00691087">
        <w:t>four</w:t>
      </w:r>
      <w:r w:rsidRPr="00691087">
        <w:t xml:space="preserve"> years were accepted, the submission’s CMA</w:t>
      </w:r>
      <w:r w:rsidR="003B48BE" w:rsidRPr="00691087">
        <w:t xml:space="preserve"> </w:t>
      </w:r>
      <w:r w:rsidR="003B48BE" w:rsidRPr="00D37A25">
        <w:rPr>
          <w:iCs/>
        </w:rPr>
        <w:t>likely</w:t>
      </w:r>
      <w:r w:rsidRPr="00D37A25">
        <w:t xml:space="preserve"> </w:t>
      </w:r>
      <w:r w:rsidRPr="00691087">
        <w:t xml:space="preserve">substantially overestimated the cladribine cost-minimised price, this was due primarily to </w:t>
      </w:r>
      <w:r w:rsidR="00A01279" w:rsidRPr="00691087">
        <w:t>uncertain</w:t>
      </w:r>
      <w:r w:rsidRPr="00691087">
        <w:t xml:space="preserve"> treatment switching based on switch rates from a non-Australian jurisdiction (Patti 2020) and likely overestimated cost-offsets for MBS costs.</w:t>
      </w:r>
    </w:p>
    <w:p w14:paraId="10AE60BE" w14:textId="77777777" w:rsidR="003B48BE" w:rsidRDefault="004C4EC6" w:rsidP="00DB271E">
      <w:pPr>
        <w:pStyle w:val="ListParagraph"/>
        <w:widowControl/>
        <w:numPr>
          <w:ilvl w:val="1"/>
          <w:numId w:val="2"/>
        </w:numPr>
      </w:pPr>
      <w:r w:rsidRPr="00EB49D2">
        <w:t xml:space="preserve">The ESC </w:t>
      </w:r>
      <w:r w:rsidR="00BA4BEA" w:rsidRPr="00EB49D2">
        <w:t>considered</w:t>
      </w:r>
      <w:r w:rsidRPr="00EB49D2">
        <w:t xml:space="preserve"> that the results from the Patti 2020 study w</w:t>
      </w:r>
      <w:r w:rsidR="00BA4BEA" w:rsidRPr="00EB49D2">
        <w:t>ere</w:t>
      </w:r>
      <w:r w:rsidRPr="00EB49D2">
        <w:t xml:space="preserve"> likely not applicable to the Australian context and therefore the DMT switch/utilisation rate assumptions in years 3 and 4 were not reliable. The</w:t>
      </w:r>
      <w:r w:rsidR="007D29DE" w:rsidRPr="00EB49D2">
        <w:t xml:space="preserve"> ESC</w:t>
      </w:r>
      <w:r w:rsidRPr="00EB49D2">
        <w:t xml:space="preserve"> considered</w:t>
      </w:r>
      <w:r w:rsidR="00BA4BEA" w:rsidRPr="00EB49D2">
        <w:t xml:space="preserve"> that</w:t>
      </w:r>
      <w:r w:rsidRPr="00EB49D2">
        <w:t xml:space="preserve"> </w:t>
      </w:r>
      <w:r w:rsidR="00BA4BEA" w:rsidRPr="00EB49D2">
        <w:t>clinical non-inferiority</w:t>
      </w:r>
      <w:r w:rsidR="00CE1523" w:rsidRPr="00CE1523">
        <w:t xml:space="preserve"> </w:t>
      </w:r>
      <w:r w:rsidR="00CE1523">
        <w:t xml:space="preserve">would first need to be </w:t>
      </w:r>
      <w:r w:rsidR="00CE1523" w:rsidRPr="00EB49D2">
        <w:t>demonstrate</w:t>
      </w:r>
      <w:r w:rsidR="00CE1523">
        <w:t>d</w:t>
      </w:r>
      <w:r w:rsidR="00BA4BEA" w:rsidRPr="00EB49D2">
        <w:t xml:space="preserve">, and then treatment switching rates </w:t>
      </w:r>
      <w:r w:rsidRPr="00EB49D2">
        <w:t xml:space="preserve">should </w:t>
      </w:r>
      <w:r w:rsidR="00BA4BEA" w:rsidRPr="00EB49D2">
        <w:t xml:space="preserve">ideally </w:t>
      </w:r>
      <w:r w:rsidRPr="00EB49D2">
        <w:t>be based on Australian data</w:t>
      </w:r>
      <w:r w:rsidR="00D22009" w:rsidRPr="00EB49D2">
        <w:t xml:space="preserve"> reflective of the PBS population</w:t>
      </w:r>
      <w:r w:rsidRPr="00EB49D2">
        <w:t>.</w:t>
      </w:r>
    </w:p>
    <w:p w14:paraId="0CC20E14" w14:textId="44E6291E" w:rsidR="009A2D9D" w:rsidRPr="00EB49D2" w:rsidRDefault="009A2D9D" w:rsidP="00491D9B">
      <w:pPr>
        <w:pStyle w:val="ListParagraph"/>
        <w:widowControl/>
        <w:numPr>
          <w:ilvl w:val="1"/>
          <w:numId w:val="2"/>
        </w:numPr>
      </w:pPr>
      <w:r>
        <w:t xml:space="preserve">The Pre-PBAC Response </w:t>
      </w:r>
      <w:r w:rsidR="00491D9B">
        <w:t xml:space="preserve">stated that ‘the </w:t>
      </w:r>
      <w:r w:rsidR="00491D9B" w:rsidRPr="00491D9B">
        <w:t xml:space="preserve">PBS 10% sample data has been updated and now contains data from patients of 6 months of their third year. Cladribine treatment reported in the PBS 10% sample data shows that most cladribine patients do not require another treatment (as only 10.3% (7 out of 68) switched to another treatment). The PBS 10% sample data at this stage does not include any </w:t>
      </w:r>
      <w:r w:rsidR="00491D9B">
        <w:t>Y</w:t>
      </w:r>
      <w:r w:rsidR="00491D9B" w:rsidRPr="00491D9B">
        <w:t>ear 4 patients</w:t>
      </w:r>
      <w:r w:rsidR="00491D9B">
        <w:t xml:space="preserve">. </w:t>
      </w:r>
      <w:r w:rsidR="00491D9B" w:rsidRPr="00491D9B">
        <w:t xml:space="preserve">As Australian Year 4 data is not yet available, a revised price proposal </w:t>
      </w:r>
      <w:r w:rsidR="00287E35">
        <w:t>wa</w:t>
      </w:r>
      <w:r w:rsidR="00491D9B" w:rsidRPr="00491D9B">
        <w:t>s provided. Using a conservative switch rate of 30% from Patti et al (2020) in Year 3 and 100% in Year 4 and the switch to Australian PBS sample data treatments, the effective AEMP would be $</w:t>
      </w:r>
      <w:r w:rsidR="00790620">
        <w:rPr>
          <w:noProof/>
          <w:color w:val="000000"/>
          <w:highlight w:val="black"/>
        </w:rPr>
        <w:t>''''''''''''''''</w:t>
      </w:r>
      <w:r w:rsidR="00491D9B" w:rsidRPr="00491D9B">
        <w:t xml:space="preserve"> for one</w:t>
      </w:r>
      <w:r w:rsidR="00491D9B" w:rsidRPr="00491D9B" w:rsidDel="00E96FD1">
        <w:t xml:space="preserve"> </w:t>
      </w:r>
      <w:r w:rsidR="00491D9B" w:rsidRPr="00491D9B">
        <w:t>10mg tablet of cladribine’</w:t>
      </w:r>
      <w:r w:rsidR="00491D9B">
        <w:rPr>
          <w:rStyle w:val="normaltextrun"/>
          <w:color w:val="000000"/>
          <w:sz w:val="22"/>
          <w:bdr w:val="none" w:sz="0" w:space="0" w:color="auto" w:frame="1"/>
        </w:rPr>
        <w:t xml:space="preserve">. </w:t>
      </w:r>
      <w:r>
        <w:t>This revised approach was not evaluated.</w:t>
      </w:r>
    </w:p>
    <w:p w14:paraId="0BA2D076" w14:textId="77777777" w:rsidR="007D2038" w:rsidRPr="00691087" w:rsidRDefault="00BA4BEA" w:rsidP="006B1A5B">
      <w:pPr>
        <w:pStyle w:val="ListParagraph"/>
        <w:widowControl/>
        <w:ind w:left="0"/>
        <w:rPr>
          <w:u w:val="single"/>
        </w:rPr>
      </w:pPr>
      <w:r w:rsidRPr="00691087">
        <w:rPr>
          <w:u w:val="single"/>
        </w:rPr>
        <w:t xml:space="preserve">Supplementary analysis: </w:t>
      </w:r>
      <w:r w:rsidR="007D2038" w:rsidRPr="00691087">
        <w:rPr>
          <w:u w:val="single"/>
        </w:rPr>
        <w:t>Cost per successfully vaccinated RRMS patient analysis</w:t>
      </w:r>
    </w:p>
    <w:p w14:paraId="00240561" w14:textId="77777777" w:rsidR="005A2754" w:rsidRPr="00691087" w:rsidRDefault="005A2754" w:rsidP="005A2754">
      <w:pPr>
        <w:pStyle w:val="ListParagraph"/>
        <w:widowControl/>
        <w:numPr>
          <w:ilvl w:val="1"/>
          <w:numId w:val="2"/>
        </w:numPr>
      </w:pPr>
      <w:r w:rsidRPr="00691087">
        <w:t xml:space="preserve">Based on data presented in Achiron (2021), the submission conducted a cost per successfully vaccinated MS patient analysis. </w:t>
      </w:r>
      <w:r w:rsidR="007D2038" w:rsidRPr="00691087">
        <w:t xml:space="preserve">This analysis was supplementary and was not included in the cost-minimisation analysis. </w:t>
      </w:r>
    </w:p>
    <w:p w14:paraId="6D7DDC32" w14:textId="260E9AB6" w:rsidR="00DB271E" w:rsidRPr="00691087" w:rsidRDefault="005A2754" w:rsidP="00FE1A1E">
      <w:pPr>
        <w:pStyle w:val="Heading2"/>
        <w:keepNext/>
        <w:spacing w:after="120"/>
      </w:pPr>
      <w:bookmarkStart w:id="28" w:name="_Toc82600899"/>
      <w:r w:rsidRPr="00691087">
        <w:t>Drug cost/patient/course: $</w:t>
      </w:r>
      <w:bookmarkEnd w:id="28"/>
      <w:r w:rsidR="00790620">
        <w:rPr>
          <w:noProof/>
          <w:color w:val="000000"/>
          <w:highlight w:val="black"/>
        </w:rPr>
        <w:t>'''''''''''''''''</w:t>
      </w:r>
      <w:r w:rsidR="00DB271E" w:rsidRPr="00691087">
        <w:t xml:space="preserve"> </w:t>
      </w:r>
      <w:r w:rsidR="00491D9B">
        <w:t>(based on price proposed in submission)</w:t>
      </w:r>
    </w:p>
    <w:p w14:paraId="10755933" w14:textId="77777777" w:rsidR="005A2754" w:rsidRPr="00691087" w:rsidRDefault="005A2754" w:rsidP="00DB271E">
      <w:pPr>
        <w:pStyle w:val="ListParagraph"/>
        <w:keepNext/>
        <w:widowControl/>
        <w:numPr>
          <w:ilvl w:val="1"/>
          <w:numId w:val="2"/>
        </w:numPr>
        <w:rPr>
          <w:color w:val="000000" w:themeColor="text1"/>
        </w:rPr>
      </w:pPr>
      <w:r w:rsidRPr="00691087">
        <w:rPr>
          <w:color w:val="000000" w:themeColor="text1"/>
        </w:rPr>
        <w:t>The drug cost per patient per course of cladribine is $</w:t>
      </w:r>
      <w:r w:rsidR="00790620">
        <w:rPr>
          <w:noProof/>
          <w:color w:val="000000"/>
          <w:highlight w:val="black"/>
        </w:rPr>
        <w:t>'''''''''''''''''''''</w:t>
      </w:r>
      <w:r w:rsidRPr="00691087">
        <w:rPr>
          <w:color w:val="000000" w:themeColor="text1"/>
        </w:rPr>
        <w:t xml:space="preserve"> based on</w:t>
      </w:r>
      <w:r w:rsidR="00491D9B">
        <w:rPr>
          <w:color w:val="000000" w:themeColor="text1"/>
        </w:rPr>
        <w:t xml:space="preserve"> the price proposed in the submission, which was</w:t>
      </w:r>
      <w:r w:rsidRPr="00691087">
        <w:rPr>
          <w:color w:val="000000" w:themeColor="text1"/>
        </w:rPr>
        <w:t xml:space="preserve"> a</w:t>
      </w:r>
      <w:r w:rsidR="00537628" w:rsidRPr="00691087">
        <w:rPr>
          <w:color w:val="000000" w:themeColor="text1"/>
        </w:rPr>
        <w:t>n</w:t>
      </w:r>
      <w:r w:rsidRPr="00691087">
        <w:rPr>
          <w:color w:val="000000" w:themeColor="text1"/>
        </w:rPr>
        <w:t xml:space="preserve"> </w:t>
      </w:r>
      <w:r w:rsidR="00774BF0" w:rsidRPr="00691087">
        <w:rPr>
          <w:color w:val="000000" w:themeColor="text1"/>
        </w:rPr>
        <w:t>effective AEMP</w:t>
      </w:r>
      <w:r w:rsidRPr="00691087">
        <w:rPr>
          <w:color w:val="000000" w:themeColor="text1"/>
        </w:rPr>
        <w:t xml:space="preserve"> of </w:t>
      </w:r>
      <w:r w:rsidR="00BB716C" w:rsidRPr="00691087">
        <w:rPr>
          <w:color w:val="000000" w:themeColor="text1"/>
        </w:rPr>
        <w:t>$</w:t>
      </w:r>
      <w:r w:rsidR="00790620">
        <w:rPr>
          <w:noProof/>
          <w:color w:val="000000"/>
          <w:highlight w:val="black"/>
        </w:rPr>
        <w:t>''''''''''''''''''</w:t>
      </w:r>
      <w:r w:rsidRPr="00691087">
        <w:rPr>
          <w:color w:val="000000" w:themeColor="text1"/>
        </w:rPr>
        <w:t xml:space="preserve"> </w:t>
      </w:r>
      <w:r w:rsidR="00774BF0" w:rsidRPr="00691087">
        <w:rPr>
          <w:color w:val="000000" w:themeColor="text1"/>
        </w:rPr>
        <w:t xml:space="preserve">per tablet </w:t>
      </w:r>
      <w:r w:rsidRPr="00691087">
        <w:rPr>
          <w:color w:val="000000" w:themeColor="text1"/>
        </w:rPr>
        <w:t xml:space="preserve">and a dosage of 28 tablets over two years of treatment. </w:t>
      </w:r>
    </w:p>
    <w:p w14:paraId="00EBA91C" w14:textId="77777777" w:rsidR="005A2754" w:rsidRPr="00691087" w:rsidRDefault="005A2754" w:rsidP="005A2754">
      <w:pPr>
        <w:pStyle w:val="ListParagraph"/>
        <w:keepNext/>
        <w:widowControl/>
        <w:numPr>
          <w:ilvl w:val="1"/>
          <w:numId w:val="2"/>
        </w:numPr>
        <w:rPr>
          <w:color w:val="000000" w:themeColor="text1"/>
        </w:rPr>
      </w:pPr>
      <w:r w:rsidRPr="00691087">
        <w:rPr>
          <w:color w:val="000000" w:themeColor="text1"/>
        </w:rPr>
        <w:t>This compares to $</w:t>
      </w:r>
      <w:r w:rsidR="00790620">
        <w:rPr>
          <w:noProof/>
          <w:color w:val="000000"/>
          <w:highlight w:val="black"/>
        </w:rPr>
        <w:t>'''''''''''''''''</w:t>
      </w:r>
      <w:r w:rsidRPr="00691087">
        <w:rPr>
          <w:color w:val="000000" w:themeColor="text1"/>
        </w:rPr>
        <w:t xml:space="preserve"> for </w:t>
      </w:r>
      <w:r w:rsidR="00537628" w:rsidRPr="00691087">
        <w:rPr>
          <w:color w:val="000000" w:themeColor="text1"/>
        </w:rPr>
        <w:t>four</w:t>
      </w:r>
      <w:r w:rsidRPr="00691087">
        <w:rPr>
          <w:color w:val="000000" w:themeColor="text1"/>
        </w:rPr>
        <w:t xml:space="preserve"> years of fingolimod based on a</w:t>
      </w:r>
      <w:r w:rsidR="00537628" w:rsidRPr="00691087">
        <w:rPr>
          <w:color w:val="000000" w:themeColor="text1"/>
        </w:rPr>
        <w:t>n</w:t>
      </w:r>
      <w:r w:rsidRPr="00691087">
        <w:rPr>
          <w:color w:val="000000" w:themeColor="text1"/>
        </w:rPr>
        <w:t xml:space="preserve"> </w:t>
      </w:r>
      <w:r w:rsidR="00E2276B" w:rsidRPr="00691087">
        <w:rPr>
          <w:color w:val="000000" w:themeColor="text1"/>
        </w:rPr>
        <w:t xml:space="preserve">effective </w:t>
      </w:r>
      <w:r w:rsidR="00774BF0" w:rsidRPr="00691087">
        <w:rPr>
          <w:color w:val="000000" w:themeColor="text1"/>
        </w:rPr>
        <w:t>AEMP</w:t>
      </w:r>
      <w:r w:rsidRPr="00691087">
        <w:rPr>
          <w:color w:val="000000" w:themeColor="text1"/>
        </w:rPr>
        <w:t xml:space="preserve"> of $</w:t>
      </w:r>
      <w:r w:rsidR="00790620">
        <w:rPr>
          <w:noProof/>
          <w:color w:val="000000"/>
          <w:highlight w:val="black"/>
        </w:rPr>
        <w:t>'''''''''''''''</w:t>
      </w:r>
      <w:r w:rsidRPr="00691087">
        <w:rPr>
          <w:color w:val="000000" w:themeColor="text1"/>
        </w:rPr>
        <w:t xml:space="preserve"> and a </w:t>
      </w:r>
      <w:r w:rsidR="00774BF0" w:rsidRPr="00691087">
        <w:rPr>
          <w:color w:val="000000" w:themeColor="text1"/>
        </w:rPr>
        <w:t>679</w:t>
      </w:r>
      <w:r w:rsidR="00537628" w:rsidRPr="00691087">
        <w:rPr>
          <w:color w:val="000000" w:themeColor="text1"/>
        </w:rPr>
        <w:t xml:space="preserve"> </w:t>
      </w:r>
      <w:r w:rsidR="00774BF0" w:rsidRPr="00691087">
        <w:rPr>
          <w:color w:val="000000" w:themeColor="text1"/>
        </w:rPr>
        <w:t xml:space="preserve">mg dispensed over </w:t>
      </w:r>
      <w:r w:rsidR="00537628" w:rsidRPr="00691087">
        <w:rPr>
          <w:color w:val="000000" w:themeColor="text1"/>
        </w:rPr>
        <w:t>four</w:t>
      </w:r>
      <w:r w:rsidR="00774BF0" w:rsidRPr="00691087">
        <w:rPr>
          <w:color w:val="000000" w:themeColor="text1"/>
        </w:rPr>
        <w:t xml:space="preserve"> years (3.5</w:t>
      </w:r>
      <w:r w:rsidR="00537628" w:rsidRPr="00691087">
        <w:rPr>
          <w:color w:val="000000" w:themeColor="text1"/>
        </w:rPr>
        <w:t xml:space="preserve"> </w:t>
      </w:r>
      <w:r w:rsidR="00774BF0" w:rsidRPr="00691087">
        <w:rPr>
          <w:color w:val="000000" w:themeColor="text1"/>
        </w:rPr>
        <w:t>mg/week x 52.18 weeks on treatment x 95.48% compliance x 4 years of treatment).</w:t>
      </w:r>
    </w:p>
    <w:p w14:paraId="6BC357C2" w14:textId="77777777" w:rsidR="005A2754" w:rsidRPr="00691087" w:rsidRDefault="00691087" w:rsidP="005A2754">
      <w:pPr>
        <w:pStyle w:val="ListParagraph"/>
        <w:keepNext/>
        <w:widowControl/>
        <w:numPr>
          <w:ilvl w:val="1"/>
          <w:numId w:val="2"/>
        </w:numPr>
        <w:spacing w:after="120"/>
      </w:pPr>
      <w:r w:rsidRPr="00691087">
        <w:t>Table 1</w:t>
      </w:r>
      <w:r w:rsidR="00CF4092">
        <w:t xml:space="preserve">2 </w:t>
      </w:r>
      <w:r w:rsidR="00A273C3" w:rsidRPr="00691087">
        <w:t>presents the drug cost</w:t>
      </w:r>
      <w:r w:rsidR="00A273C3" w:rsidRPr="00691087">
        <w:rPr>
          <w:rFonts w:asciiTheme="minorHAnsi" w:hAnsiTheme="minorHAnsi" w:cstheme="minorHAnsi"/>
          <w:color w:val="0070C0"/>
          <w:szCs w:val="24"/>
          <w:lang w:eastAsia="en-AU"/>
        </w:rPr>
        <w:t xml:space="preserve"> </w:t>
      </w:r>
      <w:r w:rsidR="00A273C3" w:rsidRPr="00691087">
        <w:rPr>
          <w:rFonts w:asciiTheme="minorHAnsi" w:hAnsiTheme="minorHAnsi" w:cstheme="minorHAnsi"/>
          <w:color w:val="000000" w:themeColor="text1"/>
          <w:szCs w:val="24"/>
          <w:lang w:eastAsia="en-AU"/>
        </w:rPr>
        <w:t>per patient for cladribine and fingolimod.</w:t>
      </w:r>
    </w:p>
    <w:p w14:paraId="400A9D59" w14:textId="77777777" w:rsidR="005A2754" w:rsidRPr="00691087" w:rsidRDefault="00A273C3" w:rsidP="005A2754">
      <w:pPr>
        <w:keepNext/>
        <w:widowControl/>
        <w:rPr>
          <w:rStyle w:val="CommentReference"/>
        </w:rPr>
      </w:pPr>
      <w:bookmarkStart w:id="29" w:name="_Ref81562269"/>
      <w:r w:rsidRPr="00691087">
        <w:rPr>
          <w:rStyle w:val="CommentReference"/>
        </w:rPr>
        <w:t xml:space="preserve">Table </w:t>
      </w:r>
      <w:bookmarkEnd w:id="29"/>
      <w:r w:rsidR="00CF4092">
        <w:rPr>
          <w:rStyle w:val="CommentReference"/>
        </w:rPr>
        <w:t>12</w:t>
      </w:r>
      <w:r w:rsidRPr="00691087">
        <w:rPr>
          <w:rStyle w:val="CommentReference"/>
        </w:rPr>
        <w:t xml:space="preserve">: </w:t>
      </w:r>
      <w:r w:rsidR="005A2754" w:rsidRPr="00691087">
        <w:rPr>
          <w:rStyle w:val="CommentReference"/>
        </w:rPr>
        <w:t xml:space="preserve">Drug cost per patient for </w:t>
      </w:r>
      <w:r w:rsidRPr="00691087">
        <w:rPr>
          <w:rStyle w:val="CommentReference"/>
        </w:rPr>
        <w:t>cladribine and fingolimod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Drug cost per patient for cladribine and fingolimod"/>
      </w:tblPr>
      <w:tblGrid>
        <w:gridCol w:w="1568"/>
        <w:gridCol w:w="1235"/>
        <w:gridCol w:w="1235"/>
        <w:gridCol w:w="1239"/>
        <w:gridCol w:w="1246"/>
        <w:gridCol w:w="1246"/>
        <w:gridCol w:w="1248"/>
      </w:tblGrid>
      <w:tr w:rsidR="00BB716C" w:rsidRPr="00691087" w14:paraId="27BB223D" w14:textId="77777777" w:rsidTr="00537628">
        <w:trPr>
          <w:trHeight w:val="818"/>
          <w:jc w:val="center"/>
        </w:trPr>
        <w:tc>
          <w:tcPr>
            <w:tcW w:w="869" w:type="pct"/>
            <w:shd w:val="clear" w:color="auto" w:fill="auto"/>
            <w:vAlign w:val="center"/>
          </w:tcPr>
          <w:p w14:paraId="724325B0" w14:textId="77777777" w:rsidR="005A2754" w:rsidRPr="00691087" w:rsidRDefault="005A2754" w:rsidP="00750D38">
            <w:pPr>
              <w:keepNext/>
              <w:widowControl/>
              <w:jc w:val="left"/>
              <w:rPr>
                <w:rFonts w:ascii="Arial Narrow" w:hAnsi="Arial Narrow"/>
                <w:b/>
                <w:sz w:val="20"/>
              </w:rPr>
            </w:pPr>
          </w:p>
        </w:tc>
        <w:tc>
          <w:tcPr>
            <w:tcW w:w="685" w:type="pct"/>
            <w:shd w:val="clear" w:color="auto" w:fill="auto"/>
            <w:vAlign w:val="center"/>
          </w:tcPr>
          <w:p w14:paraId="1509C049" w14:textId="77777777" w:rsidR="005A2754" w:rsidRPr="00691087" w:rsidRDefault="00537628" w:rsidP="00750D38">
            <w:pPr>
              <w:keepNext/>
              <w:widowControl/>
              <w:jc w:val="center"/>
              <w:rPr>
                <w:rFonts w:ascii="Arial Narrow" w:hAnsi="Arial Narrow"/>
                <w:b/>
                <w:sz w:val="20"/>
              </w:rPr>
            </w:pPr>
            <w:r w:rsidRPr="00691087">
              <w:rPr>
                <w:rFonts w:ascii="Arial Narrow" w:hAnsi="Arial Narrow"/>
                <w:b/>
                <w:sz w:val="20"/>
              </w:rPr>
              <w:t>C</w:t>
            </w:r>
            <w:r w:rsidR="00BB716C" w:rsidRPr="00691087">
              <w:rPr>
                <w:rFonts w:ascii="Arial Narrow" w:hAnsi="Arial Narrow"/>
                <w:b/>
                <w:sz w:val="20"/>
              </w:rPr>
              <w:t>ladribine</w:t>
            </w:r>
          </w:p>
          <w:p w14:paraId="32226100" w14:textId="77777777" w:rsidR="005A2754" w:rsidRPr="00691087" w:rsidRDefault="005A2754" w:rsidP="00750D38">
            <w:pPr>
              <w:keepNext/>
              <w:widowControl/>
              <w:jc w:val="center"/>
              <w:rPr>
                <w:rFonts w:ascii="Arial Narrow" w:hAnsi="Arial Narrow"/>
                <w:b/>
                <w:sz w:val="20"/>
              </w:rPr>
            </w:pPr>
            <w:r w:rsidRPr="00691087">
              <w:rPr>
                <w:rFonts w:ascii="Arial Narrow" w:hAnsi="Arial Narrow"/>
                <w:b/>
                <w:sz w:val="20"/>
              </w:rPr>
              <w:t>Trial dose and duration</w:t>
            </w:r>
          </w:p>
        </w:tc>
        <w:tc>
          <w:tcPr>
            <w:tcW w:w="685" w:type="pct"/>
            <w:shd w:val="clear" w:color="auto" w:fill="auto"/>
            <w:vAlign w:val="center"/>
          </w:tcPr>
          <w:p w14:paraId="6BF0047B" w14:textId="77777777" w:rsidR="005A2754" w:rsidRPr="00691087" w:rsidRDefault="00BB716C" w:rsidP="00750D38">
            <w:pPr>
              <w:keepNext/>
              <w:widowControl/>
              <w:jc w:val="center"/>
              <w:rPr>
                <w:rFonts w:ascii="Arial Narrow" w:hAnsi="Arial Narrow"/>
                <w:b/>
                <w:sz w:val="20"/>
              </w:rPr>
            </w:pPr>
            <w:r w:rsidRPr="00691087">
              <w:rPr>
                <w:rFonts w:ascii="Arial Narrow" w:hAnsi="Arial Narrow"/>
                <w:b/>
                <w:sz w:val="20"/>
              </w:rPr>
              <w:t>Cladribine</w:t>
            </w:r>
          </w:p>
          <w:p w14:paraId="71E8C776" w14:textId="77777777" w:rsidR="005A2754" w:rsidRPr="00691087" w:rsidRDefault="005A2754" w:rsidP="00750D38">
            <w:pPr>
              <w:keepNext/>
              <w:widowControl/>
              <w:jc w:val="center"/>
              <w:rPr>
                <w:rFonts w:ascii="Arial Narrow" w:hAnsi="Arial Narrow"/>
                <w:b/>
                <w:sz w:val="20"/>
              </w:rPr>
            </w:pPr>
            <w:r w:rsidRPr="00691087">
              <w:rPr>
                <w:rFonts w:ascii="Arial Narrow" w:hAnsi="Arial Narrow"/>
                <w:b/>
                <w:sz w:val="20"/>
              </w:rPr>
              <w:t>Model</w:t>
            </w:r>
          </w:p>
        </w:tc>
        <w:tc>
          <w:tcPr>
            <w:tcW w:w="686" w:type="pct"/>
            <w:shd w:val="clear" w:color="auto" w:fill="auto"/>
            <w:vAlign w:val="center"/>
          </w:tcPr>
          <w:p w14:paraId="0A38DF8C" w14:textId="77777777" w:rsidR="005A2754" w:rsidRPr="00691087" w:rsidRDefault="00BB716C" w:rsidP="00750D38">
            <w:pPr>
              <w:keepNext/>
              <w:widowControl/>
              <w:jc w:val="center"/>
              <w:rPr>
                <w:rFonts w:ascii="Arial Narrow" w:hAnsi="Arial Narrow"/>
                <w:b/>
                <w:sz w:val="20"/>
              </w:rPr>
            </w:pPr>
            <w:r w:rsidRPr="00691087">
              <w:rPr>
                <w:rFonts w:ascii="Arial Narrow" w:hAnsi="Arial Narrow"/>
                <w:b/>
                <w:sz w:val="20"/>
              </w:rPr>
              <w:t>Cladribine</w:t>
            </w:r>
          </w:p>
          <w:p w14:paraId="42E4C411" w14:textId="77777777" w:rsidR="005A2754" w:rsidRPr="00691087" w:rsidRDefault="005A2754" w:rsidP="00750D38">
            <w:pPr>
              <w:keepNext/>
              <w:widowControl/>
              <w:jc w:val="center"/>
              <w:rPr>
                <w:rFonts w:ascii="Arial Narrow" w:hAnsi="Arial Narrow"/>
                <w:b/>
                <w:sz w:val="20"/>
              </w:rPr>
            </w:pPr>
            <w:r w:rsidRPr="00691087">
              <w:rPr>
                <w:rFonts w:ascii="Arial Narrow" w:hAnsi="Arial Narrow"/>
                <w:b/>
                <w:sz w:val="20"/>
              </w:rPr>
              <w:t>Financial estimates</w:t>
            </w:r>
          </w:p>
        </w:tc>
        <w:tc>
          <w:tcPr>
            <w:tcW w:w="691" w:type="pct"/>
            <w:shd w:val="clear" w:color="auto" w:fill="auto"/>
            <w:vAlign w:val="center"/>
          </w:tcPr>
          <w:p w14:paraId="5D42A195"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Fingolimod</w:t>
            </w:r>
          </w:p>
          <w:p w14:paraId="603DB010" w14:textId="77777777" w:rsidR="005A2754" w:rsidRPr="00691087" w:rsidRDefault="00BB716C" w:rsidP="00537628">
            <w:pPr>
              <w:keepNext/>
              <w:widowControl/>
              <w:jc w:val="center"/>
              <w:rPr>
                <w:rFonts w:ascii="Arial Narrow" w:hAnsi="Arial Narrow"/>
                <w:b/>
                <w:sz w:val="20"/>
              </w:rPr>
            </w:pPr>
            <w:r w:rsidRPr="00691087">
              <w:rPr>
                <w:rFonts w:ascii="Arial Narrow" w:hAnsi="Arial Narrow"/>
                <w:b/>
                <w:sz w:val="20"/>
              </w:rPr>
              <w:t>Trial dose and duration</w:t>
            </w:r>
          </w:p>
        </w:tc>
        <w:tc>
          <w:tcPr>
            <w:tcW w:w="691" w:type="pct"/>
            <w:shd w:val="clear" w:color="auto" w:fill="auto"/>
            <w:vAlign w:val="center"/>
          </w:tcPr>
          <w:p w14:paraId="399834F9" w14:textId="77777777" w:rsidR="005A2754" w:rsidRPr="00691087" w:rsidRDefault="00BB716C" w:rsidP="00750D38">
            <w:pPr>
              <w:keepNext/>
              <w:widowControl/>
              <w:jc w:val="center"/>
              <w:rPr>
                <w:rFonts w:ascii="Arial Narrow" w:hAnsi="Arial Narrow"/>
                <w:b/>
                <w:sz w:val="20"/>
              </w:rPr>
            </w:pPr>
            <w:r w:rsidRPr="00691087">
              <w:rPr>
                <w:rFonts w:ascii="Arial Narrow" w:hAnsi="Arial Narrow"/>
                <w:b/>
                <w:sz w:val="20"/>
              </w:rPr>
              <w:t>Fingolimod</w:t>
            </w:r>
          </w:p>
          <w:p w14:paraId="1F350229" w14:textId="77777777" w:rsidR="005A2754" w:rsidRPr="00691087" w:rsidRDefault="005A2754" w:rsidP="00750D38">
            <w:pPr>
              <w:keepNext/>
              <w:widowControl/>
              <w:jc w:val="center"/>
              <w:rPr>
                <w:rFonts w:ascii="Arial Narrow" w:hAnsi="Arial Narrow"/>
                <w:b/>
                <w:sz w:val="20"/>
              </w:rPr>
            </w:pPr>
            <w:r w:rsidRPr="00691087">
              <w:rPr>
                <w:rFonts w:ascii="Arial Narrow" w:hAnsi="Arial Narrow"/>
                <w:b/>
                <w:sz w:val="20"/>
              </w:rPr>
              <w:t xml:space="preserve">Model </w:t>
            </w:r>
          </w:p>
        </w:tc>
        <w:tc>
          <w:tcPr>
            <w:tcW w:w="692" w:type="pct"/>
          </w:tcPr>
          <w:p w14:paraId="4FA0A03B" w14:textId="77777777" w:rsidR="005A2754" w:rsidRPr="00691087" w:rsidRDefault="00BB716C" w:rsidP="00750D38">
            <w:pPr>
              <w:keepNext/>
              <w:widowControl/>
              <w:jc w:val="center"/>
              <w:rPr>
                <w:rFonts w:ascii="Arial Narrow" w:hAnsi="Arial Narrow"/>
                <w:b/>
                <w:sz w:val="20"/>
              </w:rPr>
            </w:pPr>
            <w:r w:rsidRPr="00691087">
              <w:rPr>
                <w:rFonts w:ascii="Arial Narrow" w:hAnsi="Arial Narrow"/>
                <w:b/>
                <w:sz w:val="20"/>
              </w:rPr>
              <w:t>Fingolimod</w:t>
            </w:r>
          </w:p>
          <w:p w14:paraId="602FE042" w14:textId="77777777" w:rsidR="005A2754" w:rsidRPr="00691087" w:rsidRDefault="005A2754" w:rsidP="00750D38">
            <w:pPr>
              <w:keepNext/>
              <w:widowControl/>
              <w:jc w:val="center"/>
              <w:rPr>
                <w:rFonts w:ascii="Arial Narrow" w:hAnsi="Arial Narrow"/>
                <w:b/>
                <w:sz w:val="20"/>
              </w:rPr>
            </w:pPr>
            <w:r w:rsidRPr="00691087">
              <w:rPr>
                <w:rFonts w:ascii="Arial Narrow" w:hAnsi="Arial Narrow"/>
                <w:b/>
                <w:sz w:val="20"/>
              </w:rPr>
              <w:t>Financial estimates</w:t>
            </w:r>
          </w:p>
        </w:tc>
      </w:tr>
      <w:tr w:rsidR="00BB716C" w:rsidRPr="00691087" w14:paraId="6AF95487" w14:textId="77777777" w:rsidTr="00537628">
        <w:trPr>
          <w:jc w:val="center"/>
        </w:trPr>
        <w:tc>
          <w:tcPr>
            <w:tcW w:w="869" w:type="pct"/>
            <w:shd w:val="clear" w:color="auto" w:fill="auto"/>
            <w:vAlign w:val="center"/>
          </w:tcPr>
          <w:p w14:paraId="511D44F7" w14:textId="77777777" w:rsidR="00BB716C" w:rsidRPr="00691087" w:rsidRDefault="00BB716C" w:rsidP="00750D38">
            <w:pPr>
              <w:keepNext/>
              <w:widowControl/>
              <w:jc w:val="left"/>
              <w:rPr>
                <w:rFonts w:ascii="Arial Narrow" w:hAnsi="Arial Narrow"/>
                <w:sz w:val="20"/>
              </w:rPr>
            </w:pPr>
            <w:r w:rsidRPr="00691087">
              <w:rPr>
                <w:rFonts w:ascii="Arial Narrow" w:hAnsi="Arial Narrow"/>
                <w:sz w:val="20"/>
              </w:rPr>
              <w:t>Mean dose</w:t>
            </w:r>
          </w:p>
        </w:tc>
        <w:tc>
          <w:tcPr>
            <w:tcW w:w="2057" w:type="pct"/>
            <w:gridSpan w:val="3"/>
            <w:vMerge w:val="restart"/>
            <w:shd w:val="clear" w:color="auto" w:fill="auto"/>
            <w:vAlign w:val="center"/>
          </w:tcPr>
          <w:p w14:paraId="6AEBAA85"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280</w:t>
            </w:r>
            <w:r w:rsidR="00537628" w:rsidRPr="00691087">
              <w:rPr>
                <w:rFonts w:ascii="Arial Narrow" w:hAnsi="Arial Narrow"/>
                <w:b/>
                <w:sz w:val="20"/>
              </w:rPr>
              <w:t xml:space="preserve"> </w:t>
            </w:r>
            <w:r w:rsidRPr="00691087">
              <w:rPr>
                <w:rFonts w:ascii="Arial Narrow" w:hAnsi="Arial Narrow"/>
                <w:b/>
                <w:sz w:val="20"/>
              </w:rPr>
              <w:t>mg over two years of treatment followed by two years of observation</w:t>
            </w:r>
            <w:r w:rsidRPr="00691087">
              <w:rPr>
                <w:rFonts w:ascii="Arial Narrow" w:hAnsi="Arial Narrow"/>
                <w:b/>
                <w:sz w:val="20"/>
                <w:vertAlign w:val="superscript"/>
              </w:rPr>
              <w:t>a</w:t>
            </w:r>
          </w:p>
        </w:tc>
        <w:tc>
          <w:tcPr>
            <w:tcW w:w="691" w:type="pct"/>
            <w:shd w:val="clear" w:color="auto" w:fill="auto"/>
            <w:vAlign w:val="center"/>
          </w:tcPr>
          <w:p w14:paraId="6DF994A5"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0.5mg/day</w:t>
            </w:r>
          </w:p>
        </w:tc>
        <w:tc>
          <w:tcPr>
            <w:tcW w:w="691" w:type="pct"/>
            <w:shd w:val="clear" w:color="auto" w:fill="auto"/>
            <w:vAlign w:val="center"/>
          </w:tcPr>
          <w:p w14:paraId="1AC8602D"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0.5mg/day</w:t>
            </w:r>
          </w:p>
        </w:tc>
        <w:tc>
          <w:tcPr>
            <w:tcW w:w="692" w:type="pct"/>
          </w:tcPr>
          <w:p w14:paraId="141E56EC"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0.5mg/day</w:t>
            </w:r>
          </w:p>
        </w:tc>
      </w:tr>
      <w:tr w:rsidR="00BB716C" w:rsidRPr="00691087" w14:paraId="0A441710" w14:textId="77777777" w:rsidTr="00537628">
        <w:trPr>
          <w:jc w:val="center"/>
        </w:trPr>
        <w:tc>
          <w:tcPr>
            <w:tcW w:w="869" w:type="pct"/>
            <w:shd w:val="clear" w:color="auto" w:fill="auto"/>
            <w:vAlign w:val="center"/>
          </w:tcPr>
          <w:p w14:paraId="7A2CB31B" w14:textId="77777777" w:rsidR="00BB716C" w:rsidRPr="00691087" w:rsidRDefault="00BB716C" w:rsidP="00750D38">
            <w:pPr>
              <w:keepNext/>
              <w:widowControl/>
              <w:jc w:val="left"/>
              <w:rPr>
                <w:rFonts w:ascii="Arial Narrow" w:hAnsi="Arial Narrow"/>
                <w:sz w:val="20"/>
              </w:rPr>
            </w:pPr>
            <w:r w:rsidRPr="00691087">
              <w:rPr>
                <w:rFonts w:ascii="Arial Narrow" w:hAnsi="Arial Narrow"/>
                <w:sz w:val="20"/>
              </w:rPr>
              <w:t>Mean duration</w:t>
            </w:r>
          </w:p>
        </w:tc>
        <w:tc>
          <w:tcPr>
            <w:tcW w:w="2057" w:type="pct"/>
            <w:gridSpan w:val="3"/>
            <w:vMerge/>
            <w:shd w:val="clear" w:color="auto" w:fill="auto"/>
            <w:vAlign w:val="center"/>
          </w:tcPr>
          <w:p w14:paraId="1FDFFA96" w14:textId="77777777" w:rsidR="00BB716C" w:rsidRPr="00691087" w:rsidRDefault="00BB716C" w:rsidP="00750D38">
            <w:pPr>
              <w:keepNext/>
              <w:widowControl/>
              <w:jc w:val="center"/>
              <w:rPr>
                <w:rFonts w:ascii="Arial Narrow" w:hAnsi="Arial Narrow"/>
                <w:b/>
                <w:sz w:val="20"/>
              </w:rPr>
            </w:pPr>
          </w:p>
        </w:tc>
        <w:tc>
          <w:tcPr>
            <w:tcW w:w="691" w:type="pct"/>
            <w:shd w:val="clear" w:color="auto" w:fill="auto"/>
            <w:vAlign w:val="center"/>
          </w:tcPr>
          <w:p w14:paraId="6E9D15FF"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24 months</w:t>
            </w:r>
          </w:p>
        </w:tc>
        <w:tc>
          <w:tcPr>
            <w:tcW w:w="691" w:type="pct"/>
            <w:shd w:val="clear" w:color="auto" w:fill="auto"/>
            <w:vAlign w:val="center"/>
          </w:tcPr>
          <w:p w14:paraId="1B61B8BF"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4 years</w:t>
            </w:r>
          </w:p>
        </w:tc>
        <w:tc>
          <w:tcPr>
            <w:tcW w:w="692" w:type="pct"/>
          </w:tcPr>
          <w:p w14:paraId="0EF93A73" w14:textId="77777777" w:rsidR="00BB716C" w:rsidRPr="00691087" w:rsidRDefault="00BB716C" w:rsidP="00750D38">
            <w:pPr>
              <w:keepNext/>
              <w:widowControl/>
              <w:jc w:val="center"/>
              <w:rPr>
                <w:rFonts w:ascii="Arial Narrow" w:hAnsi="Arial Narrow"/>
                <w:b/>
                <w:sz w:val="20"/>
              </w:rPr>
            </w:pPr>
            <w:r w:rsidRPr="00691087">
              <w:rPr>
                <w:rFonts w:ascii="Arial Narrow" w:hAnsi="Arial Narrow"/>
                <w:b/>
                <w:sz w:val="20"/>
              </w:rPr>
              <w:t>4 years</w:t>
            </w:r>
          </w:p>
        </w:tc>
      </w:tr>
      <w:tr w:rsidR="00A273C3" w:rsidRPr="00691087" w14:paraId="48DD2448" w14:textId="77777777" w:rsidTr="00537628">
        <w:trPr>
          <w:jc w:val="center"/>
        </w:trPr>
        <w:tc>
          <w:tcPr>
            <w:tcW w:w="869" w:type="pct"/>
            <w:shd w:val="clear" w:color="auto" w:fill="auto"/>
            <w:vAlign w:val="center"/>
          </w:tcPr>
          <w:p w14:paraId="713566A6" w14:textId="77777777" w:rsidR="00A273C3" w:rsidRPr="00691087" w:rsidRDefault="00A273C3" w:rsidP="00BB716C">
            <w:pPr>
              <w:keepNext/>
              <w:widowControl/>
              <w:jc w:val="left"/>
              <w:rPr>
                <w:rFonts w:ascii="Arial Narrow" w:hAnsi="Arial Narrow"/>
                <w:sz w:val="20"/>
              </w:rPr>
            </w:pPr>
            <w:r w:rsidRPr="00691087">
              <w:rPr>
                <w:rFonts w:ascii="Arial Narrow" w:hAnsi="Arial Narrow"/>
                <w:sz w:val="20"/>
              </w:rPr>
              <w:t>Cost/patient/course</w:t>
            </w:r>
            <w:r w:rsidR="00E83D39">
              <w:rPr>
                <w:rFonts w:ascii="Arial Narrow" w:hAnsi="Arial Narrow"/>
                <w:sz w:val="20"/>
              </w:rPr>
              <w:t xml:space="preserve"> ($)</w:t>
            </w:r>
          </w:p>
        </w:tc>
        <w:tc>
          <w:tcPr>
            <w:tcW w:w="2057" w:type="pct"/>
            <w:gridSpan w:val="3"/>
            <w:shd w:val="clear" w:color="auto" w:fill="auto"/>
          </w:tcPr>
          <w:p w14:paraId="28AFE418" w14:textId="77777777" w:rsidR="00A273C3" w:rsidRPr="00790620" w:rsidRDefault="00790620" w:rsidP="00BB716C">
            <w:pPr>
              <w:keepNext/>
              <w:widowControl/>
              <w:jc w:val="center"/>
              <w:rPr>
                <w:rFonts w:ascii="Arial Narrow" w:hAnsi="Arial Narrow"/>
                <w:sz w:val="20"/>
                <w:szCs w:val="20"/>
                <w:highlight w:val="black"/>
              </w:rPr>
            </w:pPr>
            <w:r>
              <w:rPr>
                <w:rFonts w:ascii="Arial Narrow" w:hAnsi="Arial Narrow" w:cs="Calibri"/>
                <w:noProof/>
                <w:snapToGrid/>
                <w:color w:val="000000"/>
                <w:sz w:val="20"/>
                <w:szCs w:val="20"/>
                <w:highlight w:val="black"/>
                <w:lang w:eastAsia="en-AU"/>
              </w:rPr>
              <w:t xml:space="preserve">'''''''''''''''''''''''''''' </w:t>
            </w:r>
          </w:p>
        </w:tc>
        <w:tc>
          <w:tcPr>
            <w:tcW w:w="691" w:type="pct"/>
            <w:shd w:val="clear" w:color="auto" w:fill="auto"/>
            <w:vAlign w:val="center"/>
          </w:tcPr>
          <w:p w14:paraId="7ECE34DF" w14:textId="77777777" w:rsidR="00A273C3" w:rsidRPr="00790620" w:rsidRDefault="00790620" w:rsidP="00BB716C">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691" w:type="pct"/>
            <w:shd w:val="clear" w:color="auto" w:fill="auto"/>
            <w:vAlign w:val="center"/>
          </w:tcPr>
          <w:p w14:paraId="47CF4C24" w14:textId="77777777" w:rsidR="00A273C3" w:rsidRPr="00790620" w:rsidRDefault="00790620" w:rsidP="00A273C3">
            <w:pPr>
              <w:pStyle w:val="Tabletext"/>
              <w:jc w:val="center"/>
              <w:rPr>
                <w:highlight w:val="black"/>
              </w:rPr>
            </w:pPr>
            <w:r>
              <w:rPr>
                <w:noProof/>
                <w:color w:val="000000"/>
                <w:highlight w:val="black"/>
              </w:rPr>
              <w:t>'''''''''''''''''''''''''''</w:t>
            </w:r>
          </w:p>
        </w:tc>
        <w:tc>
          <w:tcPr>
            <w:tcW w:w="692" w:type="pct"/>
          </w:tcPr>
          <w:p w14:paraId="76A8E81A" w14:textId="77777777" w:rsidR="00A273C3" w:rsidRPr="00790620" w:rsidRDefault="00790620" w:rsidP="00BB716C">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14:paraId="66C5BB4A" w14:textId="77777777" w:rsidR="005A2754" w:rsidRPr="00691087" w:rsidRDefault="005A2754" w:rsidP="005A2754">
      <w:pPr>
        <w:pStyle w:val="TableFooter"/>
        <w:widowControl/>
      </w:pPr>
      <w:r w:rsidRPr="00691087">
        <w:t xml:space="preserve">Source: </w:t>
      </w:r>
      <w:r w:rsidR="00537628" w:rsidRPr="00691087">
        <w:t>compiled during the evaluation</w:t>
      </w:r>
    </w:p>
    <w:p w14:paraId="4AAEFD9E" w14:textId="77777777" w:rsidR="00BB716C" w:rsidRPr="00691087" w:rsidRDefault="00BB716C" w:rsidP="00537628">
      <w:pPr>
        <w:pStyle w:val="Tabletext"/>
        <w:tabs>
          <w:tab w:val="left" w:pos="284"/>
        </w:tabs>
        <w:ind w:left="284" w:hanging="284"/>
        <w:jc w:val="both"/>
        <w:rPr>
          <w:sz w:val="18"/>
          <w:szCs w:val="20"/>
        </w:rPr>
      </w:pPr>
      <w:r w:rsidRPr="00691087">
        <w:rPr>
          <w:sz w:val="18"/>
          <w:szCs w:val="20"/>
          <w:vertAlign w:val="superscript"/>
        </w:rPr>
        <w:t xml:space="preserve">a </w:t>
      </w:r>
      <w:r w:rsidRPr="00691087">
        <w:rPr>
          <w:sz w:val="18"/>
          <w:szCs w:val="20"/>
          <w:vertAlign w:val="superscript"/>
        </w:rPr>
        <w:tab/>
      </w:r>
      <w:r w:rsidRPr="00691087">
        <w:rPr>
          <w:sz w:val="18"/>
          <w:szCs w:val="20"/>
        </w:rPr>
        <w:t>Cladribine tablets are taken over 4-5 days in Weeks 1 and 5 in each of the first two years of therapy to give a cumulative dose of 3.5mg/kg, followed by observation only for two further years.</w:t>
      </w:r>
    </w:p>
    <w:p w14:paraId="36447A47" w14:textId="77777777" w:rsidR="00BB716C" w:rsidRPr="00691087" w:rsidRDefault="00BB716C" w:rsidP="005A2754">
      <w:pPr>
        <w:pStyle w:val="TableFooter"/>
        <w:widowControl/>
      </w:pPr>
    </w:p>
    <w:p w14:paraId="1FCC231F" w14:textId="7712B486" w:rsidR="005A2754" w:rsidRPr="00FE1A1E" w:rsidRDefault="005A2754" w:rsidP="00FE1A1E">
      <w:pPr>
        <w:pStyle w:val="Heading2"/>
        <w:spacing w:after="120"/>
      </w:pPr>
      <w:bookmarkStart w:id="30" w:name="_Toc82600900"/>
      <w:r w:rsidRPr="00691087">
        <w:t>Estimated PBS usage &amp; financial implications</w:t>
      </w:r>
      <w:bookmarkEnd w:id="30"/>
    </w:p>
    <w:p w14:paraId="756C1009" w14:textId="78F28F24" w:rsidR="005A2754" w:rsidRPr="00691087" w:rsidRDefault="005A2754" w:rsidP="005A2754">
      <w:pPr>
        <w:pStyle w:val="ListParagraph"/>
        <w:widowControl/>
        <w:numPr>
          <w:ilvl w:val="1"/>
          <w:numId w:val="2"/>
        </w:numPr>
      </w:pPr>
      <w:r w:rsidRPr="00691087">
        <w:t xml:space="preserve">This submission </w:t>
      </w:r>
      <w:r w:rsidR="004F447B" w:rsidRPr="00691087">
        <w:t>was not</w:t>
      </w:r>
      <w:r w:rsidRPr="00691087">
        <w:t xml:space="preserve"> considered by </w:t>
      </w:r>
      <w:r w:rsidR="00FB3C03">
        <w:t>Drug Utilisation Sub</w:t>
      </w:r>
      <w:r w:rsidR="002E3FF3">
        <w:t xml:space="preserve"> C</w:t>
      </w:r>
      <w:r w:rsidR="00FB3C03">
        <w:t>ommittee (</w:t>
      </w:r>
      <w:r w:rsidRPr="00691087">
        <w:t>DUSC</w:t>
      </w:r>
      <w:r w:rsidR="00FB3C03">
        <w:t>)</w:t>
      </w:r>
      <w:r w:rsidRPr="00691087">
        <w:rPr>
          <w:color w:val="0070C0"/>
        </w:rPr>
        <w:t xml:space="preserve">. </w:t>
      </w:r>
    </w:p>
    <w:p w14:paraId="4DB016D0" w14:textId="77777777" w:rsidR="005A2754" w:rsidRPr="00691087" w:rsidRDefault="005A2754" w:rsidP="005A2754">
      <w:pPr>
        <w:pStyle w:val="ListParagraph"/>
        <w:widowControl/>
        <w:numPr>
          <w:ilvl w:val="1"/>
          <w:numId w:val="2"/>
        </w:numPr>
      </w:pPr>
      <w:r w:rsidRPr="00691087">
        <w:t>The submission estimated the cost of cladribine to the PBS with the proposed higher effective price</w:t>
      </w:r>
      <w:r w:rsidR="006F4F28" w:rsidRPr="00691087">
        <w:t xml:space="preserve"> </w:t>
      </w:r>
      <w:r w:rsidR="006F4F28" w:rsidRPr="00491D9B">
        <w:rPr>
          <w:iCs/>
        </w:rPr>
        <w:t>(based on the proposed equi-effective doses)</w:t>
      </w:r>
      <w:r w:rsidRPr="00491D9B">
        <w:t>,</w:t>
      </w:r>
      <w:r w:rsidRPr="00691087">
        <w:t xml:space="preserve"> assuming not all patients in Years 3 and 4 switch to fingolimod. The submission compared this to the cost to the PBS </w:t>
      </w:r>
      <w:r w:rsidR="00491D9B">
        <w:t xml:space="preserve">that was </w:t>
      </w:r>
      <w:r w:rsidRPr="00691087">
        <w:t>previously accepted by PBAC, where pricing was based on two years of cladribine treatment and all patients on cladribine switch</w:t>
      </w:r>
      <w:r w:rsidR="00491D9B">
        <w:t>ing</w:t>
      </w:r>
      <w:r w:rsidRPr="00691087">
        <w:t xml:space="preserve"> to fingolimod after two years</w:t>
      </w:r>
      <w:r w:rsidR="00BE4A53" w:rsidRPr="00691087">
        <w:t>.</w:t>
      </w:r>
      <w:r w:rsidR="00BE4A53" w:rsidRPr="00EB49D2">
        <w:t xml:space="preserve"> The </w:t>
      </w:r>
      <w:r w:rsidR="006F4F28" w:rsidRPr="00EB49D2">
        <w:t>financial</w:t>
      </w:r>
      <w:r w:rsidR="00BE4A53" w:rsidRPr="00EB49D2">
        <w:t xml:space="preserve"> estimates </w:t>
      </w:r>
      <w:r w:rsidR="000B6CF7" w:rsidRPr="00EB49D2">
        <w:t xml:space="preserve">also </w:t>
      </w:r>
      <w:r w:rsidR="006F4F28" w:rsidRPr="00EB49D2">
        <w:t>included</w:t>
      </w:r>
      <w:r w:rsidR="00BE4A53" w:rsidRPr="00EB49D2">
        <w:t xml:space="preserve"> offset</w:t>
      </w:r>
      <w:r w:rsidR="00196F73" w:rsidRPr="00EB49D2">
        <w:t>s</w:t>
      </w:r>
      <w:r w:rsidR="00BE4A53" w:rsidRPr="00EB49D2">
        <w:t xml:space="preserve"> </w:t>
      </w:r>
      <w:r w:rsidR="006F4F28" w:rsidRPr="00EB49D2">
        <w:t>for</w:t>
      </w:r>
      <w:r w:rsidR="00BE4A53" w:rsidRPr="00EB49D2">
        <w:t xml:space="preserve"> reductions in fingolimod </w:t>
      </w:r>
      <w:r w:rsidR="006F4F28" w:rsidRPr="00EB49D2">
        <w:t xml:space="preserve">use </w:t>
      </w:r>
      <w:r w:rsidR="00BE4A53" w:rsidRPr="00EB49D2">
        <w:t xml:space="preserve">(as a proxy for all higher efficacy DMTs), with DMT initiation rates in </w:t>
      </w:r>
      <w:r w:rsidR="006F4F28" w:rsidRPr="00EB49D2">
        <w:t>Y</w:t>
      </w:r>
      <w:r w:rsidR="00BE4A53" w:rsidRPr="00EB49D2">
        <w:t>ears 3 and 4 informed by the results of the Patti (2020) study</w:t>
      </w:r>
      <w:r w:rsidR="00E14117" w:rsidRPr="00EB49D2">
        <w:t>, consistent with the economic analysis</w:t>
      </w:r>
      <w:r w:rsidR="00491D9B">
        <w:t xml:space="preserve"> presented in the submission</w:t>
      </w:r>
      <w:r w:rsidR="00BE4A53" w:rsidRPr="00EB49D2">
        <w:t>.</w:t>
      </w:r>
    </w:p>
    <w:p w14:paraId="776818FA" w14:textId="77777777" w:rsidR="00196F73" w:rsidRPr="00EB49D2" w:rsidRDefault="00196F73" w:rsidP="00196F73">
      <w:pPr>
        <w:pStyle w:val="ListParagraph"/>
        <w:widowControl/>
        <w:numPr>
          <w:ilvl w:val="1"/>
          <w:numId w:val="2"/>
        </w:numPr>
      </w:pPr>
      <w:r w:rsidRPr="00691087">
        <w:t>The submission stated that under the current cladribine listing,</w:t>
      </w:r>
      <w:r w:rsidR="00E14117" w:rsidRPr="00691087">
        <w:t xml:space="preserve"> all</w:t>
      </w:r>
      <w:r w:rsidRPr="00691087">
        <w:t xml:space="preserve"> patients were expected to switch </w:t>
      </w:r>
      <w:r w:rsidRPr="00EB49D2">
        <w:t xml:space="preserve">to fingolimod (as a proxy for higher efficacy tier DMTs) after two years of cladribine treatment. </w:t>
      </w:r>
      <w:r w:rsidR="00E14117" w:rsidRPr="00EB49D2">
        <w:t>On the other hand, t</w:t>
      </w:r>
      <w:r w:rsidRPr="00EB49D2">
        <w:t xml:space="preserve">he proposed effective price change in the submission </w:t>
      </w:r>
      <w:r w:rsidR="00E14117" w:rsidRPr="00EB49D2">
        <w:t xml:space="preserve">assumed </w:t>
      </w:r>
      <w:r w:rsidRPr="00EB49D2">
        <w:t xml:space="preserve">only a proportion </w:t>
      </w:r>
      <w:r w:rsidR="00E14117" w:rsidRPr="00EB49D2">
        <w:t xml:space="preserve">of patients </w:t>
      </w:r>
      <w:r w:rsidRPr="00EB49D2">
        <w:t>w</w:t>
      </w:r>
      <w:r w:rsidR="00E14117" w:rsidRPr="00EB49D2">
        <w:t>ould</w:t>
      </w:r>
      <w:r w:rsidRPr="00EB49D2">
        <w:t xml:space="preserve"> initiate an a</w:t>
      </w:r>
      <w:r w:rsidR="00E14117" w:rsidRPr="00EB49D2">
        <w:t>lternative DMT in Years 3 and 4</w:t>
      </w:r>
      <w:r w:rsidRPr="00EB49D2">
        <w:t xml:space="preserve">. The submission calculated the fingolimod offsets based on an assumption </w:t>
      </w:r>
      <w:r w:rsidR="00564BA6">
        <w:t>that</w:t>
      </w:r>
      <w:r w:rsidRPr="00EB49D2">
        <w:t xml:space="preserve"> 70% </w:t>
      </w:r>
      <w:r w:rsidR="00564BA6">
        <w:t xml:space="preserve">of patients would </w:t>
      </w:r>
      <w:r w:rsidRPr="00EB49D2">
        <w:t>not requir</w:t>
      </w:r>
      <w:r w:rsidR="00564BA6">
        <w:t>e</w:t>
      </w:r>
      <w:r w:rsidRPr="00EB49D2">
        <w:t xml:space="preserve"> fingolimod </w:t>
      </w:r>
      <w:r w:rsidR="000B6CF7" w:rsidRPr="00EB49D2">
        <w:t>in</w:t>
      </w:r>
      <w:r w:rsidRPr="00EB49D2">
        <w:t xml:space="preserve"> year 3 and 55.6% of these patients </w:t>
      </w:r>
      <w:r w:rsidR="00564BA6">
        <w:t xml:space="preserve">would </w:t>
      </w:r>
      <w:r w:rsidRPr="00EB49D2">
        <w:t>not requir</w:t>
      </w:r>
      <w:r w:rsidR="00564BA6">
        <w:t>e</w:t>
      </w:r>
      <w:r w:rsidRPr="00EB49D2">
        <w:t xml:space="preserve"> fingolimod in year 4 (based on Patti (2020)). </w:t>
      </w:r>
    </w:p>
    <w:p w14:paraId="6F9332D7" w14:textId="77777777" w:rsidR="005A2754" w:rsidRPr="00EB49D2" w:rsidRDefault="00BE4A53" w:rsidP="005A2754">
      <w:pPr>
        <w:pStyle w:val="ListParagraph"/>
        <w:widowControl/>
        <w:numPr>
          <w:ilvl w:val="1"/>
          <w:numId w:val="2"/>
        </w:numPr>
      </w:pPr>
      <w:r w:rsidRPr="00EB49D2">
        <w:t>The ESC considered the estimates were unreliable as Patti (2020) was not applicable to the Australian RRMS population and the likely rates of DMT initiation in Australia were unknown as insufficient time since listing had passed to make such an assessment.</w:t>
      </w:r>
    </w:p>
    <w:p w14:paraId="7D126467" w14:textId="77777777" w:rsidR="005A2754" w:rsidRPr="00691087" w:rsidRDefault="005A2754" w:rsidP="005A2754">
      <w:pPr>
        <w:pStyle w:val="ListParagraph"/>
        <w:widowControl/>
        <w:numPr>
          <w:ilvl w:val="1"/>
          <w:numId w:val="2"/>
        </w:numPr>
      </w:pPr>
      <w:r w:rsidRPr="00691087">
        <w:t xml:space="preserve">To clarify, the </w:t>
      </w:r>
      <w:r w:rsidR="00207215">
        <w:t>financial estimates</w:t>
      </w:r>
      <w:r w:rsidRPr="00691087">
        <w:t xml:space="preserve"> compared the cost of listing cladribine at </w:t>
      </w:r>
      <w:r w:rsidR="00207215">
        <w:t>the proposed</w:t>
      </w:r>
      <w:r w:rsidRPr="00691087">
        <w:t xml:space="preserve"> higher price </w:t>
      </w:r>
      <w:r w:rsidR="00207215">
        <w:t>including</w:t>
      </w:r>
      <w:r w:rsidR="00207215" w:rsidRPr="00691087">
        <w:t xml:space="preserve"> </w:t>
      </w:r>
      <w:r w:rsidRPr="00691087">
        <w:t>offsets for</w:t>
      </w:r>
      <w:r w:rsidR="00207215">
        <w:t>:</w:t>
      </w:r>
      <w:r w:rsidRPr="00691087">
        <w:t xml:space="preserve"> </w:t>
      </w:r>
      <w:r w:rsidR="00207215">
        <w:t xml:space="preserve">(a) </w:t>
      </w:r>
      <w:r w:rsidRPr="00691087">
        <w:t xml:space="preserve">fingolimod replaced over a </w:t>
      </w:r>
      <w:r w:rsidR="00537628" w:rsidRPr="00691087">
        <w:t>four</w:t>
      </w:r>
      <w:r w:rsidRPr="00691087">
        <w:t xml:space="preserve"> year time period</w:t>
      </w:r>
      <w:r w:rsidR="00207215">
        <w:t>;</w:t>
      </w:r>
      <w:r w:rsidRPr="00691087">
        <w:t xml:space="preserve"> </w:t>
      </w:r>
      <w:r w:rsidR="00207215">
        <w:t>and (b)</w:t>
      </w:r>
      <w:r w:rsidRPr="00691087">
        <w:t xml:space="preserve"> cladribine at the currently reimbursed price. Consequently, the submission’s estimates of financial implications are costs </w:t>
      </w:r>
      <w:r w:rsidRPr="00691087">
        <w:rPr>
          <w:u w:val="single"/>
        </w:rPr>
        <w:t>in addition</w:t>
      </w:r>
      <w:r w:rsidRPr="00691087">
        <w:t xml:space="preserve"> to current cladribine costs. </w:t>
      </w:r>
    </w:p>
    <w:p w14:paraId="45A2BED3" w14:textId="77777777" w:rsidR="005A2754" w:rsidRPr="00691087" w:rsidRDefault="005A2754" w:rsidP="005A2754">
      <w:pPr>
        <w:pStyle w:val="ListParagraph"/>
        <w:widowControl/>
        <w:numPr>
          <w:ilvl w:val="1"/>
          <w:numId w:val="2"/>
        </w:numPr>
      </w:pPr>
      <w:r w:rsidRPr="00691087">
        <w:t xml:space="preserve">The submission stated it estimated utilisation and costs using a mixed model approach. </w:t>
      </w:r>
    </w:p>
    <w:p w14:paraId="0F7F84CA" w14:textId="77777777" w:rsidR="005A2754" w:rsidRPr="00691087" w:rsidRDefault="00CF4092" w:rsidP="00E14117">
      <w:pPr>
        <w:pStyle w:val="ListParagraph"/>
        <w:widowControl/>
        <w:numPr>
          <w:ilvl w:val="1"/>
          <w:numId w:val="2"/>
        </w:numPr>
      </w:pPr>
      <w:r>
        <w:t>Table 13</w:t>
      </w:r>
      <w:r w:rsidR="005A2754" w:rsidRPr="00691087">
        <w:t xml:space="preserve"> presents the data sources used in the submission. </w:t>
      </w:r>
    </w:p>
    <w:p w14:paraId="2A15EE95" w14:textId="1D08E9C9" w:rsidR="005A2754" w:rsidRPr="00691087" w:rsidRDefault="005A2754" w:rsidP="004214FA">
      <w:pPr>
        <w:keepNext/>
        <w:keepLines/>
        <w:rPr>
          <w:rStyle w:val="CommentReference"/>
        </w:rPr>
      </w:pPr>
      <w:bookmarkStart w:id="31" w:name="_Ref81497373"/>
      <w:r w:rsidRPr="00691087">
        <w:rPr>
          <w:rStyle w:val="CommentReference"/>
        </w:rPr>
        <w:t xml:space="preserve">Table </w:t>
      </w:r>
      <w:bookmarkEnd w:id="31"/>
      <w:r w:rsidR="00CF4092">
        <w:rPr>
          <w:rStyle w:val="CommentReference"/>
        </w:rPr>
        <w:t>13</w:t>
      </w:r>
      <w:r w:rsidRPr="00691087">
        <w:rPr>
          <w:rStyle w:val="CommentReference"/>
        </w:rPr>
        <w:t>: Data sources and parameter values applied in the utilisation and financial estimates</w:t>
      </w:r>
      <w:r w:rsidR="00207215">
        <w:rPr>
          <w:rStyle w:val="CommentReference"/>
        </w:rPr>
        <w:t xml:space="preserve"> (in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Data sources and parameter values applied in the utilisation and financial estimates (in the submission)"/>
      </w:tblPr>
      <w:tblGrid>
        <w:gridCol w:w="1525"/>
        <w:gridCol w:w="1475"/>
        <w:gridCol w:w="1531"/>
        <w:gridCol w:w="4649"/>
      </w:tblGrid>
      <w:tr w:rsidR="005A2754" w:rsidRPr="00691087" w14:paraId="4854AF65" w14:textId="77777777" w:rsidTr="00207215">
        <w:trPr>
          <w:tblHeader/>
        </w:trPr>
        <w:tc>
          <w:tcPr>
            <w:tcW w:w="1525" w:type="dxa"/>
            <w:vAlign w:val="center"/>
          </w:tcPr>
          <w:p w14:paraId="266EA29F" w14:textId="77777777" w:rsidR="005A2754" w:rsidRPr="00691087" w:rsidRDefault="005A2754" w:rsidP="004214FA">
            <w:pPr>
              <w:pStyle w:val="Tabletext"/>
              <w:keepNext/>
              <w:keepLines/>
              <w:rPr>
                <w:b/>
              </w:rPr>
            </w:pPr>
            <w:r w:rsidRPr="00691087">
              <w:rPr>
                <w:b/>
              </w:rPr>
              <w:t>Data</w:t>
            </w:r>
          </w:p>
        </w:tc>
        <w:tc>
          <w:tcPr>
            <w:tcW w:w="1475" w:type="dxa"/>
            <w:vAlign w:val="center"/>
          </w:tcPr>
          <w:p w14:paraId="7D617517" w14:textId="77777777" w:rsidR="005A2754" w:rsidRPr="00691087" w:rsidRDefault="005A2754" w:rsidP="004214FA">
            <w:pPr>
              <w:pStyle w:val="Tabletext"/>
              <w:keepNext/>
              <w:keepLines/>
              <w:jc w:val="center"/>
              <w:rPr>
                <w:b/>
              </w:rPr>
            </w:pPr>
            <w:r w:rsidRPr="00691087">
              <w:rPr>
                <w:b/>
              </w:rPr>
              <w:t>Value</w:t>
            </w:r>
          </w:p>
        </w:tc>
        <w:tc>
          <w:tcPr>
            <w:tcW w:w="1531" w:type="dxa"/>
            <w:vAlign w:val="center"/>
          </w:tcPr>
          <w:p w14:paraId="1ED5F090" w14:textId="77777777" w:rsidR="005A2754" w:rsidRPr="00691087" w:rsidRDefault="005A2754" w:rsidP="004214FA">
            <w:pPr>
              <w:pStyle w:val="Tabletext"/>
              <w:keepNext/>
              <w:keepLines/>
              <w:jc w:val="center"/>
              <w:rPr>
                <w:b/>
              </w:rPr>
            </w:pPr>
            <w:r w:rsidRPr="00691087">
              <w:rPr>
                <w:b/>
              </w:rPr>
              <w:t>Source</w:t>
            </w:r>
          </w:p>
        </w:tc>
        <w:tc>
          <w:tcPr>
            <w:tcW w:w="4649" w:type="dxa"/>
            <w:vAlign w:val="center"/>
          </w:tcPr>
          <w:p w14:paraId="107A8BDF" w14:textId="77777777" w:rsidR="005A2754" w:rsidRPr="00691087" w:rsidRDefault="005A2754" w:rsidP="004214FA">
            <w:pPr>
              <w:pStyle w:val="Tabletext"/>
              <w:keepNext/>
              <w:keepLines/>
              <w:jc w:val="center"/>
              <w:rPr>
                <w:b/>
              </w:rPr>
            </w:pPr>
            <w:r w:rsidRPr="00691087">
              <w:rPr>
                <w:b/>
              </w:rPr>
              <w:t>Comment</w:t>
            </w:r>
          </w:p>
        </w:tc>
      </w:tr>
      <w:tr w:rsidR="005A2754" w:rsidRPr="00691087" w14:paraId="7D8958E2" w14:textId="77777777" w:rsidTr="00750D38">
        <w:tc>
          <w:tcPr>
            <w:tcW w:w="9180" w:type="dxa"/>
            <w:gridSpan w:val="4"/>
            <w:vAlign w:val="center"/>
          </w:tcPr>
          <w:p w14:paraId="73D9972C" w14:textId="77777777" w:rsidR="005A2754" w:rsidRPr="00691087" w:rsidRDefault="005A2754" w:rsidP="004214FA">
            <w:pPr>
              <w:pStyle w:val="Tabletext"/>
              <w:keepNext/>
              <w:keepLines/>
              <w:rPr>
                <w:b/>
              </w:rPr>
            </w:pPr>
            <w:r w:rsidRPr="00691087">
              <w:rPr>
                <w:b/>
              </w:rPr>
              <w:t>Eligible population</w:t>
            </w:r>
          </w:p>
        </w:tc>
      </w:tr>
      <w:tr w:rsidR="005A2754" w:rsidRPr="00691087" w14:paraId="2AD7BA59" w14:textId="77777777" w:rsidTr="00207215">
        <w:tc>
          <w:tcPr>
            <w:tcW w:w="1525" w:type="dxa"/>
            <w:vAlign w:val="center"/>
          </w:tcPr>
          <w:p w14:paraId="1923D781" w14:textId="77777777" w:rsidR="005A2754" w:rsidRPr="00691087" w:rsidRDefault="005A2754" w:rsidP="004214FA">
            <w:pPr>
              <w:pStyle w:val="Tabletext"/>
              <w:keepNext/>
              <w:keepLines/>
            </w:pPr>
            <w:r w:rsidRPr="00691087">
              <w:t xml:space="preserve">Number treated with cladribine </w:t>
            </w:r>
          </w:p>
        </w:tc>
        <w:tc>
          <w:tcPr>
            <w:tcW w:w="1475" w:type="dxa"/>
            <w:vAlign w:val="center"/>
          </w:tcPr>
          <w:p w14:paraId="0F0F3E04" w14:textId="77777777" w:rsidR="005A2754" w:rsidRPr="00691087" w:rsidRDefault="005A2754" w:rsidP="004214FA">
            <w:pPr>
              <w:pStyle w:val="Tabletext"/>
              <w:keepNext/>
              <w:keepLines/>
            </w:pPr>
            <w:r w:rsidRPr="00691087">
              <w:t>2019: 900</w:t>
            </w:r>
          </w:p>
          <w:p w14:paraId="56CAE43C" w14:textId="77777777" w:rsidR="005A2754" w:rsidRPr="00691087" w:rsidRDefault="005A2754" w:rsidP="004214FA">
            <w:pPr>
              <w:pStyle w:val="Tabletext"/>
              <w:keepNext/>
              <w:keepLines/>
            </w:pPr>
            <w:r w:rsidRPr="00691087">
              <w:t>2020: 850</w:t>
            </w:r>
          </w:p>
          <w:p w14:paraId="40A2C842" w14:textId="77777777" w:rsidR="005A2754" w:rsidRPr="00691087" w:rsidRDefault="005A2754" w:rsidP="004214FA">
            <w:pPr>
              <w:pStyle w:val="Tabletext"/>
              <w:keepNext/>
              <w:keepLines/>
            </w:pPr>
            <w:r w:rsidRPr="00691087">
              <w:t>2021: 876</w:t>
            </w:r>
          </w:p>
          <w:p w14:paraId="3FE96C7C" w14:textId="77777777" w:rsidR="005A2754" w:rsidRPr="00691087" w:rsidRDefault="005A2754" w:rsidP="004214FA">
            <w:pPr>
              <w:pStyle w:val="Tabletext"/>
              <w:keepNext/>
              <w:keepLines/>
            </w:pPr>
            <w:r w:rsidRPr="00691087">
              <w:t>2022: 902</w:t>
            </w:r>
          </w:p>
          <w:p w14:paraId="78F3A916" w14:textId="77777777" w:rsidR="005A2754" w:rsidRPr="00691087" w:rsidRDefault="005A2754" w:rsidP="004214FA">
            <w:pPr>
              <w:pStyle w:val="Tabletext"/>
              <w:keepNext/>
              <w:keepLines/>
            </w:pPr>
            <w:r w:rsidRPr="00691087">
              <w:t>2023: 929</w:t>
            </w:r>
          </w:p>
          <w:p w14:paraId="36AA9B3E" w14:textId="77777777" w:rsidR="005A2754" w:rsidRPr="00691087" w:rsidRDefault="005A2754" w:rsidP="004214FA">
            <w:pPr>
              <w:pStyle w:val="Tabletext"/>
              <w:keepNext/>
              <w:keepLines/>
            </w:pPr>
            <w:r w:rsidRPr="00691087">
              <w:t>2024: 957</w:t>
            </w:r>
          </w:p>
          <w:p w14:paraId="4A1262E1" w14:textId="77777777" w:rsidR="005A2754" w:rsidRPr="00691087" w:rsidRDefault="005A2754" w:rsidP="004214FA">
            <w:pPr>
              <w:pStyle w:val="Tabletext"/>
              <w:keepNext/>
              <w:keepLines/>
            </w:pPr>
            <w:r w:rsidRPr="00691087">
              <w:t>2025: 985</w:t>
            </w:r>
          </w:p>
          <w:p w14:paraId="3E6824E9" w14:textId="77777777" w:rsidR="005A2754" w:rsidRPr="00691087" w:rsidRDefault="005A2754" w:rsidP="004214FA">
            <w:pPr>
              <w:pStyle w:val="Tabletext"/>
              <w:keepNext/>
              <w:keepLines/>
            </w:pPr>
            <w:r w:rsidRPr="00691087">
              <w:t>2026: 1,015</w:t>
            </w:r>
          </w:p>
          <w:p w14:paraId="3C5CC9F3" w14:textId="77777777" w:rsidR="005A2754" w:rsidRPr="00691087" w:rsidRDefault="005A2754" w:rsidP="004214FA">
            <w:pPr>
              <w:pStyle w:val="Tabletext"/>
              <w:keepNext/>
              <w:keepLines/>
            </w:pPr>
            <w:r w:rsidRPr="00691087">
              <w:t>2027: 1,045</w:t>
            </w:r>
          </w:p>
        </w:tc>
        <w:tc>
          <w:tcPr>
            <w:tcW w:w="1531" w:type="dxa"/>
            <w:vAlign w:val="center"/>
          </w:tcPr>
          <w:p w14:paraId="4EBC37CF" w14:textId="77777777" w:rsidR="005A2754" w:rsidRPr="00691087" w:rsidRDefault="005A2754" w:rsidP="004214FA">
            <w:pPr>
              <w:pStyle w:val="Tabletext"/>
              <w:keepNext/>
              <w:keepLines/>
            </w:pPr>
            <w:r w:rsidRPr="00691087">
              <w:t>Years 2019 and 2020 were estimated from the PBS 10% data sample</w:t>
            </w:r>
          </w:p>
        </w:tc>
        <w:tc>
          <w:tcPr>
            <w:tcW w:w="4649" w:type="dxa"/>
            <w:vAlign w:val="center"/>
          </w:tcPr>
          <w:p w14:paraId="25B5D372" w14:textId="77777777" w:rsidR="00E14117" w:rsidRPr="00EB49D2" w:rsidRDefault="00E14117" w:rsidP="004214FA">
            <w:pPr>
              <w:pStyle w:val="Tabletext"/>
              <w:keepNext/>
              <w:keepLines/>
              <w:rPr>
                <w:iCs/>
              </w:rPr>
            </w:pPr>
            <w:r w:rsidRPr="00EB49D2">
              <w:rPr>
                <w:iCs/>
              </w:rPr>
              <w:t xml:space="preserve">These patient numbers were used to derive the number of fewer patients who would use fingolimod in Years 3 and 4 post-cladribine, and assuming 12.45 fingolimod scripts per year. </w:t>
            </w:r>
          </w:p>
          <w:p w14:paraId="4B7D8EAF" w14:textId="77777777" w:rsidR="005A2754" w:rsidRPr="00691087" w:rsidRDefault="005A2754" w:rsidP="004214FA">
            <w:pPr>
              <w:pStyle w:val="Tabletext"/>
              <w:keepNext/>
              <w:keepLines/>
            </w:pPr>
            <w:r w:rsidRPr="00691087">
              <w:t xml:space="preserve">The submission noted the decrease in patients between 2019 and 2020 was due to the impact COVID-19 as the restrictions on hospitals and clinics prohibited many new patients from initiating cladribine treatment or had patients delay their second year of treatment. </w:t>
            </w:r>
          </w:p>
        </w:tc>
      </w:tr>
      <w:tr w:rsidR="005A2754" w:rsidRPr="00691087" w14:paraId="5DBF71B9" w14:textId="77777777" w:rsidTr="00207215">
        <w:tc>
          <w:tcPr>
            <w:tcW w:w="1525" w:type="dxa"/>
            <w:vAlign w:val="center"/>
          </w:tcPr>
          <w:p w14:paraId="3114BBF4" w14:textId="77777777" w:rsidR="005A2754" w:rsidRPr="00691087" w:rsidRDefault="005A2754" w:rsidP="004214FA">
            <w:pPr>
              <w:pStyle w:val="Tabletext"/>
              <w:keepNext/>
              <w:keepLines/>
            </w:pPr>
            <w:r w:rsidRPr="00691087">
              <w:t>Cladribine scripts, 2021</w:t>
            </w:r>
          </w:p>
        </w:tc>
        <w:tc>
          <w:tcPr>
            <w:tcW w:w="1475" w:type="dxa"/>
            <w:vAlign w:val="center"/>
          </w:tcPr>
          <w:p w14:paraId="037B4E65" w14:textId="77777777" w:rsidR="005A2754" w:rsidRPr="00691087" w:rsidRDefault="005A2754" w:rsidP="004214FA">
            <w:pPr>
              <w:pStyle w:val="Tabletext"/>
              <w:keepNext/>
              <w:keepLines/>
            </w:pPr>
            <w:r w:rsidRPr="00691087">
              <w:t>1 tablet: 1,133</w:t>
            </w:r>
          </w:p>
          <w:p w14:paraId="2C7B287F" w14:textId="77777777" w:rsidR="005A2754" w:rsidRPr="00691087" w:rsidRDefault="005A2754" w:rsidP="004214FA">
            <w:pPr>
              <w:pStyle w:val="Tabletext"/>
              <w:keepNext/>
              <w:keepLines/>
            </w:pPr>
            <w:r w:rsidRPr="00691087">
              <w:t>4 tablets: 1,320</w:t>
            </w:r>
          </w:p>
          <w:p w14:paraId="0BCD65A2" w14:textId="77777777" w:rsidR="005A2754" w:rsidRPr="00691087" w:rsidRDefault="005A2754" w:rsidP="004214FA">
            <w:pPr>
              <w:pStyle w:val="Tabletext"/>
              <w:keepNext/>
              <w:keepLines/>
            </w:pPr>
            <w:r w:rsidRPr="00691087">
              <w:t>6 tablets: 1,594</w:t>
            </w:r>
          </w:p>
        </w:tc>
        <w:tc>
          <w:tcPr>
            <w:tcW w:w="1531" w:type="dxa"/>
            <w:vAlign w:val="center"/>
          </w:tcPr>
          <w:p w14:paraId="61C0B4FE" w14:textId="77777777" w:rsidR="005A2754" w:rsidRPr="00691087" w:rsidRDefault="005A2754" w:rsidP="004214FA">
            <w:pPr>
              <w:pStyle w:val="Tabletext"/>
              <w:keepNext/>
              <w:keepLines/>
            </w:pPr>
            <w:r w:rsidRPr="00691087">
              <w:t>PBS 10% data sample.</w:t>
            </w:r>
          </w:p>
        </w:tc>
        <w:tc>
          <w:tcPr>
            <w:tcW w:w="4649" w:type="dxa"/>
            <w:vAlign w:val="center"/>
          </w:tcPr>
          <w:p w14:paraId="38EC5681" w14:textId="77777777" w:rsidR="005A2754" w:rsidRPr="00691087" w:rsidRDefault="005A2754" w:rsidP="004214FA">
            <w:pPr>
              <w:pStyle w:val="Tabletext"/>
              <w:keepNext/>
              <w:keepLines/>
            </w:pPr>
            <w:r w:rsidRPr="00691087">
              <w:t xml:space="preserve">Reasonable. </w:t>
            </w:r>
          </w:p>
        </w:tc>
      </w:tr>
      <w:tr w:rsidR="005A2754" w:rsidRPr="00691087" w14:paraId="44834A60" w14:textId="77777777" w:rsidTr="00207215">
        <w:tc>
          <w:tcPr>
            <w:tcW w:w="1525" w:type="dxa"/>
            <w:vAlign w:val="center"/>
          </w:tcPr>
          <w:p w14:paraId="147A9E67" w14:textId="77777777" w:rsidR="005A2754" w:rsidRPr="00691087" w:rsidRDefault="005A2754" w:rsidP="004214FA">
            <w:pPr>
              <w:pStyle w:val="Tabletext"/>
              <w:keepNext/>
              <w:keepLines/>
            </w:pPr>
            <w:r w:rsidRPr="00691087">
              <w:t>Market growth</w:t>
            </w:r>
          </w:p>
        </w:tc>
        <w:tc>
          <w:tcPr>
            <w:tcW w:w="1475" w:type="dxa"/>
            <w:vAlign w:val="center"/>
          </w:tcPr>
          <w:p w14:paraId="3F1B80E0" w14:textId="77777777" w:rsidR="005A2754" w:rsidRPr="00691087" w:rsidRDefault="005A2754" w:rsidP="004214FA">
            <w:pPr>
              <w:pStyle w:val="Tabletext"/>
              <w:keepNext/>
              <w:keepLines/>
            </w:pPr>
            <w:r w:rsidRPr="00691087">
              <w:t>3%</w:t>
            </w:r>
          </w:p>
        </w:tc>
        <w:tc>
          <w:tcPr>
            <w:tcW w:w="1531" w:type="dxa"/>
            <w:vAlign w:val="center"/>
          </w:tcPr>
          <w:p w14:paraId="1D2BF8B4" w14:textId="77777777" w:rsidR="005A2754" w:rsidRPr="00691087" w:rsidRDefault="005A2754" w:rsidP="004214FA">
            <w:pPr>
              <w:pStyle w:val="Tabletext"/>
              <w:keepNext/>
              <w:keepLines/>
            </w:pPr>
            <w:r w:rsidRPr="00691087">
              <w:t>Deed of Agreement</w:t>
            </w:r>
          </w:p>
        </w:tc>
        <w:tc>
          <w:tcPr>
            <w:tcW w:w="4649" w:type="dxa"/>
            <w:vAlign w:val="center"/>
          </w:tcPr>
          <w:p w14:paraId="3AF0D760" w14:textId="77777777" w:rsidR="005A2754" w:rsidRPr="00691087" w:rsidRDefault="00804F9E" w:rsidP="004214FA">
            <w:pPr>
              <w:pStyle w:val="Tabletext"/>
              <w:keepNext/>
              <w:keepLines/>
            </w:pPr>
            <w:r w:rsidRPr="00691087">
              <w:t xml:space="preserve">The submission stated that projected annual growth rate could not be determined from the PBS services, as there </w:t>
            </w:r>
            <w:r w:rsidR="00553C3A">
              <w:t>we</w:t>
            </w:r>
            <w:r w:rsidRPr="00691087">
              <w:t xml:space="preserve">re only two calendar years of data available. Cladribine </w:t>
            </w:r>
            <w:r w:rsidR="00553C3A">
              <w:t xml:space="preserve">use </w:t>
            </w:r>
            <w:r w:rsidRPr="00691087">
              <w:t xml:space="preserve">increased by 24% from 2019 to 2020, and the submission considered it would be unrealistic to expect a similar growth rate for the following six years. Therefore, the growth rate accepted in the Deed of Agreement for cladribine between the Commonwealth and </w:t>
            </w:r>
            <w:r w:rsidR="00250C17" w:rsidRPr="00691087">
              <w:t>the sponsor</w:t>
            </w:r>
            <w:r w:rsidRPr="00691087">
              <w:t xml:space="preserve"> was applied to the model. According to the Deed, the combined cladribine + </w:t>
            </w:r>
            <w:r w:rsidR="006B1A5B" w:rsidRPr="00691087">
              <w:t>f</w:t>
            </w:r>
            <w:r w:rsidRPr="00691087">
              <w:t>ingolimod market was expected to grow annually by 3%</w:t>
            </w:r>
            <w:r w:rsidR="00AF6630">
              <w:t>.</w:t>
            </w:r>
          </w:p>
        </w:tc>
      </w:tr>
      <w:tr w:rsidR="005A2754" w:rsidRPr="00691087" w14:paraId="572367B7" w14:textId="77777777" w:rsidTr="00207215">
        <w:tc>
          <w:tcPr>
            <w:tcW w:w="1525" w:type="dxa"/>
            <w:vAlign w:val="center"/>
          </w:tcPr>
          <w:p w14:paraId="7BC9302B" w14:textId="77777777" w:rsidR="005A2754" w:rsidRPr="00691087" w:rsidRDefault="005A2754" w:rsidP="004214FA">
            <w:pPr>
              <w:pStyle w:val="Tabletext"/>
              <w:keepNext/>
              <w:keepLines/>
            </w:pPr>
            <w:r w:rsidRPr="00691087">
              <w:t xml:space="preserve">% remaining treatment free after two years of cladribine </w:t>
            </w:r>
          </w:p>
        </w:tc>
        <w:tc>
          <w:tcPr>
            <w:tcW w:w="1475" w:type="dxa"/>
            <w:vAlign w:val="center"/>
          </w:tcPr>
          <w:p w14:paraId="7049E604" w14:textId="77777777" w:rsidR="005A2754" w:rsidRPr="00691087" w:rsidRDefault="005A2754" w:rsidP="004214FA">
            <w:pPr>
              <w:pStyle w:val="Tabletext"/>
              <w:keepNext/>
              <w:keepLines/>
            </w:pPr>
            <w:r w:rsidRPr="00691087">
              <w:t>Year 3 – 70%</w:t>
            </w:r>
          </w:p>
          <w:p w14:paraId="5E0A2628" w14:textId="77777777" w:rsidR="005A2754" w:rsidRPr="00691087" w:rsidRDefault="005A2754" w:rsidP="004214FA">
            <w:pPr>
              <w:pStyle w:val="Tabletext"/>
              <w:keepNext/>
              <w:keepLines/>
            </w:pPr>
            <w:r w:rsidRPr="00691087">
              <w:t>Year 4 – 55.6%</w:t>
            </w:r>
          </w:p>
        </w:tc>
        <w:tc>
          <w:tcPr>
            <w:tcW w:w="1531" w:type="dxa"/>
            <w:vAlign w:val="center"/>
          </w:tcPr>
          <w:p w14:paraId="4666AC5D" w14:textId="77777777" w:rsidR="005A2754" w:rsidRPr="00691087" w:rsidRDefault="005A2754" w:rsidP="004214FA">
            <w:pPr>
              <w:pStyle w:val="Tabletext"/>
              <w:keepNext/>
              <w:keepLines/>
            </w:pPr>
            <w:r w:rsidRPr="00691087">
              <w:t>Patti (2020)</w:t>
            </w:r>
          </w:p>
        </w:tc>
        <w:tc>
          <w:tcPr>
            <w:tcW w:w="4649" w:type="dxa"/>
            <w:vAlign w:val="center"/>
          </w:tcPr>
          <w:p w14:paraId="6BEF51D6" w14:textId="77777777" w:rsidR="005A2754" w:rsidRPr="00691087" w:rsidRDefault="00FE47B2" w:rsidP="004214FA">
            <w:pPr>
              <w:pStyle w:val="Tabletext"/>
              <w:keepNext/>
              <w:keepLines/>
            </w:pPr>
            <w:r w:rsidRPr="00691087">
              <w:t>T</w:t>
            </w:r>
            <w:r w:rsidR="005A2754" w:rsidRPr="00691087">
              <w:t>he</w:t>
            </w:r>
            <w:r w:rsidR="00553C3A">
              <w:t xml:space="preserve"> evaluation and the ESC considered that the</w:t>
            </w:r>
            <w:r w:rsidR="005A2754" w:rsidRPr="00691087">
              <w:t xml:space="preserve"> Patti (2020) estimates </w:t>
            </w:r>
            <w:r w:rsidR="00553C3A">
              <w:t>we</w:t>
            </w:r>
            <w:r w:rsidR="005A2754" w:rsidRPr="00691087">
              <w:t>re not applicable to the Australian setting and could overestimate how long patients remain without initiating subsequent treatment.</w:t>
            </w:r>
            <w:r w:rsidR="00207215" w:rsidRPr="00691087" w:rsidDel="00207215">
              <w:t xml:space="preserve"> </w:t>
            </w:r>
          </w:p>
        </w:tc>
      </w:tr>
    </w:tbl>
    <w:p w14:paraId="044EC3C1" w14:textId="0F702BB0" w:rsidR="005A2754" w:rsidRPr="00691087" w:rsidRDefault="005A2754" w:rsidP="005A2754">
      <w:pPr>
        <w:pStyle w:val="TableFooter"/>
      </w:pPr>
      <w:r w:rsidRPr="00691087">
        <w:t>Source: Table 63, p90 and Table 65, pp91-92 of the submission</w:t>
      </w:r>
    </w:p>
    <w:p w14:paraId="5CB888A5" w14:textId="77777777" w:rsidR="005A2754" w:rsidRPr="00691087" w:rsidRDefault="005A2754" w:rsidP="005A2754">
      <w:pPr>
        <w:pStyle w:val="TableFooter"/>
        <w:rPr>
          <w:sz w:val="20"/>
        </w:rPr>
      </w:pPr>
      <w:r w:rsidRPr="00691087">
        <w:t>MBS = Medicare Benefits Scheme; PBS = Pharmaceutical Benefits Scheme; RPBS = Repatriation Pharmaceutical Benefits Scheme.</w:t>
      </w:r>
    </w:p>
    <w:p w14:paraId="2E5F115C" w14:textId="77777777" w:rsidR="005A2754" w:rsidRPr="00691087" w:rsidRDefault="005A2754" w:rsidP="005A2754">
      <w:pPr>
        <w:widowControl/>
      </w:pPr>
    </w:p>
    <w:p w14:paraId="1029D416" w14:textId="77777777" w:rsidR="005A2754" w:rsidRPr="00691087" w:rsidRDefault="00CF4092" w:rsidP="005A2754">
      <w:pPr>
        <w:pStyle w:val="ListParagraph"/>
        <w:widowControl/>
        <w:numPr>
          <w:ilvl w:val="1"/>
          <w:numId w:val="2"/>
        </w:numPr>
      </w:pPr>
      <w:r>
        <w:t>Table 14</w:t>
      </w:r>
      <w:r w:rsidR="005A2754" w:rsidRPr="00691087">
        <w:t xml:space="preserve"> presents the estimated financial implications of increasing the price of cladribine</w:t>
      </w:r>
      <w:r w:rsidR="00207215">
        <w:t>, at the price proposed in the submission</w:t>
      </w:r>
      <w:r w:rsidR="005A2754" w:rsidRPr="00691087">
        <w:t>.</w:t>
      </w:r>
    </w:p>
    <w:p w14:paraId="2FBA056B" w14:textId="5D48ABD1" w:rsidR="005A2754" w:rsidRPr="00691087" w:rsidRDefault="005A2754" w:rsidP="004214FA">
      <w:pPr>
        <w:keepNext/>
        <w:keepLines/>
        <w:rPr>
          <w:rStyle w:val="CommentReference"/>
        </w:rPr>
      </w:pPr>
      <w:bookmarkStart w:id="32" w:name="_Ref81497417"/>
      <w:r w:rsidRPr="00691087">
        <w:rPr>
          <w:rStyle w:val="CommentReference"/>
        </w:rPr>
        <w:t xml:space="preserve">Table </w:t>
      </w:r>
      <w:bookmarkEnd w:id="32"/>
      <w:r w:rsidR="00CF4092">
        <w:rPr>
          <w:rStyle w:val="CommentReference"/>
        </w:rPr>
        <w:t>14</w:t>
      </w:r>
      <w:r w:rsidRPr="00691087">
        <w:rPr>
          <w:rStyle w:val="CommentReference"/>
        </w:rPr>
        <w:t>: Estimated use and financial implications</w:t>
      </w:r>
      <w:r w:rsidR="00553C3A">
        <w:rPr>
          <w:rStyle w:val="CommentReference"/>
        </w:rPr>
        <w:t xml:space="preserve"> (based on price proposed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Estimated use and financial implications (based on price proposed in the submission)"/>
      </w:tblPr>
      <w:tblGrid>
        <w:gridCol w:w="1830"/>
        <w:gridCol w:w="1127"/>
        <w:gridCol w:w="1129"/>
        <w:gridCol w:w="1268"/>
        <w:gridCol w:w="1214"/>
        <w:gridCol w:w="1163"/>
        <w:gridCol w:w="1286"/>
      </w:tblGrid>
      <w:tr w:rsidR="00A65795" w:rsidRPr="00691087" w14:paraId="1B1B89A4" w14:textId="77777777" w:rsidTr="00A65795">
        <w:trPr>
          <w:tblHeader/>
        </w:trPr>
        <w:tc>
          <w:tcPr>
            <w:tcW w:w="1015" w:type="pct"/>
            <w:shd w:val="clear" w:color="auto" w:fill="auto"/>
            <w:vAlign w:val="center"/>
          </w:tcPr>
          <w:p w14:paraId="0E6EA0E8" w14:textId="77777777" w:rsidR="00FE47B2" w:rsidRPr="00691087" w:rsidRDefault="00FE47B2" w:rsidP="004214FA">
            <w:pPr>
              <w:pStyle w:val="Tabletext"/>
              <w:keepNext/>
              <w:keepLines/>
            </w:pPr>
          </w:p>
        </w:tc>
        <w:tc>
          <w:tcPr>
            <w:tcW w:w="625" w:type="pct"/>
            <w:shd w:val="clear" w:color="auto" w:fill="auto"/>
            <w:vAlign w:val="center"/>
          </w:tcPr>
          <w:p w14:paraId="451F9F40" w14:textId="77777777" w:rsidR="00FE47B2" w:rsidRPr="00691087" w:rsidRDefault="00FE47B2" w:rsidP="004214FA">
            <w:pPr>
              <w:pStyle w:val="Tabletext"/>
              <w:keepNext/>
              <w:keepLines/>
              <w:jc w:val="center"/>
              <w:rPr>
                <w:b/>
              </w:rPr>
            </w:pPr>
            <w:r w:rsidRPr="00691087">
              <w:rPr>
                <w:b/>
              </w:rPr>
              <w:t>Year 1</w:t>
            </w:r>
          </w:p>
        </w:tc>
        <w:tc>
          <w:tcPr>
            <w:tcW w:w="626" w:type="pct"/>
            <w:shd w:val="clear" w:color="auto" w:fill="auto"/>
            <w:vAlign w:val="center"/>
          </w:tcPr>
          <w:p w14:paraId="692D3237" w14:textId="77777777" w:rsidR="00FE47B2" w:rsidRPr="00691087" w:rsidRDefault="00FE47B2" w:rsidP="004214FA">
            <w:pPr>
              <w:pStyle w:val="Tabletext"/>
              <w:keepNext/>
              <w:keepLines/>
              <w:jc w:val="center"/>
              <w:rPr>
                <w:b/>
              </w:rPr>
            </w:pPr>
            <w:r w:rsidRPr="00691087">
              <w:rPr>
                <w:b/>
              </w:rPr>
              <w:t>Year 2</w:t>
            </w:r>
          </w:p>
        </w:tc>
        <w:tc>
          <w:tcPr>
            <w:tcW w:w="703" w:type="pct"/>
            <w:shd w:val="clear" w:color="auto" w:fill="auto"/>
            <w:vAlign w:val="center"/>
          </w:tcPr>
          <w:p w14:paraId="05EC4B44" w14:textId="77777777" w:rsidR="00FE47B2" w:rsidRPr="00691087" w:rsidRDefault="00FE47B2" w:rsidP="004214FA">
            <w:pPr>
              <w:pStyle w:val="Tabletext"/>
              <w:keepNext/>
              <w:keepLines/>
              <w:jc w:val="center"/>
              <w:rPr>
                <w:b/>
              </w:rPr>
            </w:pPr>
            <w:r w:rsidRPr="00691087">
              <w:rPr>
                <w:b/>
              </w:rPr>
              <w:t>Year 3</w:t>
            </w:r>
          </w:p>
        </w:tc>
        <w:tc>
          <w:tcPr>
            <w:tcW w:w="673" w:type="pct"/>
            <w:shd w:val="clear" w:color="auto" w:fill="auto"/>
            <w:vAlign w:val="center"/>
          </w:tcPr>
          <w:p w14:paraId="551016AA" w14:textId="77777777" w:rsidR="00FE47B2" w:rsidRPr="00691087" w:rsidRDefault="00FE47B2" w:rsidP="004214FA">
            <w:pPr>
              <w:pStyle w:val="Tabletext"/>
              <w:keepNext/>
              <w:keepLines/>
              <w:jc w:val="center"/>
              <w:rPr>
                <w:b/>
              </w:rPr>
            </w:pPr>
            <w:r w:rsidRPr="00691087">
              <w:rPr>
                <w:b/>
              </w:rPr>
              <w:t>Year 4</w:t>
            </w:r>
          </w:p>
        </w:tc>
        <w:tc>
          <w:tcPr>
            <w:tcW w:w="645" w:type="pct"/>
            <w:shd w:val="clear" w:color="auto" w:fill="auto"/>
            <w:vAlign w:val="center"/>
          </w:tcPr>
          <w:p w14:paraId="654262FA" w14:textId="77777777" w:rsidR="00FE47B2" w:rsidRPr="00691087" w:rsidRDefault="00FE47B2" w:rsidP="004214FA">
            <w:pPr>
              <w:pStyle w:val="Tabletext"/>
              <w:keepNext/>
              <w:keepLines/>
              <w:jc w:val="center"/>
              <w:rPr>
                <w:b/>
              </w:rPr>
            </w:pPr>
            <w:r w:rsidRPr="00691087">
              <w:rPr>
                <w:b/>
              </w:rPr>
              <w:t>Year 5</w:t>
            </w:r>
          </w:p>
        </w:tc>
        <w:tc>
          <w:tcPr>
            <w:tcW w:w="714" w:type="pct"/>
          </w:tcPr>
          <w:p w14:paraId="3EDC0E40" w14:textId="77777777" w:rsidR="00FE47B2" w:rsidRPr="00691087" w:rsidRDefault="00FE47B2" w:rsidP="004214FA">
            <w:pPr>
              <w:pStyle w:val="Tabletext"/>
              <w:keepNext/>
              <w:keepLines/>
              <w:jc w:val="center"/>
              <w:rPr>
                <w:b/>
              </w:rPr>
            </w:pPr>
            <w:r w:rsidRPr="00691087">
              <w:rPr>
                <w:b/>
              </w:rPr>
              <w:t>Year 6</w:t>
            </w:r>
          </w:p>
        </w:tc>
      </w:tr>
      <w:tr w:rsidR="00FE47B2" w:rsidRPr="00691087" w14:paraId="53B0A937" w14:textId="77777777" w:rsidTr="00A65795">
        <w:tc>
          <w:tcPr>
            <w:tcW w:w="5000" w:type="pct"/>
            <w:gridSpan w:val="7"/>
            <w:shd w:val="clear" w:color="auto" w:fill="auto"/>
            <w:vAlign w:val="center"/>
          </w:tcPr>
          <w:p w14:paraId="0A7C0AA2" w14:textId="77777777" w:rsidR="00FE47B2" w:rsidRPr="00691087" w:rsidRDefault="00FE47B2" w:rsidP="004214FA">
            <w:pPr>
              <w:pStyle w:val="Tabletext"/>
              <w:keepNext/>
              <w:keepLines/>
              <w:rPr>
                <w:b/>
                <w:bCs/>
                <w:color w:val="000000"/>
              </w:rPr>
            </w:pPr>
            <w:r w:rsidRPr="00691087">
              <w:rPr>
                <w:b/>
                <w:bCs/>
                <w:color w:val="000000"/>
              </w:rPr>
              <w:t>Estimated extent of use</w:t>
            </w:r>
          </w:p>
        </w:tc>
      </w:tr>
      <w:tr w:rsidR="00A65795" w:rsidRPr="00691087" w14:paraId="7AEEAAAE" w14:textId="77777777" w:rsidTr="00A65795">
        <w:tc>
          <w:tcPr>
            <w:tcW w:w="1015" w:type="pct"/>
            <w:shd w:val="clear" w:color="auto" w:fill="auto"/>
            <w:vAlign w:val="center"/>
          </w:tcPr>
          <w:p w14:paraId="3B587DF2" w14:textId="77777777" w:rsidR="00FE47B2" w:rsidRPr="00691087" w:rsidRDefault="00FE47B2" w:rsidP="004214FA">
            <w:pPr>
              <w:pStyle w:val="Tabletext"/>
              <w:keepNext/>
              <w:keepLines/>
              <w:rPr>
                <w:rFonts w:ascii="Times" w:hAnsi="Times"/>
              </w:rPr>
            </w:pPr>
            <w:r w:rsidRPr="00691087">
              <w:t>Number of scripts dispensed</w:t>
            </w:r>
            <w:r w:rsidRPr="00691087">
              <w:rPr>
                <w:vertAlign w:val="superscript"/>
              </w:rPr>
              <w:t>a</w:t>
            </w:r>
          </w:p>
        </w:tc>
        <w:tc>
          <w:tcPr>
            <w:tcW w:w="625" w:type="pct"/>
            <w:shd w:val="clear" w:color="auto" w:fill="auto"/>
            <w:vAlign w:val="center"/>
          </w:tcPr>
          <w:p w14:paraId="4CE47405"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1</w:t>
            </w:r>
          </w:p>
        </w:tc>
        <w:tc>
          <w:tcPr>
            <w:tcW w:w="626" w:type="pct"/>
            <w:shd w:val="clear" w:color="auto" w:fill="auto"/>
            <w:vAlign w:val="center"/>
          </w:tcPr>
          <w:p w14:paraId="7343CC1D"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1</w:t>
            </w:r>
          </w:p>
        </w:tc>
        <w:tc>
          <w:tcPr>
            <w:tcW w:w="703" w:type="pct"/>
            <w:shd w:val="clear" w:color="auto" w:fill="auto"/>
            <w:vAlign w:val="center"/>
          </w:tcPr>
          <w:p w14:paraId="0AFA6EBF"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1</w:t>
            </w:r>
          </w:p>
        </w:tc>
        <w:tc>
          <w:tcPr>
            <w:tcW w:w="673" w:type="pct"/>
            <w:shd w:val="clear" w:color="auto" w:fill="auto"/>
            <w:vAlign w:val="center"/>
          </w:tcPr>
          <w:p w14:paraId="447752C1"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1</w:t>
            </w:r>
          </w:p>
        </w:tc>
        <w:tc>
          <w:tcPr>
            <w:tcW w:w="645" w:type="pct"/>
            <w:shd w:val="clear" w:color="auto" w:fill="auto"/>
            <w:vAlign w:val="center"/>
          </w:tcPr>
          <w:p w14:paraId="30AE86E3"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1</w:t>
            </w:r>
          </w:p>
        </w:tc>
        <w:tc>
          <w:tcPr>
            <w:tcW w:w="714" w:type="pct"/>
            <w:vAlign w:val="center"/>
          </w:tcPr>
          <w:p w14:paraId="327984F6"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1</w:t>
            </w:r>
          </w:p>
        </w:tc>
      </w:tr>
      <w:tr w:rsidR="00FE47B2" w:rsidRPr="00691087" w14:paraId="513D3554" w14:textId="77777777" w:rsidTr="00A65795">
        <w:trPr>
          <w:trHeight w:val="101"/>
        </w:trPr>
        <w:tc>
          <w:tcPr>
            <w:tcW w:w="5000" w:type="pct"/>
            <w:gridSpan w:val="7"/>
            <w:shd w:val="clear" w:color="auto" w:fill="auto"/>
            <w:vAlign w:val="center"/>
          </w:tcPr>
          <w:p w14:paraId="3116C2D5" w14:textId="77777777" w:rsidR="00FE47B2" w:rsidRPr="00691087" w:rsidRDefault="00FE47B2" w:rsidP="004214FA">
            <w:pPr>
              <w:pStyle w:val="Tabletext"/>
              <w:keepNext/>
              <w:keepLines/>
              <w:rPr>
                <w:b/>
                <w:bCs/>
                <w:color w:val="000000"/>
              </w:rPr>
            </w:pPr>
            <w:r w:rsidRPr="00691087">
              <w:rPr>
                <w:b/>
                <w:bCs/>
                <w:color w:val="000000"/>
              </w:rPr>
              <w:t>Estimated financial implications of cladribine at new price</w:t>
            </w:r>
          </w:p>
        </w:tc>
      </w:tr>
      <w:tr w:rsidR="00A65795" w:rsidRPr="00691087" w14:paraId="42051D1C" w14:textId="77777777" w:rsidTr="00A65795">
        <w:tc>
          <w:tcPr>
            <w:tcW w:w="1015" w:type="pct"/>
            <w:shd w:val="clear" w:color="auto" w:fill="auto"/>
            <w:vAlign w:val="center"/>
          </w:tcPr>
          <w:p w14:paraId="3433AA16" w14:textId="77777777" w:rsidR="00FE47B2" w:rsidRPr="00691087" w:rsidRDefault="00FE47B2" w:rsidP="004214FA">
            <w:pPr>
              <w:pStyle w:val="Tabletext"/>
              <w:keepNext/>
              <w:keepLines/>
              <w:rPr>
                <w:sz w:val="19"/>
                <w:szCs w:val="19"/>
              </w:rPr>
            </w:pPr>
            <w:r w:rsidRPr="00691087">
              <w:rPr>
                <w:sz w:val="19"/>
                <w:szCs w:val="19"/>
              </w:rPr>
              <w:t>Cost to PBS/RPBS less copayments</w:t>
            </w:r>
          </w:p>
        </w:tc>
        <w:tc>
          <w:tcPr>
            <w:tcW w:w="625" w:type="pct"/>
            <w:shd w:val="clear" w:color="auto" w:fill="auto"/>
            <w:vAlign w:val="center"/>
          </w:tcPr>
          <w:p w14:paraId="3D10EE47"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2</w:t>
            </w:r>
          </w:p>
        </w:tc>
        <w:tc>
          <w:tcPr>
            <w:tcW w:w="626" w:type="pct"/>
            <w:shd w:val="clear" w:color="auto" w:fill="auto"/>
            <w:vAlign w:val="center"/>
          </w:tcPr>
          <w:p w14:paraId="4D91DCEE"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2</w:t>
            </w:r>
          </w:p>
        </w:tc>
        <w:tc>
          <w:tcPr>
            <w:tcW w:w="703" w:type="pct"/>
            <w:shd w:val="clear" w:color="auto" w:fill="auto"/>
            <w:vAlign w:val="center"/>
          </w:tcPr>
          <w:p w14:paraId="6FD566B5"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2</w:t>
            </w:r>
          </w:p>
        </w:tc>
        <w:tc>
          <w:tcPr>
            <w:tcW w:w="673" w:type="pct"/>
            <w:shd w:val="clear" w:color="auto" w:fill="auto"/>
            <w:vAlign w:val="center"/>
          </w:tcPr>
          <w:p w14:paraId="68D21C32"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2</w:t>
            </w:r>
          </w:p>
        </w:tc>
        <w:tc>
          <w:tcPr>
            <w:tcW w:w="645" w:type="pct"/>
            <w:shd w:val="clear" w:color="auto" w:fill="auto"/>
            <w:vAlign w:val="center"/>
          </w:tcPr>
          <w:p w14:paraId="5F90A079"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2</w:t>
            </w:r>
          </w:p>
        </w:tc>
        <w:tc>
          <w:tcPr>
            <w:tcW w:w="714" w:type="pct"/>
            <w:shd w:val="clear" w:color="auto" w:fill="auto"/>
            <w:vAlign w:val="center"/>
          </w:tcPr>
          <w:p w14:paraId="4A693AE4" w14:textId="77777777" w:rsidR="00FE47B2" w:rsidRPr="00790620" w:rsidRDefault="00790620" w:rsidP="004214FA">
            <w:pPr>
              <w:pStyle w:val="Tabletext"/>
              <w:keepNext/>
              <w:keepLines/>
              <w:jc w:val="center"/>
              <w:rPr>
                <w:bCs/>
                <w:color w:val="000000"/>
              </w:rPr>
            </w:pPr>
            <w:r>
              <w:rPr>
                <w:noProof/>
                <w:color w:val="000000"/>
                <w:szCs w:val="20"/>
                <w:highlight w:val="black"/>
              </w:rPr>
              <w:t>''''''''''''''''''''''''''</w:t>
            </w:r>
            <w:r w:rsidR="00256B93">
              <w:rPr>
                <w:vertAlign w:val="superscript"/>
              </w:rPr>
              <w:t>3</w:t>
            </w:r>
          </w:p>
        </w:tc>
      </w:tr>
      <w:tr w:rsidR="00FE47B2" w:rsidRPr="00691087" w14:paraId="39CC2ABC" w14:textId="77777777" w:rsidTr="00A65795">
        <w:tc>
          <w:tcPr>
            <w:tcW w:w="5000" w:type="pct"/>
            <w:gridSpan w:val="7"/>
            <w:shd w:val="clear" w:color="auto" w:fill="auto"/>
            <w:vAlign w:val="center"/>
          </w:tcPr>
          <w:p w14:paraId="593AA4AB" w14:textId="77777777" w:rsidR="00FE47B2" w:rsidRPr="00691087" w:rsidRDefault="00FE47B2" w:rsidP="004214FA">
            <w:pPr>
              <w:pStyle w:val="Tabletext"/>
              <w:keepNext/>
              <w:keepLines/>
              <w:rPr>
                <w:bCs/>
                <w:color w:val="000000"/>
              </w:rPr>
            </w:pPr>
            <w:r w:rsidRPr="00691087">
              <w:rPr>
                <w:b/>
                <w:bCs/>
                <w:color w:val="000000"/>
              </w:rPr>
              <w:t>Estimated financial implications for fingolimod and cladribine at current price</w:t>
            </w:r>
          </w:p>
        </w:tc>
      </w:tr>
      <w:tr w:rsidR="00A65795" w:rsidRPr="00691087" w14:paraId="2305CE81" w14:textId="77777777" w:rsidTr="00A65795">
        <w:tc>
          <w:tcPr>
            <w:tcW w:w="1015" w:type="pct"/>
            <w:shd w:val="clear" w:color="auto" w:fill="auto"/>
            <w:vAlign w:val="center"/>
          </w:tcPr>
          <w:p w14:paraId="68903660" w14:textId="77777777" w:rsidR="00FE47B2" w:rsidRPr="00691087" w:rsidRDefault="00FE47B2" w:rsidP="004214FA">
            <w:pPr>
              <w:pStyle w:val="Tabletext"/>
              <w:keepNext/>
              <w:keepLines/>
              <w:rPr>
                <w:sz w:val="19"/>
                <w:szCs w:val="19"/>
              </w:rPr>
            </w:pPr>
            <w:r w:rsidRPr="00691087">
              <w:rPr>
                <w:sz w:val="19"/>
                <w:szCs w:val="19"/>
              </w:rPr>
              <w:t>Cost to PBS/RPBS less copayments</w:t>
            </w:r>
          </w:p>
        </w:tc>
        <w:tc>
          <w:tcPr>
            <w:tcW w:w="625" w:type="pct"/>
            <w:shd w:val="clear" w:color="auto" w:fill="auto"/>
            <w:vAlign w:val="center"/>
          </w:tcPr>
          <w:p w14:paraId="7F82F709" w14:textId="77777777" w:rsidR="00FE47B2" w:rsidRPr="00691087" w:rsidRDefault="00FE47B2" w:rsidP="004214FA">
            <w:pPr>
              <w:pStyle w:val="Tabletext"/>
              <w:keepNext/>
              <w:keepLines/>
              <w:jc w:val="center"/>
              <w:rPr>
                <w:bCs/>
                <w:color w:val="000000"/>
              </w:rPr>
            </w:pPr>
            <w:r w:rsidRPr="00691087">
              <w:t>-</w:t>
            </w:r>
            <w:r w:rsidR="00790620">
              <w:rPr>
                <w:noProof/>
                <w:color w:val="000000"/>
                <w:highlight w:val="black"/>
              </w:rPr>
              <w:t>''''''''''''''''''''''''''''''</w:t>
            </w:r>
            <w:r w:rsidR="00256B93">
              <w:rPr>
                <w:vertAlign w:val="superscript"/>
              </w:rPr>
              <w:t>2</w:t>
            </w:r>
          </w:p>
        </w:tc>
        <w:tc>
          <w:tcPr>
            <w:tcW w:w="626" w:type="pct"/>
            <w:shd w:val="clear" w:color="auto" w:fill="auto"/>
            <w:vAlign w:val="center"/>
          </w:tcPr>
          <w:p w14:paraId="5E4BFF44" w14:textId="77777777" w:rsidR="00FE47B2" w:rsidRPr="00691087" w:rsidRDefault="00FE47B2" w:rsidP="004214FA">
            <w:pPr>
              <w:pStyle w:val="Tabletext"/>
              <w:keepNext/>
              <w:keepLines/>
              <w:jc w:val="center"/>
              <w:rPr>
                <w:bCs/>
                <w:color w:val="000000"/>
              </w:rPr>
            </w:pPr>
            <w:r w:rsidRPr="00691087">
              <w:t>-</w:t>
            </w:r>
            <w:r w:rsidR="00790620">
              <w:rPr>
                <w:noProof/>
                <w:color w:val="000000"/>
                <w:highlight w:val="black"/>
              </w:rPr>
              <w:t>''''''''''''''''''''''''''''''</w:t>
            </w:r>
            <w:r w:rsidR="00256B93">
              <w:rPr>
                <w:vertAlign w:val="superscript"/>
              </w:rPr>
              <w:t>2</w:t>
            </w:r>
          </w:p>
        </w:tc>
        <w:tc>
          <w:tcPr>
            <w:tcW w:w="703" w:type="pct"/>
            <w:shd w:val="clear" w:color="auto" w:fill="auto"/>
            <w:vAlign w:val="center"/>
          </w:tcPr>
          <w:p w14:paraId="248CBC3B" w14:textId="77777777" w:rsidR="00FE47B2" w:rsidRPr="00691087" w:rsidRDefault="00FE47B2" w:rsidP="004214FA">
            <w:pPr>
              <w:pStyle w:val="Tabletext"/>
              <w:keepNext/>
              <w:keepLines/>
              <w:jc w:val="center"/>
              <w:rPr>
                <w:bCs/>
                <w:color w:val="000000"/>
              </w:rPr>
            </w:pPr>
            <w:r w:rsidRPr="00691087">
              <w:t>-</w:t>
            </w:r>
            <w:r w:rsidR="00790620">
              <w:rPr>
                <w:noProof/>
                <w:color w:val="000000"/>
                <w:highlight w:val="black"/>
              </w:rPr>
              <w:t>''''''''''''''''''''''''''''''''</w:t>
            </w:r>
            <w:r w:rsidR="00256B93">
              <w:rPr>
                <w:vertAlign w:val="superscript"/>
              </w:rPr>
              <w:t>2</w:t>
            </w:r>
          </w:p>
        </w:tc>
        <w:tc>
          <w:tcPr>
            <w:tcW w:w="673" w:type="pct"/>
            <w:shd w:val="clear" w:color="auto" w:fill="auto"/>
            <w:vAlign w:val="center"/>
          </w:tcPr>
          <w:p w14:paraId="461DE5D2" w14:textId="77777777" w:rsidR="00FE47B2" w:rsidRPr="00691087" w:rsidRDefault="00FE47B2" w:rsidP="004214FA">
            <w:pPr>
              <w:pStyle w:val="Tabletext"/>
              <w:keepNext/>
              <w:keepLines/>
              <w:jc w:val="center"/>
              <w:rPr>
                <w:bCs/>
                <w:color w:val="000000"/>
              </w:rPr>
            </w:pPr>
            <w:r w:rsidRPr="00691087">
              <w:t>-</w:t>
            </w:r>
            <w:r w:rsidR="00790620">
              <w:rPr>
                <w:noProof/>
                <w:color w:val="000000"/>
                <w:highlight w:val="black"/>
              </w:rPr>
              <w:t>''''''''''''''''''''''''''''</w:t>
            </w:r>
            <w:r w:rsidR="00256B93">
              <w:rPr>
                <w:vertAlign w:val="superscript"/>
              </w:rPr>
              <w:t>2</w:t>
            </w:r>
          </w:p>
        </w:tc>
        <w:tc>
          <w:tcPr>
            <w:tcW w:w="645" w:type="pct"/>
            <w:shd w:val="clear" w:color="auto" w:fill="auto"/>
            <w:vAlign w:val="center"/>
          </w:tcPr>
          <w:p w14:paraId="04068096" w14:textId="77777777" w:rsidR="00FE47B2" w:rsidRPr="00691087" w:rsidRDefault="00FE47B2" w:rsidP="004214FA">
            <w:pPr>
              <w:pStyle w:val="Tabletext"/>
              <w:keepNext/>
              <w:keepLines/>
              <w:jc w:val="center"/>
              <w:rPr>
                <w:bCs/>
                <w:color w:val="000000"/>
              </w:rPr>
            </w:pPr>
            <w:r w:rsidRPr="00691087">
              <w:t>-</w:t>
            </w:r>
            <w:r w:rsidR="00790620">
              <w:rPr>
                <w:noProof/>
                <w:color w:val="000000"/>
                <w:highlight w:val="black"/>
              </w:rPr>
              <w:t>''''''''''''''''''''''''''''</w:t>
            </w:r>
            <w:r w:rsidR="00256B93">
              <w:rPr>
                <w:vertAlign w:val="superscript"/>
              </w:rPr>
              <w:t>2</w:t>
            </w:r>
          </w:p>
        </w:tc>
        <w:tc>
          <w:tcPr>
            <w:tcW w:w="714" w:type="pct"/>
            <w:shd w:val="clear" w:color="auto" w:fill="auto"/>
            <w:vAlign w:val="center"/>
          </w:tcPr>
          <w:p w14:paraId="087F9F10" w14:textId="77777777" w:rsidR="00FE47B2" w:rsidRPr="00691087" w:rsidRDefault="00FE47B2" w:rsidP="004214FA">
            <w:pPr>
              <w:pStyle w:val="Tabletext"/>
              <w:keepNext/>
              <w:keepLines/>
              <w:jc w:val="center"/>
              <w:rPr>
                <w:bCs/>
                <w:color w:val="000000"/>
              </w:rPr>
            </w:pPr>
            <w:r w:rsidRPr="00691087">
              <w:t>-</w:t>
            </w:r>
            <w:r w:rsidR="00790620">
              <w:rPr>
                <w:noProof/>
                <w:color w:val="000000"/>
                <w:highlight w:val="black"/>
              </w:rPr>
              <w:t>''''''''''''''''''''''''''''''''</w:t>
            </w:r>
            <w:r w:rsidR="00256B93">
              <w:rPr>
                <w:vertAlign w:val="superscript"/>
              </w:rPr>
              <w:t>3</w:t>
            </w:r>
          </w:p>
        </w:tc>
      </w:tr>
      <w:tr w:rsidR="00FE47B2" w:rsidRPr="00691087" w14:paraId="33AB0918" w14:textId="77777777" w:rsidTr="00A65795">
        <w:tc>
          <w:tcPr>
            <w:tcW w:w="5000" w:type="pct"/>
            <w:gridSpan w:val="7"/>
            <w:shd w:val="clear" w:color="auto" w:fill="auto"/>
            <w:vAlign w:val="center"/>
          </w:tcPr>
          <w:p w14:paraId="30CFEC5A" w14:textId="77777777" w:rsidR="00FE47B2" w:rsidRPr="00553C3A" w:rsidRDefault="00FE47B2" w:rsidP="004214FA">
            <w:pPr>
              <w:pStyle w:val="Tabletext"/>
              <w:keepNext/>
              <w:keepLines/>
              <w:jc w:val="both"/>
              <w:rPr>
                <w:b/>
                <w:szCs w:val="20"/>
              </w:rPr>
            </w:pPr>
            <w:r w:rsidRPr="00553C3A">
              <w:rPr>
                <w:b/>
                <w:szCs w:val="20"/>
              </w:rPr>
              <w:t>Cladribine offsets (cladribine at existing price)</w:t>
            </w:r>
          </w:p>
        </w:tc>
      </w:tr>
      <w:tr w:rsidR="00A65795" w:rsidRPr="00691087" w14:paraId="19E89B7C" w14:textId="77777777" w:rsidTr="00A65795">
        <w:tc>
          <w:tcPr>
            <w:tcW w:w="1015" w:type="pct"/>
            <w:shd w:val="clear" w:color="auto" w:fill="auto"/>
            <w:vAlign w:val="center"/>
          </w:tcPr>
          <w:p w14:paraId="4388B3BD" w14:textId="77777777" w:rsidR="00FE47B2" w:rsidRPr="00553C3A" w:rsidRDefault="00FE47B2" w:rsidP="004214FA">
            <w:pPr>
              <w:keepNext/>
              <w:keepLines/>
              <w:outlineLvl w:val="0"/>
              <w:rPr>
                <w:rFonts w:ascii="Arial Narrow" w:hAnsi="Arial Narrow" w:cs="Times New Roman"/>
                <w:sz w:val="20"/>
                <w:szCs w:val="20"/>
              </w:rPr>
            </w:pPr>
            <w:r w:rsidRPr="00553C3A">
              <w:rPr>
                <w:rFonts w:ascii="Arial Narrow" w:hAnsi="Arial Narrow" w:cs="Times New Roman"/>
                <w:sz w:val="20"/>
                <w:szCs w:val="20"/>
              </w:rPr>
              <w:t>Net cost to PBS/RPBS</w:t>
            </w:r>
          </w:p>
          <w:p w14:paraId="6E642137" w14:textId="77777777" w:rsidR="00FE47B2" w:rsidRPr="00553C3A" w:rsidRDefault="00FE47B2" w:rsidP="004214FA">
            <w:pPr>
              <w:pStyle w:val="Tabletext"/>
              <w:keepNext/>
              <w:keepLines/>
              <w:rPr>
                <w:szCs w:val="20"/>
              </w:rPr>
            </w:pPr>
          </w:p>
        </w:tc>
        <w:tc>
          <w:tcPr>
            <w:tcW w:w="625" w:type="pct"/>
            <w:shd w:val="clear" w:color="auto" w:fill="auto"/>
            <w:vAlign w:val="center"/>
          </w:tcPr>
          <w:p w14:paraId="125B26BB"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4</w:t>
            </w:r>
          </w:p>
        </w:tc>
        <w:tc>
          <w:tcPr>
            <w:tcW w:w="626" w:type="pct"/>
            <w:shd w:val="clear" w:color="auto" w:fill="auto"/>
            <w:vAlign w:val="center"/>
          </w:tcPr>
          <w:p w14:paraId="4DE98F34"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4</w:t>
            </w:r>
          </w:p>
        </w:tc>
        <w:tc>
          <w:tcPr>
            <w:tcW w:w="703" w:type="pct"/>
            <w:shd w:val="clear" w:color="auto" w:fill="auto"/>
            <w:vAlign w:val="center"/>
          </w:tcPr>
          <w:p w14:paraId="14278B5F"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5</w:t>
            </w:r>
          </w:p>
        </w:tc>
        <w:tc>
          <w:tcPr>
            <w:tcW w:w="673" w:type="pct"/>
            <w:shd w:val="clear" w:color="auto" w:fill="auto"/>
            <w:vAlign w:val="center"/>
          </w:tcPr>
          <w:p w14:paraId="4C1A67F2"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5</w:t>
            </w:r>
          </w:p>
        </w:tc>
        <w:tc>
          <w:tcPr>
            <w:tcW w:w="645" w:type="pct"/>
            <w:shd w:val="clear" w:color="auto" w:fill="auto"/>
            <w:vAlign w:val="center"/>
          </w:tcPr>
          <w:p w14:paraId="2C127DBD"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5</w:t>
            </w:r>
          </w:p>
        </w:tc>
        <w:tc>
          <w:tcPr>
            <w:tcW w:w="714" w:type="pct"/>
            <w:shd w:val="clear" w:color="auto" w:fill="auto"/>
            <w:vAlign w:val="center"/>
          </w:tcPr>
          <w:p w14:paraId="5C6E98CB"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5</w:t>
            </w:r>
          </w:p>
        </w:tc>
      </w:tr>
      <w:tr w:rsidR="00FE47B2" w:rsidRPr="00691087" w14:paraId="52BFF005" w14:textId="77777777" w:rsidTr="00A65795">
        <w:tc>
          <w:tcPr>
            <w:tcW w:w="5000" w:type="pct"/>
            <w:gridSpan w:val="7"/>
            <w:shd w:val="clear" w:color="auto" w:fill="auto"/>
            <w:vAlign w:val="center"/>
          </w:tcPr>
          <w:p w14:paraId="0BA1A191" w14:textId="77777777" w:rsidR="00FE47B2" w:rsidRPr="00553C3A" w:rsidRDefault="00FE47B2" w:rsidP="004214FA">
            <w:pPr>
              <w:pStyle w:val="Tabletext"/>
              <w:keepNext/>
              <w:keepLines/>
              <w:rPr>
                <w:b/>
                <w:szCs w:val="20"/>
              </w:rPr>
            </w:pPr>
            <w:r w:rsidRPr="00553C3A">
              <w:rPr>
                <w:b/>
                <w:szCs w:val="20"/>
              </w:rPr>
              <w:t>Fingolimod offsets</w:t>
            </w:r>
          </w:p>
        </w:tc>
      </w:tr>
      <w:tr w:rsidR="00A65795" w:rsidRPr="00691087" w14:paraId="104BE8D0" w14:textId="77777777" w:rsidTr="00A65795">
        <w:tc>
          <w:tcPr>
            <w:tcW w:w="1015" w:type="pct"/>
            <w:shd w:val="clear" w:color="auto" w:fill="auto"/>
            <w:vAlign w:val="center"/>
          </w:tcPr>
          <w:p w14:paraId="2867E06F" w14:textId="77777777" w:rsidR="00FE47B2" w:rsidRPr="00553C3A" w:rsidRDefault="00FE47B2" w:rsidP="004214FA">
            <w:pPr>
              <w:pStyle w:val="Tabletext"/>
              <w:keepNext/>
              <w:keepLines/>
              <w:rPr>
                <w:szCs w:val="20"/>
              </w:rPr>
            </w:pPr>
            <w:r w:rsidRPr="00553C3A">
              <w:rPr>
                <w:szCs w:val="20"/>
              </w:rPr>
              <w:t xml:space="preserve">Fewer fingolimod patients </w:t>
            </w:r>
          </w:p>
        </w:tc>
        <w:tc>
          <w:tcPr>
            <w:tcW w:w="625" w:type="pct"/>
            <w:shd w:val="clear" w:color="auto" w:fill="auto"/>
          </w:tcPr>
          <w:p w14:paraId="3419DC64"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1</w:t>
            </w:r>
          </w:p>
        </w:tc>
        <w:tc>
          <w:tcPr>
            <w:tcW w:w="626" w:type="pct"/>
            <w:shd w:val="clear" w:color="auto" w:fill="auto"/>
          </w:tcPr>
          <w:p w14:paraId="5F28A88A"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1</w:t>
            </w:r>
            <w:r w:rsidRPr="00553C3A">
              <w:rPr>
                <w:szCs w:val="20"/>
              </w:rPr>
              <w:t xml:space="preserve"> </w:t>
            </w:r>
          </w:p>
        </w:tc>
        <w:tc>
          <w:tcPr>
            <w:tcW w:w="703" w:type="pct"/>
            <w:shd w:val="clear" w:color="auto" w:fill="auto"/>
          </w:tcPr>
          <w:p w14:paraId="35D6A986"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1</w:t>
            </w:r>
            <w:r w:rsidRPr="00553C3A">
              <w:rPr>
                <w:szCs w:val="20"/>
              </w:rPr>
              <w:t xml:space="preserve"> </w:t>
            </w:r>
          </w:p>
        </w:tc>
        <w:tc>
          <w:tcPr>
            <w:tcW w:w="673" w:type="pct"/>
            <w:shd w:val="clear" w:color="auto" w:fill="auto"/>
          </w:tcPr>
          <w:p w14:paraId="07324908"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1</w:t>
            </w:r>
            <w:r w:rsidRPr="00553C3A">
              <w:rPr>
                <w:szCs w:val="20"/>
              </w:rPr>
              <w:t xml:space="preserve"> </w:t>
            </w:r>
          </w:p>
        </w:tc>
        <w:tc>
          <w:tcPr>
            <w:tcW w:w="645" w:type="pct"/>
            <w:shd w:val="clear" w:color="auto" w:fill="auto"/>
          </w:tcPr>
          <w:p w14:paraId="2F287918"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1</w:t>
            </w:r>
          </w:p>
        </w:tc>
        <w:tc>
          <w:tcPr>
            <w:tcW w:w="714" w:type="pct"/>
            <w:shd w:val="clear" w:color="auto" w:fill="auto"/>
          </w:tcPr>
          <w:p w14:paraId="3EBA689B"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1</w:t>
            </w:r>
            <w:r w:rsidRPr="00553C3A">
              <w:rPr>
                <w:szCs w:val="20"/>
              </w:rPr>
              <w:t xml:space="preserve"> </w:t>
            </w:r>
          </w:p>
        </w:tc>
      </w:tr>
      <w:tr w:rsidR="00A65795" w:rsidRPr="00691087" w14:paraId="6EAAD386" w14:textId="77777777" w:rsidTr="00A65795">
        <w:tc>
          <w:tcPr>
            <w:tcW w:w="1015" w:type="pct"/>
            <w:shd w:val="clear" w:color="auto" w:fill="auto"/>
            <w:vAlign w:val="center"/>
          </w:tcPr>
          <w:p w14:paraId="4B2F399F" w14:textId="77777777" w:rsidR="00FE47B2" w:rsidRPr="00553C3A" w:rsidRDefault="00FE47B2" w:rsidP="004214FA">
            <w:pPr>
              <w:pStyle w:val="Tabletext"/>
              <w:keepNext/>
              <w:keepLines/>
              <w:rPr>
                <w:szCs w:val="20"/>
              </w:rPr>
            </w:pPr>
            <w:r w:rsidRPr="00553C3A">
              <w:rPr>
                <w:szCs w:val="20"/>
              </w:rPr>
              <w:t xml:space="preserve">Fewer fingolimod scripts </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6DC25C3B"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6</w:t>
            </w:r>
          </w:p>
        </w:tc>
        <w:tc>
          <w:tcPr>
            <w:tcW w:w="626" w:type="pct"/>
            <w:tcBorders>
              <w:top w:val="single" w:sz="4" w:space="0" w:color="auto"/>
              <w:left w:val="nil"/>
              <w:bottom w:val="single" w:sz="4" w:space="0" w:color="auto"/>
              <w:right w:val="single" w:sz="4" w:space="0" w:color="auto"/>
            </w:tcBorders>
            <w:shd w:val="clear" w:color="auto" w:fill="auto"/>
            <w:vAlign w:val="center"/>
          </w:tcPr>
          <w:p w14:paraId="54592A9C"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6</w:t>
            </w:r>
            <w:r w:rsidRPr="00553C3A">
              <w:rPr>
                <w:szCs w:val="20"/>
              </w:rPr>
              <w:t xml:space="preserve"> </w:t>
            </w:r>
          </w:p>
        </w:tc>
        <w:tc>
          <w:tcPr>
            <w:tcW w:w="703" w:type="pct"/>
            <w:tcBorders>
              <w:top w:val="single" w:sz="4" w:space="0" w:color="auto"/>
              <w:left w:val="nil"/>
              <w:bottom w:val="single" w:sz="4" w:space="0" w:color="auto"/>
              <w:right w:val="single" w:sz="4" w:space="0" w:color="auto"/>
            </w:tcBorders>
            <w:shd w:val="clear" w:color="auto" w:fill="auto"/>
            <w:vAlign w:val="center"/>
          </w:tcPr>
          <w:p w14:paraId="7BC48127"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6</w:t>
            </w:r>
          </w:p>
        </w:tc>
        <w:tc>
          <w:tcPr>
            <w:tcW w:w="673" w:type="pct"/>
            <w:tcBorders>
              <w:top w:val="single" w:sz="4" w:space="0" w:color="auto"/>
              <w:left w:val="nil"/>
              <w:bottom w:val="single" w:sz="4" w:space="0" w:color="auto"/>
              <w:right w:val="single" w:sz="4" w:space="0" w:color="auto"/>
            </w:tcBorders>
            <w:shd w:val="clear" w:color="auto" w:fill="auto"/>
            <w:vAlign w:val="center"/>
          </w:tcPr>
          <w:p w14:paraId="3C9BB73E"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6</w:t>
            </w:r>
            <w:r w:rsidRPr="00553C3A">
              <w:rPr>
                <w:szCs w:val="20"/>
              </w:rPr>
              <w:t xml:space="preserve"> </w:t>
            </w:r>
          </w:p>
        </w:tc>
        <w:tc>
          <w:tcPr>
            <w:tcW w:w="645" w:type="pct"/>
            <w:tcBorders>
              <w:top w:val="single" w:sz="4" w:space="0" w:color="auto"/>
              <w:left w:val="nil"/>
              <w:bottom w:val="single" w:sz="4" w:space="0" w:color="auto"/>
              <w:right w:val="single" w:sz="4" w:space="0" w:color="auto"/>
            </w:tcBorders>
            <w:shd w:val="clear" w:color="auto" w:fill="auto"/>
            <w:vAlign w:val="center"/>
          </w:tcPr>
          <w:p w14:paraId="3CD1ABF3"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6</w:t>
            </w:r>
            <w:r w:rsidRPr="00553C3A">
              <w:rPr>
                <w:szCs w:val="20"/>
              </w:rPr>
              <w:t xml:space="preserve"> </w:t>
            </w:r>
          </w:p>
        </w:tc>
        <w:tc>
          <w:tcPr>
            <w:tcW w:w="714" w:type="pct"/>
            <w:tcBorders>
              <w:top w:val="single" w:sz="4" w:space="0" w:color="auto"/>
              <w:left w:val="nil"/>
              <w:bottom w:val="single" w:sz="4" w:space="0" w:color="auto"/>
              <w:right w:val="single" w:sz="4" w:space="0" w:color="auto"/>
            </w:tcBorders>
            <w:shd w:val="clear" w:color="auto" w:fill="auto"/>
            <w:vAlign w:val="center"/>
          </w:tcPr>
          <w:p w14:paraId="52BE6EBB"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6</w:t>
            </w:r>
            <w:r w:rsidRPr="00553C3A">
              <w:rPr>
                <w:szCs w:val="20"/>
              </w:rPr>
              <w:t xml:space="preserve"> </w:t>
            </w:r>
          </w:p>
        </w:tc>
      </w:tr>
      <w:tr w:rsidR="00A65795" w:rsidRPr="00691087" w14:paraId="1CCD5804" w14:textId="77777777" w:rsidTr="00A65795">
        <w:tc>
          <w:tcPr>
            <w:tcW w:w="1015" w:type="pct"/>
            <w:shd w:val="clear" w:color="auto" w:fill="auto"/>
            <w:vAlign w:val="center"/>
          </w:tcPr>
          <w:p w14:paraId="2A81A27C" w14:textId="77777777" w:rsidR="00FE47B2" w:rsidRPr="00553C3A" w:rsidRDefault="00FE47B2" w:rsidP="004214FA">
            <w:pPr>
              <w:pStyle w:val="Tabletext"/>
              <w:keepNext/>
              <w:keepLines/>
              <w:rPr>
                <w:szCs w:val="20"/>
              </w:rPr>
            </w:pPr>
            <w:r w:rsidRPr="00553C3A">
              <w:rPr>
                <w:szCs w:val="20"/>
              </w:rPr>
              <w:t>Net cost to PBS/RPBS</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4A432A9D"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7</w:t>
            </w:r>
          </w:p>
        </w:tc>
        <w:tc>
          <w:tcPr>
            <w:tcW w:w="626" w:type="pct"/>
            <w:tcBorders>
              <w:top w:val="single" w:sz="4" w:space="0" w:color="auto"/>
              <w:left w:val="nil"/>
              <w:bottom w:val="single" w:sz="4" w:space="0" w:color="auto"/>
              <w:right w:val="single" w:sz="4" w:space="0" w:color="auto"/>
            </w:tcBorders>
            <w:shd w:val="clear" w:color="auto" w:fill="auto"/>
            <w:vAlign w:val="center"/>
          </w:tcPr>
          <w:p w14:paraId="0DC6B263"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7</w:t>
            </w:r>
          </w:p>
        </w:tc>
        <w:tc>
          <w:tcPr>
            <w:tcW w:w="703" w:type="pct"/>
            <w:tcBorders>
              <w:top w:val="single" w:sz="4" w:space="0" w:color="auto"/>
              <w:left w:val="nil"/>
              <w:bottom w:val="single" w:sz="4" w:space="0" w:color="auto"/>
              <w:right w:val="single" w:sz="4" w:space="0" w:color="auto"/>
            </w:tcBorders>
            <w:shd w:val="clear" w:color="auto" w:fill="auto"/>
            <w:vAlign w:val="center"/>
          </w:tcPr>
          <w:p w14:paraId="1AB64247"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7</w:t>
            </w:r>
          </w:p>
        </w:tc>
        <w:tc>
          <w:tcPr>
            <w:tcW w:w="673" w:type="pct"/>
            <w:tcBorders>
              <w:top w:val="single" w:sz="4" w:space="0" w:color="auto"/>
              <w:left w:val="nil"/>
              <w:bottom w:val="single" w:sz="4" w:space="0" w:color="auto"/>
              <w:right w:val="single" w:sz="4" w:space="0" w:color="auto"/>
            </w:tcBorders>
            <w:shd w:val="clear" w:color="auto" w:fill="auto"/>
            <w:vAlign w:val="center"/>
          </w:tcPr>
          <w:p w14:paraId="5D196E1D"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7</w:t>
            </w:r>
          </w:p>
        </w:tc>
        <w:tc>
          <w:tcPr>
            <w:tcW w:w="645" w:type="pct"/>
            <w:tcBorders>
              <w:top w:val="single" w:sz="4" w:space="0" w:color="auto"/>
              <w:left w:val="nil"/>
              <w:bottom w:val="single" w:sz="4" w:space="0" w:color="auto"/>
              <w:right w:val="single" w:sz="4" w:space="0" w:color="auto"/>
            </w:tcBorders>
            <w:shd w:val="clear" w:color="auto" w:fill="auto"/>
            <w:vAlign w:val="center"/>
          </w:tcPr>
          <w:p w14:paraId="33A243F3"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7</w:t>
            </w:r>
          </w:p>
        </w:tc>
        <w:tc>
          <w:tcPr>
            <w:tcW w:w="714" w:type="pct"/>
            <w:tcBorders>
              <w:top w:val="single" w:sz="4" w:space="0" w:color="auto"/>
              <w:left w:val="nil"/>
              <w:bottom w:val="single" w:sz="4" w:space="0" w:color="auto"/>
              <w:right w:val="single" w:sz="4" w:space="0" w:color="auto"/>
            </w:tcBorders>
            <w:shd w:val="clear" w:color="auto" w:fill="auto"/>
            <w:vAlign w:val="center"/>
          </w:tcPr>
          <w:p w14:paraId="73158CF4" w14:textId="77777777" w:rsidR="00FE47B2" w:rsidRPr="00553C3A" w:rsidRDefault="00FE47B2" w:rsidP="004214FA">
            <w:pPr>
              <w:pStyle w:val="Tabletext"/>
              <w:keepNext/>
              <w:keepLines/>
              <w:jc w:val="center"/>
              <w:rPr>
                <w:szCs w:val="20"/>
              </w:rPr>
            </w:pPr>
            <w:r w:rsidRPr="00553C3A">
              <w:rPr>
                <w:szCs w:val="20"/>
              </w:rPr>
              <w:t>-</w:t>
            </w:r>
            <w:r w:rsidR="00790620">
              <w:rPr>
                <w:noProof/>
                <w:color w:val="000000"/>
                <w:szCs w:val="20"/>
                <w:highlight w:val="black"/>
              </w:rPr>
              <w:t>''''''''''''''''''''''''''''</w:t>
            </w:r>
            <w:r w:rsidR="00256B93">
              <w:rPr>
                <w:vertAlign w:val="superscript"/>
              </w:rPr>
              <w:t>7</w:t>
            </w:r>
          </w:p>
        </w:tc>
      </w:tr>
      <w:tr w:rsidR="00FE47B2" w:rsidRPr="00691087" w14:paraId="492E5CBC" w14:textId="77777777" w:rsidTr="00A65795">
        <w:tc>
          <w:tcPr>
            <w:tcW w:w="5000" w:type="pct"/>
            <w:gridSpan w:val="7"/>
            <w:tcBorders>
              <w:right w:val="single" w:sz="4" w:space="0" w:color="auto"/>
            </w:tcBorders>
            <w:shd w:val="clear" w:color="auto" w:fill="auto"/>
            <w:vAlign w:val="center"/>
          </w:tcPr>
          <w:p w14:paraId="0CB6502C" w14:textId="77777777" w:rsidR="00FE47B2" w:rsidRPr="00553C3A" w:rsidRDefault="00FE47B2" w:rsidP="004214FA">
            <w:pPr>
              <w:pStyle w:val="Tabletext"/>
              <w:keepNext/>
              <w:keepLines/>
              <w:rPr>
                <w:b/>
                <w:szCs w:val="20"/>
              </w:rPr>
            </w:pPr>
            <w:r w:rsidRPr="00553C3A">
              <w:rPr>
                <w:b/>
                <w:szCs w:val="20"/>
              </w:rPr>
              <w:t>Increased cost of cladribine to PBS/RPBS</w:t>
            </w:r>
          </w:p>
        </w:tc>
      </w:tr>
      <w:tr w:rsidR="00A65795" w:rsidRPr="00691087" w14:paraId="458F1C33" w14:textId="77777777" w:rsidTr="00A65795">
        <w:tc>
          <w:tcPr>
            <w:tcW w:w="1015" w:type="pct"/>
            <w:shd w:val="clear" w:color="auto" w:fill="auto"/>
            <w:vAlign w:val="center"/>
          </w:tcPr>
          <w:p w14:paraId="12A86D58" w14:textId="77777777" w:rsidR="00FE47B2" w:rsidRPr="00553C3A" w:rsidRDefault="00FE47B2" w:rsidP="004214FA">
            <w:pPr>
              <w:keepNext/>
              <w:keepLines/>
              <w:outlineLvl w:val="0"/>
              <w:rPr>
                <w:rFonts w:ascii="Arial Narrow" w:hAnsi="Arial Narrow" w:cs="Times New Roman"/>
                <w:sz w:val="20"/>
                <w:szCs w:val="20"/>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627782A9" w14:textId="77777777" w:rsidR="00FE47B2" w:rsidRPr="00790620" w:rsidRDefault="00790620" w:rsidP="004214FA">
            <w:pPr>
              <w:pStyle w:val="Tabletext"/>
              <w:keepNext/>
              <w:keepLines/>
              <w:jc w:val="center"/>
              <w:rPr>
                <w:szCs w:val="20"/>
              </w:rPr>
            </w:pPr>
            <w:r>
              <w:rPr>
                <w:noProof/>
                <w:color w:val="000000"/>
                <w:highlight w:val="black"/>
              </w:rPr>
              <w:t>'''''''''''''''''''''''''''</w:t>
            </w:r>
            <w:r w:rsidR="00256B93">
              <w:rPr>
                <w:vertAlign w:val="superscript"/>
              </w:rPr>
              <w:t>7</w:t>
            </w:r>
          </w:p>
        </w:tc>
        <w:tc>
          <w:tcPr>
            <w:tcW w:w="626" w:type="pct"/>
            <w:tcBorders>
              <w:top w:val="single" w:sz="4" w:space="0" w:color="auto"/>
              <w:left w:val="nil"/>
              <w:bottom w:val="single" w:sz="4" w:space="0" w:color="auto"/>
              <w:right w:val="single" w:sz="4" w:space="0" w:color="auto"/>
            </w:tcBorders>
            <w:shd w:val="clear" w:color="auto" w:fill="auto"/>
          </w:tcPr>
          <w:p w14:paraId="1DDC885B" w14:textId="77777777" w:rsidR="00FE47B2" w:rsidRPr="00790620" w:rsidRDefault="00790620" w:rsidP="004214FA">
            <w:pPr>
              <w:pStyle w:val="Tabletext"/>
              <w:keepNext/>
              <w:keepLines/>
              <w:jc w:val="center"/>
              <w:rPr>
                <w:szCs w:val="20"/>
              </w:rPr>
            </w:pPr>
            <w:r>
              <w:rPr>
                <w:noProof/>
                <w:color w:val="000000"/>
                <w:highlight w:val="black"/>
              </w:rPr>
              <w:t>''''''''''''''''''''''''''''''''</w:t>
            </w:r>
            <w:r w:rsidR="00256B93">
              <w:rPr>
                <w:vertAlign w:val="superscript"/>
              </w:rPr>
              <w:t>7</w:t>
            </w:r>
          </w:p>
        </w:tc>
        <w:tc>
          <w:tcPr>
            <w:tcW w:w="703" w:type="pct"/>
            <w:tcBorders>
              <w:top w:val="single" w:sz="4" w:space="0" w:color="auto"/>
              <w:left w:val="nil"/>
              <w:bottom w:val="single" w:sz="4" w:space="0" w:color="auto"/>
              <w:right w:val="single" w:sz="4" w:space="0" w:color="auto"/>
            </w:tcBorders>
            <w:shd w:val="clear" w:color="auto" w:fill="auto"/>
          </w:tcPr>
          <w:p w14:paraId="3067C14F" w14:textId="77777777" w:rsidR="00FE47B2" w:rsidRPr="00790620" w:rsidRDefault="00790620" w:rsidP="004214FA">
            <w:pPr>
              <w:pStyle w:val="Tabletext"/>
              <w:keepNext/>
              <w:keepLines/>
              <w:jc w:val="center"/>
              <w:rPr>
                <w:szCs w:val="20"/>
              </w:rPr>
            </w:pPr>
            <w:r>
              <w:rPr>
                <w:noProof/>
                <w:color w:val="000000"/>
                <w:highlight w:val="black"/>
              </w:rPr>
              <w:t>'''''''''''''''''''''''''''''</w:t>
            </w:r>
            <w:r w:rsidR="00256B93">
              <w:rPr>
                <w:vertAlign w:val="superscript"/>
              </w:rPr>
              <w:t>7</w:t>
            </w:r>
          </w:p>
        </w:tc>
        <w:tc>
          <w:tcPr>
            <w:tcW w:w="673" w:type="pct"/>
            <w:tcBorders>
              <w:top w:val="single" w:sz="4" w:space="0" w:color="auto"/>
              <w:left w:val="nil"/>
              <w:bottom w:val="single" w:sz="4" w:space="0" w:color="auto"/>
              <w:right w:val="single" w:sz="4" w:space="0" w:color="auto"/>
            </w:tcBorders>
            <w:shd w:val="clear" w:color="auto" w:fill="auto"/>
          </w:tcPr>
          <w:p w14:paraId="176FBAA9" w14:textId="77777777" w:rsidR="00FE47B2" w:rsidRPr="00790620" w:rsidRDefault="00790620" w:rsidP="004214FA">
            <w:pPr>
              <w:pStyle w:val="Tabletext"/>
              <w:keepNext/>
              <w:keepLines/>
              <w:jc w:val="center"/>
              <w:rPr>
                <w:szCs w:val="20"/>
              </w:rPr>
            </w:pPr>
            <w:r>
              <w:rPr>
                <w:noProof/>
                <w:color w:val="000000"/>
                <w:highlight w:val="black"/>
              </w:rPr>
              <w:t>'''''''''''''''''''''''''''</w:t>
            </w:r>
            <w:r w:rsidR="00256B93">
              <w:rPr>
                <w:vertAlign w:val="superscript"/>
              </w:rPr>
              <w:t>7</w:t>
            </w:r>
          </w:p>
        </w:tc>
        <w:tc>
          <w:tcPr>
            <w:tcW w:w="645" w:type="pct"/>
            <w:tcBorders>
              <w:top w:val="single" w:sz="4" w:space="0" w:color="auto"/>
              <w:left w:val="nil"/>
              <w:bottom w:val="single" w:sz="4" w:space="0" w:color="auto"/>
              <w:right w:val="single" w:sz="4" w:space="0" w:color="auto"/>
            </w:tcBorders>
            <w:shd w:val="clear" w:color="auto" w:fill="auto"/>
          </w:tcPr>
          <w:p w14:paraId="34589965" w14:textId="77777777" w:rsidR="00FE47B2" w:rsidRPr="00790620" w:rsidRDefault="00790620" w:rsidP="004214FA">
            <w:pPr>
              <w:pStyle w:val="Tabletext"/>
              <w:keepNext/>
              <w:keepLines/>
              <w:jc w:val="center"/>
              <w:rPr>
                <w:szCs w:val="20"/>
              </w:rPr>
            </w:pPr>
            <w:r>
              <w:rPr>
                <w:noProof/>
                <w:color w:val="000000"/>
                <w:highlight w:val="black"/>
              </w:rPr>
              <w:t>''''''''''''''''''''''''''''''''</w:t>
            </w:r>
            <w:r w:rsidR="00256B93">
              <w:rPr>
                <w:vertAlign w:val="superscript"/>
              </w:rPr>
              <w:t>7</w:t>
            </w:r>
          </w:p>
        </w:tc>
        <w:tc>
          <w:tcPr>
            <w:tcW w:w="714" w:type="pct"/>
            <w:tcBorders>
              <w:top w:val="single" w:sz="4" w:space="0" w:color="auto"/>
              <w:left w:val="nil"/>
              <w:bottom w:val="single" w:sz="4" w:space="0" w:color="auto"/>
              <w:right w:val="single" w:sz="4" w:space="0" w:color="auto"/>
            </w:tcBorders>
            <w:shd w:val="clear" w:color="auto" w:fill="auto"/>
          </w:tcPr>
          <w:p w14:paraId="460193C7" w14:textId="77777777" w:rsidR="00FE47B2" w:rsidRPr="00790620" w:rsidRDefault="00790620" w:rsidP="004214FA">
            <w:pPr>
              <w:pStyle w:val="Tabletext"/>
              <w:keepNext/>
              <w:keepLines/>
              <w:jc w:val="center"/>
              <w:rPr>
                <w:szCs w:val="20"/>
              </w:rPr>
            </w:pPr>
            <w:r>
              <w:rPr>
                <w:noProof/>
                <w:color w:val="000000"/>
                <w:highlight w:val="black"/>
              </w:rPr>
              <w:t>''''''''''''''''''''''''''''''''</w:t>
            </w:r>
            <w:r w:rsidR="00256B93">
              <w:rPr>
                <w:vertAlign w:val="superscript"/>
              </w:rPr>
              <w:t>7</w:t>
            </w:r>
          </w:p>
        </w:tc>
      </w:tr>
      <w:tr w:rsidR="00FE47B2" w:rsidRPr="00691087" w14:paraId="23F0B957" w14:textId="77777777" w:rsidTr="00A65795">
        <w:tc>
          <w:tcPr>
            <w:tcW w:w="5000" w:type="pct"/>
            <w:gridSpan w:val="7"/>
            <w:shd w:val="clear" w:color="auto" w:fill="auto"/>
            <w:vAlign w:val="center"/>
          </w:tcPr>
          <w:p w14:paraId="1E39A161" w14:textId="77777777" w:rsidR="00FE47B2" w:rsidRPr="00553C3A" w:rsidRDefault="00FE47B2" w:rsidP="004214FA">
            <w:pPr>
              <w:pStyle w:val="Tabletext"/>
              <w:keepNext/>
              <w:keepLines/>
              <w:rPr>
                <w:b/>
                <w:bCs/>
                <w:color w:val="000000"/>
              </w:rPr>
            </w:pPr>
            <w:r w:rsidRPr="00553C3A">
              <w:rPr>
                <w:b/>
                <w:bCs/>
                <w:color w:val="000000"/>
              </w:rPr>
              <w:t>Net financial implications</w:t>
            </w:r>
            <w:r w:rsidRPr="00553C3A">
              <w:rPr>
                <w:b/>
                <w:bCs/>
                <w:color w:val="4BACC6" w:themeColor="accent5"/>
              </w:rPr>
              <w:t xml:space="preserve"> </w:t>
            </w:r>
          </w:p>
        </w:tc>
      </w:tr>
      <w:tr w:rsidR="00A65795" w:rsidRPr="00691087" w14:paraId="5336E56A" w14:textId="77777777" w:rsidTr="00A65795">
        <w:tc>
          <w:tcPr>
            <w:tcW w:w="1015" w:type="pct"/>
            <w:shd w:val="clear" w:color="auto" w:fill="auto"/>
            <w:vAlign w:val="center"/>
          </w:tcPr>
          <w:p w14:paraId="650313CC" w14:textId="77777777" w:rsidR="00FE47B2" w:rsidRPr="00553C3A" w:rsidRDefault="00FE47B2" w:rsidP="004214FA">
            <w:pPr>
              <w:pStyle w:val="Tabletext"/>
              <w:keepNext/>
              <w:keepLines/>
              <w:rPr>
                <w:sz w:val="19"/>
                <w:szCs w:val="19"/>
              </w:rPr>
            </w:pPr>
            <w:r w:rsidRPr="00553C3A">
              <w:rPr>
                <w:sz w:val="19"/>
                <w:szCs w:val="19"/>
              </w:rPr>
              <w:t>Net cost to PBS/RPBS</w:t>
            </w:r>
          </w:p>
        </w:tc>
        <w:tc>
          <w:tcPr>
            <w:tcW w:w="625" w:type="pct"/>
            <w:shd w:val="clear" w:color="auto" w:fill="auto"/>
            <w:vAlign w:val="center"/>
          </w:tcPr>
          <w:p w14:paraId="421B671B" w14:textId="77777777" w:rsidR="00FE47B2" w:rsidRPr="00553C3A" w:rsidRDefault="00FE47B2" w:rsidP="004214FA">
            <w:pPr>
              <w:pStyle w:val="Tabletext"/>
              <w:keepNext/>
              <w:keepLines/>
              <w:jc w:val="center"/>
              <w:rPr>
                <w:bCs/>
                <w:color w:val="000000"/>
              </w:rPr>
            </w:pPr>
            <w:r w:rsidRPr="00553C3A">
              <w:rPr>
                <w:szCs w:val="20"/>
              </w:rPr>
              <w:t>-</w:t>
            </w:r>
            <w:r w:rsidR="00790620">
              <w:rPr>
                <w:noProof/>
                <w:color w:val="000000"/>
                <w:szCs w:val="20"/>
                <w:highlight w:val="black"/>
              </w:rPr>
              <w:t>'''''''''''''''''''''''''</w:t>
            </w:r>
            <w:r w:rsidR="00256B93">
              <w:rPr>
                <w:vertAlign w:val="superscript"/>
              </w:rPr>
              <w:t>8</w:t>
            </w:r>
          </w:p>
        </w:tc>
        <w:tc>
          <w:tcPr>
            <w:tcW w:w="626" w:type="pct"/>
            <w:shd w:val="clear" w:color="auto" w:fill="auto"/>
            <w:vAlign w:val="center"/>
          </w:tcPr>
          <w:p w14:paraId="304F4329" w14:textId="77777777" w:rsidR="00FE47B2" w:rsidRPr="00553C3A" w:rsidRDefault="00FE47B2" w:rsidP="004214FA">
            <w:pPr>
              <w:pStyle w:val="Tabletext"/>
              <w:keepNext/>
              <w:keepLines/>
              <w:jc w:val="center"/>
              <w:rPr>
                <w:bCs/>
                <w:color w:val="000000"/>
              </w:rPr>
            </w:pPr>
            <w:r w:rsidRPr="00553C3A">
              <w:rPr>
                <w:szCs w:val="20"/>
              </w:rPr>
              <w:t>-</w:t>
            </w:r>
            <w:r w:rsidR="00790620">
              <w:rPr>
                <w:noProof/>
                <w:color w:val="000000"/>
                <w:szCs w:val="20"/>
                <w:highlight w:val="black"/>
              </w:rPr>
              <w:t>'''''''''''''''''''''''</w:t>
            </w:r>
            <w:r w:rsidR="00256B93">
              <w:rPr>
                <w:vertAlign w:val="superscript"/>
              </w:rPr>
              <w:t>8</w:t>
            </w:r>
          </w:p>
        </w:tc>
        <w:tc>
          <w:tcPr>
            <w:tcW w:w="703" w:type="pct"/>
            <w:shd w:val="clear" w:color="auto" w:fill="auto"/>
            <w:vAlign w:val="center"/>
          </w:tcPr>
          <w:p w14:paraId="6BD05941" w14:textId="77777777" w:rsidR="00FE47B2" w:rsidRPr="00553C3A" w:rsidRDefault="00FE47B2" w:rsidP="004214FA">
            <w:pPr>
              <w:pStyle w:val="Tabletext"/>
              <w:keepNext/>
              <w:keepLines/>
              <w:jc w:val="center"/>
              <w:rPr>
                <w:bCs/>
                <w:color w:val="000000"/>
              </w:rPr>
            </w:pPr>
            <w:r w:rsidRPr="00553C3A">
              <w:rPr>
                <w:szCs w:val="20"/>
              </w:rPr>
              <w:t>-</w:t>
            </w:r>
            <w:r w:rsidR="00790620">
              <w:rPr>
                <w:noProof/>
                <w:color w:val="000000"/>
                <w:szCs w:val="20"/>
                <w:highlight w:val="black"/>
              </w:rPr>
              <w:t>'''''''''''''''''''''</w:t>
            </w:r>
            <w:r w:rsidR="00256B93">
              <w:rPr>
                <w:vertAlign w:val="superscript"/>
              </w:rPr>
              <w:t>8</w:t>
            </w:r>
          </w:p>
        </w:tc>
        <w:tc>
          <w:tcPr>
            <w:tcW w:w="673" w:type="pct"/>
            <w:shd w:val="clear" w:color="auto" w:fill="auto"/>
            <w:vAlign w:val="center"/>
          </w:tcPr>
          <w:p w14:paraId="32FCF8E4" w14:textId="77777777" w:rsidR="00FE47B2" w:rsidRPr="00553C3A" w:rsidRDefault="00FE47B2" w:rsidP="004214FA">
            <w:pPr>
              <w:pStyle w:val="Tabletext"/>
              <w:keepNext/>
              <w:keepLines/>
              <w:jc w:val="center"/>
              <w:rPr>
                <w:bCs/>
                <w:color w:val="000000"/>
              </w:rPr>
            </w:pPr>
            <w:r w:rsidRPr="00553C3A">
              <w:rPr>
                <w:szCs w:val="20"/>
              </w:rPr>
              <w:t>-</w:t>
            </w:r>
            <w:r w:rsidR="00790620">
              <w:rPr>
                <w:noProof/>
                <w:color w:val="000000"/>
                <w:szCs w:val="20"/>
                <w:highlight w:val="black"/>
              </w:rPr>
              <w:t>''''''''''''''''''''''''</w:t>
            </w:r>
            <w:r w:rsidR="00256B93">
              <w:rPr>
                <w:vertAlign w:val="superscript"/>
              </w:rPr>
              <w:t>8</w:t>
            </w:r>
          </w:p>
        </w:tc>
        <w:tc>
          <w:tcPr>
            <w:tcW w:w="645" w:type="pct"/>
            <w:shd w:val="clear" w:color="auto" w:fill="auto"/>
            <w:vAlign w:val="center"/>
          </w:tcPr>
          <w:p w14:paraId="2DE51A6C" w14:textId="77777777" w:rsidR="00FE47B2" w:rsidRPr="00553C3A" w:rsidRDefault="00FE47B2" w:rsidP="004214FA">
            <w:pPr>
              <w:pStyle w:val="Tabletext"/>
              <w:keepNext/>
              <w:keepLines/>
              <w:jc w:val="center"/>
              <w:rPr>
                <w:bCs/>
                <w:color w:val="000000"/>
              </w:rPr>
            </w:pPr>
            <w:r w:rsidRPr="00553C3A">
              <w:rPr>
                <w:szCs w:val="20"/>
              </w:rPr>
              <w:t>-</w:t>
            </w:r>
            <w:r w:rsidR="00790620">
              <w:rPr>
                <w:noProof/>
                <w:color w:val="000000"/>
                <w:szCs w:val="20"/>
                <w:highlight w:val="black"/>
              </w:rPr>
              <w:t>'''''''''''''''''''''''''</w:t>
            </w:r>
            <w:r w:rsidR="00256B93">
              <w:rPr>
                <w:vertAlign w:val="superscript"/>
              </w:rPr>
              <w:t>8</w:t>
            </w:r>
          </w:p>
        </w:tc>
        <w:tc>
          <w:tcPr>
            <w:tcW w:w="714" w:type="pct"/>
            <w:shd w:val="clear" w:color="auto" w:fill="auto"/>
            <w:vAlign w:val="center"/>
          </w:tcPr>
          <w:p w14:paraId="493361AC" w14:textId="77777777" w:rsidR="00FE47B2" w:rsidRPr="00553C3A" w:rsidRDefault="00FE47B2" w:rsidP="004214FA">
            <w:pPr>
              <w:pStyle w:val="Tabletext"/>
              <w:keepNext/>
              <w:keepLines/>
              <w:jc w:val="center"/>
              <w:rPr>
                <w:bCs/>
                <w:color w:val="000000"/>
              </w:rPr>
            </w:pPr>
            <w:r w:rsidRPr="00553C3A">
              <w:rPr>
                <w:szCs w:val="20"/>
              </w:rPr>
              <w:t>-</w:t>
            </w:r>
            <w:r w:rsidR="00790620">
              <w:rPr>
                <w:noProof/>
                <w:color w:val="000000"/>
                <w:szCs w:val="20"/>
                <w:highlight w:val="black"/>
              </w:rPr>
              <w:t>''''''''''''''''''''</w:t>
            </w:r>
            <w:r w:rsidR="00256B93">
              <w:rPr>
                <w:vertAlign w:val="superscript"/>
              </w:rPr>
              <w:t>8</w:t>
            </w:r>
          </w:p>
        </w:tc>
      </w:tr>
    </w:tbl>
    <w:p w14:paraId="7C0BFCDB" w14:textId="47F4698F" w:rsidR="005A2754" w:rsidRPr="00691087" w:rsidRDefault="005A2754" w:rsidP="004214FA">
      <w:pPr>
        <w:pStyle w:val="TableFooter"/>
        <w:keepNext/>
        <w:keepLines/>
      </w:pPr>
      <w:r w:rsidRPr="00691087">
        <w:t>Source: Tables 68 and 70, pp93-94, Tables 71 and 72, pp95-96, and Table 73, p96 of the submission.</w:t>
      </w:r>
    </w:p>
    <w:p w14:paraId="72F0463B" w14:textId="76DAAA36" w:rsidR="005A2754" w:rsidRPr="00691087" w:rsidRDefault="005A2754" w:rsidP="004214FA">
      <w:pPr>
        <w:pStyle w:val="TableFooter"/>
        <w:keepNext/>
        <w:keepLines/>
        <w:rPr>
          <w:rStyle w:val="CommentReference"/>
          <w:b w:val="0"/>
          <w:sz w:val="18"/>
          <w:szCs w:val="22"/>
        </w:rPr>
      </w:pPr>
      <w:r w:rsidRPr="00691087">
        <w:t xml:space="preserve">PBS = Pharmaceutical Benefits Scheme; RPBS = </w:t>
      </w:r>
      <w:r w:rsidR="00FE1A1E">
        <w:t>R</w:t>
      </w:r>
      <w:r w:rsidRPr="00691087">
        <w:t>epatriation Pharmaceutical Benefits Scheme</w:t>
      </w:r>
    </w:p>
    <w:p w14:paraId="06C33C33" w14:textId="77777777" w:rsidR="005A2754" w:rsidRDefault="005A2754" w:rsidP="004214FA">
      <w:pPr>
        <w:pStyle w:val="TableFooter"/>
        <w:keepNext/>
        <w:keepLines/>
        <w:tabs>
          <w:tab w:val="left" w:pos="142"/>
        </w:tabs>
      </w:pPr>
      <w:r w:rsidRPr="00691087">
        <w:rPr>
          <w:vertAlign w:val="superscript"/>
        </w:rPr>
        <w:t>a</w:t>
      </w:r>
      <w:r w:rsidRPr="00691087">
        <w:tab/>
        <w:t>based on PBS 10% statistics</w:t>
      </w:r>
      <w:r w:rsidR="00250C17" w:rsidRPr="00691087">
        <w:t xml:space="preserve"> of currently listed cladribine scripts</w:t>
      </w:r>
    </w:p>
    <w:p w14:paraId="0AE92043" w14:textId="77777777" w:rsidR="00256B93" w:rsidRPr="00256B93" w:rsidRDefault="00256B93" w:rsidP="004214FA">
      <w:pPr>
        <w:pStyle w:val="TableFooter"/>
        <w:keepNext/>
        <w:keepLines/>
        <w:tabs>
          <w:tab w:val="left" w:pos="142"/>
        </w:tabs>
        <w:rPr>
          <w:i/>
        </w:rPr>
      </w:pPr>
      <w:r w:rsidRPr="00256B93">
        <w:rPr>
          <w:i/>
        </w:rPr>
        <w:t>The redacted values correspond to the following ranges:</w:t>
      </w:r>
    </w:p>
    <w:p w14:paraId="2C875281" w14:textId="77777777" w:rsidR="00256B93" w:rsidRPr="00256B93" w:rsidRDefault="00256B93" w:rsidP="004214FA">
      <w:pPr>
        <w:pStyle w:val="TableFooter"/>
        <w:keepNext/>
        <w:keepLines/>
        <w:tabs>
          <w:tab w:val="left" w:pos="142"/>
        </w:tabs>
        <w:rPr>
          <w:i/>
        </w:rPr>
      </w:pPr>
      <w:r w:rsidRPr="00256B93">
        <w:rPr>
          <w:i/>
          <w:vertAlign w:val="superscript"/>
        </w:rPr>
        <w:t>1</w:t>
      </w:r>
      <w:r w:rsidRPr="00256B93">
        <w:rPr>
          <w:i/>
        </w:rPr>
        <w:t xml:space="preserve"> 500 to &lt; 5,000</w:t>
      </w:r>
    </w:p>
    <w:p w14:paraId="5E74E020" w14:textId="77777777" w:rsidR="00256B93" w:rsidRPr="00256B93" w:rsidRDefault="00256B93" w:rsidP="004214FA">
      <w:pPr>
        <w:pStyle w:val="TableFooter"/>
        <w:keepNext/>
        <w:keepLines/>
        <w:tabs>
          <w:tab w:val="left" w:pos="142"/>
        </w:tabs>
        <w:rPr>
          <w:i/>
        </w:rPr>
      </w:pPr>
      <w:r w:rsidRPr="00256B93">
        <w:rPr>
          <w:i/>
          <w:vertAlign w:val="superscript"/>
        </w:rPr>
        <w:t>2</w:t>
      </w:r>
      <w:r w:rsidRPr="00256B93">
        <w:rPr>
          <w:i/>
        </w:rPr>
        <w:t xml:space="preserve"> $40 million to &lt; $50 million</w:t>
      </w:r>
    </w:p>
    <w:p w14:paraId="44C70D7B" w14:textId="77777777" w:rsidR="00256B93" w:rsidRPr="00256B93" w:rsidRDefault="00256B93" w:rsidP="004214FA">
      <w:pPr>
        <w:pStyle w:val="TableFooter"/>
        <w:keepNext/>
        <w:keepLines/>
        <w:tabs>
          <w:tab w:val="left" w:pos="142"/>
        </w:tabs>
        <w:rPr>
          <w:i/>
        </w:rPr>
      </w:pPr>
      <w:r w:rsidRPr="00256B93">
        <w:rPr>
          <w:i/>
          <w:vertAlign w:val="superscript"/>
        </w:rPr>
        <w:t>3</w:t>
      </w:r>
      <w:r w:rsidRPr="00256B93">
        <w:rPr>
          <w:i/>
        </w:rPr>
        <w:t xml:space="preserve"> $50 million to &lt; $60 million</w:t>
      </w:r>
    </w:p>
    <w:p w14:paraId="235D0A11" w14:textId="77777777" w:rsidR="00256B93" w:rsidRPr="00256B93" w:rsidRDefault="00256B93" w:rsidP="004214FA">
      <w:pPr>
        <w:pStyle w:val="TableFooter"/>
        <w:keepNext/>
        <w:keepLines/>
        <w:tabs>
          <w:tab w:val="left" w:pos="142"/>
        </w:tabs>
        <w:rPr>
          <w:i/>
        </w:rPr>
      </w:pPr>
      <w:r w:rsidRPr="00256B93">
        <w:rPr>
          <w:i/>
          <w:vertAlign w:val="superscript"/>
        </w:rPr>
        <w:t>4</w:t>
      </w:r>
      <w:r w:rsidRPr="00256B93">
        <w:rPr>
          <w:i/>
        </w:rPr>
        <w:t xml:space="preserve"> $20 million to &lt; $30 million</w:t>
      </w:r>
    </w:p>
    <w:p w14:paraId="4357F49C" w14:textId="77777777" w:rsidR="00256B93" w:rsidRPr="00256B93" w:rsidRDefault="00256B93" w:rsidP="004214FA">
      <w:pPr>
        <w:pStyle w:val="TableFooter"/>
        <w:keepNext/>
        <w:keepLines/>
        <w:tabs>
          <w:tab w:val="left" w:pos="142"/>
        </w:tabs>
        <w:rPr>
          <w:i/>
        </w:rPr>
      </w:pPr>
      <w:r w:rsidRPr="00256B93">
        <w:rPr>
          <w:i/>
          <w:vertAlign w:val="superscript"/>
        </w:rPr>
        <w:t>5</w:t>
      </w:r>
      <w:r w:rsidRPr="00256B93">
        <w:rPr>
          <w:i/>
        </w:rPr>
        <w:t xml:space="preserve"> $30 million to &lt; $40 million</w:t>
      </w:r>
    </w:p>
    <w:p w14:paraId="204FD49F" w14:textId="77777777" w:rsidR="00256B93" w:rsidRPr="00256B93" w:rsidRDefault="00256B93" w:rsidP="004214FA">
      <w:pPr>
        <w:pStyle w:val="TableFooter"/>
        <w:keepNext/>
        <w:keepLines/>
        <w:tabs>
          <w:tab w:val="left" w:pos="142"/>
        </w:tabs>
        <w:rPr>
          <w:i/>
        </w:rPr>
      </w:pPr>
      <w:r w:rsidRPr="00256B93">
        <w:rPr>
          <w:i/>
          <w:vertAlign w:val="superscript"/>
        </w:rPr>
        <w:t>6</w:t>
      </w:r>
      <w:r w:rsidRPr="00256B93">
        <w:rPr>
          <w:i/>
        </w:rPr>
        <w:t xml:space="preserve"> 10,000 to &lt; 20,000</w:t>
      </w:r>
    </w:p>
    <w:p w14:paraId="319CAA55" w14:textId="77777777" w:rsidR="00256B93" w:rsidRPr="00256B93" w:rsidRDefault="00256B93" w:rsidP="004214FA">
      <w:pPr>
        <w:pStyle w:val="TableFooter"/>
        <w:keepNext/>
        <w:keepLines/>
        <w:tabs>
          <w:tab w:val="left" w:pos="142"/>
        </w:tabs>
        <w:rPr>
          <w:i/>
        </w:rPr>
      </w:pPr>
      <w:r w:rsidRPr="00256B93">
        <w:rPr>
          <w:i/>
          <w:vertAlign w:val="superscript"/>
        </w:rPr>
        <w:t>7</w:t>
      </w:r>
      <w:r w:rsidRPr="00256B93">
        <w:rPr>
          <w:i/>
        </w:rPr>
        <w:t xml:space="preserve"> $10 million to &lt; $20 million</w:t>
      </w:r>
    </w:p>
    <w:p w14:paraId="34329165" w14:textId="6A1B88F6" w:rsidR="005A2754" w:rsidRPr="00FE1A1E" w:rsidRDefault="00256B93" w:rsidP="00FE1A1E">
      <w:pPr>
        <w:pStyle w:val="TableFooter"/>
        <w:keepNext/>
        <w:keepLines/>
        <w:tabs>
          <w:tab w:val="left" w:pos="142"/>
        </w:tabs>
        <w:spacing w:after="120"/>
        <w:rPr>
          <w:i/>
        </w:rPr>
      </w:pPr>
      <w:r w:rsidRPr="00256B93">
        <w:rPr>
          <w:i/>
          <w:vertAlign w:val="superscript"/>
        </w:rPr>
        <w:t>8</w:t>
      </w:r>
      <w:r w:rsidRPr="00256B93">
        <w:rPr>
          <w:i/>
        </w:rPr>
        <w:t xml:space="preserve"> $0 to &lt; $10 million</w:t>
      </w:r>
    </w:p>
    <w:p w14:paraId="13009FF1" w14:textId="06827DBA" w:rsidR="00FE47B2" w:rsidRDefault="000B5A65" w:rsidP="000B5A65">
      <w:pPr>
        <w:pStyle w:val="ListParagraph"/>
        <w:widowControl/>
        <w:numPr>
          <w:ilvl w:val="1"/>
          <w:numId w:val="2"/>
        </w:numPr>
      </w:pPr>
      <w:r w:rsidRPr="00691087">
        <w:t xml:space="preserve">The submission estimated a net saving to the PBS/RPBS over the first six years of listing. </w:t>
      </w:r>
      <w:r w:rsidRPr="00EB49D2">
        <w:rPr>
          <w:iCs/>
        </w:rPr>
        <w:t>The additional extra cost of cladribine to the PBS/RPBS was estimated to be $</w:t>
      </w:r>
      <w:r w:rsidR="00D83A8C">
        <w:rPr>
          <w:iCs/>
        </w:rPr>
        <w:t>90 million to &lt; $100</w:t>
      </w:r>
      <w:r w:rsidRPr="00EB49D2">
        <w:rPr>
          <w:iCs/>
        </w:rPr>
        <w:t xml:space="preserve"> million over 6 years</w:t>
      </w:r>
      <w:r w:rsidR="00E14117" w:rsidRPr="00EB49D2">
        <w:rPr>
          <w:iCs/>
        </w:rPr>
        <w:t xml:space="preserve">. That is, </w:t>
      </w:r>
      <w:r w:rsidRPr="00EB49D2">
        <w:rPr>
          <w:iCs/>
        </w:rPr>
        <w:t>the submission estimated that, at the current price, cladribine would cost</w:t>
      </w:r>
      <w:r w:rsidR="00E14117" w:rsidRPr="00EB49D2">
        <w:rPr>
          <w:iCs/>
        </w:rPr>
        <w:t xml:space="preserve"> the PBS/RPBS $</w:t>
      </w:r>
      <w:r w:rsidR="00D83A8C">
        <w:rPr>
          <w:iCs/>
        </w:rPr>
        <w:t>100 million to &lt; $200 million</w:t>
      </w:r>
      <w:r w:rsidR="00E14117" w:rsidRPr="00EB49D2">
        <w:rPr>
          <w:iCs/>
        </w:rPr>
        <w:t xml:space="preserve"> over 6 years; while the total cost, at the newly requested price would be $</w:t>
      </w:r>
      <w:r w:rsidR="001D2035">
        <w:rPr>
          <w:iCs/>
        </w:rPr>
        <w:t>200 million to &lt; $300</w:t>
      </w:r>
      <w:r w:rsidR="00E14117" w:rsidRPr="00EB49D2">
        <w:rPr>
          <w:iCs/>
        </w:rPr>
        <w:t xml:space="preserve"> million </w:t>
      </w:r>
      <w:r w:rsidR="000B6CF7" w:rsidRPr="00EB49D2">
        <w:rPr>
          <w:iCs/>
        </w:rPr>
        <w:t xml:space="preserve">over 6 years </w:t>
      </w:r>
      <w:r w:rsidR="00E14117" w:rsidRPr="00EB49D2">
        <w:rPr>
          <w:iCs/>
        </w:rPr>
        <w:t>before offsets</w:t>
      </w:r>
      <w:r w:rsidRPr="00EB49D2">
        <w:rPr>
          <w:iCs/>
        </w:rPr>
        <w:t>.</w:t>
      </w:r>
      <w:r w:rsidRPr="00691087">
        <w:rPr>
          <w:i/>
        </w:rPr>
        <w:t xml:space="preserve"> </w:t>
      </w:r>
    </w:p>
    <w:p w14:paraId="1A04A8A2" w14:textId="4863D200" w:rsidR="000C1B50" w:rsidRDefault="00FF7ECF" w:rsidP="00FE1A1E">
      <w:pPr>
        <w:pStyle w:val="ListParagraph"/>
        <w:widowControl/>
        <w:numPr>
          <w:ilvl w:val="1"/>
          <w:numId w:val="2"/>
        </w:numPr>
        <w:spacing w:after="120"/>
      </w:pPr>
      <w:r>
        <w:t xml:space="preserve">As outlined in paragraph </w:t>
      </w:r>
      <w:r w:rsidR="002F5455">
        <w:t>6</w:t>
      </w:r>
      <w:r>
        <w:t>.</w:t>
      </w:r>
      <w:r w:rsidR="005169FD">
        <w:t>54</w:t>
      </w:r>
      <w:r>
        <w:t xml:space="preserve"> above, the Pre-PBAC Response offered an effective AEMP of $</w:t>
      </w:r>
      <w:r w:rsidR="00790620">
        <w:rPr>
          <w:noProof/>
          <w:color w:val="000000"/>
          <w:highlight w:val="black"/>
        </w:rPr>
        <w:t>''''''''''''''''</w:t>
      </w:r>
      <w:r>
        <w:t xml:space="preserve"> for one 10mg tablet of cladribine. At that price (with no other assumptions changed), the additional extra cost to the PBS/RPBS of cladribine would be $</w:t>
      </w:r>
      <w:r w:rsidR="00106BA2">
        <w:t>30 million to &lt; $40</w:t>
      </w:r>
      <w:r>
        <w:t xml:space="preserve"> million over 6 years (accounting for offsets), or an additional $</w:t>
      </w:r>
      <w:r w:rsidR="00106BA2">
        <w:t>200 million to &lt; $300</w:t>
      </w:r>
      <w:r>
        <w:t xml:space="preserve"> million over 6 years before offsets.</w:t>
      </w:r>
    </w:p>
    <w:p w14:paraId="34EED1B5" w14:textId="77777777" w:rsidR="00565869" w:rsidRDefault="00565869">
      <w:pPr>
        <w:widowControl/>
        <w:jc w:val="left"/>
        <w:rPr>
          <w:b/>
          <w:i/>
          <w:sz w:val="28"/>
        </w:rPr>
      </w:pPr>
      <w:bookmarkStart w:id="33" w:name="_Toc82600902"/>
      <w:r>
        <w:br w:type="page"/>
      </w:r>
    </w:p>
    <w:p w14:paraId="2E92B14E" w14:textId="5F3FFD8C" w:rsidR="005A2754" w:rsidRPr="00691087" w:rsidDel="00863832" w:rsidRDefault="005A2754" w:rsidP="00FE1A1E">
      <w:pPr>
        <w:pStyle w:val="Heading2"/>
        <w:spacing w:after="120"/>
      </w:pPr>
      <w:r w:rsidRPr="00691087" w:rsidDel="00863832">
        <w:t>Financial Management – Risk Sharing Arrangements</w:t>
      </w:r>
      <w:bookmarkEnd w:id="33"/>
    </w:p>
    <w:p w14:paraId="4CA8BF7F" w14:textId="77777777" w:rsidR="005A2754" w:rsidRPr="00691087" w:rsidDel="00863832" w:rsidRDefault="005A2754" w:rsidP="005A2754">
      <w:pPr>
        <w:pStyle w:val="ListParagraph"/>
        <w:widowControl/>
        <w:numPr>
          <w:ilvl w:val="1"/>
          <w:numId w:val="2"/>
        </w:numPr>
      </w:pPr>
      <w:r w:rsidRPr="00691087" w:rsidDel="00863832">
        <w:t>The submission stated that in accordance with the letter from the Department and new signed deed, dated by the sponsor 1 July 2021, the current</w:t>
      </w:r>
      <w:r w:rsidR="00885F6E">
        <w:t xml:space="preserve"> risk sharing arrangement</w:t>
      </w:r>
      <w:r w:rsidRPr="00691087" w:rsidDel="00863832">
        <w:t xml:space="preserve"> </w:t>
      </w:r>
      <w:r w:rsidR="00885F6E">
        <w:t>(</w:t>
      </w:r>
      <w:r w:rsidRPr="00691087" w:rsidDel="00863832">
        <w:t>RSA</w:t>
      </w:r>
      <w:r w:rsidR="00885F6E">
        <w:t>)</w:t>
      </w:r>
      <w:r w:rsidRPr="00691087" w:rsidDel="00863832">
        <w:t xml:space="preserve"> for cladribine will be removed effective August 2021.</w:t>
      </w:r>
    </w:p>
    <w:p w14:paraId="79EA02C1" w14:textId="7998D74F" w:rsidR="005A5D70" w:rsidRPr="00FE1A1E" w:rsidDel="00863832" w:rsidRDefault="00BE2550" w:rsidP="00FE1A1E">
      <w:pPr>
        <w:ind w:firstLine="709"/>
        <w:rPr>
          <w:rFonts w:asciiTheme="minorHAnsi" w:hAnsiTheme="minorHAnsi"/>
          <w:i/>
        </w:rPr>
      </w:pPr>
      <w:r w:rsidRPr="00C33D30" w:rsidDel="00863832">
        <w:rPr>
          <w:rFonts w:asciiTheme="minorHAnsi" w:hAnsiTheme="minorHAnsi"/>
          <w:i/>
        </w:rPr>
        <w:t>For more detail on PBAC’s view, see section 7 PBAC outcome.</w:t>
      </w:r>
    </w:p>
    <w:p w14:paraId="21789769" w14:textId="77777777" w:rsidR="00BE2550" w:rsidRPr="0090150D" w:rsidRDefault="00BE2550" w:rsidP="00BE2550">
      <w:pPr>
        <w:pStyle w:val="2-SectionHeading"/>
        <w:numPr>
          <w:ilvl w:val="0"/>
          <w:numId w:val="2"/>
        </w:numPr>
      </w:pPr>
      <w:bookmarkStart w:id="34" w:name="_Hlk76381249"/>
      <w:bookmarkStart w:id="35" w:name="_Hlk76377955"/>
      <w:r w:rsidRPr="0090150D">
        <w:t>PBAC Outcome</w:t>
      </w:r>
    </w:p>
    <w:p w14:paraId="2A554860" w14:textId="77777777" w:rsidR="00BE2550" w:rsidRPr="00380CF1" w:rsidRDefault="0058461C" w:rsidP="009F663D">
      <w:pPr>
        <w:numPr>
          <w:ilvl w:val="1"/>
          <w:numId w:val="2"/>
        </w:numPr>
        <w:spacing w:after="120"/>
        <w:rPr>
          <w:rFonts w:asciiTheme="minorHAnsi" w:hAnsiTheme="minorHAnsi"/>
          <w:lang w:val="en-GB"/>
        </w:rPr>
      </w:pPr>
      <w:r w:rsidRPr="00380CF1">
        <w:rPr>
          <w:rFonts w:asciiTheme="minorHAnsi" w:hAnsiTheme="minorHAnsi"/>
          <w:lang w:val="en-GB"/>
        </w:rPr>
        <w:t xml:space="preserve">The PBAC did not recommend amending the </w:t>
      </w:r>
      <w:r w:rsidR="00893968">
        <w:rPr>
          <w:rFonts w:asciiTheme="minorHAnsi" w:hAnsiTheme="minorHAnsi"/>
          <w:lang w:val="en-GB"/>
        </w:rPr>
        <w:t>existing</w:t>
      </w:r>
      <w:r w:rsidR="00893968" w:rsidRPr="00380CF1">
        <w:rPr>
          <w:rFonts w:asciiTheme="minorHAnsi" w:hAnsiTheme="minorHAnsi"/>
          <w:lang w:val="en-GB"/>
        </w:rPr>
        <w:t xml:space="preserve"> </w:t>
      </w:r>
      <w:r w:rsidRPr="00380CF1">
        <w:rPr>
          <w:rFonts w:asciiTheme="minorHAnsi" w:hAnsiTheme="minorHAnsi"/>
          <w:lang w:val="en-GB"/>
        </w:rPr>
        <w:t>equi-effective doses of cladribine and fingolimod (and other disease modifying therapies (DMTs)) for the treatment of relapsing-remitting multiple sclerosis (RRMS), on the basis that the evidence presented did not satisfactorily establish that 2 years of treatment with cladribine (plus 1 or 2 years of no treatment) is non-inferior to either 3 or 4 years of treatment with fingolimod.</w:t>
      </w:r>
      <w:r w:rsidR="00380CF1" w:rsidRPr="00380CF1">
        <w:rPr>
          <w:rFonts w:asciiTheme="minorHAnsi" w:hAnsiTheme="minorHAnsi"/>
          <w:lang w:val="en-GB"/>
        </w:rPr>
        <w:t xml:space="preserve"> T</w:t>
      </w:r>
      <w:r w:rsidR="00AC5A19" w:rsidRPr="00380CF1">
        <w:rPr>
          <w:rFonts w:asciiTheme="minorHAnsi" w:hAnsiTheme="minorHAnsi"/>
          <w:lang w:val="en-GB"/>
        </w:rPr>
        <w:t xml:space="preserve">he PBAC </w:t>
      </w:r>
      <w:r w:rsidR="00AF6CCF" w:rsidRPr="00380CF1">
        <w:rPr>
          <w:rFonts w:asciiTheme="minorHAnsi" w:hAnsiTheme="minorHAnsi"/>
          <w:lang w:val="en-GB"/>
        </w:rPr>
        <w:t xml:space="preserve">considered the clinical </w:t>
      </w:r>
      <w:r w:rsidR="009F663D">
        <w:rPr>
          <w:rFonts w:asciiTheme="minorHAnsi" w:hAnsiTheme="minorHAnsi"/>
          <w:lang w:val="en-GB"/>
        </w:rPr>
        <w:t>evidence</w:t>
      </w:r>
      <w:r w:rsidR="00AF6CCF" w:rsidRPr="00380CF1">
        <w:rPr>
          <w:rFonts w:asciiTheme="minorHAnsi" w:hAnsiTheme="minorHAnsi"/>
          <w:lang w:val="en-GB"/>
        </w:rPr>
        <w:t xml:space="preserve">, primarily based on extension phases of </w:t>
      </w:r>
      <w:r w:rsidR="00907E39">
        <w:rPr>
          <w:rFonts w:asciiTheme="minorHAnsi" w:hAnsiTheme="minorHAnsi"/>
          <w:lang w:val="en-GB"/>
        </w:rPr>
        <w:t>studies and real-world evidence</w:t>
      </w:r>
      <w:r w:rsidR="00595605">
        <w:rPr>
          <w:rFonts w:asciiTheme="minorHAnsi" w:hAnsiTheme="minorHAnsi"/>
          <w:lang w:val="en-GB"/>
        </w:rPr>
        <w:t xml:space="preserve"> (RWE)</w:t>
      </w:r>
      <w:r w:rsidR="009F663D">
        <w:rPr>
          <w:rFonts w:asciiTheme="minorHAnsi" w:hAnsiTheme="minorHAnsi"/>
          <w:lang w:val="en-GB"/>
        </w:rPr>
        <w:t>,</w:t>
      </w:r>
      <w:r w:rsidR="00907E39">
        <w:rPr>
          <w:rFonts w:asciiTheme="minorHAnsi" w:hAnsiTheme="minorHAnsi"/>
          <w:lang w:val="en-GB"/>
        </w:rPr>
        <w:t xml:space="preserve"> </w:t>
      </w:r>
      <w:r w:rsidR="00AF6CCF" w:rsidRPr="00380CF1">
        <w:rPr>
          <w:rFonts w:asciiTheme="minorHAnsi" w:hAnsiTheme="minorHAnsi"/>
          <w:lang w:val="en-GB"/>
        </w:rPr>
        <w:t xml:space="preserve">was not reliable </w:t>
      </w:r>
      <w:r w:rsidR="002E0D00">
        <w:rPr>
          <w:rFonts w:asciiTheme="minorHAnsi" w:hAnsiTheme="minorHAnsi"/>
          <w:lang w:val="en-GB"/>
        </w:rPr>
        <w:t xml:space="preserve">for the purposes of establishing non-inferiority </w:t>
      </w:r>
      <w:r w:rsidR="009F663D">
        <w:rPr>
          <w:rFonts w:asciiTheme="minorHAnsi" w:hAnsiTheme="minorHAnsi"/>
          <w:lang w:val="en-GB"/>
        </w:rPr>
        <w:t xml:space="preserve">due to a lack of comparability between the studies included in </w:t>
      </w:r>
      <w:r w:rsidR="00287E35">
        <w:rPr>
          <w:rFonts w:asciiTheme="minorHAnsi" w:hAnsiTheme="minorHAnsi"/>
          <w:lang w:val="en-GB"/>
        </w:rPr>
        <w:t>the</w:t>
      </w:r>
      <w:r w:rsidR="009F663D">
        <w:rPr>
          <w:rFonts w:asciiTheme="minorHAnsi" w:hAnsiTheme="minorHAnsi"/>
          <w:lang w:val="en-GB"/>
        </w:rPr>
        <w:t xml:space="preserve"> naïve comparison,</w:t>
      </w:r>
      <w:r w:rsidR="009F663D" w:rsidRPr="009F663D">
        <w:t xml:space="preserve"> </w:t>
      </w:r>
      <w:r w:rsidR="00097693">
        <w:t xml:space="preserve">and a lack of </w:t>
      </w:r>
      <w:r w:rsidR="009F663D" w:rsidRPr="009F663D">
        <w:rPr>
          <w:rFonts w:asciiTheme="minorHAnsi" w:hAnsiTheme="minorHAnsi"/>
          <w:lang w:val="en-GB"/>
        </w:rPr>
        <w:t>direct measure</w:t>
      </w:r>
      <w:r w:rsidR="00097693">
        <w:rPr>
          <w:rFonts w:asciiTheme="minorHAnsi" w:hAnsiTheme="minorHAnsi"/>
          <w:lang w:val="en-GB"/>
        </w:rPr>
        <w:t>s</w:t>
      </w:r>
      <w:r w:rsidR="009F663D" w:rsidRPr="009F663D">
        <w:rPr>
          <w:rFonts w:asciiTheme="minorHAnsi" w:hAnsiTheme="minorHAnsi"/>
          <w:lang w:val="en-GB"/>
        </w:rPr>
        <w:t xml:space="preserve"> of the </w:t>
      </w:r>
      <w:r w:rsidR="00097693">
        <w:rPr>
          <w:rFonts w:asciiTheme="minorHAnsi" w:hAnsiTheme="minorHAnsi"/>
          <w:lang w:val="en-GB"/>
        </w:rPr>
        <w:t xml:space="preserve">comparative </w:t>
      </w:r>
      <w:r w:rsidR="009F663D" w:rsidRPr="009F663D">
        <w:rPr>
          <w:rFonts w:asciiTheme="minorHAnsi" w:hAnsiTheme="minorHAnsi"/>
          <w:lang w:val="en-GB"/>
        </w:rPr>
        <w:t>effect</w:t>
      </w:r>
      <w:r w:rsidR="00097693">
        <w:rPr>
          <w:rFonts w:asciiTheme="minorHAnsi" w:hAnsiTheme="minorHAnsi"/>
          <w:lang w:val="en-GB"/>
        </w:rPr>
        <w:t>iveness</w:t>
      </w:r>
      <w:r w:rsidR="009F663D" w:rsidRPr="009F663D">
        <w:rPr>
          <w:rFonts w:asciiTheme="minorHAnsi" w:hAnsiTheme="minorHAnsi"/>
          <w:lang w:val="en-GB"/>
        </w:rPr>
        <w:t xml:space="preserve"> of cladribine </w:t>
      </w:r>
      <w:r w:rsidR="002E0D00">
        <w:rPr>
          <w:rFonts w:asciiTheme="minorHAnsi" w:hAnsiTheme="minorHAnsi"/>
          <w:lang w:val="en-GB"/>
        </w:rPr>
        <w:t xml:space="preserve">and fingolimod </w:t>
      </w:r>
      <w:r w:rsidR="009F663D" w:rsidRPr="009F663D">
        <w:rPr>
          <w:rFonts w:asciiTheme="minorHAnsi" w:hAnsiTheme="minorHAnsi"/>
          <w:lang w:val="en-GB"/>
        </w:rPr>
        <w:t>in years 3 and 4</w:t>
      </w:r>
      <w:r w:rsidR="00AF6CCF" w:rsidRPr="00380CF1">
        <w:rPr>
          <w:rFonts w:asciiTheme="minorHAnsi" w:hAnsiTheme="minorHAnsi"/>
          <w:lang w:val="en-GB"/>
        </w:rPr>
        <w:t>.</w:t>
      </w:r>
    </w:p>
    <w:p w14:paraId="24C64B51" w14:textId="77777777" w:rsidR="0012672A" w:rsidRPr="0012672A" w:rsidRDefault="0012672A" w:rsidP="0012672A">
      <w:pPr>
        <w:numPr>
          <w:ilvl w:val="1"/>
          <w:numId w:val="2"/>
        </w:numPr>
        <w:spacing w:after="120"/>
        <w:rPr>
          <w:rFonts w:asciiTheme="minorHAnsi" w:hAnsiTheme="minorHAnsi"/>
          <w:lang w:val="en-GB"/>
        </w:rPr>
      </w:pPr>
      <w:r>
        <w:rPr>
          <w:rFonts w:asciiTheme="minorHAnsi" w:hAnsiTheme="minorHAnsi"/>
          <w:lang w:val="en-GB"/>
        </w:rPr>
        <w:t>The PBAC considered the nominated comparator of fingolimod was reasonable, consistent with its previous view when it recommended cladribine at its March 2018 meeting.</w:t>
      </w:r>
      <w:r w:rsidR="005A3E4D">
        <w:rPr>
          <w:rFonts w:asciiTheme="minorHAnsi" w:hAnsiTheme="minorHAnsi"/>
          <w:lang w:val="en-GB"/>
        </w:rPr>
        <w:t xml:space="preserve"> However, the PBAC also considered the other DMTs in the higher efficacy tier for RRMS including natalizumab, alemtuzumab, ocrelizumab, ozanimod and ofatumumab were also relevant alternatives.</w:t>
      </w:r>
    </w:p>
    <w:p w14:paraId="66441DFE" w14:textId="77777777" w:rsidR="00BE2550" w:rsidRPr="00CE42B4" w:rsidRDefault="00AF6CCF" w:rsidP="00BE2550">
      <w:pPr>
        <w:numPr>
          <w:ilvl w:val="1"/>
          <w:numId w:val="2"/>
        </w:numPr>
        <w:spacing w:after="120"/>
        <w:rPr>
          <w:rFonts w:asciiTheme="minorHAnsi" w:hAnsiTheme="minorHAnsi"/>
          <w:lang w:val="en-GB"/>
        </w:rPr>
      </w:pPr>
      <w:r>
        <w:rPr>
          <w:rFonts w:asciiTheme="minorHAnsi" w:hAnsiTheme="minorHAnsi"/>
          <w:lang w:val="en-GB"/>
        </w:rPr>
        <w:t>The PBAC recalled its previous recommendation that cladribine and fingolimod were non-inferior over 2 years</w:t>
      </w:r>
      <w:r w:rsidR="00380CF1">
        <w:rPr>
          <w:rFonts w:asciiTheme="minorHAnsi" w:hAnsiTheme="minorHAnsi"/>
          <w:lang w:val="en-GB"/>
        </w:rPr>
        <w:t xml:space="preserve">, </w:t>
      </w:r>
      <w:r w:rsidR="00907E39">
        <w:rPr>
          <w:rFonts w:asciiTheme="minorHAnsi" w:hAnsiTheme="minorHAnsi"/>
          <w:lang w:val="en-GB"/>
        </w:rPr>
        <w:t>based on</w:t>
      </w:r>
      <w:r>
        <w:rPr>
          <w:rFonts w:asciiTheme="minorHAnsi" w:hAnsiTheme="minorHAnsi"/>
          <w:lang w:val="en-GB"/>
        </w:rPr>
        <w:t xml:space="preserve"> a comparison of the randomised phases of the CLARITY</w:t>
      </w:r>
      <w:r w:rsidR="00907E39">
        <w:rPr>
          <w:rFonts w:asciiTheme="minorHAnsi" w:hAnsiTheme="minorHAnsi"/>
          <w:lang w:val="en-GB"/>
        </w:rPr>
        <w:t xml:space="preserve"> </w:t>
      </w:r>
      <w:r w:rsidR="00907E39" w:rsidRPr="00380CF1">
        <w:rPr>
          <w:rFonts w:asciiTheme="minorHAnsi" w:hAnsiTheme="minorHAnsi"/>
          <w:lang w:val="en-GB"/>
        </w:rPr>
        <w:t>(cladribine)</w:t>
      </w:r>
      <w:r>
        <w:rPr>
          <w:rFonts w:asciiTheme="minorHAnsi" w:hAnsiTheme="minorHAnsi"/>
          <w:lang w:val="en-GB"/>
        </w:rPr>
        <w:t xml:space="preserve"> and FREEDOMS </w:t>
      </w:r>
      <w:r w:rsidR="00907E39" w:rsidRPr="00380CF1">
        <w:rPr>
          <w:rFonts w:asciiTheme="minorHAnsi" w:hAnsiTheme="minorHAnsi"/>
          <w:lang w:val="en-GB"/>
        </w:rPr>
        <w:t>(fingolimod)</w:t>
      </w:r>
      <w:r w:rsidR="00907E39">
        <w:rPr>
          <w:rFonts w:asciiTheme="minorHAnsi" w:hAnsiTheme="minorHAnsi"/>
          <w:lang w:val="en-GB"/>
        </w:rPr>
        <w:t xml:space="preserve"> </w:t>
      </w:r>
      <w:r>
        <w:rPr>
          <w:rFonts w:asciiTheme="minorHAnsi" w:hAnsiTheme="minorHAnsi"/>
          <w:lang w:val="en-GB"/>
        </w:rPr>
        <w:t>studies. The Committee reaffirmed its previous view that the randomised phases of these studies were comparable for the purposes of establishing the currently accepted basis of listing and equi-effective doses of cladribine and fingolimod over 2 years.</w:t>
      </w:r>
    </w:p>
    <w:p w14:paraId="5E3F829F" w14:textId="77777777" w:rsidR="004E57C6" w:rsidRDefault="00097693" w:rsidP="007016AD">
      <w:pPr>
        <w:numPr>
          <w:ilvl w:val="1"/>
          <w:numId w:val="2"/>
        </w:numPr>
        <w:spacing w:after="120"/>
        <w:rPr>
          <w:rFonts w:asciiTheme="minorHAnsi" w:hAnsiTheme="minorHAnsi"/>
          <w:lang w:val="en-GB"/>
        </w:rPr>
      </w:pPr>
      <w:r>
        <w:rPr>
          <w:rFonts w:asciiTheme="minorHAnsi" w:hAnsiTheme="minorHAnsi"/>
          <w:lang w:val="en-GB"/>
        </w:rPr>
        <w:t xml:space="preserve">The PBAC noted that </w:t>
      </w:r>
      <w:r w:rsidR="004E57C6">
        <w:rPr>
          <w:rFonts w:asciiTheme="minorHAnsi" w:hAnsiTheme="minorHAnsi"/>
          <w:lang w:val="en-GB"/>
        </w:rPr>
        <w:t xml:space="preserve">the </w:t>
      </w:r>
      <w:r w:rsidR="00013A8C">
        <w:rPr>
          <w:rFonts w:asciiTheme="minorHAnsi" w:hAnsiTheme="minorHAnsi"/>
          <w:lang w:val="en-GB"/>
        </w:rPr>
        <w:t xml:space="preserve">submission’s </w:t>
      </w:r>
      <w:r w:rsidR="004E57C6">
        <w:rPr>
          <w:rFonts w:asciiTheme="minorHAnsi" w:hAnsiTheme="minorHAnsi"/>
          <w:lang w:val="en-GB"/>
        </w:rPr>
        <w:t xml:space="preserve">claim that 2 years of treatment with cladribine plus 2 years of no treatment </w:t>
      </w:r>
      <w:r w:rsidR="00013A8C">
        <w:rPr>
          <w:rFonts w:asciiTheme="minorHAnsi" w:hAnsiTheme="minorHAnsi"/>
          <w:lang w:val="en-GB"/>
        </w:rPr>
        <w:t>i</w:t>
      </w:r>
      <w:r w:rsidR="004E57C6">
        <w:rPr>
          <w:rFonts w:asciiTheme="minorHAnsi" w:hAnsiTheme="minorHAnsi"/>
          <w:lang w:val="en-GB"/>
        </w:rPr>
        <w:t>s non-inferior to 4 years of treatment with fingolimod</w:t>
      </w:r>
      <w:r>
        <w:rPr>
          <w:rFonts w:asciiTheme="minorHAnsi" w:hAnsiTheme="minorHAnsi"/>
          <w:lang w:val="en-GB"/>
        </w:rPr>
        <w:t xml:space="preserve"> was based on a </w:t>
      </w:r>
      <w:r w:rsidRPr="00691087">
        <w:t>naïve comparison of</w:t>
      </w:r>
      <w:r w:rsidR="002E3FFC">
        <w:t xml:space="preserve"> the</w:t>
      </w:r>
      <w:r w:rsidRPr="00691087">
        <w:t xml:space="preserve"> point estimates </w:t>
      </w:r>
      <w:r>
        <w:t xml:space="preserve">from the </w:t>
      </w:r>
      <w:r w:rsidR="00013A8C">
        <w:rPr>
          <w:rFonts w:asciiTheme="minorHAnsi" w:hAnsiTheme="minorHAnsi"/>
          <w:lang w:val="en-GB"/>
        </w:rPr>
        <w:t>extension phases of the CLARITY and FREEDOMS studies</w:t>
      </w:r>
      <w:r w:rsidR="00013A8C">
        <w:t>. T</w:t>
      </w:r>
      <w:r w:rsidR="004E57C6">
        <w:rPr>
          <w:rFonts w:asciiTheme="minorHAnsi" w:hAnsiTheme="minorHAnsi"/>
          <w:lang w:val="en-GB"/>
        </w:rPr>
        <w:t xml:space="preserve">he PBAC considered </w:t>
      </w:r>
      <w:r w:rsidR="00292A61">
        <w:rPr>
          <w:rFonts w:asciiTheme="minorHAnsi" w:hAnsiTheme="minorHAnsi"/>
          <w:lang w:val="en-GB"/>
        </w:rPr>
        <w:t xml:space="preserve">there were </w:t>
      </w:r>
      <w:r w:rsidR="0011084B">
        <w:rPr>
          <w:rFonts w:asciiTheme="minorHAnsi" w:hAnsiTheme="minorHAnsi"/>
          <w:lang w:val="en-GB"/>
        </w:rPr>
        <w:t xml:space="preserve">significant </w:t>
      </w:r>
      <w:r w:rsidR="00292A61">
        <w:rPr>
          <w:rFonts w:asciiTheme="minorHAnsi" w:hAnsiTheme="minorHAnsi"/>
          <w:lang w:val="en-GB"/>
        </w:rPr>
        <w:t>issues that impacted the comparability</w:t>
      </w:r>
      <w:r w:rsidR="00013A8C">
        <w:rPr>
          <w:rFonts w:asciiTheme="minorHAnsi" w:hAnsiTheme="minorHAnsi"/>
          <w:lang w:val="en-GB"/>
        </w:rPr>
        <w:t xml:space="preserve"> of the extension phases of these studies</w:t>
      </w:r>
      <w:r w:rsidR="00292A61">
        <w:rPr>
          <w:rFonts w:asciiTheme="minorHAnsi" w:hAnsiTheme="minorHAnsi"/>
          <w:lang w:val="en-GB"/>
        </w:rPr>
        <w:t>, including</w:t>
      </w:r>
      <w:r w:rsidR="004E57C6">
        <w:rPr>
          <w:rFonts w:asciiTheme="minorHAnsi" w:hAnsiTheme="minorHAnsi"/>
          <w:lang w:val="en-GB"/>
        </w:rPr>
        <w:t>:</w:t>
      </w:r>
    </w:p>
    <w:p w14:paraId="4582F670" w14:textId="77777777" w:rsidR="000539EF" w:rsidRDefault="00013A8C" w:rsidP="00BC15E7">
      <w:pPr>
        <w:pStyle w:val="ListParagraph"/>
        <w:numPr>
          <w:ilvl w:val="0"/>
          <w:numId w:val="35"/>
        </w:numPr>
        <w:spacing w:after="120"/>
        <w:rPr>
          <w:rFonts w:asciiTheme="minorHAnsi" w:hAnsiTheme="minorHAnsi"/>
          <w:lang w:val="en-GB"/>
        </w:rPr>
      </w:pPr>
      <w:r>
        <w:rPr>
          <w:rFonts w:asciiTheme="minorHAnsi" w:hAnsiTheme="minorHAnsi"/>
          <w:lang w:val="en-GB"/>
        </w:rPr>
        <w:t>In t</w:t>
      </w:r>
      <w:r w:rsidR="004E57C6" w:rsidRPr="00BC15E7">
        <w:rPr>
          <w:rFonts w:asciiTheme="minorHAnsi" w:hAnsiTheme="minorHAnsi"/>
          <w:lang w:val="en-GB"/>
        </w:rPr>
        <w:t xml:space="preserve">he extension </w:t>
      </w:r>
      <w:r w:rsidR="00097693">
        <w:rPr>
          <w:rFonts w:asciiTheme="minorHAnsi" w:hAnsiTheme="minorHAnsi"/>
          <w:lang w:val="en-GB"/>
        </w:rPr>
        <w:t xml:space="preserve">phase of the </w:t>
      </w:r>
      <w:r w:rsidR="00097693" w:rsidRPr="00BC15E7">
        <w:rPr>
          <w:rFonts w:asciiTheme="minorHAnsi" w:hAnsiTheme="minorHAnsi"/>
          <w:lang w:val="en-GB"/>
        </w:rPr>
        <w:t xml:space="preserve">CLARITY </w:t>
      </w:r>
      <w:r w:rsidR="00097693">
        <w:rPr>
          <w:rFonts w:asciiTheme="minorHAnsi" w:hAnsiTheme="minorHAnsi"/>
          <w:lang w:val="en-GB"/>
        </w:rPr>
        <w:t>study</w:t>
      </w:r>
      <w:r>
        <w:rPr>
          <w:rFonts w:asciiTheme="minorHAnsi" w:hAnsiTheme="minorHAnsi"/>
          <w:lang w:val="en-GB"/>
        </w:rPr>
        <w:t xml:space="preserve">, patients </w:t>
      </w:r>
      <w:r w:rsidR="004E57C6" w:rsidRPr="00BC15E7">
        <w:rPr>
          <w:rFonts w:asciiTheme="minorHAnsi" w:hAnsiTheme="minorHAnsi"/>
          <w:lang w:val="en-GB"/>
        </w:rPr>
        <w:t xml:space="preserve">who received the 3.5mg/kg dose of cladribine </w:t>
      </w:r>
      <w:r>
        <w:rPr>
          <w:rFonts w:asciiTheme="minorHAnsi" w:hAnsiTheme="minorHAnsi"/>
          <w:lang w:val="en-GB"/>
        </w:rPr>
        <w:t>were</w:t>
      </w:r>
      <w:r w:rsidRPr="00BC15E7">
        <w:rPr>
          <w:rFonts w:asciiTheme="minorHAnsi" w:hAnsiTheme="minorHAnsi"/>
          <w:lang w:val="en-GB"/>
        </w:rPr>
        <w:t xml:space="preserve"> re-randomised </w:t>
      </w:r>
      <w:r w:rsidR="00A558D7">
        <w:rPr>
          <w:rFonts w:asciiTheme="minorHAnsi" w:hAnsiTheme="minorHAnsi"/>
          <w:lang w:val="en-GB"/>
        </w:rPr>
        <w:t>to 3.5mg/kg cladr</w:t>
      </w:r>
      <w:r w:rsidR="00841C87">
        <w:rPr>
          <w:rFonts w:asciiTheme="minorHAnsi" w:hAnsiTheme="minorHAnsi"/>
          <w:lang w:val="en-GB"/>
        </w:rPr>
        <w:t>i</w:t>
      </w:r>
      <w:r w:rsidR="00A558D7">
        <w:rPr>
          <w:rFonts w:asciiTheme="minorHAnsi" w:hAnsiTheme="minorHAnsi"/>
          <w:lang w:val="en-GB"/>
        </w:rPr>
        <w:t xml:space="preserve">bine or placebo </w:t>
      </w:r>
      <w:r w:rsidR="004E57C6" w:rsidRPr="00BC15E7">
        <w:rPr>
          <w:rFonts w:asciiTheme="minorHAnsi" w:hAnsiTheme="minorHAnsi"/>
          <w:lang w:val="en-GB"/>
        </w:rPr>
        <w:t>following a gap in treatment</w:t>
      </w:r>
      <w:r w:rsidR="00547ED3">
        <w:rPr>
          <w:rFonts w:asciiTheme="minorHAnsi" w:hAnsiTheme="minorHAnsi"/>
          <w:lang w:val="en-GB"/>
        </w:rPr>
        <w:t xml:space="preserve"> (the </w:t>
      </w:r>
      <w:r w:rsidR="00547ED3">
        <w:t>median duration of this gap was 40.3 weeks)</w:t>
      </w:r>
      <w:r w:rsidR="00062C9B">
        <w:rPr>
          <w:rFonts w:asciiTheme="minorHAnsi" w:hAnsiTheme="minorHAnsi"/>
          <w:lang w:val="en-GB"/>
        </w:rPr>
        <w:t>, with</w:t>
      </w:r>
      <w:r w:rsidR="00841C87">
        <w:rPr>
          <w:rFonts w:asciiTheme="minorHAnsi" w:hAnsiTheme="minorHAnsi"/>
          <w:lang w:val="en-GB"/>
        </w:rPr>
        <w:t xml:space="preserve"> </w:t>
      </w:r>
      <w:r w:rsidR="00BC15E7">
        <w:rPr>
          <w:rFonts w:asciiTheme="minorHAnsi" w:hAnsiTheme="minorHAnsi"/>
          <w:lang w:val="en-GB"/>
        </w:rPr>
        <w:t>71% of patients</w:t>
      </w:r>
      <w:r w:rsidR="00BC15E7" w:rsidRPr="00BC15E7">
        <w:rPr>
          <w:rFonts w:asciiTheme="minorHAnsi" w:hAnsiTheme="minorHAnsi"/>
          <w:lang w:val="en-GB"/>
        </w:rPr>
        <w:t xml:space="preserve"> </w:t>
      </w:r>
      <w:r w:rsidR="00C54E17">
        <w:rPr>
          <w:rFonts w:asciiTheme="minorHAnsi" w:hAnsiTheme="minorHAnsi"/>
          <w:lang w:val="en-GB"/>
        </w:rPr>
        <w:t xml:space="preserve">in this arm </w:t>
      </w:r>
      <w:r w:rsidR="00BC15E7" w:rsidRPr="00BC15E7">
        <w:rPr>
          <w:rFonts w:asciiTheme="minorHAnsi" w:hAnsiTheme="minorHAnsi"/>
          <w:lang w:val="en-GB"/>
        </w:rPr>
        <w:t>enter</w:t>
      </w:r>
      <w:r w:rsidR="00062C9B">
        <w:rPr>
          <w:rFonts w:asciiTheme="minorHAnsi" w:hAnsiTheme="minorHAnsi"/>
          <w:lang w:val="en-GB"/>
        </w:rPr>
        <w:t>ing</w:t>
      </w:r>
      <w:r w:rsidR="00BC15E7" w:rsidRPr="00BC15E7">
        <w:rPr>
          <w:rFonts w:asciiTheme="minorHAnsi" w:hAnsiTheme="minorHAnsi"/>
          <w:lang w:val="en-GB"/>
        </w:rPr>
        <w:t xml:space="preserve"> the extension study</w:t>
      </w:r>
      <w:r w:rsidR="004E57C6" w:rsidRPr="00BC15E7">
        <w:rPr>
          <w:rFonts w:asciiTheme="minorHAnsi" w:hAnsiTheme="minorHAnsi"/>
          <w:lang w:val="en-GB"/>
        </w:rPr>
        <w:t xml:space="preserve">. The PBAC </w:t>
      </w:r>
      <w:r w:rsidR="009935F9" w:rsidRPr="00BC15E7">
        <w:rPr>
          <w:rFonts w:asciiTheme="minorHAnsi" w:hAnsiTheme="minorHAnsi"/>
          <w:lang w:val="en-GB"/>
        </w:rPr>
        <w:t>considered that</w:t>
      </w:r>
      <w:r w:rsidR="004E57C6" w:rsidRPr="00BC15E7">
        <w:rPr>
          <w:rFonts w:asciiTheme="minorHAnsi" w:hAnsiTheme="minorHAnsi"/>
          <w:lang w:val="en-GB"/>
        </w:rPr>
        <w:t xml:space="preserve"> the </w:t>
      </w:r>
      <w:r w:rsidR="00C515C1">
        <w:rPr>
          <w:rFonts w:asciiTheme="minorHAnsi" w:hAnsiTheme="minorHAnsi"/>
          <w:lang w:val="en-GB"/>
        </w:rPr>
        <w:t>risk of being</w:t>
      </w:r>
      <w:r w:rsidR="002E3FFC">
        <w:rPr>
          <w:rFonts w:asciiTheme="minorHAnsi" w:hAnsiTheme="minorHAnsi"/>
          <w:lang w:val="en-GB"/>
        </w:rPr>
        <w:t xml:space="preserve"> randomised to placebo</w:t>
      </w:r>
      <w:r w:rsidR="00853E36" w:rsidRPr="00BC15E7">
        <w:rPr>
          <w:rFonts w:asciiTheme="minorHAnsi" w:hAnsiTheme="minorHAnsi"/>
          <w:lang w:val="en-GB"/>
        </w:rPr>
        <w:t xml:space="preserve"> and the </w:t>
      </w:r>
      <w:r w:rsidR="004E57C6" w:rsidRPr="00BC15E7">
        <w:rPr>
          <w:rFonts w:asciiTheme="minorHAnsi" w:hAnsiTheme="minorHAnsi"/>
          <w:lang w:val="en-GB"/>
        </w:rPr>
        <w:t xml:space="preserve">gap </w:t>
      </w:r>
      <w:r w:rsidR="00C515C1">
        <w:rPr>
          <w:rFonts w:asciiTheme="minorHAnsi" w:hAnsiTheme="minorHAnsi"/>
          <w:lang w:val="en-GB"/>
        </w:rPr>
        <w:t>between completing the main study and entering the extension study</w:t>
      </w:r>
      <w:r w:rsidR="004E57C6" w:rsidRPr="00BC15E7">
        <w:rPr>
          <w:rFonts w:asciiTheme="minorHAnsi" w:hAnsiTheme="minorHAnsi"/>
          <w:lang w:val="en-GB"/>
        </w:rPr>
        <w:t xml:space="preserve"> </w:t>
      </w:r>
      <w:r w:rsidR="00C515C1">
        <w:rPr>
          <w:rFonts w:asciiTheme="minorHAnsi" w:hAnsiTheme="minorHAnsi"/>
          <w:lang w:val="en-GB"/>
        </w:rPr>
        <w:t>resulted in</w:t>
      </w:r>
      <w:r w:rsidR="00C515C1" w:rsidRPr="00BC15E7">
        <w:rPr>
          <w:rFonts w:asciiTheme="minorHAnsi" w:hAnsiTheme="minorHAnsi"/>
          <w:lang w:val="en-GB"/>
        </w:rPr>
        <w:t xml:space="preserve"> </w:t>
      </w:r>
      <w:r w:rsidR="004E57C6" w:rsidRPr="00BC15E7">
        <w:rPr>
          <w:rFonts w:asciiTheme="minorHAnsi" w:hAnsiTheme="minorHAnsi"/>
          <w:lang w:val="en-GB"/>
        </w:rPr>
        <w:t xml:space="preserve">a </w:t>
      </w:r>
      <w:r w:rsidR="00C515C1">
        <w:rPr>
          <w:rFonts w:asciiTheme="minorHAnsi" w:hAnsiTheme="minorHAnsi"/>
          <w:lang w:val="en-GB"/>
        </w:rPr>
        <w:t xml:space="preserve">high </w:t>
      </w:r>
      <w:r w:rsidR="00097693">
        <w:rPr>
          <w:rFonts w:asciiTheme="minorHAnsi" w:hAnsiTheme="minorHAnsi"/>
          <w:lang w:val="en-GB"/>
        </w:rPr>
        <w:t xml:space="preserve">risk of </w:t>
      </w:r>
      <w:r w:rsidR="004E57C6" w:rsidRPr="00BC15E7">
        <w:rPr>
          <w:rFonts w:asciiTheme="minorHAnsi" w:hAnsiTheme="minorHAnsi"/>
          <w:lang w:val="en-GB"/>
        </w:rPr>
        <w:t xml:space="preserve">selection bias </w:t>
      </w:r>
      <w:r w:rsidR="00C515C1">
        <w:rPr>
          <w:rFonts w:asciiTheme="minorHAnsi" w:hAnsiTheme="minorHAnsi"/>
          <w:lang w:val="en-GB"/>
        </w:rPr>
        <w:t>for</w:t>
      </w:r>
      <w:r w:rsidR="00C515C1" w:rsidRPr="00BC15E7">
        <w:rPr>
          <w:rFonts w:asciiTheme="minorHAnsi" w:hAnsiTheme="minorHAnsi"/>
          <w:lang w:val="en-GB"/>
        </w:rPr>
        <w:t xml:space="preserve"> </w:t>
      </w:r>
      <w:r w:rsidR="004E57C6" w:rsidRPr="00BC15E7">
        <w:rPr>
          <w:rFonts w:asciiTheme="minorHAnsi" w:hAnsiTheme="minorHAnsi"/>
          <w:lang w:val="en-GB"/>
        </w:rPr>
        <w:t>the cohort of patients who r</w:t>
      </w:r>
      <w:r w:rsidR="002E3FFC">
        <w:rPr>
          <w:rFonts w:asciiTheme="minorHAnsi" w:hAnsiTheme="minorHAnsi"/>
          <w:lang w:val="en-GB"/>
        </w:rPr>
        <w:t>eturned to the extension phase. The PBAC considered that</w:t>
      </w:r>
      <w:r w:rsidR="004E57C6" w:rsidRPr="00BC15E7">
        <w:rPr>
          <w:rFonts w:asciiTheme="minorHAnsi" w:hAnsiTheme="minorHAnsi"/>
          <w:lang w:val="en-GB"/>
        </w:rPr>
        <w:t xml:space="preserve"> patients who performed better on treatment with cladribine or </w:t>
      </w:r>
      <w:r w:rsidR="00547ED3">
        <w:rPr>
          <w:rFonts w:asciiTheme="minorHAnsi" w:hAnsiTheme="minorHAnsi"/>
          <w:lang w:val="en-GB"/>
        </w:rPr>
        <w:t>those with</w:t>
      </w:r>
      <w:r w:rsidR="004E57C6" w:rsidRPr="00BC15E7">
        <w:rPr>
          <w:rFonts w:asciiTheme="minorHAnsi" w:hAnsiTheme="minorHAnsi"/>
          <w:lang w:val="en-GB"/>
        </w:rPr>
        <w:t xml:space="preserve"> less severe disease</w:t>
      </w:r>
      <w:r w:rsidR="00C515C1">
        <w:rPr>
          <w:rFonts w:asciiTheme="minorHAnsi" w:hAnsiTheme="minorHAnsi"/>
          <w:lang w:val="en-GB"/>
        </w:rPr>
        <w:t xml:space="preserve"> </w:t>
      </w:r>
      <w:r w:rsidR="002E3FFC">
        <w:rPr>
          <w:rFonts w:asciiTheme="minorHAnsi" w:hAnsiTheme="minorHAnsi"/>
          <w:lang w:val="en-GB"/>
        </w:rPr>
        <w:t xml:space="preserve">would be </w:t>
      </w:r>
      <w:r w:rsidR="00C515C1">
        <w:rPr>
          <w:rFonts w:asciiTheme="minorHAnsi" w:hAnsiTheme="minorHAnsi"/>
          <w:lang w:val="en-GB"/>
        </w:rPr>
        <w:t xml:space="preserve">more likely to </w:t>
      </w:r>
      <w:r w:rsidR="0052656C">
        <w:rPr>
          <w:rFonts w:asciiTheme="minorHAnsi" w:hAnsiTheme="minorHAnsi"/>
          <w:lang w:val="en-GB"/>
        </w:rPr>
        <w:t>volunteer for the extension study</w:t>
      </w:r>
      <w:r w:rsidR="00BC15E7" w:rsidRPr="00BC15E7">
        <w:rPr>
          <w:rFonts w:asciiTheme="minorHAnsi" w:hAnsiTheme="minorHAnsi"/>
          <w:lang w:val="en-GB"/>
        </w:rPr>
        <w:t xml:space="preserve">. As such, the PBAC </w:t>
      </w:r>
      <w:r w:rsidR="00BC15E7">
        <w:rPr>
          <w:rFonts w:asciiTheme="minorHAnsi" w:hAnsiTheme="minorHAnsi"/>
          <w:lang w:val="en-GB"/>
        </w:rPr>
        <w:t xml:space="preserve">re-iterated its previous </w:t>
      </w:r>
      <w:r w:rsidR="00097693">
        <w:rPr>
          <w:rFonts w:asciiTheme="minorHAnsi" w:hAnsiTheme="minorHAnsi"/>
          <w:lang w:val="en-GB"/>
        </w:rPr>
        <w:t>view</w:t>
      </w:r>
      <w:r w:rsidR="00BC15E7">
        <w:rPr>
          <w:rFonts w:asciiTheme="minorHAnsi" w:hAnsiTheme="minorHAnsi"/>
          <w:lang w:val="en-GB"/>
        </w:rPr>
        <w:t xml:space="preserve"> that </w:t>
      </w:r>
      <w:r w:rsidR="000539EF">
        <w:rPr>
          <w:rFonts w:asciiTheme="minorHAnsi" w:hAnsiTheme="minorHAnsi"/>
          <w:lang w:val="en-GB"/>
        </w:rPr>
        <w:t xml:space="preserve">the enrolled population in the extension study was likely not reflective of the full CLARITY </w:t>
      </w:r>
      <w:r w:rsidR="004D4789">
        <w:rPr>
          <w:rFonts w:asciiTheme="minorHAnsi" w:hAnsiTheme="minorHAnsi"/>
          <w:lang w:val="en-GB"/>
        </w:rPr>
        <w:t>population</w:t>
      </w:r>
      <w:r w:rsidR="0017137D">
        <w:rPr>
          <w:rFonts w:asciiTheme="minorHAnsi" w:hAnsiTheme="minorHAnsi"/>
          <w:lang w:val="en-GB"/>
        </w:rPr>
        <w:t>; and</w:t>
      </w:r>
    </w:p>
    <w:p w14:paraId="4C34F703" w14:textId="77777777" w:rsidR="004E57C6" w:rsidRDefault="00737747" w:rsidP="004E57C6">
      <w:pPr>
        <w:pStyle w:val="ListParagraph"/>
        <w:numPr>
          <w:ilvl w:val="0"/>
          <w:numId w:val="35"/>
        </w:numPr>
        <w:spacing w:after="120"/>
        <w:rPr>
          <w:rFonts w:asciiTheme="minorHAnsi" w:hAnsiTheme="minorHAnsi"/>
          <w:lang w:val="en-GB"/>
        </w:rPr>
      </w:pPr>
      <w:r>
        <w:rPr>
          <w:rFonts w:asciiTheme="minorHAnsi" w:hAnsiTheme="minorHAnsi"/>
          <w:lang w:val="en-GB"/>
        </w:rPr>
        <w:t>I</w:t>
      </w:r>
      <w:r w:rsidR="00097693">
        <w:rPr>
          <w:rFonts w:asciiTheme="minorHAnsi" w:hAnsiTheme="minorHAnsi"/>
          <w:lang w:val="en-GB"/>
        </w:rPr>
        <w:t>n the</w:t>
      </w:r>
      <w:r w:rsidR="00FB4940">
        <w:rPr>
          <w:rFonts w:asciiTheme="minorHAnsi" w:hAnsiTheme="minorHAnsi"/>
          <w:lang w:val="en-GB"/>
        </w:rPr>
        <w:t xml:space="preserve"> FREEDOMS extension </w:t>
      </w:r>
      <w:r w:rsidR="005F760B">
        <w:rPr>
          <w:rFonts w:asciiTheme="minorHAnsi" w:hAnsiTheme="minorHAnsi"/>
          <w:lang w:val="en-GB"/>
        </w:rPr>
        <w:t>study</w:t>
      </w:r>
      <w:r>
        <w:rPr>
          <w:rFonts w:asciiTheme="minorHAnsi" w:hAnsiTheme="minorHAnsi"/>
          <w:lang w:val="en-GB"/>
        </w:rPr>
        <w:t xml:space="preserve"> a</w:t>
      </w:r>
      <w:r w:rsidR="00FB4940">
        <w:rPr>
          <w:rFonts w:asciiTheme="minorHAnsi" w:hAnsiTheme="minorHAnsi"/>
          <w:lang w:val="en-GB"/>
        </w:rPr>
        <w:t>ll participants</w:t>
      </w:r>
      <w:r w:rsidR="005F760B">
        <w:rPr>
          <w:rFonts w:asciiTheme="minorHAnsi" w:hAnsiTheme="minorHAnsi"/>
          <w:lang w:val="en-GB"/>
        </w:rPr>
        <w:t xml:space="preserve"> in the fingolimod 0.5 mg arm</w:t>
      </w:r>
      <w:r w:rsidR="00FB4940">
        <w:rPr>
          <w:rFonts w:asciiTheme="minorHAnsi" w:hAnsiTheme="minorHAnsi"/>
          <w:lang w:val="en-GB"/>
        </w:rPr>
        <w:t xml:space="preserve"> </w:t>
      </w:r>
      <w:r w:rsidR="00A656AD">
        <w:rPr>
          <w:rFonts w:asciiTheme="minorHAnsi" w:hAnsiTheme="minorHAnsi"/>
          <w:lang w:val="en-GB"/>
        </w:rPr>
        <w:t xml:space="preserve">were eligible to </w:t>
      </w:r>
      <w:r w:rsidR="00EB74AD">
        <w:rPr>
          <w:rFonts w:asciiTheme="minorHAnsi" w:hAnsiTheme="minorHAnsi"/>
          <w:lang w:val="en-GB"/>
        </w:rPr>
        <w:t>continue on</w:t>
      </w:r>
      <w:r w:rsidR="00FB4940">
        <w:rPr>
          <w:rFonts w:asciiTheme="minorHAnsi" w:hAnsiTheme="minorHAnsi"/>
          <w:lang w:val="en-GB"/>
        </w:rPr>
        <w:t xml:space="preserve"> fingolimod 0.5</w:t>
      </w:r>
      <w:r w:rsidR="003A153F">
        <w:rPr>
          <w:rFonts w:asciiTheme="minorHAnsi" w:hAnsiTheme="minorHAnsi"/>
          <w:lang w:val="en-GB"/>
        </w:rPr>
        <w:t xml:space="preserve"> </w:t>
      </w:r>
      <w:r w:rsidR="00FB4940">
        <w:rPr>
          <w:rFonts w:asciiTheme="minorHAnsi" w:hAnsiTheme="minorHAnsi"/>
          <w:lang w:val="en-GB"/>
        </w:rPr>
        <w:t>mg</w:t>
      </w:r>
      <w:r>
        <w:rPr>
          <w:rFonts w:asciiTheme="minorHAnsi" w:hAnsiTheme="minorHAnsi"/>
          <w:lang w:val="en-GB"/>
        </w:rPr>
        <w:t xml:space="preserve"> and hence the potential for selection bias was less than for the CLARITY</w:t>
      </w:r>
      <w:r w:rsidR="00A656AD">
        <w:rPr>
          <w:rFonts w:asciiTheme="minorHAnsi" w:hAnsiTheme="minorHAnsi"/>
          <w:lang w:val="en-GB"/>
        </w:rPr>
        <w:t xml:space="preserve"> extension study</w:t>
      </w:r>
      <w:r w:rsidR="00FB4940">
        <w:rPr>
          <w:rFonts w:asciiTheme="minorHAnsi" w:hAnsiTheme="minorHAnsi"/>
          <w:lang w:val="en-GB"/>
        </w:rPr>
        <w:t>.</w:t>
      </w:r>
    </w:p>
    <w:p w14:paraId="26F4FD24" w14:textId="77777777" w:rsidR="00292A61" w:rsidRPr="004E57C6" w:rsidRDefault="00292A61" w:rsidP="00292A61">
      <w:pPr>
        <w:pStyle w:val="ListParagraph"/>
        <w:spacing w:after="120"/>
        <w:ind w:left="709"/>
        <w:rPr>
          <w:rFonts w:asciiTheme="minorHAnsi" w:hAnsiTheme="minorHAnsi"/>
          <w:lang w:val="en-GB"/>
        </w:rPr>
      </w:pPr>
      <w:r>
        <w:rPr>
          <w:rFonts w:asciiTheme="minorHAnsi" w:hAnsiTheme="minorHAnsi"/>
          <w:lang w:val="en-GB"/>
        </w:rPr>
        <w:t>Given these differences</w:t>
      </w:r>
      <w:r w:rsidR="00595605">
        <w:rPr>
          <w:rFonts w:asciiTheme="minorHAnsi" w:hAnsiTheme="minorHAnsi"/>
          <w:lang w:val="en-GB"/>
        </w:rPr>
        <w:t xml:space="preserve"> between</w:t>
      </w:r>
      <w:r w:rsidR="005C11F3">
        <w:rPr>
          <w:rFonts w:asciiTheme="minorHAnsi" w:hAnsiTheme="minorHAnsi"/>
          <w:lang w:val="en-GB"/>
        </w:rPr>
        <w:t xml:space="preserve"> the extension phases of the CLARITY and FREEDOMS studies</w:t>
      </w:r>
      <w:r w:rsidR="00595605">
        <w:rPr>
          <w:rFonts w:asciiTheme="minorHAnsi" w:hAnsiTheme="minorHAnsi"/>
          <w:lang w:val="en-GB"/>
        </w:rPr>
        <w:t>, combined with the relapsing/remitting nature of the condition,</w:t>
      </w:r>
      <w:r>
        <w:rPr>
          <w:rFonts w:asciiTheme="minorHAnsi" w:hAnsiTheme="minorHAnsi"/>
          <w:lang w:val="en-GB"/>
        </w:rPr>
        <w:t xml:space="preserve"> the PBAC considered the claim of non-inferiority</w:t>
      </w:r>
      <w:r w:rsidR="00013A8C">
        <w:rPr>
          <w:rFonts w:asciiTheme="minorHAnsi" w:hAnsiTheme="minorHAnsi"/>
          <w:lang w:val="en-GB"/>
        </w:rPr>
        <w:t xml:space="preserve"> (</w:t>
      </w:r>
      <w:r w:rsidR="005F760B">
        <w:rPr>
          <w:rFonts w:asciiTheme="minorHAnsi" w:hAnsiTheme="minorHAnsi"/>
          <w:lang w:val="en-GB"/>
        </w:rPr>
        <w:t xml:space="preserve">based on </w:t>
      </w:r>
      <w:r w:rsidR="005F760B" w:rsidRPr="00691087">
        <w:t xml:space="preserve">a naïve comparison of point estimates </w:t>
      </w:r>
      <w:r w:rsidR="005F760B">
        <w:t>from these studies</w:t>
      </w:r>
      <w:r w:rsidR="00013A8C">
        <w:t>)</w:t>
      </w:r>
      <w:r w:rsidR="005F760B">
        <w:t xml:space="preserve"> </w:t>
      </w:r>
      <w:r>
        <w:rPr>
          <w:rFonts w:asciiTheme="minorHAnsi" w:hAnsiTheme="minorHAnsi"/>
          <w:lang w:val="en-GB"/>
        </w:rPr>
        <w:t xml:space="preserve">over </w:t>
      </w:r>
      <w:r w:rsidR="00013A8C">
        <w:rPr>
          <w:rFonts w:asciiTheme="minorHAnsi" w:hAnsiTheme="minorHAnsi"/>
          <w:lang w:val="en-GB"/>
        </w:rPr>
        <w:t>a period longer than two years</w:t>
      </w:r>
      <w:r>
        <w:rPr>
          <w:rFonts w:asciiTheme="minorHAnsi" w:hAnsiTheme="minorHAnsi"/>
          <w:lang w:val="en-GB"/>
        </w:rPr>
        <w:t xml:space="preserve"> was not </w:t>
      </w:r>
      <w:r w:rsidR="00C30116">
        <w:rPr>
          <w:rFonts w:asciiTheme="minorHAnsi" w:hAnsiTheme="minorHAnsi"/>
          <w:lang w:val="en-GB"/>
        </w:rPr>
        <w:t>supported.</w:t>
      </w:r>
      <w:r w:rsidR="005F760B">
        <w:rPr>
          <w:rFonts w:asciiTheme="minorHAnsi" w:hAnsiTheme="minorHAnsi"/>
          <w:lang w:val="en-GB"/>
        </w:rPr>
        <w:t xml:space="preserve"> </w:t>
      </w:r>
    </w:p>
    <w:p w14:paraId="1FA019C2" w14:textId="77777777" w:rsidR="00E801DE" w:rsidRPr="00E801DE" w:rsidRDefault="00292A61" w:rsidP="00FE4453">
      <w:pPr>
        <w:pStyle w:val="ListParagraph"/>
        <w:numPr>
          <w:ilvl w:val="1"/>
          <w:numId w:val="2"/>
        </w:numPr>
        <w:rPr>
          <w:iCs/>
          <w:color w:val="000000" w:themeColor="text1"/>
        </w:rPr>
      </w:pPr>
      <w:r w:rsidRPr="00E801DE">
        <w:rPr>
          <w:rFonts w:asciiTheme="minorHAnsi" w:hAnsiTheme="minorHAnsi"/>
          <w:lang w:val="en-GB"/>
        </w:rPr>
        <w:t xml:space="preserve">The PBAC noted </w:t>
      </w:r>
      <w:r w:rsidR="00E801DE" w:rsidRPr="00E801DE">
        <w:rPr>
          <w:rFonts w:asciiTheme="minorHAnsi" w:hAnsiTheme="minorHAnsi"/>
          <w:lang w:val="en-GB"/>
        </w:rPr>
        <w:t xml:space="preserve">that </w:t>
      </w:r>
      <w:r w:rsidRPr="00E801DE">
        <w:rPr>
          <w:rFonts w:asciiTheme="minorHAnsi" w:hAnsiTheme="minorHAnsi"/>
          <w:lang w:val="en-GB"/>
        </w:rPr>
        <w:t xml:space="preserve">the </w:t>
      </w:r>
      <w:r w:rsidR="003A153F" w:rsidRPr="00E801DE">
        <w:rPr>
          <w:rFonts w:asciiTheme="minorHAnsi" w:hAnsiTheme="minorHAnsi"/>
          <w:lang w:val="en-GB"/>
        </w:rPr>
        <w:t xml:space="preserve">submission presented </w:t>
      </w:r>
      <w:r w:rsidR="00595605">
        <w:rPr>
          <w:rFonts w:asciiTheme="minorHAnsi" w:hAnsiTheme="minorHAnsi"/>
          <w:lang w:val="en-GB"/>
        </w:rPr>
        <w:t>RWE</w:t>
      </w:r>
      <w:r w:rsidRPr="00E801DE">
        <w:rPr>
          <w:rFonts w:asciiTheme="minorHAnsi" w:hAnsiTheme="minorHAnsi"/>
          <w:lang w:val="en-GB"/>
        </w:rPr>
        <w:t xml:space="preserve"> </w:t>
      </w:r>
      <w:r w:rsidR="00E801DE" w:rsidRPr="00E801DE">
        <w:rPr>
          <w:iCs/>
          <w:color w:val="000000" w:themeColor="text1"/>
        </w:rPr>
        <w:t>regarding</w:t>
      </w:r>
      <w:r w:rsidR="003A153F" w:rsidRPr="00E801DE">
        <w:rPr>
          <w:iCs/>
          <w:color w:val="000000" w:themeColor="text1"/>
        </w:rPr>
        <w:t xml:space="preserve"> the rates at which alternative disease modifying therapies (DMTs) were initiated following 2 y</w:t>
      </w:r>
      <w:r w:rsidR="00E801DE" w:rsidRPr="00E801DE">
        <w:rPr>
          <w:iCs/>
          <w:color w:val="000000" w:themeColor="text1"/>
        </w:rPr>
        <w:t>ears of</w:t>
      </w:r>
      <w:r w:rsidR="003A153F" w:rsidRPr="00E801DE">
        <w:rPr>
          <w:iCs/>
          <w:color w:val="000000" w:themeColor="text1"/>
        </w:rPr>
        <w:t xml:space="preserve"> treatment with cladribine.</w:t>
      </w:r>
      <w:r w:rsidR="00E801DE" w:rsidRPr="00E801DE">
        <w:rPr>
          <w:iCs/>
          <w:color w:val="000000" w:themeColor="text1"/>
        </w:rPr>
        <w:t xml:space="preserve"> </w:t>
      </w:r>
      <w:r w:rsidR="00FE4453" w:rsidRPr="00FE4453">
        <w:rPr>
          <w:iCs/>
          <w:color w:val="000000" w:themeColor="text1"/>
        </w:rPr>
        <w:t>The Committee also noted</w:t>
      </w:r>
      <w:r w:rsidR="001738BA">
        <w:rPr>
          <w:iCs/>
          <w:color w:val="000000" w:themeColor="text1"/>
        </w:rPr>
        <w:t xml:space="preserve"> that</w:t>
      </w:r>
      <w:r w:rsidR="00FE4453" w:rsidRPr="00FE4453">
        <w:rPr>
          <w:iCs/>
          <w:color w:val="000000" w:themeColor="text1"/>
        </w:rPr>
        <w:t xml:space="preserve"> input from consumers and clinicians</w:t>
      </w:r>
      <w:r w:rsidR="001738BA" w:rsidRPr="00FE4453">
        <w:rPr>
          <w:iCs/>
          <w:color w:val="000000" w:themeColor="text1"/>
        </w:rPr>
        <w:t xml:space="preserve"> </w:t>
      </w:r>
      <w:r w:rsidR="001738BA">
        <w:rPr>
          <w:iCs/>
          <w:color w:val="000000" w:themeColor="text1"/>
        </w:rPr>
        <w:t xml:space="preserve">generally supported the claim that </w:t>
      </w:r>
      <w:r w:rsidR="001738BA">
        <w:rPr>
          <w:rFonts w:asciiTheme="minorHAnsi" w:hAnsiTheme="minorHAnsi"/>
          <w:bCs/>
        </w:rPr>
        <w:t>some patients do not require additional treatment in their third year after commencing cladribine.</w:t>
      </w:r>
      <w:r w:rsidR="002C411F">
        <w:rPr>
          <w:rFonts w:asciiTheme="minorHAnsi" w:hAnsiTheme="minorHAnsi"/>
          <w:bCs/>
        </w:rPr>
        <w:t xml:space="preserve"> However,</w:t>
      </w:r>
      <w:r w:rsidR="001738BA">
        <w:rPr>
          <w:rFonts w:asciiTheme="minorHAnsi" w:hAnsiTheme="minorHAnsi"/>
          <w:bCs/>
        </w:rPr>
        <w:t xml:space="preserve"> </w:t>
      </w:r>
      <w:r w:rsidR="002C411F">
        <w:rPr>
          <w:iCs/>
          <w:color w:val="000000" w:themeColor="text1"/>
        </w:rPr>
        <w:t>t</w:t>
      </w:r>
      <w:r w:rsidR="00E801DE" w:rsidRPr="00E801DE">
        <w:rPr>
          <w:iCs/>
          <w:color w:val="000000" w:themeColor="text1"/>
        </w:rPr>
        <w:t>he PBAC</w:t>
      </w:r>
      <w:r w:rsidR="003A153F" w:rsidRPr="00E801DE">
        <w:rPr>
          <w:iCs/>
          <w:color w:val="000000" w:themeColor="text1"/>
        </w:rPr>
        <w:t xml:space="preserve"> </w:t>
      </w:r>
      <w:r w:rsidR="001738BA">
        <w:rPr>
          <w:iCs/>
          <w:color w:val="000000" w:themeColor="text1"/>
        </w:rPr>
        <w:t>considered</w:t>
      </w:r>
      <w:r w:rsidR="00E801DE" w:rsidRPr="00E801DE">
        <w:rPr>
          <w:iCs/>
          <w:color w:val="000000" w:themeColor="text1"/>
        </w:rPr>
        <w:t xml:space="preserve"> </w:t>
      </w:r>
      <w:r w:rsidR="001738BA">
        <w:rPr>
          <w:iCs/>
          <w:color w:val="000000" w:themeColor="text1"/>
        </w:rPr>
        <w:t xml:space="preserve">that </w:t>
      </w:r>
      <w:r w:rsidR="00E801DE" w:rsidRPr="00E801DE">
        <w:rPr>
          <w:iCs/>
          <w:color w:val="000000" w:themeColor="text1"/>
        </w:rPr>
        <w:t>th</w:t>
      </w:r>
      <w:r w:rsidR="001738BA">
        <w:rPr>
          <w:iCs/>
          <w:color w:val="000000" w:themeColor="text1"/>
        </w:rPr>
        <w:t xml:space="preserve">e rate of commencing alternative DMTs </w:t>
      </w:r>
      <w:r w:rsidR="00E801DE" w:rsidRPr="00E801DE">
        <w:rPr>
          <w:iCs/>
          <w:color w:val="000000" w:themeColor="text1"/>
        </w:rPr>
        <w:t>is not a direct measure of the durability of effect of cladribine in years 3 and 4 and</w:t>
      </w:r>
      <w:r w:rsidR="00097693">
        <w:rPr>
          <w:iCs/>
          <w:color w:val="000000" w:themeColor="text1"/>
        </w:rPr>
        <w:t xml:space="preserve"> considered that</w:t>
      </w:r>
      <w:r w:rsidR="00E801DE" w:rsidRPr="00E801DE">
        <w:rPr>
          <w:iCs/>
          <w:color w:val="000000" w:themeColor="text1"/>
        </w:rPr>
        <w:t xml:space="preserve"> it was unclear if this was a reasonable surrogate measure. </w:t>
      </w:r>
      <w:r w:rsidR="003C252C">
        <w:rPr>
          <w:iCs/>
          <w:color w:val="000000" w:themeColor="text1"/>
        </w:rPr>
        <w:t>For example, g</w:t>
      </w:r>
      <w:r w:rsidR="003C252C" w:rsidRPr="00E801DE">
        <w:rPr>
          <w:iCs/>
          <w:color w:val="000000" w:themeColor="text1"/>
        </w:rPr>
        <w:t xml:space="preserve">iven the natural history of RRMS, the PBAC considered it was plausible that some patients would experience few or no relapse events in the period for which </w:t>
      </w:r>
      <w:r w:rsidR="007E2785">
        <w:rPr>
          <w:iCs/>
          <w:color w:val="000000" w:themeColor="text1"/>
        </w:rPr>
        <w:t xml:space="preserve">the </w:t>
      </w:r>
      <w:r w:rsidR="003C252C" w:rsidRPr="00E801DE">
        <w:rPr>
          <w:iCs/>
          <w:color w:val="000000" w:themeColor="text1"/>
        </w:rPr>
        <w:t>RWE was presented, therefore the rate of commencing an alternative DMT could not be solely attributed to the effects of cladribine. The PBAC noted no evidence was presented to support a claim that treatment with cladribine solely accounts for the observed rate of DMT switching.</w:t>
      </w:r>
      <w:r w:rsidR="003C252C">
        <w:rPr>
          <w:iCs/>
          <w:color w:val="000000" w:themeColor="text1"/>
        </w:rPr>
        <w:t xml:space="preserve"> </w:t>
      </w:r>
      <w:r w:rsidR="00013A8C">
        <w:rPr>
          <w:iCs/>
          <w:color w:val="000000" w:themeColor="text1"/>
        </w:rPr>
        <w:t>Further, the PBAC noted t</w:t>
      </w:r>
      <w:r w:rsidR="00013A8C" w:rsidRPr="00691087">
        <w:t xml:space="preserve">hese observational </w:t>
      </w:r>
      <w:r w:rsidR="00013A8C">
        <w:t>RWE</w:t>
      </w:r>
      <w:r w:rsidR="00013A8C" w:rsidRPr="00691087">
        <w:t xml:space="preserve"> </w:t>
      </w:r>
      <w:r w:rsidR="00013A8C">
        <w:t xml:space="preserve">studies </w:t>
      </w:r>
      <w:r w:rsidR="00013A8C" w:rsidRPr="00691087">
        <w:t>did not include any comparative evidence versus fingolimod</w:t>
      </w:r>
      <w:r w:rsidR="00013A8C">
        <w:t>.</w:t>
      </w:r>
      <w:r w:rsidR="00013A8C">
        <w:rPr>
          <w:iCs/>
          <w:color w:val="000000" w:themeColor="text1"/>
        </w:rPr>
        <w:t xml:space="preserve"> Overall, the PBAC</w:t>
      </w:r>
      <w:r w:rsidR="00097693">
        <w:t xml:space="preserve"> considered these studies</w:t>
      </w:r>
      <w:r w:rsidR="00E801DE">
        <w:t xml:space="preserve"> </w:t>
      </w:r>
      <w:r w:rsidR="00E801DE" w:rsidRPr="00691087">
        <w:t xml:space="preserve">did not </w:t>
      </w:r>
      <w:r w:rsidR="00FE4453">
        <w:t xml:space="preserve">support </w:t>
      </w:r>
      <w:r w:rsidR="001738BA">
        <w:t xml:space="preserve">the </w:t>
      </w:r>
      <w:r w:rsidR="00E801DE" w:rsidRPr="00691087">
        <w:t>non-inferiority</w:t>
      </w:r>
      <w:r w:rsidR="00E801DE">
        <w:t xml:space="preserve"> of cladribine versus fingolimod</w:t>
      </w:r>
      <w:r w:rsidR="00FE4453">
        <w:t xml:space="preserve"> over a period longer than 2 years</w:t>
      </w:r>
      <w:r w:rsidR="00E801DE">
        <w:t>.</w:t>
      </w:r>
    </w:p>
    <w:p w14:paraId="5C08EC7C" w14:textId="77777777" w:rsidR="005C11F3" w:rsidRDefault="00FE4453" w:rsidP="00FE4453">
      <w:pPr>
        <w:numPr>
          <w:ilvl w:val="1"/>
          <w:numId w:val="2"/>
        </w:numPr>
        <w:spacing w:after="120"/>
        <w:rPr>
          <w:rFonts w:asciiTheme="minorHAnsi" w:hAnsiTheme="minorHAnsi"/>
          <w:lang w:val="en-GB"/>
        </w:rPr>
      </w:pPr>
      <w:r>
        <w:rPr>
          <w:rFonts w:asciiTheme="minorHAnsi" w:hAnsiTheme="minorHAnsi"/>
          <w:lang w:val="en-GB"/>
        </w:rPr>
        <w:t xml:space="preserve">The PBAC </w:t>
      </w:r>
      <w:r w:rsidR="00893968">
        <w:rPr>
          <w:rFonts w:asciiTheme="minorHAnsi" w:hAnsiTheme="minorHAnsi"/>
          <w:lang w:val="en-GB"/>
        </w:rPr>
        <w:t xml:space="preserve">noted </w:t>
      </w:r>
      <w:r>
        <w:rPr>
          <w:rFonts w:asciiTheme="minorHAnsi" w:hAnsiTheme="minorHAnsi"/>
          <w:lang w:val="en-GB"/>
        </w:rPr>
        <w:t xml:space="preserve">that the RWE evidence </w:t>
      </w:r>
      <w:r w:rsidR="00292A61">
        <w:rPr>
          <w:rFonts w:asciiTheme="minorHAnsi" w:hAnsiTheme="minorHAnsi"/>
          <w:lang w:val="en-GB"/>
        </w:rPr>
        <w:t>indicate</w:t>
      </w:r>
      <w:r>
        <w:rPr>
          <w:rFonts w:asciiTheme="minorHAnsi" w:hAnsiTheme="minorHAnsi"/>
          <w:lang w:val="en-GB"/>
        </w:rPr>
        <w:t xml:space="preserve">d </w:t>
      </w:r>
      <w:r w:rsidR="00292A61">
        <w:rPr>
          <w:rFonts w:asciiTheme="minorHAnsi" w:hAnsiTheme="minorHAnsi"/>
          <w:lang w:val="en-GB"/>
        </w:rPr>
        <w:t xml:space="preserve">that a proportion of patients remain untreated with an alternative DMT for </w:t>
      </w:r>
      <w:r w:rsidR="003644D8">
        <w:rPr>
          <w:rFonts w:asciiTheme="minorHAnsi" w:hAnsiTheme="minorHAnsi"/>
          <w:lang w:val="en-GB"/>
        </w:rPr>
        <w:t>a period</w:t>
      </w:r>
      <w:r w:rsidR="00292A61">
        <w:rPr>
          <w:rFonts w:asciiTheme="minorHAnsi" w:hAnsiTheme="minorHAnsi"/>
          <w:lang w:val="en-GB"/>
        </w:rPr>
        <w:t xml:space="preserve"> after 2 years of treatment with cladribine. </w:t>
      </w:r>
      <w:r>
        <w:rPr>
          <w:rFonts w:asciiTheme="minorHAnsi" w:hAnsiTheme="minorHAnsi"/>
          <w:lang w:val="en-GB"/>
        </w:rPr>
        <w:t>However</w:t>
      </w:r>
      <w:r w:rsidR="00E801DE">
        <w:rPr>
          <w:rFonts w:asciiTheme="minorHAnsi" w:hAnsiTheme="minorHAnsi"/>
          <w:lang w:val="en-GB"/>
        </w:rPr>
        <w:t xml:space="preserve">, </w:t>
      </w:r>
      <w:r w:rsidR="00292A61">
        <w:rPr>
          <w:rFonts w:asciiTheme="minorHAnsi" w:hAnsiTheme="minorHAnsi"/>
          <w:lang w:val="en-GB"/>
        </w:rPr>
        <w:t>the PBAC considered there were issues with the RWE</w:t>
      </w:r>
      <w:r w:rsidR="00E801DE">
        <w:rPr>
          <w:rFonts w:asciiTheme="minorHAnsi" w:hAnsiTheme="minorHAnsi"/>
          <w:lang w:val="en-GB"/>
        </w:rPr>
        <w:t xml:space="preserve"> provided</w:t>
      </w:r>
      <w:r w:rsidR="00E00303">
        <w:rPr>
          <w:rFonts w:asciiTheme="minorHAnsi" w:hAnsiTheme="minorHAnsi"/>
          <w:lang w:val="en-GB"/>
        </w:rPr>
        <w:t xml:space="preserve"> (in addition to the issues outlined in the paragraph above)</w:t>
      </w:r>
      <w:r w:rsidR="005C11F3">
        <w:rPr>
          <w:rFonts w:asciiTheme="minorHAnsi" w:hAnsiTheme="minorHAnsi"/>
          <w:lang w:val="en-GB"/>
        </w:rPr>
        <w:t>, including:</w:t>
      </w:r>
    </w:p>
    <w:p w14:paraId="5D65360C" w14:textId="77777777" w:rsidR="00BE2550" w:rsidRDefault="00FE4453" w:rsidP="005C11F3">
      <w:pPr>
        <w:pStyle w:val="ListParagraph"/>
        <w:numPr>
          <w:ilvl w:val="0"/>
          <w:numId w:val="36"/>
        </w:numPr>
        <w:spacing w:after="120"/>
        <w:rPr>
          <w:rFonts w:asciiTheme="minorHAnsi" w:hAnsiTheme="minorHAnsi"/>
          <w:lang w:val="en-GB"/>
        </w:rPr>
      </w:pPr>
      <w:r>
        <w:rPr>
          <w:rFonts w:asciiTheme="minorHAnsi" w:hAnsiTheme="minorHAnsi"/>
          <w:lang w:val="en-GB"/>
        </w:rPr>
        <w:t>I</w:t>
      </w:r>
      <w:r w:rsidR="004573CD">
        <w:rPr>
          <w:rFonts w:asciiTheme="minorHAnsi" w:hAnsiTheme="minorHAnsi"/>
          <w:lang w:val="en-GB"/>
        </w:rPr>
        <w:t>t was unclear</w:t>
      </w:r>
      <w:r w:rsidR="005C11F3">
        <w:rPr>
          <w:rFonts w:asciiTheme="minorHAnsi" w:hAnsiTheme="minorHAnsi"/>
          <w:lang w:val="en-GB"/>
        </w:rPr>
        <w:t xml:space="preserve"> how the </w:t>
      </w:r>
      <w:r w:rsidR="004573CD">
        <w:rPr>
          <w:rFonts w:asciiTheme="minorHAnsi" w:hAnsiTheme="minorHAnsi"/>
          <w:lang w:val="en-GB"/>
        </w:rPr>
        <w:t>data were</w:t>
      </w:r>
      <w:r w:rsidR="005C11F3">
        <w:rPr>
          <w:rFonts w:asciiTheme="minorHAnsi" w:hAnsiTheme="minorHAnsi"/>
          <w:lang w:val="en-GB"/>
        </w:rPr>
        <w:t xml:space="preserve"> collected and considered that given the design of these studies there were likely substantial ris</w:t>
      </w:r>
      <w:r w:rsidR="003644D8">
        <w:rPr>
          <w:rFonts w:asciiTheme="minorHAnsi" w:hAnsiTheme="minorHAnsi"/>
          <w:lang w:val="en-GB"/>
        </w:rPr>
        <w:t>k of bias issues</w:t>
      </w:r>
      <w:r w:rsidR="0017137D">
        <w:rPr>
          <w:rFonts w:asciiTheme="minorHAnsi" w:hAnsiTheme="minorHAnsi"/>
          <w:lang w:val="en-GB"/>
        </w:rPr>
        <w:t xml:space="preserve">; </w:t>
      </w:r>
    </w:p>
    <w:p w14:paraId="0ED764DF" w14:textId="77777777" w:rsidR="0017137D" w:rsidRDefault="003644D8" w:rsidP="00AA44E8">
      <w:pPr>
        <w:pStyle w:val="ListParagraph"/>
        <w:numPr>
          <w:ilvl w:val="0"/>
          <w:numId w:val="36"/>
        </w:numPr>
        <w:spacing w:after="120"/>
        <w:rPr>
          <w:rFonts w:asciiTheme="minorHAnsi" w:hAnsiTheme="minorHAnsi"/>
          <w:lang w:val="en-GB"/>
        </w:rPr>
      </w:pPr>
      <w:r>
        <w:rPr>
          <w:rFonts w:asciiTheme="minorHAnsi" w:hAnsiTheme="minorHAnsi"/>
          <w:lang w:val="en-GB"/>
        </w:rPr>
        <w:t xml:space="preserve">The </w:t>
      </w:r>
      <w:r w:rsidR="0017137D">
        <w:rPr>
          <w:rFonts w:asciiTheme="minorHAnsi" w:hAnsiTheme="minorHAnsi"/>
          <w:lang w:val="en-GB"/>
        </w:rPr>
        <w:t>Committee</w:t>
      </w:r>
      <w:r>
        <w:rPr>
          <w:rFonts w:asciiTheme="minorHAnsi" w:hAnsiTheme="minorHAnsi"/>
          <w:lang w:val="en-GB"/>
        </w:rPr>
        <w:t xml:space="preserve"> considered the RWE presented </w:t>
      </w:r>
      <w:r w:rsidR="0087364E">
        <w:rPr>
          <w:rFonts w:asciiTheme="minorHAnsi" w:hAnsiTheme="minorHAnsi"/>
          <w:lang w:val="en-GB"/>
        </w:rPr>
        <w:t>may</w:t>
      </w:r>
      <w:r>
        <w:rPr>
          <w:rFonts w:asciiTheme="minorHAnsi" w:hAnsiTheme="minorHAnsi"/>
          <w:lang w:val="en-GB"/>
        </w:rPr>
        <w:t xml:space="preserve"> not </w:t>
      </w:r>
      <w:r w:rsidR="0087364E">
        <w:rPr>
          <w:rFonts w:asciiTheme="minorHAnsi" w:hAnsiTheme="minorHAnsi"/>
          <w:lang w:val="en-GB"/>
        </w:rPr>
        <w:t xml:space="preserve">be </w:t>
      </w:r>
      <w:r>
        <w:rPr>
          <w:rFonts w:asciiTheme="minorHAnsi" w:hAnsiTheme="minorHAnsi"/>
          <w:lang w:val="en-GB"/>
        </w:rPr>
        <w:t>applicable to the Australian context</w:t>
      </w:r>
      <w:r w:rsidR="00C30116">
        <w:rPr>
          <w:rFonts w:asciiTheme="minorHAnsi" w:hAnsiTheme="minorHAnsi"/>
          <w:lang w:val="en-GB"/>
        </w:rPr>
        <w:t>,</w:t>
      </w:r>
      <w:r>
        <w:rPr>
          <w:rFonts w:asciiTheme="minorHAnsi" w:hAnsiTheme="minorHAnsi"/>
          <w:lang w:val="en-GB"/>
        </w:rPr>
        <w:t xml:space="preserve"> as </w:t>
      </w:r>
      <w:r w:rsidR="00963FB7">
        <w:rPr>
          <w:rFonts w:asciiTheme="minorHAnsi" w:hAnsiTheme="minorHAnsi"/>
          <w:lang w:val="en-GB"/>
        </w:rPr>
        <w:t>the studies were small and conducted in countries with different health systems to Australi</w:t>
      </w:r>
      <w:r w:rsidR="00AA44E8">
        <w:rPr>
          <w:rFonts w:asciiTheme="minorHAnsi" w:hAnsiTheme="minorHAnsi"/>
          <w:lang w:val="en-GB"/>
        </w:rPr>
        <w:t>a.</w:t>
      </w:r>
      <w:r w:rsidR="0017137D">
        <w:rPr>
          <w:rFonts w:asciiTheme="minorHAnsi" w:hAnsiTheme="minorHAnsi"/>
          <w:lang w:val="en-GB"/>
        </w:rPr>
        <w:t xml:space="preserve"> The PBAC agreed with the ESC with regards to the specific issues for individual RWE studies noted in paragraph 6.2</w:t>
      </w:r>
      <w:r w:rsidR="00863832">
        <w:rPr>
          <w:rFonts w:asciiTheme="minorHAnsi" w:hAnsiTheme="minorHAnsi"/>
          <w:lang w:val="en-GB"/>
        </w:rPr>
        <w:t>4</w:t>
      </w:r>
      <w:r w:rsidR="0017137D">
        <w:rPr>
          <w:rFonts w:asciiTheme="minorHAnsi" w:hAnsiTheme="minorHAnsi"/>
          <w:lang w:val="en-GB"/>
        </w:rPr>
        <w:t>;</w:t>
      </w:r>
      <w:r w:rsidR="00E801DE">
        <w:rPr>
          <w:rFonts w:asciiTheme="minorHAnsi" w:hAnsiTheme="minorHAnsi"/>
          <w:lang w:val="en-GB"/>
        </w:rPr>
        <w:t xml:space="preserve"> and</w:t>
      </w:r>
    </w:p>
    <w:p w14:paraId="784571CF" w14:textId="77777777" w:rsidR="00AA44E8" w:rsidRDefault="00AA44E8" w:rsidP="00AA44E8">
      <w:pPr>
        <w:pStyle w:val="ListParagraph"/>
        <w:numPr>
          <w:ilvl w:val="0"/>
          <w:numId w:val="36"/>
        </w:numPr>
        <w:spacing w:after="120"/>
        <w:rPr>
          <w:rFonts w:asciiTheme="minorHAnsi" w:hAnsiTheme="minorHAnsi"/>
          <w:lang w:val="en-GB"/>
        </w:rPr>
      </w:pPr>
      <w:r>
        <w:rPr>
          <w:rFonts w:asciiTheme="minorHAnsi" w:hAnsiTheme="minorHAnsi"/>
          <w:lang w:val="en-GB"/>
        </w:rPr>
        <w:t xml:space="preserve">The </w:t>
      </w:r>
      <w:r w:rsidR="0017137D">
        <w:rPr>
          <w:rFonts w:asciiTheme="minorHAnsi" w:hAnsiTheme="minorHAnsi"/>
          <w:lang w:val="en-GB"/>
        </w:rPr>
        <w:t>PBAC considered</w:t>
      </w:r>
      <w:r>
        <w:rPr>
          <w:rFonts w:asciiTheme="minorHAnsi" w:hAnsiTheme="minorHAnsi"/>
          <w:lang w:val="en-GB"/>
        </w:rPr>
        <w:t xml:space="preserve"> the issues</w:t>
      </w:r>
      <w:r w:rsidR="0017137D">
        <w:rPr>
          <w:rFonts w:asciiTheme="minorHAnsi" w:hAnsiTheme="minorHAnsi"/>
          <w:lang w:val="en-GB"/>
        </w:rPr>
        <w:t xml:space="preserve"> noted above</w:t>
      </w:r>
      <w:r>
        <w:rPr>
          <w:rFonts w:asciiTheme="minorHAnsi" w:hAnsiTheme="minorHAnsi"/>
          <w:lang w:val="en-GB"/>
        </w:rPr>
        <w:t xml:space="preserve"> applied to the Patti 2020 study which was used to inform the DMT switch rates in the </w:t>
      </w:r>
      <w:r w:rsidR="00013A8C">
        <w:rPr>
          <w:rFonts w:asciiTheme="minorHAnsi" w:hAnsiTheme="minorHAnsi"/>
          <w:lang w:val="en-GB"/>
        </w:rPr>
        <w:t xml:space="preserve">submission’s </w:t>
      </w:r>
      <w:r>
        <w:rPr>
          <w:rFonts w:asciiTheme="minorHAnsi" w:hAnsiTheme="minorHAnsi"/>
          <w:lang w:val="en-GB"/>
        </w:rPr>
        <w:t>economic analysis</w:t>
      </w:r>
      <w:r w:rsidR="0017137D">
        <w:rPr>
          <w:rFonts w:asciiTheme="minorHAnsi" w:hAnsiTheme="minorHAnsi"/>
          <w:lang w:val="en-GB"/>
        </w:rPr>
        <w:t>, as it was a small study of only 34 relevant participants</w:t>
      </w:r>
      <w:r w:rsidR="00F86847">
        <w:rPr>
          <w:rFonts w:asciiTheme="minorHAnsi" w:hAnsiTheme="minorHAnsi"/>
          <w:lang w:val="en-GB"/>
        </w:rPr>
        <w:t xml:space="preserve"> conducted in Italy</w:t>
      </w:r>
      <w:r w:rsidR="00893968">
        <w:rPr>
          <w:rFonts w:asciiTheme="minorHAnsi" w:hAnsiTheme="minorHAnsi"/>
          <w:lang w:val="en-GB"/>
        </w:rPr>
        <w:t>.</w:t>
      </w:r>
      <w:r w:rsidR="00F86847">
        <w:rPr>
          <w:rFonts w:asciiTheme="minorHAnsi" w:hAnsiTheme="minorHAnsi"/>
          <w:lang w:val="en-GB"/>
        </w:rPr>
        <w:t xml:space="preserve"> </w:t>
      </w:r>
      <w:r w:rsidR="00893968">
        <w:rPr>
          <w:rFonts w:asciiTheme="minorHAnsi" w:hAnsiTheme="minorHAnsi"/>
          <w:lang w:val="en-GB"/>
        </w:rPr>
        <w:t>The PBAC</w:t>
      </w:r>
      <w:r w:rsidR="00F86847">
        <w:rPr>
          <w:rFonts w:asciiTheme="minorHAnsi" w:hAnsiTheme="minorHAnsi"/>
          <w:lang w:val="en-GB"/>
        </w:rPr>
        <w:t xml:space="preserve"> considered it was un</w:t>
      </w:r>
      <w:r w:rsidR="007E2785">
        <w:rPr>
          <w:rFonts w:asciiTheme="minorHAnsi" w:hAnsiTheme="minorHAnsi"/>
          <w:lang w:val="en-GB"/>
        </w:rPr>
        <w:t>likely the results would be ge</w:t>
      </w:r>
      <w:r w:rsidR="00F86847">
        <w:rPr>
          <w:rFonts w:asciiTheme="minorHAnsi" w:hAnsiTheme="minorHAnsi"/>
          <w:lang w:val="en-GB"/>
        </w:rPr>
        <w:t>neralisable to the Australian context</w:t>
      </w:r>
      <w:r w:rsidR="00E801DE">
        <w:rPr>
          <w:rFonts w:asciiTheme="minorHAnsi" w:hAnsiTheme="minorHAnsi"/>
          <w:lang w:val="en-GB"/>
        </w:rPr>
        <w:t>.</w:t>
      </w:r>
    </w:p>
    <w:p w14:paraId="1B2C1840" w14:textId="77777777" w:rsidR="0007729F" w:rsidRDefault="0007729F" w:rsidP="00013A8C">
      <w:pPr>
        <w:numPr>
          <w:ilvl w:val="1"/>
          <w:numId w:val="2"/>
        </w:numPr>
        <w:spacing w:after="120"/>
        <w:rPr>
          <w:rFonts w:asciiTheme="minorHAnsi" w:hAnsiTheme="minorHAnsi"/>
          <w:lang w:val="en-GB"/>
        </w:rPr>
      </w:pPr>
      <w:r>
        <w:rPr>
          <w:rFonts w:asciiTheme="minorHAnsi" w:hAnsiTheme="minorHAnsi"/>
          <w:lang w:val="en-GB"/>
        </w:rPr>
        <w:t xml:space="preserve">The PBAC noted the additional information presented in the sponsor hearing and </w:t>
      </w:r>
      <w:r w:rsidR="00236027">
        <w:rPr>
          <w:rFonts w:asciiTheme="minorHAnsi" w:hAnsiTheme="minorHAnsi"/>
          <w:lang w:val="en-GB"/>
        </w:rPr>
        <w:t>pre-PBAC response</w:t>
      </w:r>
      <w:r w:rsidR="00FE4453">
        <w:rPr>
          <w:rFonts w:asciiTheme="minorHAnsi" w:hAnsiTheme="minorHAnsi"/>
          <w:lang w:val="en-GB"/>
        </w:rPr>
        <w:t xml:space="preserve"> regarding a</w:t>
      </w:r>
      <w:r w:rsidR="00236027">
        <w:rPr>
          <w:rFonts w:asciiTheme="minorHAnsi" w:hAnsiTheme="minorHAnsi"/>
          <w:lang w:val="en-GB"/>
        </w:rPr>
        <w:t xml:space="preserve"> </w:t>
      </w:r>
      <w:r w:rsidR="00FE4453">
        <w:rPr>
          <w:rFonts w:asciiTheme="minorHAnsi" w:hAnsiTheme="minorHAnsi"/>
          <w:lang w:val="en-GB"/>
        </w:rPr>
        <w:t xml:space="preserve">recently conducted </w:t>
      </w:r>
      <w:r w:rsidR="001738BA">
        <w:rPr>
          <w:rFonts w:asciiTheme="minorHAnsi" w:hAnsiTheme="minorHAnsi"/>
          <w:lang w:val="en-GB"/>
        </w:rPr>
        <w:t>(</w:t>
      </w:r>
      <w:r w:rsidR="00FE4453">
        <w:rPr>
          <w:rFonts w:asciiTheme="minorHAnsi" w:hAnsiTheme="minorHAnsi"/>
          <w:lang w:val="en-GB"/>
        </w:rPr>
        <w:t xml:space="preserve">but </w:t>
      </w:r>
      <w:r w:rsidR="00FE4453" w:rsidRPr="00383207">
        <w:rPr>
          <w:rFonts w:asciiTheme="minorHAnsi" w:hAnsiTheme="minorHAnsi"/>
          <w:bCs/>
        </w:rPr>
        <w:t>unpublished</w:t>
      </w:r>
      <w:r w:rsidR="001738BA">
        <w:rPr>
          <w:rFonts w:asciiTheme="minorHAnsi" w:hAnsiTheme="minorHAnsi"/>
          <w:bCs/>
        </w:rPr>
        <w:t>)</w:t>
      </w:r>
      <w:r w:rsidR="00FE4453" w:rsidRPr="00383207">
        <w:rPr>
          <w:rFonts w:asciiTheme="minorHAnsi" w:hAnsiTheme="minorHAnsi"/>
          <w:bCs/>
        </w:rPr>
        <w:t xml:space="preserve"> analysis of Australian patients </w:t>
      </w:r>
      <w:r w:rsidR="00564BA6">
        <w:rPr>
          <w:rFonts w:asciiTheme="minorHAnsi" w:hAnsiTheme="minorHAnsi"/>
          <w:bCs/>
        </w:rPr>
        <w:t xml:space="preserve">in the </w:t>
      </w:r>
      <w:r w:rsidR="00564BA6" w:rsidRPr="00383207">
        <w:rPr>
          <w:rFonts w:asciiTheme="minorHAnsi" w:hAnsiTheme="minorHAnsi"/>
          <w:bCs/>
        </w:rPr>
        <w:t>MSBase</w:t>
      </w:r>
      <w:r w:rsidR="00564BA6">
        <w:rPr>
          <w:rFonts w:asciiTheme="minorHAnsi" w:hAnsiTheme="minorHAnsi"/>
          <w:bCs/>
        </w:rPr>
        <w:t xml:space="preserve"> registry </w:t>
      </w:r>
      <w:r w:rsidR="001738BA">
        <w:rPr>
          <w:rFonts w:asciiTheme="minorHAnsi" w:hAnsiTheme="minorHAnsi"/>
          <w:bCs/>
        </w:rPr>
        <w:t>with</w:t>
      </w:r>
      <w:r w:rsidR="00FE4453" w:rsidRPr="00383207">
        <w:rPr>
          <w:rFonts w:asciiTheme="minorHAnsi" w:hAnsiTheme="minorHAnsi"/>
          <w:bCs/>
        </w:rPr>
        <w:t xml:space="preserve"> RRMS who had initiated </w:t>
      </w:r>
      <w:r w:rsidR="00564BA6">
        <w:rPr>
          <w:rFonts w:asciiTheme="minorHAnsi" w:hAnsiTheme="minorHAnsi"/>
          <w:bCs/>
        </w:rPr>
        <w:t xml:space="preserve">on </w:t>
      </w:r>
      <w:r w:rsidR="00FE4453" w:rsidRPr="00383207">
        <w:rPr>
          <w:rFonts w:asciiTheme="minorHAnsi" w:hAnsiTheme="minorHAnsi"/>
          <w:bCs/>
        </w:rPr>
        <w:t>cladribine or other oral DMTs (including fingolimod</w:t>
      </w:r>
      <w:r w:rsidR="00FE4453">
        <w:rPr>
          <w:rFonts w:asciiTheme="minorHAnsi" w:hAnsiTheme="minorHAnsi"/>
          <w:bCs/>
        </w:rPr>
        <w:t>). The PBAC</w:t>
      </w:r>
      <w:r w:rsidR="00236027">
        <w:rPr>
          <w:rFonts w:asciiTheme="minorHAnsi" w:hAnsiTheme="minorHAnsi"/>
          <w:lang w:val="en-GB"/>
        </w:rPr>
        <w:t xml:space="preserve"> </w:t>
      </w:r>
      <w:r>
        <w:rPr>
          <w:rFonts w:asciiTheme="minorHAnsi" w:hAnsiTheme="minorHAnsi"/>
          <w:lang w:val="en-GB"/>
        </w:rPr>
        <w:t xml:space="preserve">considered that the additional information was </w:t>
      </w:r>
      <w:r w:rsidR="00893968">
        <w:rPr>
          <w:rFonts w:asciiTheme="minorHAnsi" w:hAnsiTheme="minorHAnsi"/>
          <w:lang w:val="en-GB"/>
        </w:rPr>
        <w:t xml:space="preserve">potentially </w:t>
      </w:r>
      <w:r w:rsidR="0058504F">
        <w:rPr>
          <w:rFonts w:asciiTheme="minorHAnsi" w:hAnsiTheme="minorHAnsi"/>
          <w:lang w:val="en-GB"/>
        </w:rPr>
        <w:t>informative but</w:t>
      </w:r>
      <w:r w:rsidR="00236027">
        <w:rPr>
          <w:rFonts w:asciiTheme="minorHAnsi" w:hAnsiTheme="minorHAnsi"/>
          <w:lang w:val="en-GB"/>
        </w:rPr>
        <w:t xml:space="preserve"> </w:t>
      </w:r>
      <w:r>
        <w:rPr>
          <w:rFonts w:asciiTheme="minorHAnsi" w:hAnsiTheme="minorHAnsi"/>
          <w:lang w:val="en-GB"/>
        </w:rPr>
        <w:t xml:space="preserve">noted </w:t>
      </w:r>
      <w:r w:rsidR="001738BA">
        <w:rPr>
          <w:rFonts w:asciiTheme="minorHAnsi" w:hAnsiTheme="minorHAnsi"/>
          <w:lang w:val="en-GB"/>
        </w:rPr>
        <w:t xml:space="preserve">only limited </w:t>
      </w:r>
      <w:r w:rsidR="00893968">
        <w:rPr>
          <w:rFonts w:asciiTheme="minorHAnsi" w:hAnsiTheme="minorHAnsi"/>
          <w:lang w:val="en-GB"/>
        </w:rPr>
        <w:t xml:space="preserve">detail </w:t>
      </w:r>
      <w:r w:rsidR="001738BA">
        <w:rPr>
          <w:rFonts w:asciiTheme="minorHAnsi" w:hAnsiTheme="minorHAnsi"/>
          <w:lang w:val="en-GB"/>
        </w:rPr>
        <w:t xml:space="preserve">was provided and </w:t>
      </w:r>
      <w:r>
        <w:rPr>
          <w:rFonts w:asciiTheme="minorHAnsi" w:hAnsiTheme="minorHAnsi"/>
          <w:lang w:val="en-GB"/>
        </w:rPr>
        <w:t xml:space="preserve">the data </w:t>
      </w:r>
      <w:r w:rsidR="001738BA">
        <w:rPr>
          <w:rFonts w:asciiTheme="minorHAnsi" w:hAnsiTheme="minorHAnsi"/>
          <w:lang w:val="en-GB"/>
        </w:rPr>
        <w:t>could not</w:t>
      </w:r>
      <w:r>
        <w:rPr>
          <w:rFonts w:asciiTheme="minorHAnsi" w:hAnsiTheme="minorHAnsi"/>
          <w:lang w:val="en-GB"/>
        </w:rPr>
        <w:t xml:space="preserve"> be evaluated</w:t>
      </w:r>
      <w:r w:rsidR="001738BA">
        <w:rPr>
          <w:rFonts w:asciiTheme="minorHAnsi" w:hAnsiTheme="minorHAnsi"/>
          <w:lang w:val="en-GB"/>
        </w:rPr>
        <w:t>.</w:t>
      </w:r>
    </w:p>
    <w:p w14:paraId="05AB0115" w14:textId="77777777" w:rsidR="00F8062C" w:rsidRPr="00F8062C" w:rsidRDefault="00FB02A6" w:rsidP="0007729F">
      <w:pPr>
        <w:numPr>
          <w:ilvl w:val="1"/>
          <w:numId w:val="2"/>
        </w:numPr>
        <w:spacing w:after="120"/>
        <w:rPr>
          <w:rFonts w:asciiTheme="minorHAnsi" w:hAnsiTheme="minorHAnsi"/>
          <w:lang w:val="en-GB"/>
        </w:rPr>
      </w:pPr>
      <w:r>
        <w:rPr>
          <w:rFonts w:asciiTheme="minorHAnsi" w:hAnsiTheme="minorHAnsi"/>
          <w:lang w:val="en-GB"/>
        </w:rPr>
        <w:t xml:space="preserve">The PBAC </w:t>
      </w:r>
      <w:r w:rsidR="001738BA">
        <w:rPr>
          <w:rFonts w:asciiTheme="minorHAnsi" w:hAnsiTheme="minorHAnsi"/>
          <w:lang w:val="en-GB"/>
        </w:rPr>
        <w:t xml:space="preserve">considered </w:t>
      </w:r>
      <w:r>
        <w:rPr>
          <w:rFonts w:asciiTheme="minorHAnsi" w:hAnsiTheme="minorHAnsi"/>
          <w:lang w:val="en-GB"/>
        </w:rPr>
        <w:t xml:space="preserve">the </w:t>
      </w:r>
      <w:r w:rsidR="002E0D00">
        <w:rPr>
          <w:rFonts w:asciiTheme="minorHAnsi" w:hAnsiTheme="minorHAnsi"/>
          <w:lang w:val="en-GB"/>
        </w:rPr>
        <w:t xml:space="preserve">existing </w:t>
      </w:r>
      <w:r>
        <w:rPr>
          <w:rFonts w:asciiTheme="minorHAnsi" w:hAnsiTheme="minorHAnsi"/>
          <w:lang w:val="en-GB"/>
        </w:rPr>
        <w:t>equi-effective doses and therapeutic relativities for cladribine and fingolimod remained appropriate.</w:t>
      </w:r>
    </w:p>
    <w:p w14:paraId="0C552E17" w14:textId="77777777" w:rsidR="00BE2550" w:rsidRPr="00CE42B4" w:rsidRDefault="00564BA6" w:rsidP="00564BA6">
      <w:pPr>
        <w:numPr>
          <w:ilvl w:val="1"/>
          <w:numId w:val="2"/>
        </w:numPr>
        <w:spacing w:after="120"/>
        <w:rPr>
          <w:rFonts w:asciiTheme="minorHAnsi" w:hAnsiTheme="minorHAnsi"/>
          <w:lang w:val="en-GB"/>
        </w:rPr>
      </w:pPr>
      <w:r>
        <w:rPr>
          <w:rFonts w:asciiTheme="minorHAnsi" w:hAnsiTheme="minorHAnsi"/>
          <w:lang w:val="en-GB"/>
        </w:rPr>
        <w:t xml:space="preserve">The PBAC noted that the submission presented a cost minimisation approach (CMA) over a time horizon of 4 years with offsets for a proportion of patients switching to fingolimod (as a proxy for other DMTs) in years 3 and 4. </w:t>
      </w:r>
      <w:r w:rsidR="002E0D00">
        <w:rPr>
          <w:rFonts w:asciiTheme="minorHAnsi" w:hAnsiTheme="minorHAnsi"/>
          <w:lang w:val="en-GB"/>
        </w:rPr>
        <w:t>T</w:t>
      </w:r>
      <w:r>
        <w:rPr>
          <w:rFonts w:asciiTheme="minorHAnsi" w:hAnsiTheme="minorHAnsi"/>
          <w:lang w:val="en-GB"/>
        </w:rPr>
        <w:t>he pre-PBAC Response presented a revised price proposal which appeared to exclude the fourth year from the price calculations and continued to rely on the DMT switch rates from the Patti 2020 study in year 3. The PBAC considered the cost minimisation approach presented in the submission and pre-PBAC response were not adequately supported as</w:t>
      </w:r>
      <w:r w:rsidR="00F8062C">
        <w:rPr>
          <w:rFonts w:asciiTheme="minorHAnsi" w:hAnsiTheme="minorHAnsi"/>
          <w:lang w:val="en-GB"/>
        </w:rPr>
        <w:t xml:space="preserve"> the clinical data and RWE </w:t>
      </w:r>
      <w:r>
        <w:rPr>
          <w:rFonts w:asciiTheme="minorHAnsi" w:hAnsiTheme="minorHAnsi"/>
          <w:lang w:val="en-GB"/>
        </w:rPr>
        <w:t>did not adequately demonstrate</w:t>
      </w:r>
      <w:r w:rsidR="00F8062C">
        <w:rPr>
          <w:rFonts w:asciiTheme="minorHAnsi" w:hAnsiTheme="minorHAnsi"/>
          <w:lang w:val="en-GB"/>
        </w:rPr>
        <w:t xml:space="preserve"> the non-inferiority of cladribine and fingolimod over</w:t>
      </w:r>
      <w:r>
        <w:rPr>
          <w:rFonts w:asciiTheme="minorHAnsi" w:hAnsiTheme="minorHAnsi"/>
          <w:lang w:val="en-GB"/>
        </w:rPr>
        <w:t xml:space="preserve"> longer than two years.</w:t>
      </w:r>
    </w:p>
    <w:p w14:paraId="3AD5E952" w14:textId="77777777" w:rsidR="00BE2550" w:rsidRPr="00CE42B4" w:rsidRDefault="00A44FD5" w:rsidP="00BE2550">
      <w:pPr>
        <w:numPr>
          <w:ilvl w:val="1"/>
          <w:numId w:val="2"/>
        </w:numPr>
        <w:spacing w:after="120"/>
      </w:pPr>
      <w:r>
        <w:rPr>
          <w:rFonts w:asciiTheme="minorHAnsi" w:hAnsiTheme="minorHAnsi"/>
          <w:lang w:val="en-GB"/>
        </w:rPr>
        <w:t xml:space="preserve">The PBAC considered the utilisation and financial estimates were </w:t>
      </w:r>
      <w:r w:rsidR="00564BA6">
        <w:rPr>
          <w:rFonts w:asciiTheme="minorHAnsi" w:hAnsiTheme="minorHAnsi"/>
          <w:lang w:val="en-GB"/>
        </w:rPr>
        <w:t>not reliable</w:t>
      </w:r>
      <w:r w:rsidR="00553C3A">
        <w:rPr>
          <w:rFonts w:asciiTheme="minorHAnsi" w:hAnsiTheme="minorHAnsi"/>
          <w:lang w:val="en-GB"/>
        </w:rPr>
        <w:t xml:space="preserve"> due to the limitations with the CMA and the data </w:t>
      </w:r>
      <w:r w:rsidR="00612191">
        <w:rPr>
          <w:rFonts w:asciiTheme="minorHAnsi" w:hAnsiTheme="minorHAnsi"/>
          <w:lang w:val="en-GB"/>
        </w:rPr>
        <w:t>inform</w:t>
      </w:r>
      <w:r w:rsidR="00553C3A">
        <w:rPr>
          <w:rFonts w:asciiTheme="minorHAnsi" w:hAnsiTheme="minorHAnsi"/>
          <w:lang w:val="en-GB"/>
        </w:rPr>
        <w:t>ing the</w:t>
      </w:r>
      <w:r w:rsidR="00612191">
        <w:rPr>
          <w:rFonts w:asciiTheme="minorHAnsi" w:hAnsiTheme="minorHAnsi"/>
          <w:lang w:val="en-GB"/>
        </w:rPr>
        <w:t xml:space="preserve"> assumptions around the rates and timing of initiating alternative DMTs following 2 years</w:t>
      </w:r>
      <w:r w:rsidR="002E0D00">
        <w:rPr>
          <w:rFonts w:asciiTheme="minorHAnsi" w:hAnsiTheme="minorHAnsi"/>
          <w:lang w:val="en-GB"/>
        </w:rPr>
        <w:t xml:space="preserve"> of</w:t>
      </w:r>
      <w:r w:rsidR="00612191">
        <w:rPr>
          <w:rFonts w:asciiTheme="minorHAnsi" w:hAnsiTheme="minorHAnsi"/>
          <w:lang w:val="en-GB"/>
        </w:rPr>
        <w:t xml:space="preserve"> treatment with cladribine</w:t>
      </w:r>
      <w:r w:rsidR="00553C3A">
        <w:rPr>
          <w:rFonts w:asciiTheme="minorHAnsi" w:hAnsiTheme="minorHAnsi"/>
          <w:lang w:val="en-GB"/>
        </w:rPr>
        <w:t>, as outlined above</w:t>
      </w:r>
      <w:r w:rsidR="00612191">
        <w:rPr>
          <w:rFonts w:asciiTheme="minorHAnsi" w:hAnsiTheme="minorHAnsi"/>
          <w:lang w:val="en-GB"/>
        </w:rPr>
        <w:t xml:space="preserve">. </w:t>
      </w:r>
    </w:p>
    <w:p w14:paraId="2177DC6F" w14:textId="74976B01" w:rsidR="00A44FD5" w:rsidRPr="00FE1A1E" w:rsidRDefault="00BE2550" w:rsidP="00FE1A1E">
      <w:pPr>
        <w:numPr>
          <w:ilvl w:val="1"/>
          <w:numId w:val="2"/>
        </w:numPr>
        <w:spacing w:after="120"/>
        <w:rPr>
          <w:rFonts w:asciiTheme="minorHAnsi" w:hAnsiTheme="minorHAnsi"/>
          <w:b/>
          <w:bCs/>
          <w:lang w:val="en-GB"/>
        </w:rPr>
      </w:pPr>
      <w:r w:rsidRPr="00525B39">
        <w:rPr>
          <w:rFonts w:asciiTheme="minorHAnsi" w:hAnsiTheme="minorHAnsi"/>
          <w:bCs/>
          <w:lang w:val="en-GB"/>
        </w:rPr>
        <w:t>The PBAC noted that this submission is not eligible for an Independent Review</w:t>
      </w:r>
      <w:r w:rsidR="00A44FD5">
        <w:rPr>
          <w:rFonts w:asciiTheme="minorHAnsi" w:hAnsiTheme="minorHAnsi"/>
          <w:bCs/>
          <w:lang w:val="en-GB"/>
        </w:rPr>
        <w:t xml:space="preserve"> as it </w:t>
      </w:r>
      <w:r w:rsidR="00612191">
        <w:rPr>
          <w:rFonts w:asciiTheme="minorHAnsi" w:hAnsiTheme="minorHAnsi"/>
          <w:bCs/>
          <w:lang w:val="en-GB"/>
        </w:rPr>
        <w:t>was</w:t>
      </w:r>
      <w:r w:rsidR="00A44FD5">
        <w:rPr>
          <w:rFonts w:asciiTheme="minorHAnsi" w:hAnsiTheme="minorHAnsi"/>
          <w:bCs/>
          <w:lang w:val="en-GB"/>
        </w:rPr>
        <w:t xml:space="preserve"> not seeking a change to the listing that includes a new indication, objectively different subtype of disease or new population</w:t>
      </w:r>
      <w:r w:rsidRPr="00525B39">
        <w:rPr>
          <w:rFonts w:asciiTheme="minorHAnsi" w:hAnsiTheme="minorHAnsi"/>
          <w:bCs/>
          <w:lang w:val="en-GB"/>
        </w:rPr>
        <w:t xml:space="preserve">. </w:t>
      </w:r>
    </w:p>
    <w:p w14:paraId="3A96E903" w14:textId="555553C7" w:rsidR="00565869" w:rsidRDefault="00BE2550" w:rsidP="00FE1A1E">
      <w:pPr>
        <w:spacing w:after="120"/>
        <w:rPr>
          <w:rFonts w:asciiTheme="minorHAnsi" w:hAnsiTheme="minorHAnsi"/>
          <w:bCs/>
          <w:lang w:val="en-GB"/>
        </w:rPr>
      </w:pPr>
      <w:r w:rsidRPr="00525B39">
        <w:rPr>
          <w:rFonts w:asciiTheme="minorHAnsi" w:hAnsiTheme="minorHAnsi"/>
          <w:b/>
          <w:bCs/>
          <w:lang w:val="en-GB"/>
        </w:rPr>
        <w:t>Outcome</w:t>
      </w:r>
      <w:r w:rsidR="00A44FD5">
        <w:rPr>
          <w:rFonts w:asciiTheme="minorHAnsi" w:hAnsiTheme="minorHAnsi"/>
          <w:b/>
          <w:bCs/>
          <w:lang w:val="en-GB"/>
        </w:rPr>
        <w:t xml:space="preserve">: </w:t>
      </w:r>
      <w:r w:rsidR="00A44FD5">
        <w:rPr>
          <w:rFonts w:asciiTheme="minorHAnsi" w:hAnsiTheme="minorHAnsi"/>
          <w:b/>
          <w:bCs/>
          <w:lang w:val="en-GB"/>
        </w:rPr>
        <w:br/>
      </w:r>
      <w:r>
        <w:rPr>
          <w:rFonts w:asciiTheme="minorHAnsi" w:hAnsiTheme="minorHAnsi"/>
          <w:bCs/>
          <w:lang w:val="en-GB"/>
        </w:rPr>
        <w:t>Not recommended</w:t>
      </w:r>
      <w:bookmarkEnd w:id="34"/>
      <w:bookmarkEnd w:id="35"/>
    </w:p>
    <w:p w14:paraId="457BEC15" w14:textId="77777777" w:rsidR="00565869" w:rsidRDefault="00565869">
      <w:pPr>
        <w:widowControl/>
        <w:jc w:val="left"/>
        <w:rPr>
          <w:rFonts w:asciiTheme="minorHAnsi" w:hAnsiTheme="minorHAnsi"/>
          <w:bCs/>
          <w:lang w:val="en-GB"/>
        </w:rPr>
      </w:pPr>
      <w:r>
        <w:rPr>
          <w:rFonts w:asciiTheme="minorHAnsi" w:hAnsiTheme="minorHAnsi"/>
          <w:bCs/>
          <w:lang w:val="en-GB"/>
        </w:rPr>
        <w:br w:type="page"/>
      </w:r>
    </w:p>
    <w:p w14:paraId="4A75F05B" w14:textId="77777777" w:rsidR="00672515" w:rsidRPr="00672515" w:rsidRDefault="00672515" w:rsidP="00672515">
      <w:pPr>
        <w:pStyle w:val="2-SectionHeading"/>
        <w:numPr>
          <w:ilvl w:val="0"/>
          <w:numId w:val="2"/>
        </w:numPr>
      </w:pPr>
      <w:r w:rsidRPr="00C07617">
        <w:t>Context for Decision</w:t>
      </w:r>
    </w:p>
    <w:p w14:paraId="2992ABDA" w14:textId="77777777" w:rsidR="00672515" w:rsidRPr="007129F2" w:rsidRDefault="00672515" w:rsidP="0067251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AD78709" w14:textId="77777777" w:rsidR="00672515" w:rsidRPr="00672515" w:rsidRDefault="00672515" w:rsidP="00672515">
      <w:pPr>
        <w:pStyle w:val="2-SectionHeading"/>
        <w:numPr>
          <w:ilvl w:val="0"/>
          <w:numId w:val="2"/>
        </w:numPr>
      </w:pPr>
      <w:r>
        <w:t>Sponsor’s Comment</w:t>
      </w:r>
    </w:p>
    <w:p w14:paraId="5883E954" w14:textId="3E136882" w:rsidR="00BE2550" w:rsidRPr="00860927" w:rsidRDefault="00672515" w:rsidP="00860927">
      <w:pPr>
        <w:spacing w:after="120"/>
        <w:ind w:left="426" w:firstLine="294"/>
        <w:rPr>
          <w:rFonts w:asciiTheme="minorHAnsi" w:hAnsiTheme="minorHAnsi"/>
          <w:bCs/>
        </w:rPr>
      </w:pPr>
      <w:r w:rsidRPr="00C07617">
        <w:rPr>
          <w:rFonts w:asciiTheme="minorHAnsi" w:hAnsiTheme="minorHAnsi"/>
          <w:bCs/>
        </w:rPr>
        <w:t>The sponsor had no comment.</w:t>
      </w:r>
    </w:p>
    <w:sectPr w:rsidR="00BE2550" w:rsidRPr="00860927" w:rsidSect="005A5D7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74E717" w16cid:durableId="25C76B09"/>
  <w16cid:commentId w16cid:paraId="1365B1E0" w16cid:durableId="25C75D23"/>
  <w16cid:commentId w16cid:paraId="42E6C72B" w16cid:durableId="25C76BA0"/>
  <w16cid:commentId w16cid:paraId="37832C97" w16cid:durableId="25C76B57"/>
  <w16cid:commentId w16cid:paraId="4DA182DB" w16cid:durableId="25C76B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B5602" w14:textId="77777777" w:rsidR="00F56BA1" w:rsidRDefault="00F56BA1" w:rsidP="00124A51">
      <w:r>
        <w:separator/>
      </w:r>
    </w:p>
    <w:p w14:paraId="19DF75F4" w14:textId="77777777" w:rsidR="00F56BA1" w:rsidRDefault="00F56BA1"/>
  </w:endnote>
  <w:endnote w:type="continuationSeparator" w:id="0">
    <w:p w14:paraId="6078865B" w14:textId="77777777" w:rsidR="00F56BA1" w:rsidRDefault="00F56BA1" w:rsidP="00124A51">
      <w:r>
        <w:continuationSeparator/>
      </w:r>
    </w:p>
    <w:p w14:paraId="0AC7297A" w14:textId="77777777" w:rsidR="00F56BA1" w:rsidRDefault="00F56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CB69A" w14:textId="77777777" w:rsidR="00F56BA1" w:rsidRDefault="00F5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AB9E4" w14:textId="77777777" w:rsidR="00F56BA1" w:rsidRDefault="00F56BA1">
    <w:pPr>
      <w:pStyle w:val="Footer"/>
    </w:pPr>
  </w:p>
  <w:p w14:paraId="32FA4535" w14:textId="0B051C15" w:rsidR="00F56BA1" w:rsidRPr="00EB49D2" w:rsidRDefault="00F56BA1" w:rsidP="00EB49D2">
    <w:pPr>
      <w:pStyle w:val="Footer"/>
      <w:keepNext/>
      <w:ind w:left="360"/>
      <w:jc w:val="center"/>
      <w:rPr>
        <w:rFonts w:asciiTheme="minorHAnsi" w:hAnsiTheme="minorHAnsi"/>
      </w:rPr>
    </w:pPr>
    <w:bookmarkStart w:id="37" w:name="_Hlk76375156"/>
    <w:r>
      <w:rPr>
        <w:b/>
      </w:rPr>
      <w:t xml:space="preserve"> </w:t>
    </w:r>
    <w:r w:rsidRPr="00836F75">
      <w:rPr>
        <w:b/>
      </w:rPr>
      <w:fldChar w:fldCharType="begin"/>
    </w:r>
    <w:r w:rsidRPr="00836F75">
      <w:rPr>
        <w:b/>
      </w:rPr>
      <w:instrText xml:space="preserve"> PAGE   \* MERGEFORMAT </w:instrText>
    </w:r>
    <w:r w:rsidRPr="00836F75">
      <w:rPr>
        <w:b/>
      </w:rPr>
      <w:fldChar w:fldCharType="separate"/>
    </w:r>
    <w:r w:rsidR="00EA3C70">
      <w:rPr>
        <w:b/>
        <w:noProof/>
      </w:rPr>
      <w:t>5</w:t>
    </w:r>
    <w:r w:rsidRPr="00836F75">
      <w:rPr>
        <w:b/>
        <w:noProof/>
      </w:rPr>
      <w:fldChar w:fldCharType="end"/>
    </w:r>
    <w:r>
      <w:rPr>
        <w:b/>
        <w:noProof/>
      </w:rPr>
      <w:t xml:space="preserve"> </w:t>
    </w:r>
    <w:bookmarkEnd w:id="3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2BF20" w14:textId="77777777" w:rsidR="00F56BA1" w:rsidRDefault="00F5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B192D" w14:textId="77777777" w:rsidR="00F56BA1" w:rsidRDefault="00F56BA1" w:rsidP="00124A51">
      <w:r>
        <w:separator/>
      </w:r>
    </w:p>
    <w:p w14:paraId="7421AF22" w14:textId="77777777" w:rsidR="00F56BA1" w:rsidRDefault="00F56BA1"/>
  </w:footnote>
  <w:footnote w:type="continuationSeparator" w:id="0">
    <w:p w14:paraId="3B18B8B8" w14:textId="77777777" w:rsidR="00F56BA1" w:rsidRDefault="00F56BA1" w:rsidP="00124A51">
      <w:r>
        <w:continuationSeparator/>
      </w:r>
    </w:p>
    <w:p w14:paraId="3E7342CF" w14:textId="77777777" w:rsidR="00F56BA1" w:rsidRDefault="00F56B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2D8A" w14:textId="77777777" w:rsidR="00F56BA1" w:rsidRDefault="00F56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E275" w14:textId="77777777" w:rsidR="00F56BA1" w:rsidRPr="00056684" w:rsidRDefault="00F56BA1" w:rsidP="00EB49D2">
    <w:pPr>
      <w:pStyle w:val="Header"/>
      <w:keepNext/>
      <w:ind w:left="360"/>
      <w:jc w:val="center"/>
      <w:rPr>
        <w:rFonts w:asciiTheme="minorHAnsi" w:hAnsiTheme="minorHAnsi"/>
        <w:i/>
        <w:color w:val="808080"/>
      </w:rPr>
    </w:pPr>
    <w:bookmarkStart w:id="36"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November 2021</w:t>
    </w:r>
    <w:r w:rsidRPr="00056684">
      <w:rPr>
        <w:rFonts w:asciiTheme="minorHAnsi" w:hAnsiTheme="minorHAnsi"/>
        <w:i/>
        <w:color w:val="808080"/>
      </w:rPr>
      <w:t xml:space="preserve"> PBAC Meeting</w:t>
    </w:r>
  </w:p>
  <w:bookmarkEnd w:id="36"/>
  <w:p w14:paraId="49FC9CB6" w14:textId="77777777" w:rsidR="00F56BA1" w:rsidRDefault="00F56BA1" w:rsidP="00EB49D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C64C" w14:textId="77777777" w:rsidR="00F56BA1" w:rsidRDefault="00F5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DB675D2"/>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7269EE"/>
    <w:multiLevelType w:val="hybridMultilevel"/>
    <w:tmpl w:val="5926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E476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62CC9"/>
    <w:multiLevelType w:val="hybridMultilevel"/>
    <w:tmpl w:val="DDF6A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B667A29"/>
    <w:multiLevelType w:val="hybridMultilevel"/>
    <w:tmpl w:val="B1823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611D1B"/>
    <w:multiLevelType w:val="hybridMultilevel"/>
    <w:tmpl w:val="0712B130"/>
    <w:lvl w:ilvl="0" w:tplc="57AAA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813939"/>
    <w:multiLevelType w:val="hybridMultilevel"/>
    <w:tmpl w:val="E95C2D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A43EB4"/>
    <w:multiLevelType w:val="hybridMultilevel"/>
    <w:tmpl w:val="C248E6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E02DD"/>
    <w:multiLevelType w:val="hybridMultilevel"/>
    <w:tmpl w:val="F8D24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A20597"/>
    <w:multiLevelType w:val="hybridMultilevel"/>
    <w:tmpl w:val="24C4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AF6347"/>
    <w:multiLevelType w:val="hybridMultilevel"/>
    <w:tmpl w:val="B4A82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2E567F"/>
    <w:multiLevelType w:val="hybridMultilevel"/>
    <w:tmpl w:val="1D2226F8"/>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7" w15:restartNumberingAfterBreak="0">
    <w:nsid w:val="352C0989"/>
    <w:multiLevelType w:val="hybridMultilevel"/>
    <w:tmpl w:val="AB568650"/>
    <w:lvl w:ilvl="0" w:tplc="1A8AA5B8">
      <w:start w:val="1"/>
      <w:numFmt w:val="bullet"/>
      <w:pStyle w:val="Summary-Bullet"/>
      <w:lvlText w:val=""/>
      <w:lvlJc w:val="left"/>
      <w:pPr>
        <w:ind w:left="1571" w:hanging="360"/>
      </w:pPr>
      <w:rPr>
        <w:rFonts w:ascii="Symbol" w:hAnsi="Symbol" w:hint="default"/>
        <w:color w:val="00529B"/>
      </w:rPr>
    </w:lvl>
    <w:lvl w:ilvl="1" w:tplc="19D4277C" w:tentative="1">
      <w:start w:val="1"/>
      <w:numFmt w:val="bullet"/>
      <w:lvlText w:val="o"/>
      <w:lvlJc w:val="left"/>
      <w:pPr>
        <w:ind w:left="2291" w:hanging="360"/>
      </w:pPr>
      <w:rPr>
        <w:rFonts w:ascii="Courier New" w:hAnsi="Courier New" w:cs="Courier New" w:hint="default"/>
      </w:rPr>
    </w:lvl>
    <w:lvl w:ilvl="2" w:tplc="053C3A54" w:tentative="1">
      <w:start w:val="1"/>
      <w:numFmt w:val="bullet"/>
      <w:lvlText w:val=""/>
      <w:lvlJc w:val="left"/>
      <w:pPr>
        <w:ind w:left="3011" w:hanging="360"/>
      </w:pPr>
      <w:rPr>
        <w:rFonts w:ascii="Wingdings" w:hAnsi="Wingdings" w:hint="default"/>
      </w:rPr>
    </w:lvl>
    <w:lvl w:ilvl="3" w:tplc="060C4516" w:tentative="1">
      <w:start w:val="1"/>
      <w:numFmt w:val="bullet"/>
      <w:lvlText w:val=""/>
      <w:lvlJc w:val="left"/>
      <w:pPr>
        <w:ind w:left="3731" w:hanging="360"/>
      </w:pPr>
      <w:rPr>
        <w:rFonts w:ascii="Symbol" w:hAnsi="Symbol" w:hint="default"/>
      </w:rPr>
    </w:lvl>
    <w:lvl w:ilvl="4" w:tplc="D764BC92" w:tentative="1">
      <w:start w:val="1"/>
      <w:numFmt w:val="bullet"/>
      <w:lvlText w:val="o"/>
      <w:lvlJc w:val="left"/>
      <w:pPr>
        <w:ind w:left="4451" w:hanging="360"/>
      </w:pPr>
      <w:rPr>
        <w:rFonts w:ascii="Courier New" w:hAnsi="Courier New" w:cs="Courier New" w:hint="default"/>
      </w:rPr>
    </w:lvl>
    <w:lvl w:ilvl="5" w:tplc="BD64242C" w:tentative="1">
      <w:start w:val="1"/>
      <w:numFmt w:val="bullet"/>
      <w:lvlText w:val=""/>
      <w:lvlJc w:val="left"/>
      <w:pPr>
        <w:ind w:left="5171" w:hanging="360"/>
      </w:pPr>
      <w:rPr>
        <w:rFonts w:ascii="Wingdings" w:hAnsi="Wingdings" w:hint="default"/>
      </w:rPr>
    </w:lvl>
    <w:lvl w:ilvl="6" w:tplc="1DD01CAC" w:tentative="1">
      <w:start w:val="1"/>
      <w:numFmt w:val="bullet"/>
      <w:lvlText w:val=""/>
      <w:lvlJc w:val="left"/>
      <w:pPr>
        <w:ind w:left="5891" w:hanging="360"/>
      </w:pPr>
      <w:rPr>
        <w:rFonts w:ascii="Symbol" w:hAnsi="Symbol" w:hint="default"/>
      </w:rPr>
    </w:lvl>
    <w:lvl w:ilvl="7" w:tplc="4F3AC242" w:tentative="1">
      <w:start w:val="1"/>
      <w:numFmt w:val="bullet"/>
      <w:lvlText w:val="o"/>
      <w:lvlJc w:val="left"/>
      <w:pPr>
        <w:ind w:left="6611" w:hanging="360"/>
      </w:pPr>
      <w:rPr>
        <w:rFonts w:ascii="Courier New" w:hAnsi="Courier New" w:cs="Courier New" w:hint="default"/>
      </w:rPr>
    </w:lvl>
    <w:lvl w:ilvl="8" w:tplc="DC0C645C" w:tentative="1">
      <w:start w:val="1"/>
      <w:numFmt w:val="bullet"/>
      <w:lvlText w:val=""/>
      <w:lvlJc w:val="left"/>
      <w:pPr>
        <w:ind w:left="7331" w:hanging="360"/>
      </w:pPr>
      <w:rPr>
        <w:rFonts w:ascii="Wingdings" w:hAnsi="Wingdings" w:hint="default"/>
      </w:rPr>
    </w:lvl>
  </w:abstractNum>
  <w:abstractNum w:abstractNumId="18" w15:restartNumberingAfterBreak="0">
    <w:nsid w:val="39C86611"/>
    <w:multiLevelType w:val="hybridMultilevel"/>
    <w:tmpl w:val="CC86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8504B"/>
    <w:multiLevelType w:val="hybridMultilevel"/>
    <w:tmpl w:val="A7E6D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10A71"/>
    <w:multiLevelType w:val="hybridMultilevel"/>
    <w:tmpl w:val="BC1E7E60"/>
    <w:lvl w:ilvl="0" w:tplc="04090001">
      <w:start w:val="1"/>
      <w:numFmt w:val="bullet"/>
      <w:lvlText w:val=""/>
      <w:lvlJc w:val="left"/>
      <w:pPr>
        <w:ind w:left="720" w:hanging="360"/>
      </w:pPr>
      <w:rPr>
        <w:rFonts w:ascii="Symbol" w:hAnsi="Symbol" w:hint="default"/>
      </w:rPr>
    </w:lvl>
    <w:lvl w:ilvl="1" w:tplc="A896269C">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367B6"/>
    <w:multiLevelType w:val="hybridMultilevel"/>
    <w:tmpl w:val="1A8486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3E06D9E"/>
    <w:multiLevelType w:val="hybridMultilevel"/>
    <w:tmpl w:val="0538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A35FF"/>
    <w:multiLevelType w:val="hybridMultilevel"/>
    <w:tmpl w:val="7E96C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600748"/>
    <w:multiLevelType w:val="hybridMultilevel"/>
    <w:tmpl w:val="167A90AC"/>
    <w:lvl w:ilvl="0" w:tplc="04090001">
      <w:start w:val="1"/>
      <w:numFmt w:val="bullet"/>
      <w:lvlText w:val=""/>
      <w:lvlJc w:val="left"/>
      <w:pPr>
        <w:ind w:left="720" w:hanging="360"/>
      </w:pPr>
      <w:rPr>
        <w:rFonts w:ascii="Symbol" w:hAnsi="Symbol" w:hint="default"/>
      </w:rPr>
    </w:lvl>
    <w:lvl w:ilvl="1" w:tplc="CEC875BC">
      <w:numFmt w:val="bullet"/>
      <w:lvlText w:val="•"/>
      <w:lvlJc w:val="left"/>
      <w:pPr>
        <w:ind w:left="1800" w:hanging="72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E9286E"/>
    <w:multiLevelType w:val="hybridMultilevel"/>
    <w:tmpl w:val="96D2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AD411E2"/>
    <w:multiLevelType w:val="hybridMultilevel"/>
    <w:tmpl w:val="5DD632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CA41DAA"/>
    <w:multiLevelType w:val="hybridMultilevel"/>
    <w:tmpl w:val="70A8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E32040"/>
    <w:multiLevelType w:val="hybridMultilevel"/>
    <w:tmpl w:val="E6B2CA2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4" w15:restartNumberingAfterBreak="0">
    <w:nsid w:val="77E8426D"/>
    <w:multiLevelType w:val="hybridMultilevel"/>
    <w:tmpl w:val="0EEE3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4D033C"/>
    <w:multiLevelType w:val="multilevel"/>
    <w:tmpl w:val="C326403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bCs w:val="0"/>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672243"/>
    <w:multiLevelType w:val="hybridMultilevel"/>
    <w:tmpl w:val="48B0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21"/>
  </w:num>
  <w:num w:numId="4">
    <w:abstractNumId w:val="20"/>
  </w:num>
  <w:num w:numId="5">
    <w:abstractNumId w:val="7"/>
  </w:num>
  <w:num w:numId="6">
    <w:abstractNumId w:val="31"/>
  </w:num>
  <w:num w:numId="7">
    <w:abstractNumId w:val="36"/>
  </w:num>
  <w:num w:numId="8">
    <w:abstractNumId w:val="17"/>
  </w:num>
  <w:num w:numId="9">
    <w:abstractNumId w:val="34"/>
  </w:num>
  <w:num w:numId="10">
    <w:abstractNumId w:val="23"/>
  </w:num>
  <w:num w:numId="11">
    <w:abstractNumId w:val="11"/>
  </w:num>
  <w:num w:numId="12">
    <w:abstractNumId w:val="15"/>
  </w:num>
  <w:num w:numId="13">
    <w:abstractNumId w:val="14"/>
  </w:num>
  <w:num w:numId="14">
    <w:abstractNumId w:val="18"/>
  </w:num>
  <w:num w:numId="15">
    <w:abstractNumId w:val="12"/>
  </w:num>
  <w:num w:numId="16">
    <w:abstractNumId w:val="27"/>
  </w:num>
  <w:num w:numId="17">
    <w:abstractNumId w:val="19"/>
  </w:num>
  <w:num w:numId="18">
    <w:abstractNumId w:val="28"/>
  </w:num>
  <w:num w:numId="19">
    <w:abstractNumId w:val="5"/>
  </w:num>
  <w:num w:numId="20">
    <w:abstractNumId w:val="2"/>
  </w:num>
  <w:num w:numId="21">
    <w:abstractNumId w:val="6"/>
  </w:num>
  <w:num w:numId="22">
    <w:abstractNumId w:val="16"/>
  </w:num>
  <w:num w:numId="23">
    <w:abstractNumId w:val="22"/>
  </w:num>
  <w:num w:numId="24">
    <w:abstractNumId w:val="0"/>
  </w:num>
  <w:num w:numId="25">
    <w:abstractNumId w:val="8"/>
  </w:num>
  <w:num w:numId="26">
    <w:abstractNumId w:val="25"/>
  </w:num>
  <w:num w:numId="27">
    <w:abstractNumId w:val="26"/>
  </w:num>
  <w:num w:numId="28">
    <w:abstractNumId w:val="4"/>
  </w:num>
  <w:num w:numId="29">
    <w:abstractNumId w:val="1"/>
  </w:num>
  <w:num w:numId="30">
    <w:abstractNumId w:val="10"/>
  </w:num>
  <w:num w:numId="31">
    <w:abstractNumId w:val="13"/>
  </w:num>
  <w:num w:numId="32">
    <w:abstractNumId w:val="9"/>
  </w:num>
  <w:num w:numId="3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0"/>
  </w:num>
  <w:num w:numId="36">
    <w:abstractNumId w:val="33"/>
  </w:num>
  <w:num w:numId="3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52E"/>
    <w:rsid w:val="00003499"/>
    <w:rsid w:val="000034D1"/>
    <w:rsid w:val="000039B7"/>
    <w:rsid w:val="00006EDB"/>
    <w:rsid w:val="00011C16"/>
    <w:rsid w:val="00013247"/>
    <w:rsid w:val="00013A8C"/>
    <w:rsid w:val="00015886"/>
    <w:rsid w:val="000162EF"/>
    <w:rsid w:val="0002225F"/>
    <w:rsid w:val="00023763"/>
    <w:rsid w:val="00026F59"/>
    <w:rsid w:val="00031DED"/>
    <w:rsid w:val="0003360D"/>
    <w:rsid w:val="00033863"/>
    <w:rsid w:val="000357E0"/>
    <w:rsid w:val="00035DC0"/>
    <w:rsid w:val="00036829"/>
    <w:rsid w:val="00037490"/>
    <w:rsid w:val="00037985"/>
    <w:rsid w:val="00040895"/>
    <w:rsid w:val="000437A2"/>
    <w:rsid w:val="00043C37"/>
    <w:rsid w:val="00045017"/>
    <w:rsid w:val="00045A2B"/>
    <w:rsid w:val="00045BA1"/>
    <w:rsid w:val="0004698F"/>
    <w:rsid w:val="0004737A"/>
    <w:rsid w:val="000539D0"/>
    <w:rsid w:val="000539EF"/>
    <w:rsid w:val="00053D99"/>
    <w:rsid w:val="00054621"/>
    <w:rsid w:val="000546D7"/>
    <w:rsid w:val="00055D9D"/>
    <w:rsid w:val="00057CFA"/>
    <w:rsid w:val="000611E7"/>
    <w:rsid w:val="000617C3"/>
    <w:rsid w:val="00062C9B"/>
    <w:rsid w:val="00065C22"/>
    <w:rsid w:val="00066360"/>
    <w:rsid w:val="00067253"/>
    <w:rsid w:val="000700A4"/>
    <w:rsid w:val="00071248"/>
    <w:rsid w:val="000720B9"/>
    <w:rsid w:val="000729AD"/>
    <w:rsid w:val="000737F7"/>
    <w:rsid w:val="00074A4C"/>
    <w:rsid w:val="00075F82"/>
    <w:rsid w:val="0007672F"/>
    <w:rsid w:val="0007729F"/>
    <w:rsid w:val="000774F0"/>
    <w:rsid w:val="00080909"/>
    <w:rsid w:val="000812CA"/>
    <w:rsid w:val="00082437"/>
    <w:rsid w:val="0008258D"/>
    <w:rsid w:val="00083E99"/>
    <w:rsid w:val="000856C5"/>
    <w:rsid w:val="000865A0"/>
    <w:rsid w:val="00090C7E"/>
    <w:rsid w:val="00092600"/>
    <w:rsid w:val="0009262B"/>
    <w:rsid w:val="00093310"/>
    <w:rsid w:val="0009445C"/>
    <w:rsid w:val="00095FE5"/>
    <w:rsid w:val="00096284"/>
    <w:rsid w:val="00097693"/>
    <w:rsid w:val="000A0A2B"/>
    <w:rsid w:val="000A0C5F"/>
    <w:rsid w:val="000A53B3"/>
    <w:rsid w:val="000A7D08"/>
    <w:rsid w:val="000B0670"/>
    <w:rsid w:val="000B0E75"/>
    <w:rsid w:val="000B39F2"/>
    <w:rsid w:val="000B5A65"/>
    <w:rsid w:val="000B614C"/>
    <w:rsid w:val="000B6CAC"/>
    <w:rsid w:val="000B6CF7"/>
    <w:rsid w:val="000B7612"/>
    <w:rsid w:val="000C1B50"/>
    <w:rsid w:val="000C3DF9"/>
    <w:rsid w:val="000C6713"/>
    <w:rsid w:val="000D1BFC"/>
    <w:rsid w:val="000D2137"/>
    <w:rsid w:val="000D281A"/>
    <w:rsid w:val="000D2D9A"/>
    <w:rsid w:val="000D326A"/>
    <w:rsid w:val="000D51FB"/>
    <w:rsid w:val="000E0A74"/>
    <w:rsid w:val="000E135D"/>
    <w:rsid w:val="000E1E58"/>
    <w:rsid w:val="000E2D79"/>
    <w:rsid w:val="000E2E23"/>
    <w:rsid w:val="000E6025"/>
    <w:rsid w:val="000E6EDF"/>
    <w:rsid w:val="000F00BA"/>
    <w:rsid w:val="000F2344"/>
    <w:rsid w:val="000F316A"/>
    <w:rsid w:val="000F3C74"/>
    <w:rsid w:val="000F4BB8"/>
    <w:rsid w:val="000F7127"/>
    <w:rsid w:val="000F7923"/>
    <w:rsid w:val="00100F8A"/>
    <w:rsid w:val="001029C4"/>
    <w:rsid w:val="0010353F"/>
    <w:rsid w:val="00105AE2"/>
    <w:rsid w:val="00106B80"/>
    <w:rsid w:val="00106BA2"/>
    <w:rsid w:val="0011032E"/>
    <w:rsid w:val="0011084B"/>
    <w:rsid w:val="0011348B"/>
    <w:rsid w:val="00115982"/>
    <w:rsid w:val="00116C53"/>
    <w:rsid w:val="00121799"/>
    <w:rsid w:val="001222FC"/>
    <w:rsid w:val="00124A51"/>
    <w:rsid w:val="00126621"/>
    <w:rsid w:val="0012672A"/>
    <w:rsid w:val="001301E9"/>
    <w:rsid w:val="001311E8"/>
    <w:rsid w:val="00131D82"/>
    <w:rsid w:val="00133D36"/>
    <w:rsid w:val="00134DDD"/>
    <w:rsid w:val="00136096"/>
    <w:rsid w:val="00136E85"/>
    <w:rsid w:val="00137645"/>
    <w:rsid w:val="0014015A"/>
    <w:rsid w:val="00140E99"/>
    <w:rsid w:val="001439B9"/>
    <w:rsid w:val="00144DB3"/>
    <w:rsid w:val="00145540"/>
    <w:rsid w:val="001455DC"/>
    <w:rsid w:val="001456B0"/>
    <w:rsid w:val="00145AF1"/>
    <w:rsid w:val="00150C53"/>
    <w:rsid w:val="001531D4"/>
    <w:rsid w:val="0015367E"/>
    <w:rsid w:val="00157130"/>
    <w:rsid w:val="001576B1"/>
    <w:rsid w:val="00157B6A"/>
    <w:rsid w:val="00160A4C"/>
    <w:rsid w:val="00162913"/>
    <w:rsid w:val="00163EFF"/>
    <w:rsid w:val="001661FB"/>
    <w:rsid w:val="00166E4D"/>
    <w:rsid w:val="0017137D"/>
    <w:rsid w:val="00173565"/>
    <w:rsid w:val="001738BA"/>
    <w:rsid w:val="00173B07"/>
    <w:rsid w:val="00173CCA"/>
    <w:rsid w:val="001768A6"/>
    <w:rsid w:val="00181D9C"/>
    <w:rsid w:val="00181DB5"/>
    <w:rsid w:val="00181E4E"/>
    <w:rsid w:val="00182323"/>
    <w:rsid w:val="00183A4B"/>
    <w:rsid w:val="00185968"/>
    <w:rsid w:val="0018752F"/>
    <w:rsid w:val="00193D6B"/>
    <w:rsid w:val="001943BE"/>
    <w:rsid w:val="001945F7"/>
    <w:rsid w:val="00195222"/>
    <w:rsid w:val="00196F73"/>
    <w:rsid w:val="001975D8"/>
    <w:rsid w:val="001A0AA1"/>
    <w:rsid w:val="001A1696"/>
    <w:rsid w:val="001A1A61"/>
    <w:rsid w:val="001A2C75"/>
    <w:rsid w:val="001A43FA"/>
    <w:rsid w:val="001A4CE3"/>
    <w:rsid w:val="001A59FB"/>
    <w:rsid w:val="001A5F4B"/>
    <w:rsid w:val="001A6354"/>
    <w:rsid w:val="001A7AE8"/>
    <w:rsid w:val="001B156C"/>
    <w:rsid w:val="001B1C23"/>
    <w:rsid w:val="001B1E05"/>
    <w:rsid w:val="001B204E"/>
    <w:rsid w:val="001B3443"/>
    <w:rsid w:val="001B4D20"/>
    <w:rsid w:val="001B6FB0"/>
    <w:rsid w:val="001C2A9B"/>
    <w:rsid w:val="001C4299"/>
    <w:rsid w:val="001C5F94"/>
    <w:rsid w:val="001C6E66"/>
    <w:rsid w:val="001C7062"/>
    <w:rsid w:val="001D2035"/>
    <w:rsid w:val="001D30E3"/>
    <w:rsid w:val="001D6A97"/>
    <w:rsid w:val="001D7301"/>
    <w:rsid w:val="001D7814"/>
    <w:rsid w:val="001E238E"/>
    <w:rsid w:val="001E2483"/>
    <w:rsid w:val="001E2B1E"/>
    <w:rsid w:val="001E30D4"/>
    <w:rsid w:val="001E52EB"/>
    <w:rsid w:val="001E61D2"/>
    <w:rsid w:val="001E740C"/>
    <w:rsid w:val="001E7E4F"/>
    <w:rsid w:val="001F1235"/>
    <w:rsid w:val="001F1CB3"/>
    <w:rsid w:val="001F37D6"/>
    <w:rsid w:val="001F38B5"/>
    <w:rsid w:val="001F7361"/>
    <w:rsid w:val="002011B0"/>
    <w:rsid w:val="00203181"/>
    <w:rsid w:val="00203783"/>
    <w:rsid w:val="0020385F"/>
    <w:rsid w:val="00204427"/>
    <w:rsid w:val="00207021"/>
    <w:rsid w:val="00207215"/>
    <w:rsid w:val="0020732F"/>
    <w:rsid w:val="00207764"/>
    <w:rsid w:val="00207D00"/>
    <w:rsid w:val="002105C1"/>
    <w:rsid w:val="00216AB8"/>
    <w:rsid w:val="00217DDA"/>
    <w:rsid w:val="0022351F"/>
    <w:rsid w:val="00223B49"/>
    <w:rsid w:val="00224DD4"/>
    <w:rsid w:val="002273D8"/>
    <w:rsid w:val="002309CC"/>
    <w:rsid w:val="0023183D"/>
    <w:rsid w:val="0023209F"/>
    <w:rsid w:val="00234C5B"/>
    <w:rsid w:val="00236027"/>
    <w:rsid w:val="0023629D"/>
    <w:rsid w:val="00236951"/>
    <w:rsid w:val="00237255"/>
    <w:rsid w:val="00241025"/>
    <w:rsid w:val="002424AF"/>
    <w:rsid w:val="002439DC"/>
    <w:rsid w:val="00244DC8"/>
    <w:rsid w:val="002458BA"/>
    <w:rsid w:val="0024636C"/>
    <w:rsid w:val="00247925"/>
    <w:rsid w:val="00250C17"/>
    <w:rsid w:val="00253307"/>
    <w:rsid w:val="00254DCF"/>
    <w:rsid w:val="0025534B"/>
    <w:rsid w:val="00255BB7"/>
    <w:rsid w:val="00256B93"/>
    <w:rsid w:val="00257541"/>
    <w:rsid w:val="002623A6"/>
    <w:rsid w:val="00262A1A"/>
    <w:rsid w:val="00262A87"/>
    <w:rsid w:val="002643FA"/>
    <w:rsid w:val="002649D8"/>
    <w:rsid w:val="00264D26"/>
    <w:rsid w:val="00267642"/>
    <w:rsid w:val="00267AEA"/>
    <w:rsid w:val="002700E6"/>
    <w:rsid w:val="0027201E"/>
    <w:rsid w:val="0027294B"/>
    <w:rsid w:val="00275A75"/>
    <w:rsid w:val="00275C5A"/>
    <w:rsid w:val="00281014"/>
    <w:rsid w:val="00283AEE"/>
    <w:rsid w:val="00287E35"/>
    <w:rsid w:val="00292A61"/>
    <w:rsid w:val="002A1060"/>
    <w:rsid w:val="002A14AB"/>
    <w:rsid w:val="002A19DC"/>
    <w:rsid w:val="002A2F50"/>
    <w:rsid w:val="002A3BBD"/>
    <w:rsid w:val="002B09A4"/>
    <w:rsid w:val="002B1C1F"/>
    <w:rsid w:val="002B3E25"/>
    <w:rsid w:val="002B432F"/>
    <w:rsid w:val="002B4CCB"/>
    <w:rsid w:val="002B62B3"/>
    <w:rsid w:val="002B6754"/>
    <w:rsid w:val="002B6CCE"/>
    <w:rsid w:val="002C2510"/>
    <w:rsid w:val="002C2775"/>
    <w:rsid w:val="002C27C1"/>
    <w:rsid w:val="002C411F"/>
    <w:rsid w:val="002C5099"/>
    <w:rsid w:val="002C569B"/>
    <w:rsid w:val="002C5889"/>
    <w:rsid w:val="002C703C"/>
    <w:rsid w:val="002C71CE"/>
    <w:rsid w:val="002D577C"/>
    <w:rsid w:val="002D5CE9"/>
    <w:rsid w:val="002D7E70"/>
    <w:rsid w:val="002E0D00"/>
    <w:rsid w:val="002E15B9"/>
    <w:rsid w:val="002E2158"/>
    <w:rsid w:val="002E3FF3"/>
    <w:rsid w:val="002E3FFC"/>
    <w:rsid w:val="002E7722"/>
    <w:rsid w:val="002F07BA"/>
    <w:rsid w:val="002F0DA9"/>
    <w:rsid w:val="002F5455"/>
    <w:rsid w:val="002F643C"/>
    <w:rsid w:val="002F71C0"/>
    <w:rsid w:val="00301017"/>
    <w:rsid w:val="0030155F"/>
    <w:rsid w:val="00304086"/>
    <w:rsid w:val="0030587B"/>
    <w:rsid w:val="00306D98"/>
    <w:rsid w:val="0030786C"/>
    <w:rsid w:val="00307E71"/>
    <w:rsid w:val="0031031A"/>
    <w:rsid w:val="00310981"/>
    <w:rsid w:val="00315357"/>
    <w:rsid w:val="00315498"/>
    <w:rsid w:val="003208C8"/>
    <w:rsid w:val="0032182B"/>
    <w:rsid w:val="00322107"/>
    <w:rsid w:val="00322846"/>
    <w:rsid w:val="003257EA"/>
    <w:rsid w:val="00325F20"/>
    <w:rsid w:val="003265B6"/>
    <w:rsid w:val="00326B99"/>
    <w:rsid w:val="00326DA7"/>
    <w:rsid w:val="003270E4"/>
    <w:rsid w:val="003277CC"/>
    <w:rsid w:val="00330F5C"/>
    <w:rsid w:val="00332085"/>
    <w:rsid w:val="00332617"/>
    <w:rsid w:val="003366C9"/>
    <w:rsid w:val="003371B0"/>
    <w:rsid w:val="00340DF1"/>
    <w:rsid w:val="003415FE"/>
    <w:rsid w:val="0034304C"/>
    <w:rsid w:val="0035152C"/>
    <w:rsid w:val="003517F9"/>
    <w:rsid w:val="0035620E"/>
    <w:rsid w:val="003624C4"/>
    <w:rsid w:val="003644D8"/>
    <w:rsid w:val="003654AC"/>
    <w:rsid w:val="003710CF"/>
    <w:rsid w:val="0037358A"/>
    <w:rsid w:val="003750F6"/>
    <w:rsid w:val="003760FC"/>
    <w:rsid w:val="00380CF1"/>
    <w:rsid w:val="00383207"/>
    <w:rsid w:val="0038365C"/>
    <w:rsid w:val="0038369B"/>
    <w:rsid w:val="00383B78"/>
    <w:rsid w:val="00385A9D"/>
    <w:rsid w:val="00387651"/>
    <w:rsid w:val="003902B1"/>
    <w:rsid w:val="00392E36"/>
    <w:rsid w:val="00396896"/>
    <w:rsid w:val="00396FD0"/>
    <w:rsid w:val="00397891"/>
    <w:rsid w:val="003A153F"/>
    <w:rsid w:val="003A1A7A"/>
    <w:rsid w:val="003A2392"/>
    <w:rsid w:val="003A2831"/>
    <w:rsid w:val="003A317B"/>
    <w:rsid w:val="003A358B"/>
    <w:rsid w:val="003A3ED1"/>
    <w:rsid w:val="003A6E70"/>
    <w:rsid w:val="003B1017"/>
    <w:rsid w:val="003B48BE"/>
    <w:rsid w:val="003B5B61"/>
    <w:rsid w:val="003B7825"/>
    <w:rsid w:val="003C0479"/>
    <w:rsid w:val="003C1654"/>
    <w:rsid w:val="003C252C"/>
    <w:rsid w:val="003C2BD3"/>
    <w:rsid w:val="003C706A"/>
    <w:rsid w:val="003C7D19"/>
    <w:rsid w:val="003D0A8B"/>
    <w:rsid w:val="003D1828"/>
    <w:rsid w:val="003D1DE4"/>
    <w:rsid w:val="003D2422"/>
    <w:rsid w:val="003D2F1F"/>
    <w:rsid w:val="003D39A1"/>
    <w:rsid w:val="003D3FBF"/>
    <w:rsid w:val="003D4A30"/>
    <w:rsid w:val="003D59C1"/>
    <w:rsid w:val="003D77C3"/>
    <w:rsid w:val="003D79BB"/>
    <w:rsid w:val="003D7C98"/>
    <w:rsid w:val="003D7D88"/>
    <w:rsid w:val="003E0543"/>
    <w:rsid w:val="003E73C8"/>
    <w:rsid w:val="003F0148"/>
    <w:rsid w:val="003F4156"/>
    <w:rsid w:val="003F52A3"/>
    <w:rsid w:val="00400B29"/>
    <w:rsid w:val="004012F0"/>
    <w:rsid w:val="004015F3"/>
    <w:rsid w:val="0040504B"/>
    <w:rsid w:val="004067D8"/>
    <w:rsid w:val="00407213"/>
    <w:rsid w:val="00410367"/>
    <w:rsid w:val="00410504"/>
    <w:rsid w:val="00410708"/>
    <w:rsid w:val="00410EC7"/>
    <w:rsid w:val="00411B39"/>
    <w:rsid w:val="00412C3C"/>
    <w:rsid w:val="00413A1E"/>
    <w:rsid w:val="00414476"/>
    <w:rsid w:val="00414C2E"/>
    <w:rsid w:val="004151CF"/>
    <w:rsid w:val="00416364"/>
    <w:rsid w:val="00420AA6"/>
    <w:rsid w:val="00420B9F"/>
    <w:rsid w:val="004214FA"/>
    <w:rsid w:val="00422260"/>
    <w:rsid w:val="0042413F"/>
    <w:rsid w:val="004319F8"/>
    <w:rsid w:val="00431E55"/>
    <w:rsid w:val="004321F6"/>
    <w:rsid w:val="00433044"/>
    <w:rsid w:val="004375B9"/>
    <w:rsid w:val="004409C4"/>
    <w:rsid w:val="004428D0"/>
    <w:rsid w:val="004443A7"/>
    <w:rsid w:val="0044442C"/>
    <w:rsid w:val="004445F4"/>
    <w:rsid w:val="00444A87"/>
    <w:rsid w:val="00445941"/>
    <w:rsid w:val="00445E50"/>
    <w:rsid w:val="004464EB"/>
    <w:rsid w:val="00447D26"/>
    <w:rsid w:val="004507B7"/>
    <w:rsid w:val="00452646"/>
    <w:rsid w:val="00453A0B"/>
    <w:rsid w:val="00455D45"/>
    <w:rsid w:val="004573CD"/>
    <w:rsid w:val="00464595"/>
    <w:rsid w:val="00465102"/>
    <w:rsid w:val="00472A79"/>
    <w:rsid w:val="00473F19"/>
    <w:rsid w:val="00475250"/>
    <w:rsid w:val="00475E22"/>
    <w:rsid w:val="0048088E"/>
    <w:rsid w:val="004808C6"/>
    <w:rsid w:val="00482720"/>
    <w:rsid w:val="004835E7"/>
    <w:rsid w:val="004867E2"/>
    <w:rsid w:val="004915D1"/>
    <w:rsid w:val="00491B3A"/>
    <w:rsid w:val="00491D9B"/>
    <w:rsid w:val="00492001"/>
    <w:rsid w:val="00492CFD"/>
    <w:rsid w:val="00494DD5"/>
    <w:rsid w:val="004962D2"/>
    <w:rsid w:val="004A059F"/>
    <w:rsid w:val="004A09E4"/>
    <w:rsid w:val="004A0DA1"/>
    <w:rsid w:val="004A52E9"/>
    <w:rsid w:val="004A6597"/>
    <w:rsid w:val="004A7848"/>
    <w:rsid w:val="004B0E6C"/>
    <w:rsid w:val="004B1CB4"/>
    <w:rsid w:val="004B2C32"/>
    <w:rsid w:val="004B2F18"/>
    <w:rsid w:val="004B34A3"/>
    <w:rsid w:val="004B34F6"/>
    <w:rsid w:val="004B3DDB"/>
    <w:rsid w:val="004B44FD"/>
    <w:rsid w:val="004B5CFC"/>
    <w:rsid w:val="004B774D"/>
    <w:rsid w:val="004C1C05"/>
    <w:rsid w:val="004C4AED"/>
    <w:rsid w:val="004C4EC6"/>
    <w:rsid w:val="004D0E71"/>
    <w:rsid w:val="004D2C2D"/>
    <w:rsid w:val="004D3830"/>
    <w:rsid w:val="004D4789"/>
    <w:rsid w:val="004D7227"/>
    <w:rsid w:val="004D7E70"/>
    <w:rsid w:val="004E0E7F"/>
    <w:rsid w:val="004E0EB8"/>
    <w:rsid w:val="004E2ADC"/>
    <w:rsid w:val="004E43B2"/>
    <w:rsid w:val="004E505A"/>
    <w:rsid w:val="004E57C6"/>
    <w:rsid w:val="004F0EC3"/>
    <w:rsid w:val="004F1D02"/>
    <w:rsid w:val="004F2679"/>
    <w:rsid w:val="004F2891"/>
    <w:rsid w:val="004F2F21"/>
    <w:rsid w:val="004F447B"/>
    <w:rsid w:val="004F5339"/>
    <w:rsid w:val="004F6913"/>
    <w:rsid w:val="004F7865"/>
    <w:rsid w:val="0050219B"/>
    <w:rsid w:val="00503F17"/>
    <w:rsid w:val="00506928"/>
    <w:rsid w:val="00507516"/>
    <w:rsid w:val="005129D5"/>
    <w:rsid w:val="005152B5"/>
    <w:rsid w:val="005169FD"/>
    <w:rsid w:val="00520D5E"/>
    <w:rsid w:val="00521319"/>
    <w:rsid w:val="005226FB"/>
    <w:rsid w:val="00522BC8"/>
    <w:rsid w:val="00523C28"/>
    <w:rsid w:val="00523F0A"/>
    <w:rsid w:val="00524A39"/>
    <w:rsid w:val="00525D8C"/>
    <w:rsid w:val="0052656C"/>
    <w:rsid w:val="005323EB"/>
    <w:rsid w:val="005354F4"/>
    <w:rsid w:val="005363CA"/>
    <w:rsid w:val="00536F42"/>
    <w:rsid w:val="00537182"/>
    <w:rsid w:val="00537628"/>
    <w:rsid w:val="00541C8B"/>
    <w:rsid w:val="00542743"/>
    <w:rsid w:val="00542C2D"/>
    <w:rsid w:val="00544855"/>
    <w:rsid w:val="00545933"/>
    <w:rsid w:val="0054655C"/>
    <w:rsid w:val="00547A22"/>
    <w:rsid w:val="00547ED3"/>
    <w:rsid w:val="00551985"/>
    <w:rsid w:val="00551E1E"/>
    <w:rsid w:val="00552BD3"/>
    <w:rsid w:val="00553C3A"/>
    <w:rsid w:val="00554FAF"/>
    <w:rsid w:val="00555109"/>
    <w:rsid w:val="0056247C"/>
    <w:rsid w:val="00563902"/>
    <w:rsid w:val="00564BA6"/>
    <w:rsid w:val="00565869"/>
    <w:rsid w:val="0056696F"/>
    <w:rsid w:val="00572269"/>
    <w:rsid w:val="005722A9"/>
    <w:rsid w:val="0057244A"/>
    <w:rsid w:val="00572823"/>
    <w:rsid w:val="005757D0"/>
    <w:rsid w:val="00575D8D"/>
    <w:rsid w:val="00576972"/>
    <w:rsid w:val="00583699"/>
    <w:rsid w:val="005845D4"/>
    <w:rsid w:val="0058461C"/>
    <w:rsid w:val="0058504F"/>
    <w:rsid w:val="00585CDD"/>
    <w:rsid w:val="00587058"/>
    <w:rsid w:val="00590164"/>
    <w:rsid w:val="00591957"/>
    <w:rsid w:val="00595605"/>
    <w:rsid w:val="00596D7F"/>
    <w:rsid w:val="00597BF9"/>
    <w:rsid w:val="005A1643"/>
    <w:rsid w:val="005A2754"/>
    <w:rsid w:val="005A373D"/>
    <w:rsid w:val="005A3E4D"/>
    <w:rsid w:val="005A5D70"/>
    <w:rsid w:val="005A7ADA"/>
    <w:rsid w:val="005B22DD"/>
    <w:rsid w:val="005B2720"/>
    <w:rsid w:val="005B4F98"/>
    <w:rsid w:val="005B5857"/>
    <w:rsid w:val="005C11F3"/>
    <w:rsid w:val="005C1B83"/>
    <w:rsid w:val="005C1CFF"/>
    <w:rsid w:val="005C2D55"/>
    <w:rsid w:val="005C346B"/>
    <w:rsid w:val="005D044D"/>
    <w:rsid w:val="005D0ABD"/>
    <w:rsid w:val="005D18AD"/>
    <w:rsid w:val="005D244F"/>
    <w:rsid w:val="005D26B4"/>
    <w:rsid w:val="005D7545"/>
    <w:rsid w:val="005D7A72"/>
    <w:rsid w:val="005E1D3E"/>
    <w:rsid w:val="005E1DBE"/>
    <w:rsid w:val="005E486B"/>
    <w:rsid w:val="005E6CBC"/>
    <w:rsid w:val="005E73C0"/>
    <w:rsid w:val="005F1BDF"/>
    <w:rsid w:val="005F246E"/>
    <w:rsid w:val="005F2706"/>
    <w:rsid w:val="005F3364"/>
    <w:rsid w:val="005F33F8"/>
    <w:rsid w:val="005F6A8F"/>
    <w:rsid w:val="005F760B"/>
    <w:rsid w:val="00601F91"/>
    <w:rsid w:val="0060350F"/>
    <w:rsid w:val="00603DB9"/>
    <w:rsid w:val="006068C3"/>
    <w:rsid w:val="00606BDA"/>
    <w:rsid w:val="00607669"/>
    <w:rsid w:val="00607AFD"/>
    <w:rsid w:val="00607D37"/>
    <w:rsid w:val="00612191"/>
    <w:rsid w:val="00612F97"/>
    <w:rsid w:val="0061345D"/>
    <w:rsid w:val="00615247"/>
    <w:rsid w:val="00616802"/>
    <w:rsid w:val="00617E12"/>
    <w:rsid w:val="00621477"/>
    <w:rsid w:val="00624811"/>
    <w:rsid w:val="0063158F"/>
    <w:rsid w:val="00631D6B"/>
    <w:rsid w:val="006330A1"/>
    <w:rsid w:val="0063479F"/>
    <w:rsid w:val="006353F0"/>
    <w:rsid w:val="006364A1"/>
    <w:rsid w:val="006368E6"/>
    <w:rsid w:val="00637BFD"/>
    <w:rsid w:val="00641C4E"/>
    <w:rsid w:val="00643B6A"/>
    <w:rsid w:val="006471CC"/>
    <w:rsid w:val="00647CDE"/>
    <w:rsid w:val="0065079F"/>
    <w:rsid w:val="00650EC4"/>
    <w:rsid w:val="00651A38"/>
    <w:rsid w:val="006525F6"/>
    <w:rsid w:val="0065379F"/>
    <w:rsid w:val="00661C6B"/>
    <w:rsid w:val="00672515"/>
    <w:rsid w:val="006745A2"/>
    <w:rsid w:val="00674E42"/>
    <w:rsid w:val="006760C8"/>
    <w:rsid w:val="00682112"/>
    <w:rsid w:val="006830A6"/>
    <w:rsid w:val="00685A2C"/>
    <w:rsid w:val="00686957"/>
    <w:rsid w:val="006872BA"/>
    <w:rsid w:val="00687E72"/>
    <w:rsid w:val="00691087"/>
    <w:rsid w:val="00691648"/>
    <w:rsid w:val="006917D7"/>
    <w:rsid w:val="00692067"/>
    <w:rsid w:val="006927B9"/>
    <w:rsid w:val="00694F44"/>
    <w:rsid w:val="0069502F"/>
    <w:rsid w:val="00696D77"/>
    <w:rsid w:val="006A20C7"/>
    <w:rsid w:val="006A4785"/>
    <w:rsid w:val="006A7E5F"/>
    <w:rsid w:val="006B03A7"/>
    <w:rsid w:val="006B0475"/>
    <w:rsid w:val="006B1395"/>
    <w:rsid w:val="006B190E"/>
    <w:rsid w:val="006B1A5B"/>
    <w:rsid w:val="006B261B"/>
    <w:rsid w:val="006B2C90"/>
    <w:rsid w:val="006B6DD0"/>
    <w:rsid w:val="006C2A8E"/>
    <w:rsid w:val="006C54C7"/>
    <w:rsid w:val="006D3C7D"/>
    <w:rsid w:val="006D4929"/>
    <w:rsid w:val="006D5D5F"/>
    <w:rsid w:val="006D5F67"/>
    <w:rsid w:val="006D6F34"/>
    <w:rsid w:val="006D7A44"/>
    <w:rsid w:val="006E0D46"/>
    <w:rsid w:val="006F2F9A"/>
    <w:rsid w:val="006F306C"/>
    <w:rsid w:val="006F3161"/>
    <w:rsid w:val="006F4944"/>
    <w:rsid w:val="006F4F28"/>
    <w:rsid w:val="006F5571"/>
    <w:rsid w:val="006F61DD"/>
    <w:rsid w:val="006F63A5"/>
    <w:rsid w:val="0070142B"/>
    <w:rsid w:val="007016AD"/>
    <w:rsid w:val="007019B4"/>
    <w:rsid w:val="0070276E"/>
    <w:rsid w:val="00702F8F"/>
    <w:rsid w:val="007079EB"/>
    <w:rsid w:val="0071016C"/>
    <w:rsid w:val="00710D21"/>
    <w:rsid w:val="00711A36"/>
    <w:rsid w:val="0071529C"/>
    <w:rsid w:val="00715BA4"/>
    <w:rsid w:val="00715D54"/>
    <w:rsid w:val="0071655A"/>
    <w:rsid w:val="007172AD"/>
    <w:rsid w:val="0072136D"/>
    <w:rsid w:val="0072180D"/>
    <w:rsid w:val="00722B1B"/>
    <w:rsid w:val="00722FB9"/>
    <w:rsid w:val="0072416F"/>
    <w:rsid w:val="0072430B"/>
    <w:rsid w:val="0072714B"/>
    <w:rsid w:val="00727C94"/>
    <w:rsid w:val="00731EAE"/>
    <w:rsid w:val="00735033"/>
    <w:rsid w:val="00735328"/>
    <w:rsid w:val="0073685B"/>
    <w:rsid w:val="00736D33"/>
    <w:rsid w:val="00737747"/>
    <w:rsid w:val="00744232"/>
    <w:rsid w:val="00746C00"/>
    <w:rsid w:val="00747F71"/>
    <w:rsid w:val="00750D38"/>
    <w:rsid w:val="007515E9"/>
    <w:rsid w:val="00752142"/>
    <w:rsid w:val="007523F9"/>
    <w:rsid w:val="00752CE3"/>
    <w:rsid w:val="007573E8"/>
    <w:rsid w:val="00760C4E"/>
    <w:rsid w:val="00763DC6"/>
    <w:rsid w:val="00765B1A"/>
    <w:rsid w:val="00766515"/>
    <w:rsid w:val="00773D16"/>
    <w:rsid w:val="00774BF0"/>
    <w:rsid w:val="00777A43"/>
    <w:rsid w:val="00781845"/>
    <w:rsid w:val="0078298F"/>
    <w:rsid w:val="007843F2"/>
    <w:rsid w:val="00785F3E"/>
    <w:rsid w:val="00787D51"/>
    <w:rsid w:val="00790620"/>
    <w:rsid w:val="00792142"/>
    <w:rsid w:val="007A0A12"/>
    <w:rsid w:val="007A132D"/>
    <w:rsid w:val="007A1D8C"/>
    <w:rsid w:val="007A27E4"/>
    <w:rsid w:val="007A37DC"/>
    <w:rsid w:val="007A6CD0"/>
    <w:rsid w:val="007B0D68"/>
    <w:rsid w:val="007B251D"/>
    <w:rsid w:val="007B3A60"/>
    <w:rsid w:val="007B4F58"/>
    <w:rsid w:val="007B528D"/>
    <w:rsid w:val="007B7754"/>
    <w:rsid w:val="007B77D1"/>
    <w:rsid w:val="007B7ACC"/>
    <w:rsid w:val="007C1CD9"/>
    <w:rsid w:val="007C361D"/>
    <w:rsid w:val="007C4B84"/>
    <w:rsid w:val="007C6F2E"/>
    <w:rsid w:val="007C7DEA"/>
    <w:rsid w:val="007D004F"/>
    <w:rsid w:val="007D0B38"/>
    <w:rsid w:val="007D2038"/>
    <w:rsid w:val="007D29DE"/>
    <w:rsid w:val="007D5440"/>
    <w:rsid w:val="007E1134"/>
    <w:rsid w:val="007E2785"/>
    <w:rsid w:val="007E7830"/>
    <w:rsid w:val="007F1017"/>
    <w:rsid w:val="007F1EB5"/>
    <w:rsid w:val="007F4A3F"/>
    <w:rsid w:val="007F4A61"/>
    <w:rsid w:val="007F61C2"/>
    <w:rsid w:val="00802BF8"/>
    <w:rsid w:val="00803367"/>
    <w:rsid w:val="00804F9E"/>
    <w:rsid w:val="00805142"/>
    <w:rsid w:val="00807518"/>
    <w:rsid w:val="00807A8B"/>
    <w:rsid w:val="00811383"/>
    <w:rsid w:val="00812149"/>
    <w:rsid w:val="00812BF5"/>
    <w:rsid w:val="00812CAC"/>
    <w:rsid w:val="008134BE"/>
    <w:rsid w:val="008166EF"/>
    <w:rsid w:val="00823088"/>
    <w:rsid w:val="00825751"/>
    <w:rsid w:val="008264EB"/>
    <w:rsid w:val="0082714E"/>
    <w:rsid w:val="00833318"/>
    <w:rsid w:val="0083367F"/>
    <w:rsid w:val="00833B05"/>
    <w:rsid w:val="008362B4"/>
    <w:rsid w:val="00840CA2"/>
    <w:rsid w:val="00841C87"/>
    <w:rsid w:val="0084374F"/>
    <w:rsid w:val="00847DF5"/>
    <w:rsid w:val="0085023B"/>
    <w:rsid w:val="0085309D"/>
    <w:rsid w:val="00853E36"/>
    <w:rsid w:val="00856897"/>
    <w:rsid w:val="00856E9A"/>
    <w:rsid w:val="0086075D"/>
    <w:rsid w:val="00860927"/>
    <w:rsid w:val="008612E1"/>
    <w:rsid w:val="00862502"/>
    <w:rsid w:val="00863832"/>
    <w:rsid w:val="00864DA7"/>
    <w:rsid w:val="008654E8"/>
    <w:rsid w:val="008660D4"/>
    <w:rsid w:val="00866CDF"/>
    <w:rsid w:val="00871FA9"/>
    <w:rsid w:val="008728E9"/>
    <w:rsid w:val="008731D9"/>
    <w:rsid w:val="0087364E"/>
    <w:rsid w:val="0088274D"/>
    <w:rsid w:val="00882874"/>
    <w:rsid w:val="00883787"/>
    <w:rsid w:val="00885F6E"/>
    <w:rsid w:val="00886CD2"/>
    <w:rsid w:val="00891857"/>
    <w:rsid w:val="00892A36"/>
    <w:rsid w:val="00893239"/>
    <w:rsid w:val="00893968"/>
    <w:rsid w:val="00893FE7"/>
    <w:rsid w:val="00894489"/>
    <w:rsid w:val="008959A4"/>
    <w:rsid w:val="008963A5"/>
    <w:rsid w:val="008A1E50"/>
    <w:rsid w:val="008A3363"/>
    <w:rsid w:val="008A3371"/>
    <w:rsid w:val="008A3C3E"/>
    <w:rsid w:val="008A79DE"/>
    <w:rsid w:val="008A7FF3"/>
    <w:rsid w:val="008B1757"/>
    <w:rsid w:val="008B42AA"/>
    <w:rsid w:val="008B7D7E"/>
    <w:rsid w:val="008C5EF3"/>
    <w:rsid w:val="008C61A8"/>
    <w:rsid w:val="008C7ECB"/>
    <w:rsid w:val="008D2994"/>
    <w:rsid w:val="008D381F"/>
    <w:rsid w:val="008D4755"/>
    <w:rsid w:val="008D4935"/>
    <w:rsid w:val="008D4C3D"/>
    <w:rsid w:val="008E0D3C"/>
    <w:rsid w:val="008E1B9E"/>
    <w:rsid w:val="008E23AE"/>
    <w:rsid w:val="008E488C"/>
    <w:rsid w:val="008E55AB"/>
    <w:rsid w:val="008E63E5"/>
    <w:rsid w:val="008F120A"/>
    <w:rsid w:val="008F27E0"/>
    <w:rsid w:val="008F48EB"/>
    <w:rsid w:val="008F4F0B"/>
    <w:rsid w:val="0090088A"/>
    <w:rsid w:val="009046C4"/>
    <w:rsid w:val="009062A5"/>
    <w:rsid w:val="00907E39"/>
    <w:rsid w:val="00911272"/>
    <w:rsid w:val="009135D6"/>
    <w:rsid w:val="00914C77"/>
    <w:rsid w:val="0091646C"/>
    <w:rsid w:val="0092369B"/>
    <w:rsid w:val="00923A96"/>
    <w:rsid w:val="00923B5E"/>
    <w:rsid w:val="00945873"/>
    <w:rsid w:val="009471F0"/>
    <w:rsid w:val="009510A2"/>
    <w:rsid w:val="00953257"/>
    <w:rsid w:val="00955AE0"/>
    <w:rsid w:val="00956681"/>
    <w:rsid w:val="009568B7"/>
    <w:rsid w:val="00960300"/>
    <w:rsid w:val="00962CB9"/>
    <w:rsid w:val="00963E16"/>
    <w:rsid w:val="00963FB7"/>
    <w:rsid w:val="00964312"/>
    <w:rsid w:val="00965B8A"/>
    <w:rsid w:val="00967E5F"/>
    <w:rsid w:val="009717AC"/>
    <w:rsid w:val="00976075"/>
    <w:rsid w:val="00983E57"/>
    <w:rsid w:val="0098675D"/>
    <w:rsid w:val="00986863"/>
    <w:rsid w:val="009935F9"/>
    <w:rsid w:val="00996B1A"/>
    <w:rsid w:val="009A16C3"/>
    <w:rsid w:val="009A2D9D"/>
    <w:rsid w:val="009A7F10"/>
    <w:rsid w:val="009B25A9"/>
    <w:rsid w:val="009B3E26"/>
    <w:rsid w:val="009B6A2C"/>
    <w:rsid w:val="009B6C55"/>
    <w:rsid w:val="009B711F"/>
    <w:rsid w:val="009B7557"/>
    <w:rsid w:val="009C6CEA"/>
    <w:rsid w:val="009C7B85"/>
    <w:rsid w:val="009D2180"/>
    <w:rsid w:val="009D5B91"/>
    <w:rsid w:val="009D5F55"/>
    <w:rsid w:val="009D792E"/>
    <w:rsid w:val="009E0D72"/>
    <w:rsid w:val="009E0DFE"/>
    <w:rsid w:val="009E4C07"/>
    <w:rsid w:val="009E7A13"/>
    <w:rsid w:val="009E7B76"/>
    <w:rsid w:val="009F0725"/>
    <w:rsid w:val="009F60DD"/>
    <w:rsid w:val="009F663D"/>
    <w:rsid w:val="009F7295"/>
    <w:rsid w:val="00A00366"/>
    <w:rsid w:val="00A01184"/>
    <w:rsid w:val="00A01279"/>
    <w:rsid w:val="00A013C7"/>
    <w:rsid w:val="00A03D43"/>
    <w:rsid w:val="00A0423C"/>
    <w:rsid w:val="00A04380"/>
    <w:rsid w:val="00A04D65"/>
    <w:rsid w:val="00A11CD0"/>
    <w:rsid w:val="00A13948"/>
    <w:rsid w:val="00A1555B"/>
    <w:rsid w:val="00A155C5"/>
    <w:rsid w:val="00A16AD8"/>
    <w:rsid w:val="00A215EA"/>
    <w:rsid w:val="00A21CF3"/>
    <w:rsid w:val="00A273C3"/>
    <w:rsid w:val="00A27ACD"/>
    <w:rsid w:val="00A27AEC"/>
    <w:rsid w:val="00A27CFF"/>
    <w:rsid w:val="00A320DB"/>
    <w:rsid w:val="00A35D16"/>
    <w:rsid w:val="00A3649A"/>
    <w:rsid w:val="00A37323"/>
    <w:rsid w:val="00A37BCD"/>
    <w:rsid w:val="00A42D46"/>
    <w:rsid w:val="00A43C59"/>
    <w:rsid w:val="00A44FD5"/>
    <w:rsid w:val="00A471CD"/>
    <w:rsid w:val="00A50ECD"/>
    <w:rsid w:val="00A518F3"/>
    <w:rsid w:val="00A52729"/>
    <w:rsid w:val="00A53675"/>
    <w:rsid w:val="00A558D7"/>
    <w:rsid w:val="00A564D7"/>
    <w:rsid w:val="00A56B6A"/>
    <w:rsid w:val="00A578DC"/>
    <w:rsid w:val="00A61CCF"/>
    <w:rsid w:val="00A61E8D"/>
    <w:rsid w:val="00A620E9"/>
    <w:rsid w:val="00A63B0A"/>
    <w:rsid w:val="00A656AD"/>
    <w:rsid w:val="00A65795"/>
    <w:rsid w:val="00A66DC6"/>
    <w:rsid w:val="00A6725B"/>
    <w:rsid w:val="00A70605"/>
    <w:rsid w:val="00A73134"/>
    <w:rsid w:val="00A777B2"/>
    <w:rsid w:val="00A817C8"/>
    <w:rsid w:val="00A86E8B"/>
    <w:rsid w:val="00A87164"/>
    <w:rsid w:val="00A92D9B"/>
    <w:rsid w:val="00A93072"/>
    <w:rsid w:val="00A93953"/>
    <w:rsid w:val="00A959D8"/>
    <w:rsid w:val="00AA113D"/>
    <w:rsid w:val="00AA3C44"/>
    <w:rsid w:val="00AA44E8"/>
    <w:rsid w:val="00AA6C7D"/>
    <w:rsid w:val="00AA7FD6"/>
    <w:rsid w:val="00AB042A"/>
    <w:rsid w:val="00AB0D80"/>
    <w:rsid w:val="00AB27A7"/>
    <w:rsid w:val="00AB2D34"/>
    <w:rsid w:val="00AB3430"/>
    <w:rsid w:val="00AB4AD1"/>
    <w:rsid w:val="00AB7CFA"/>
    <w:rsid w:val="00AC2494"/>
    <w:rsid w:val="00AC5A19"/>
    <w:rsid w:val="00AC5B48"/>
    <w:rsid w:val="00AD0BE9"/>
    <w:rsid w:val="00AD148E"/>
    <w:rsid w:val="00AD2760"/>
    <w:rsid w:val="00AD5694"/>
    <w:rsid w:val="00AD6502"/>
    <w:rsid w:val="00AD7942"/>
    <w:rsid w:val="00AE055F"/>
    <w:rsid w:val="00AE0668"/>
    <w:rsid w:val="00AE7868"/>
    <w:rsid w:val="00AF0918"/>
    <w:rsid w:val="00AF1315"/>
    <w:rsid w:val="00AF19BF"/>
    <w:rsid w:val="00AF2110"/>
    <w:rsid w:val="00AF2DC3"/>
    <w:rsid w:val="00AF6630"/>
    <w:rsid w:val="00AF6CCF"/>
    <w:rsid w:val="00B02CA0"/>
    <w:rsid w:val="00B033E5"/>
    <w:rsid w:val="00B03A63"/>
    <w:rsid w:val="00B04F64"/>
    <w:rsid w:val="00B13B52"/>
    <w:rsid w:val="00B201A4"/>
    <w:rsid w:val="00B213A6"/>
    <w:rsid w:val="00B23782"/>
    <w:rsid w:val="00B24028"/>
    <w:rsid w:val="00B24DF6"/>
    <w:rsid w:val="00B32299"/>
    <w:rsid w:val="00B326D4"/>
    <w:rsid w:val="00B34FE2"/>
    <w:rsid w:val="00B357D8"/>
    <w:rsid w:val="00B3780B"/>
    <w:rsid w:val="00B37BFC"/>
    <w:rsid w:val="00B40358"/>
    <w:rsid w:val="00B41614"/>
    <w:rsid w:val="00B42851"/>
    <w:rsid w:val="00B42F80"/>
    <w:rsid w:val="00B435CB"/>
    <w:rsid w:val="00B43FFB"/>
    <w:rsid w:val="00B450DE"/>
    <w:rsid w:val="00B46CEA"/>
    <w:rsid w:val="00B46FD8"/>
    <w:rsid w:val="00B500CF"/>
    <w:rsid w:val="00B50DB8"/>
    <w:rsid w:val="00B53654"/>
    <w:rsid w:val="00B53905"/>
    <w:rsid w:val="00B54B5B"/>
    <w:rsid w:val="00B5562E"/>
    <w:rsid w:val="00B56649"/>
    <w:rsid w:val="00B57000"/>
    <w:rsid w:val="00B57E5A"/>
    <w:rsid w:val="00B60939"/>
    <w:rsid w:val="00B60AFD"/>
    <w:rsid w:val="00B62715"/>
    <w:rsid w:val="00B6538D"/>
    <w:rsid w:val="00B71A3C"/>
    <w:rsid w:val="00B720E9"/>
    <w:rsid w:val="00B72C6E"/>
    <w:rsid w:val="00B745C2"/>
    <w:rsid w:val="00B80CFB"/>
    <w:rsid w:val="00B818A4"/>
    <w:rsid w:val="00B84117"/>
    <w:rsid w:val="00B85AA2"/>
    <w:rsid w:val="00B85AD7"/>
    <w:rsid w:val="00B8649C"/>
    <w:rsid w:val="00B87F0A"/>
    <w:rsid w:val="00B92D0B"/>
    <w:rsid w:val="00B94945"/>
    <w:rsid w:val="00B965B8"/>
    <w:rsid w:val="00BA322D"/>
    <w:rsid w:val="00BA4BEA"/>
    <w:rsid w:val="00BA52E3"/>
    <w:rsid w:val="00BA7186"/>
    <w:rsid w:val="00BB0BDD"/>
    <w:rsid w:val="00BB2A73"/>
    <w:rsid w:val="00BB4ACC"/>
    <w:rsid w:val="00BB703E"/>
    <w:rsid w:val="00BB716C"/>
    <w:rsid w:val="00BB7405"/>
    <w:rsid w:val="00BC0788"/>
    <w:rsid w:val="00BC15E7"/>
    <w:rsid w:val="00BC3631"/>
    <w:rsid w:val="00BC53C2"/>
    <w:rsid w:val="00BC7AC9"/>
    <w:rsid w:val="00BD5F42"/>
    <w:rsid w:val="00BD68A3"/>
    <w:rsid w:val="00BD6938"/>
    <w:rsid w:val="00BD6CF3"/>
    <w:rsid w:val="00BE2180"/>
    <w:rsid w:val="00BE21F2"/>
    <w:rsid w:val="00BE2550"/>
    <w:rsid w:val="00BE284F"/>
    <w:rsid w:val="00BE4275"/>
    <w:rsid w:val="00BE4624"/>
    <w:rsid w:val="00BE4A53"/>
    <w:rsid w:val="00BE5B7A"/>
    <w:rsid w:val="00BE64DD"/>
    <w:rsid w:val="00BF0F95"/>
    <w:rsid w:val="00BF2433"/>
    <w:rsid w:val="00BF430D"/>
    <w:rsid w:val="00BF61C9"/>
    <w:rsid w:val="00BF6C94"/>
    <w:rsid w:val="00C00424"/>
    <w:rsid w:val="00C0594C"/>
    <w:rsid w:val="00C05B31"/>
    <w:rsid w:val="00C12C14"/>
    <w:rsid w:val="00C16835"/>
    <w:rsid w:val="00C176A9"/>
    <w:rsid w:val="00C200AA"/>
    <w:rsid w:val="00C212A3"/>
    <w:rsid w:val="00C237ED"/>
    <w:rsid w:val="00C24632"/>
    <w:rsid w:val="00C25418"/>
    <w:rsid w:val="00C25D9C"/>
    <w:rsid w:val="00C2778B"/>
    <w:rsid w:val="00C30116"/>
    <w:rsid w:val="00C31649"/>
    <w:rsid w:val="00C35493"/>
    <w:rsid w:val="00C35A21"/>
    <w:rsid w:val="00C40385"/>
    <w:rsid w:val="00C419B2"/>
    <w:rsid w:val="00C475AA"/>
    <w:rsid w:val="00C50D2B"/>
    <w:rsid w:val="00C515C1"/>
    <w:rsid w:val="00C538DC"/>
    <w:rsid w:val="00C54E17"/>
    <w:rsid w:val="00C550EE"/>
    <w:rsid w:val="00C60D3D"/>
    <w:rsid w:val="00C61586"/>
    <w:rsid w:val="00C62120"/>
    <w:rsid w:val="00C64CE3"/>
    <w:rsid w:val="00C65576"/>
    <w:rsid w:val="00C66165"/>
    <w:rsid w:val="00C679F7"/>
    <w:rsid w:val="00C7151A"/>
    <w:rsid w:val="00C71EF9"/>
    <w:rsid w:val="00C71F60"/>
    <w:rsid w:val="00C7209B"/>
    <w:rsid w:val="00C72241"/>
    <w:rsid w:val="00C72E89"/>
    <w:rsid w:val="00C74BBE"/>
    <w:rsid w:val="00C750C8"/>
    <w:rsid w:val="00C7560F"/>
    <w:rsid w:val="00C765AB"/>
    <w:rsid w:val="00C80A0E"/>
    <w:rsid w:val="00C8213F"/>
    <w:rsid w:val="00C8797A"/>
    <w:rsid w:val="00C900B8"/>
    <w:rsid w:val="00C90C71"/>
    <w:rsid w:val="00C931CF"/>
    <w:rsid w:val="00C938CF"/>
    <w:rsid w:val="00C93BEC"/>
    <w:rsid w:val="00C9624D"/>
    <w:rsid w:val="00C969DA"/>
    <w:rsid w:val="00C969FF"/>
    <w:rsid w:val="00CA281F"/>
    <w:rsid w:val="00CA2C77"/>
    <w:rsid w:val="00CA444F"/>
    <w:rsid w:val="00CA49C7"/>
    <w:rsid w:val="00CA5245"/>
    <w:rsid w:val="00CA71F4"/>
    <w:rsid w:val="00CA7B09"/>
    <w:rsid w:val="00CB2F2A"/>
    <w:rsid w:val="00CB5B1A"/>
    <w:rsid w:val="00CB6B22"/>
    <w:rsid w:val="00CB7F5F"/>
    <w:rsid w:val="00CC1B39"/>
    <w:rsid w:val="00CC26BC"/>
    <w:rsid w:val="00CC3E62"/>
    <w:rsid w:val="00CC6C10"/>
    <w:rsid w:val="00CD235B"/>
    <w:rsid w:val="00CD3F66"/>
    <w:rsid w:val="00CD5656"/>
    <w:rsid w:val="00CD6ADC"/>
    <w:rsid w:val="00CE1523"/>
    <w:rsid w:val="00CE6274"/>
    <w:rsid w:val="00CE651E"/>
    <w:rsid w:val="00CE67B4"/>
    <w:rsid w:val="00CE67E9"/>
    <w:rsid w:val="00CF1DB7"/>
    <w:rsid w:val="00CF2B8D"/>
    <w:rsid w:val="00CF4092"/>
    <w:rsid w:val="00CF456B"/>
    <w:rsid w:val="00CF5A22"/>
    <w:rsid w:val="00D02051"/>
    <w:rsid w:val="00D0262E"/>
    <w:rsid w:val="00D110BD"/>
    <w:rsid w:val="00D13675"/>
    <w:rsid w:val="00D141E1"/>
    <w:rsid w:val="00D17D6C"/>
    <w:rsid w:val="00D22009"/>
    <w:rsid w:val="00D221C6"/>
    <w:rsid w:val="00D24FAF"/>
    <w:rsid w:val="00D2754D"/>
    <w:rsid w:val="00D27B27"/>
    <w:rsid w:val="00D33BE9"/>
    <w:rsid w:val="00D33D2A"/>
    <w:rsid w:val="00D34259"/>
    <w:rsid w:val="00D357FF"/>
    <w:rsid w:val="00D37908"/>
    <w:rsid w:val="00D37A25"/>
    <w:rsid w:val="00D424C7"/>
    <w:rsid w:val="00D43B2A"/>
    <w:rsid w:val="00D47575"/>
    <w:rsid w:val="00D47892"/>
    <w:rsid w:val="00D525FA"/>
    <w:rsid w:val="00D55C30"/>
    <w:rsid w:val="00D60FF7"/>
    <w:rsid w:val="00D70F16"/>
    <w:rsid w:val="00D725DF"/>
    <w:rsid w:val="00D76A44"/>
    <w:rsid w:val="00D77597"/>
    <w:rsid w:val="00D815EF"/>
    <w:rsid w:val="00D83A8C"/>
    <w:rsid w:val="00D85362"/>
    <w:rsid w:val="00D87FE4"/>
    <w:rsid w:val="00D91923"/>
    <w:rsid w:val="00D9221E"/>
    <w:rsid w:val="00D925AF"/>
    <w:rsid w:val="00D93753"/>
    <w:rsid w:val="00D942E4"/>
    <w:rsid w:val="00DA3167"/>
    <w:rsid w:val="00DA4DC3"/>
    <w:rsid w:val="00DA77A5"/>
    <w:rsid w:val="00DB10C4"/>
    <w:rsid w:val="00DB271E"/>
    <w:rsid w:val="00DB27B4"/>
    <w:rsid w:val="00DB3A0C"/>
    <w:rsid w:val="00DB484F"/>
    <w:rsid w:val="00DC04F6"/>
    <w:rsid w:val="00DC3C57"/>
    <w:rsid w:val="00DC4809"/>
    <w:rsid w:val="00DC5501"/>
    <w:rsid w:val="00DD273C"/>
    <w:rsid w:val="00DD37A0"/>
    <w:rsid w:val="00DD3F28"/>
    <w:rsid w:val="00DD4537"/>
    <w:rsid w:val="00DD4E15"/>
    <w:rsid w:val="00DE3138"/>
    <w:rsid w:val="00DE34AE"/>
    <w:rsid w:val="00DE37F8"/>
    <w:rsid w:val="00DE41FE"/>
    <w:rsid w:val="00DE4FCB"/>
    <w:rsid w:val="00DE5581"/>
    <w:rsid w:val="00DE7832"/>
    <w:rsid w:val="00DF18FC"/>
    <w:rsid w:val="00DF410E"/>
    <w:rsid w:val="00DF5D2B"/>
    <w:rsid w:val="00DF61D4"/>
    <w:rsid w:val="00DF679D"/>
    <w:rsid w:val="00E00303"/>
    <w:rsid w:val="00E00E8E"/>
    <w:rsid w:val="00E045DF"/>
    <w:rsid w:val="00E05630"/>
    <w:rsid w:val="00E06DBB"/>
    <w:rsid w:val="00E10149"/>
    <w:rsid w:val="00E14117"/>
    <w:rsid w:val="00E15EC0"/>
    <w:rsid w:val="00E16372"/>
    <w:rsid w:val="00E20E4D"/>
    <w:rsid w:val="00E20ED6"/>
    <w:rsid w:val="00E21358"/>
    <w:rsid w:val="00E2249B"/>
    <w:rsid w:val="00E2276B"/>
    <w:rsid w:val="00E22A0D"/>
    <w:rsid w:val="00E2771E"/>
    <w:rsid w:val="00E31ED1"/>
    <w:rsid w:val="00E34948"/>
    <w:rsid w:val="00E35590"/>
    <w:rsid w:val="00E35969"/>
    <w:rsid w:val="00E36EBA"/>
    <w:rsid w:val="00E37569"/>
    <w:rsid w:val="00E41E30"/>
    <w:rsid w:val="00E43D70"/>
    <w:rsid w:val="00E466F3"/>
    <w:rsid w:val="00E47B2C"/>
    <w:rsid w:val="00E51560"/>
    <w:rsid w:val="00E520DF"/>
    <w:rsid w:val="00E54347"/>
    <w:rsid w:val="00E55424"/>
    <w:rsid w:val="00E55BB5"/>
    <w:rsid w:val="00E55E4C"/>
    <w:rsid w:val="00E65E79"/>
    <w:rsid w:val="00E66BA2"/>
    <w:rsid w:val="00E67416"/>
    <w:rsid w:val="00E718B6"/>
    <w:rsid w:val="00E723BA"/>
    <w:rsid w:val="00E73581"/>
    <w:rsid w:val="00E801DE"/>
    <w:rsid w:val="00E81CDC"/>
    <w:rsid w:val="00E833F7"/>
    <w:rsid w:val="00E83BDF"/>
    <w:rsid w:val="00E83D39"/>
    <w:rsid w:val="00E84363"/>
    <w:rsid w:val="00E8545F"/>
    <w:rsid w:val="00E87A1D"/>
    <w:rsid w:val="00E926A5"/>
    <w:rsid w:val="00E979B5"/>
    <w:rsid w:val="00EA17C3"/>
    <w:rsid w:val="00EA2CAA"/>
    <w:rsid w:val="00EA3864"/>
    <w:rsid w:val="00EA3C70"/>
    <w:rsid w:val="00EA6323"/>
    <w:rsid w:val="00EB15B6"/>
    <w:rsid w:val="00EB4916"/>
    <w:rsid w:val="00EB49D2"/>
    <w:rsid w:val="00EB74AD"/>
    <w:rsid w:val="00EB7F15"/>
    <w:rsid w:val="00EC00C9"/>
    <w:rsid w:val="00EC2649"/>
    <w:rsid w:val="00EC2F37"/>
    <w:rsid w:val="00EC30BA"/>
    <w:rsid w:val="00EC67B0"/>
    <w:rsid w:val="00ED57EA"/>
    <w:rsid w:val="00EE040A"/>
    <w:rsid w:val="00EE07D3"/>
    <w:rsid w:val="00EE101B"/>
    <w:rsid w:val="00EE146A"/>
    <w:rsid w:val="00EE22AF"/>
    <w:rsid w:val="00EE2764"/>
    <w:rsid w:val="00EE2ED9"/>
    <w:rsid w:val="00EE3409"/>
    <w:rsid w:val="00EE44F5"/>
    <w:rsid w:val="00EF0171"/>
    <w:rsid w:val="00EF038B"/>
    <w:rsid w:val="00EF122F"/>
    <w:rsid w:val="00EF1B25"/>
    <w:rsid w:val="00EF21AA"/>
    <w:rsid w:val="00EF4747"/>
    <w:rsid w:val="00EF4BF8"/>
    <w:rsid w:val="00EF6D53"/>
    <w:rsid w:val="00F01ED3"/>
    <w:rsid w:val="00F02253"/>
    <w:rsid w:val="00F03C2E"/>
    <w:rsid w:val="00F04A66"/>
    <w:rsid w:val="00F04E18"/>
    <w:rsid w:val="00F0516C"/>
    <w:rsid w:val="00F05789"/>
    <w:rsid w:val="00F067A2"/>
    <w:rsid w:val="00F07B7E"/>
    <w:rsid w:val="00F1263A"/>
    <w:rsid w:val="00F16970"/>
    <w:rsid w:val="00F216D3"/>
    <w:rsid w:val="00F229A5"/>
    <w:rsid w:val="00F230B6"/>
    <w:rsid w:val="00F24837"/>
    <w:rsid w:val="00F2575F"/>
    <w:rsid w:val="00F27565"/>
    <w:rsid w:val="00F310D4"/>
    <w:rsid w:val="00F31D5A"/>
    <w:rsid w:val="00F3226C"/>
    <w:rsid w:val="00F33DE9"/>
    <w:rsid w:val="00F358BE"/>
    <w:rsid w:val="00F3619A"/>
    <w:rsid w:val="00F40AAA"/>
    <w:rsid w:val="00F40BA7"/>
    <w:rsid w:val="00F43E9C"/>
    <w:rsid w:val="00F46CB6"/>
    <w:rsid w:val="00F4782F"/>
    <w:rsid w:val="00F47DE8"/>
    <w:rsid w:val="00F542C1"/>
    <w:rsid w:val="00F54C18"/>
    <w:rsid w:val="00F55E73"/>
    <w:rsid w:val="00F55EDA"/>
    <w:rsid w:val="00F56BA1"/>
    <w:rsid w:val="00F60092"/>
    <w:rsid w:val="00F65F4B"/>
    <w:rsid w:val="00F70C9D"/>
    <w:rsid w:val="00F74CD9"/>
    <w:rsid w:val="00F8062C"/>
    <w:rsid w:val="00F80871"/>
    <w:rsid w:val="00F80A7B"/>
    <w:rsid w:val="00F80E5D"/>
    <w:rsid w:val="00F81F41"/>
    <w:rsid w:val="00F851CE"/>
    <w:rsid w:val="00F86847"/>
    <w:rsid w:val="00F91219"/>
    <w:rsid w:val="00F92745"/>
    <w:rsid w:val="00F95E30"/>
    <w:rsid w:val="00F97A78"/>
    <w:rsid w:val="00F97D46"/>
    <w:rsid w:val="00F97F2E"/>
    <w:rsid w:val="00FA0B20"/>
    <w:rsid w:val="00FA24E7"/>
    <w:rsid w:val="00FA398F"/>
    <w:rsid w:val="00FA5D2D"/>
    <w:rsid w:val="00FB02A6"/>
    <w:rsid w:val="00FB0D73"/>
    <w:rsid w:val="00FB2FCB"/>
    <w:rsid w:val="00FB3C03"/>
    <w:rsid w:val="00FB4940"/>
    <w:rsid w:val="00FB54F5"/>
    <w:rsid w:val="00FC0F0E"/>
    <w:rsid w:val="00FC1074"/>
    <w:rsid w:val="00FC121B"/>
    <w:rsid w:val="00FC1884"/>
    <w:rsid w:val="00FC371D"/>
    <w:rsid w:val="00FC5F0B"/>
    <w:rsid w:val="00FC6944"/>
    <w:rsid w:val="00FD0F38"/>
    <w:rsid w:val="00FD2100"/>
    <w:rsid w:val="00FD436C"/>
    <w:rsid w:val="00FD446D"/>
    <w:rsid w:val="00FD6394"/>
    <w:rsid w:val="00FE0E6C"/>
    <w:rsid w:val="00FE1A1E"/>
    <w:rsid w:val="00FE3F04"/>
    <w:rsid w:val="00FE4453"/>
    <w:rsid w:val="00FE47B2"/>
    <w:rsid w:val="00FE70C3"/>
    <w:rsid w:val="00FF069F"/>
    <w:rsid w:val="00FF070A"/>
    <w:rsid w:val="00FF3DCF"/>
    <w:rsid w:val="00FF492C"/>
    <w:rsid w:val="00FF4A21"/>
    <w:rsid w:val="00FF5AA3"/>
    <w:rsid w:val="00FF5AD8"/>
    <w:rsid w:val="00FF7EC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69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Bullet List,Styl moj,Akapit z listą1,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Bullet List Char,Styl moj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Main text,Title Page text"/>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link w:val="TableHeadingChar"/>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1"/>
    <w:qFormat/>
    <w:rsid w:val="00EC2F37"/>
    <w:pPr>
      <w:numPr>
        <w:numId w:val="2"/>
      </w:numPr>
    </w:pPr>
    <w:rPr>
      <w:caps w:val="0"/>
      <w:snapToGrid/>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table" w:customStyle="1" w:styleId="TableGridbeth1">
    <w:name w:val="Table Gridbeth1"/>
    <w:basedOn w:val="TableNormal"/>
    <w:next w:val="TableGrid"/>
    <w:uiPriority w:val="59"/>
    <w:rsid w:val="0054655C"/>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1">
    <w:name w:val="Table Grid1"/>
    <w:basedOn w:val="TableNormal"/>
    <w:next w:val="TableGrid"/>
    <w:uiPriority w:val="59"/>
    <w:rsid w:val="001E7E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 Text Char"/>
    <w:link w:val="TableText0"/>
    <w:rsid w:val="001E7E4F"/>
    <w:rPr>
      <w:rFonts w:ascii="Arial Narrow" w:eastAsiaTheme="minorHAnsi" w:hAnsi="Arial Narrow" w:cstheme="minorBidi"/>
      <w:szCs w:val="22"/>
      <w:lang w:eastAsia="en-US"/>
    </w:rPr>
  </w:style>
  <w:style w:type="paragraph" w:customStyle="1" w:styleId="Summary-Bullet">
    <w:name w:val="Summary - Bullet"/>
    <w:basedOn w:val="Normal"/>
    <w:rsid w:val="001E7E4F"/>
    <w:pPr>
      <w:keepLines/>
      <w:numPr>
        <w:numId w:val="8"/>
      </w:numPr>
      <w:pBdr>
        <w:top w:val="single" w:sz="12" w:space="12" w:color="00529B"/>
        <w:left w:val="single" w:sz="12" w:space="12" w:color="00529B"/>
        <w:bottom w:val="single" w:sz="12" w:space="12" w:color="00529B"/>
        <w:right w:val="single" w:sz="12" w:space="12" w:color="00529B"/>
      </w:pBdr>
      <w:shd w:val="clear" w:color="auto" w:fill="C0C0C0"/>
      <w:spacing w:after="120"/>
      <w:ind w:left="1276" w:right="804" w:hanging="425"/>
      <w:jc w:val="left"/>
    </w:pPr>
    <w:rPr>
      <w:rFonts w:ascii="Tahoma" w:hAnsi="Tahoma" w:cs="Times New Roman"/>
      <w:iCs/>
      <w:noProof/>
      <w:snapToGrid/>
      <w:sz w:val="20"/>
      <w:szCs w:val="20"/>
      <w:lang w:val="en-GB"/>
    </w:rPr>
  </w:style>
  <w:style w:type="paragraph" w:customStyle="1" w:styleId="PBACheading10">
    <w:name w:val="PBAC heading 1"/>
    <w:qFormat/>
    <w:rsid w:val="00CD3F66"/>
    <w:pPr>
      <w:ind w:left="720" w:hanging="720"/>
      <w:outlineLvl w:val="0"/>
    </w:pPr>
    <w:rPr>
      <w:rFonts w:ascii="Arial" w:hAnsi="Arial" w:cs="Arial"/>
      <w:b/>
      <w:snapToGrid w:val="0"/>
      <w:sz w:val="22"/>
      <w:szCs w:val="22"/>
      <w:lang w:eastAsia="en-US"/>
    </w:rPr>
  </w:style>
  <w:style w:type="paragraph" w:customStyle="1" w:styleId="TableHeading0">
    <w:name w:val="Table Heading"/>
    <w:basedOn w:val="Normal"/>
    <w:qFormat/>
    <w:rsid w:val="0023183D"/>
    <w:pPr>
      <w:keepNext/>
      <w:widowControl/>
      <w:spacing w:after="60"/>
      <w:jc w:val="left"/>
    </w:pPr>
    <w:rPr>
      <w:rFonts w:ascii="Arial Narrow" w:eastAsiaTheme="minorHAnsi" w:hAnsi="Arial Narrow" w:cstheme="minorBidi"/>
      <w:b/>
      <w:snapToGrid/>
      <w:sz w:val="20"/>
    </w:rPr>
  </w:style>
  <w:style w:type="character" w:customStyle="1" w:styleId="NoSpacingChar">
    <w:name w:val="No Spacing Char"/>
    <w:aliases w:val="Main text Char,Title Page text Char"/>
    <w:basedOn w:val="DefaultParagraphFont"/>
    <w:link w:val="NoSpacing"/>
    <w:uiPriority w:val="1"/>
    <w:rsid w:val="00B745C2"/>
    <w:rPr>
      <w:rFonts w:ascii="Arial" w:hAnsi="Arial" w:cs="Arial"/>
      <w:snapToGrid w:val="0"/>
      <w:sz w:val="22"/>
      <w:lang w:eastAsia="en-US"/>
    </w:rPr>
  </w:style>
  <w:style w:type="paragraph" w:styleId="FootnoteText">
    <w:name w:val="footnote text"/>
    <w:basedOn w:val="Normal"/>
    <w:link w:val="FootnoteTextChar"/>
    <w:uiPriority w:val="99"/>
    <w:unhideWhenUsed/>
    <w:rsid w:val="00136096"/>
    <w:pPr>
      <w:widowControl/>
      <w:jc w:val="left"/>
    </w:pPr>
    <w:rPr>
      <w:rFonts w:ascii="Garamond" w:eastAsiaTheme="minorHAnsi" w:hAnsi="Garamond" w:cs="Times New Roman"/>
      <w:snapToGrid/>
      <w:sz w:val="20"/>
      <w:szCs w:val="20"/>
    </w:rPr>
  </w:style>
  <w:style w:type="character" w:customStyle="1" w:styleId="FootnoteTextChar">
    <w:name w:val="Footnote Text Char"/>
    <w:basedOn w:val="DefaultParagraphFont"/>
    <w:link w:val="FootnoteText"/>
    <w:uiPriority w:val="99"/>
    <w:rsid w:val="00136096"/>
    <w:rPr>
      <w:rFonts w:ascii="Garamond" w:eastAsiaTheme="minorHAnsi" w:hAnsi="Garamond"/>
      <w:lang w:eastAsia="en-US"/>
    </w:rPr>
  </w:style>
  <w:style w:type="character" w:styleId="FootnoteReference">
    <w:name w:val="footnote reference"/>
    <w:basedOn w:val="DefaultParagraphFont"/>
    <w:uiPriority w:val="99"/>
    <w:unhideWhenUsed/>
    <w:rsid w:val="00136096"/>
    <w:rPr>
      <w:vertAlign w:val="superscript"/>
    </w:rPr>
  </w:style>
  <w:style w:type="table" w:customStyle="1" w:styleId="TableGridLight1">
    <w:name w:val="Table Grid Light1"/>
    <w:basedOn w:val="TableNormal"/>
    <w:uiPriority w:val="40"/>
    <w:rsid w:val="007B7754"/>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inBodyTextEmphasiswithBold">
    <w:name w:val="Main Body Text Emphasis with Bold"/>
    <w:qFormat/>
    <w:rsid w:val="00173CCA"/>
    <w:rPr>
      <w:b/>
    </w:rPr>
  </w:style>
  <w:style w:type="character" w:customStyle="1" w:styleId="TableHeadingChar">
    <w:name w:val="TableHeading Char"/>
    <w:link w:val="TableHeading"/>
    <w:rsid w:val="0003360D"/>
    <w:rPr>
      <w:rFonts w:ascii="Arial Narrow" w:hAnsi="Arial Narrow" w:cs="Arial Narrow"/>
      <w:b/>
      <w:bCs/>
      <w:szCs w:val="22"/>
      <w:lang w:eastAsia="en-US"/>
    </w:rPr>
  </w:style>
  <w:style w:type="paragraph" w:customStyle="1" w:styleId="2-SectionHeading">
    <w:name w:val="2-Section Heading"/>
    <w:qFormat/>
    <w:rsid w:val="006B03A7"/>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6B03A7"/>
    <w:pPr>
      <w:widowControl/>
      <w:spacing w:after="120"/>
      <w:ind w:hanging="720"/>
    </w:pPr>
    <w:rPr>
      <w:rFonts w:asciiTheme="minorHAnsi" w:hAnsiTheme="minorHAnsi"/>
      <w:szCs w:val="24"/>
      <w:lang w:eastAsia="en-AU"/>
    </w:rPr>
  </w:style>
  <w:style w:type="character" w:customStyle="1" w:styleId="3-BodyTextChar">
    <w:name w:val="3-Body Text Char"/>
    <w:basedOn w:val="DefaultParagraphFont"/>
    <w:link w:val="3-BodyText"/>
    <w:rsid w:val="006B03A7"/>
    <w:rPr>
      <w:rFonts w:asciiTheme="minorHAnsi" w:hAnsiTheme="minorHAnsi" w:cs="Arial"/>
      <w:snapToGrid w:val="0"/>
      <w:sz w:val="24"/>
      <w:szCs w:val="24"/>
    </w:rPr>
  </w:style>
  <w:style w:type="paragraph" w:customStyle="1" w:styleId="Style1">
    <w:name w:val="Style1"/>
    <w:basedOn w:val="Heading1"/>
    <w:link w:val="Style1Char"/>
    <w:qFormat/>
    <w:rsid w:val="00D942E4"/>
    <w:pPr>
      <w:jc w:val="left"/>
    </w:pPr>
    <w:rPr>
      <w:caps w:val="0"/>
      <w:sz w:val="36"/>
      <w:szCs w:val="36"/>
    </w:rPr>
  </w:style>
  <w:style w:type="character" w:customStyle="1" w:styleId="Style1Char">
    <w:name w:val="Style1 Char"/>
    <w:basedOn w:val="DefaultParagraphFont"/>
    <w:link w:val="Style1"/>
    <w:rsid w:val="00D942E4"/>
    <w:rPr>
      <w:rFonts w:ascii="Calibri" w:hAnsi="Calibri" w:cs="Arial"/>
      <w:b/>
      <w:snapToGrid w:val="0"/>
      <w:sz w:val="36"/>
      <w:szCs w:val="36"/>
      <w:lang w:eastAsia="en-US"/>
    </w:rPr>
  </w:style>
  <w:style w:type="paragraph" w:customStyle="1" w:styleId="3-SubsectionHeading">
    <w:name w:val="3-Subsection Heading"/>
    <w:basedOn w:val="Heading2"/>
    <w:next w:val="Normal"/>
    <w:link w:val="3-SubsectionHeadingChar"/>
    <w:qFormat/>
    <w:rsid w:val="00BE2550"/>
    <w:pPr>
      <w:keepNext/>
      <w:widowControl/>
      <w:spacing w:before="120" w:after="120"/>
      <w:outlineLvl w:val="9"/>
    </w:pPr>
    <w:rPr>
      <w:rFonts w:asciiTheme="minorHAnsi" w:eastAsiaTheme="majorEastAsia" w:hAnsiTheme="minorHAnsi" w:cstheme="majorBidi"/>
      <w:snapToGrid/>
      <w:spacing w:val="5"/>
      <w:kern w:val="28"/>
      <w:szCs w:val="36"/>
    </w:rPr>
  </w:style>
  <w:style w:type="character" w:customStyle="1" w:styleId="3-SubsectionHeadingChar">
    <w:name w:val="3-Subsection Heading Char"/>
    <w:basedOn w:val="Heading2Char"/>
    <w:link w:val="3-SubsectionHeading"/>
    <w:rsid w:val="00BE2550"/>
    <w:rPr>
      <w:rFonts w:asciiTheme="minorHAnsi" w:eastAsiaTheme="majorEastAsia" w:hAnsiTheme="minorHAnsi" w:cstheme="majorBidi"/>
      <w:b/>
      <w:i/>
      <w:snapToGrid/>
      <w:spacing w:val="5"/>
      <w:kern w:val="28"/>
      <w:sz w:val="28"/>
      <w:szCs w:val="36"/>
      <w:lang w:eastAsia="en-US"/>
    </w:rPr>
  </w:style>
  <w:style w:type="character" w:customStyle="1" w:styleId="normaltextrun">
    <w:name w:val="normaltextrun"/>
    <w:basedOn w:val="DefaultParagraphFont"/>
    <w:rsid w:val="00491D9B"/>
  </w:style>
  <w:style w:type="paragraph" w:customStyle="1" w:styleId="1-MainHeading">
    <w:name w:val="1-Main Heading"/>
    <w:link w:val="1-MainHeadingChar"/>
    <w:qFormat/>
    <w:rsid w:val="00045BA1"/>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045BA1"/>
    <w:rPr>
      <w:rFonts w:asciiTheme="minorHAnsi" w:eastAsiaTheme="majorEastAsia" w:hAnsiTheme="minorHAnsi" w:cstheme="majorBidi"/>
      <w:b/>
      <w:spacing w:val="5"/>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35566">
      <w:bodyDiv w:val="1"/>
      <w:marLeft w:val="0"/>
      <w:marRight w:val="0"/>
      <w:marTop w:val="0"/>
      <w:marBottom w:val="0"/>
      <w:divBdr>
        <w:top w:val="none" w:sz="0" w:space="0" w:color="auto"/>
        <w:left w:val="none" w:sz="0" w:space="0" w:color="auto"/>
        <w:bottom w:val="none" w:sz="0" w:space="0" w:color="auto"/>
        <w:right w:val="none" w:sz="0" w:space="0" w:color="auto"/>
      </w:divBdr>
    </w:div>
    <w:div w:id="902448421">
      <w:bodyDiv w:val="1"/>
      <w:marLeft w:val="0"/>
      <w:marRight w:val="0"/>
      <w:marTop w:val="0"/>
      <w:marBottom w:val="0"/>
      <w:divBdr>
        <w:top w:val="none" w:sz="0" w:space="0" w:color="auto"/>
        <w:left w:val="none" w:sz="0" w:space="0" w:color="auto"/>
        <w:bottom w:val="none" w:sz="0" w:space="0" w:color="auto"/>
        <w:right w:val="none" w:sz="0" w:space="0" w:color="auto"/>
      </w:divBdr>
    </w:div>
    <w:div w:id="1030033837">
      <w:bodyDiv w:val="1"/>
      <w:marLeft w:val="0"/>
      <w:marRight w:val="0"/>
      <w:marTop w:val="0"/>
      <w:marBottom w:val="0"/>
      <w:divBdr>
        <w:top w:val="none" w:sz="0" w:space="0" w:color="auto"/>
        <w:left w:val="none" w:sz="0" w:space="0" w:color="auto"/>
        <w:bottom w:val="none" w:sz="0" w:space="0" w:color="auto"/>
        <w:right w:val="none" w:sz="0" w:space="0" w:color="auto"/>
      </w:divBdr>
    </w:div>
    <w:div w:id="21419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6EFDA-1654-4568-97E0-E0A6019D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10870</Words>
  <Characters>60704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2022-03-15T23:21:00Z</dcterms:created>
  <dcterms:modified xsi:type="dcterms:W3CDTF">2022-03-15T23:21:00Z</dcterms:modified>
</cp:coreProperties>
</file>