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94EF" w14:textId="77777777" w:rsidR="00B60939" w:rsidRDefault="00997EDE" w:rsidP="004A6040">
      <w:pPr>
        <w:pStyle w:val="1-MainHeading"/>
      </w:pPr>
      <w:r>
        <w:t>7.01</w:t>
      </w:r>
      <w:r w:rsidR="00163F66" w:rsidRPr="00191822">
        <w:tab/>
      </w:r>
      <w:r w:rsidR="00C82A4B" w:rsidRPr="00191822">
        <w:t>ACALABRUTINIB</w:t>
      </w:r>
      <w:r w:rsidR="00163F66" w:rsidRPr="00191822">
        <w:t>,</w:t>
      </w:r>
      <w:r w:rsidR="00163F66" w:rsidRPr="00191822">
        <w:br/>
      </w:r>
      <w:r w:rsidR="00C82A4B" w:rsidRPr="00191822">
        <w:t>Capsule 100 mg</w:t>
      </w:r>
      <w:r w:rsidR="00163F66" w:rsidRPr="00191822">
        <w:t>,</w:t>
      </w:r>
      <w:r w:rsidR="00163F66" w:rsidRPr="00191822">
        <w:br/>
      </w:r>
      <w:proofErr w:type="spellStart"/>
      <w:r w:rsidR="00C82A4B" w:rsidRPr="00191822">
        <w:t>Calquence</w:t>
      </w:r>
      <w:proofErr w:type="spellEnd"/>
      <w:r w:rsidR="00B60939" w:rsidRPr="00191822">
        <w:t>®</w:t>
      </w:r>
      <w:r w:rsidR="004A6040" w:rsidRPr="00191822">
        <w:t>,</w:t>
      </w:r>
      <w:r w:rsidR="004A6040" w:rsidRPr="00191822">
        <w:br/>
      </w:r>
      <w:r w:rsidR="00D13B91" w:rsidRPr="00191822">
        <w:t>AstraZeneca Pty Ltd</w:t>
      </w:r>
      <w:r w:rsidR="00B60939" w:rsidRPr="00191822">
        <w:t>.</w:t>
      </w:r>
    </w:p>
    <w:p w14:paraId="37DB550A" w14:textId="77777777" w:rsidR="00B50DB8" w:rsidRPr="00191822" w:rsidRDefault="00B50DB8" w:rsidP="004A6040">
      <w:pPr>
        <w:pStyle w:val="2-SectionHeading"/>
      </w:pPr>
      <w:bookmarkStart w:id="0" w:name="_Toc82613377"/>
      <w:r w:rsidRPr="00191822">
        <w:t>Purpose of</w:t>
      </w:r>
      <w:r w:rsidR="00315A11" w:rsidRPr="00191822">
        <w:t xml:space="preserve"> resubmission</w:t>
      </w:r>
      <w:bookmarkEnd w:id="0"/>
    </w:p>
    <w:p w14:paraId="745A2DA8" w14:textId="77777777" w:rsidR="007B5150" w:rsidRPr="00191822" w:rsidRDefault="007B5150" w:rsidP="004E18E9">
      <w:pPr>
        <w:pStyle w:val="ExecSumBodyText"/>
      </w:pPr>
      <w:r w:rsidRPr="00191822">
        <w:t xml:space="preserve">The </w:t>
      </w:r>
      <w:r w:rsidR="004C74BF">
        <w:t xml:space="preserve">standard re-entry </w:t>
      </w:r>
      <w:r w:rsidRPr="00191822">
        <w:t xml:space="preserve">resubmission requested an Authority Required </w:t>
      </w:r>
      <w:r w:rsidR="00E90956">
        <w:t>G</w:t>
      </w:r>
      <w:r w:rsidRPr="00191822">
        <w:t xml:space="preserve">eneral </w:t>
      </w:r>
      <w:r w:rsidR="00E90956">
        <w:t>S</w:t>
      </w:r>
      <w:r w:rsidRPr="00191822">
        <w:t xml:space="preserve">chedule </w:t>
      </w:r>
      <w:bookmarkStart w:id="1" w:name="_Hlk89423690"/>
      <w:r w:rsidRPr="00191822">
        <w:t>listing of acalabrutinib for the treatment of patients with previously untreated chronic lymphocytic leukaemia (CLL) or small lymphocytic lymphoma (SLL)</w:t>
      </w:r>
      <w:r w:rsidR="00E90956">
        <w:t xml:space="preserve">, who are </w:t>
      </w:r>
      <w:r w:rsidRPr="00191822">
        <w:t xml:space="preserve">considered unsuitable for treatment with fludarabine-based chemoimmunotherapy and </w:t>
      </w:r>
      <w:proofErr w:type="spellStart"/>
      <w:r w:rsidRPr="00191822">
        <w:t>venetoclax</w:t>
      </w:r>
      <w:proofErr w:type="spellEnd"/>
      <w:r w:rsidRPr="00191822">
        <w:t xml:space="preserve"> + </w:t>
      </w:r>
      <w:proofErr w:type="spellStart"/>
      <w:r w:rsidRPr="00191822">
        <w:t>obinutuzumab</w:t>
      </w:r>
      <w:proofErr w:type="spellEnd"/>
      <w:r w:rsidRPr="00191822">
        <w:t xml:space="preserve">, and for patients who permanently discontinue </w:t>
      </w:r>
      <w:proofErr w:type="spellStart"/>
      <w:r w:rsidRPr="00191822">
        <w:t>venetoclax</w:t>
      </w:r>
      <w:proofErr w:type="spellEnd"/>
      <w:r w:rsidRPr="00191822">
        <w:t xml:space="preserve"> + </w:t>
      </w:r>
      <w:proofErr w:type="spellStart"/>
      <w:r w:rsidRPr="00191822">
        <w:t>obinutuzumab</w:t>
      </w:r>
      <w:proofErr w:type="spellEnd"/>
      <w:r w:rsidRPr="00191822">
        <w:t xml:space="preserve"> due to intolerance.</w:t>
      </w:r>
    </w:p>
    <w:bookmarkEnd w:id="1"/>
    <w:p w14:paraId="42967BBE" w14:textId="77777777" w:rsidR="00C2778B" w:rsidRPr="00191822" w:rsidRDefault="005750C5" w:rsidP="004E18E9">
      <w:pPr>
        <w:pStyle w:val="ExecSumBodyText"/>
      </w:pPr>
      <w:r w:rsidRPr="00191822">
        <w:t xml:space="preserve">Listing was requested </w:t>
      </w:r>
      <w:proofErr w:type="gramStart"/>
      <w:r w:rsidRPr="00191822">
        <w:t>on the basis of</w:t>
      </w:r>
      <w:proofErr w:type="gramEnd"/>
      <w:r w:rsidRPr="00191822">
        <w:t xml:space="preserve"> a cost-effectiveness analysis versus </w:t>
      </w:r>
      <w:r w:rsidR="005F2904" w:rsidRPr="00191822">
        <w:t xml:space="preserve">chlorambucil + </w:t>
      </w:r>
      <w:proofErr w:type="spellStart"/>
      <w:r w:rsidR="005F2904" w:rsidRPr="00191822">
        <w:t>obinutuzumab</w:t>
      </w:r>
      <w:proofErr w:type="spellEnd"/>
      <w:r w:rsidRPr="00191822">
        <w:t>.</w:t>
      </w:r>
      <w:r w:rsidR="001D4212" w:rsidRPr="00191822">
        <w:t xml:space="preserve"> Listing was requested for acalabrutinib monotherapy only (previously acalabrutinib monotherapy and acalabrutinib </w:t>
      </w:r>
      <w:r w:rsidR="00422876">
        <w:t>+</w:t>
      </w:r>
      <w:r w:rsidR="00422876" w:rsidRPr="00191822">
        <w:t xml:space="preserve"> </w:t>
      </w:r>
      <w:proofErr w:type="spellStart"/>
      <w:r w:rsidR="00422876">
        <w:t>obinutuzumab</w:t>
      </w:r>
      <w:proofErr w:type="spellEnd"/>
      <w:r w:rsidR="0040644B">
        <w:t xml:space="preserve"> was requested</w:t>
      </w:r>
      <w:r w:rsidR="001D4212" w:rsidRPr="00191822">
        <w:t>).</w:t>
      </w:r>
    </w:p>
    <w:p w14:paraId="22160FA7" w14:textId="77777777" w:rsidR="008B1757" w:rsidRPr="004026AA" w:rsidRDefault="004026AA" w:rsidP="004026AA">
      <w:pPr>
        <w:pStyle w:val="TableFigureCaption"/>
      </w:pPr>
      <w:r w:rsidRPr="004026AA">
        <w:t xml:space="preserve">Table </w:t>
      </w:r>
      <w:r w:rsidR="00BD60E3">
        <w:rPr>
          <w:noProof/>
        </w:rPr>
        <w:t>1</w:t>
      </w:r>
      <w:r w:rsidR="008B1757" w:rsidRPr="004026AA">
        <w:t>:</w:t>
      </w:r>
      <w:r w:rsidR="00BC591F" w:rsidRPr="004026AA">
        <w:t xml:space="preserve"> </w:t>
      </w:r>
      <w:r w:rsidR="008B1757" w:rsidRPr="004026AA">
        <w:t xml:space="preserve">Key components of the clinical issue addressed </w:t>
      </w:r>
      <w:r w:rsidR="0039581A" w:rsidRPr="004026AA">
        <w:t>in</w:t>
      </w:r>
      <w:r w:rsidR="008B1757" w:rsidRPr="004026AA">
        <w:t xml:space="preserve"> the</w:t>
      </w:r>
      <w:r w:rsidR="00315A11" w:rsidRPr="004026AA">
        <w:t xml:space="preserv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271"/>
        <w:gridCol w:w="7885"/>
      </w:tblGrid>
      <w:tr w:rsidR="00F63483" w:rsidRPr="00191822" w14:paraId="76109239" w14:textId="77777777" w:rsidTr="000623BB">
        <w:tc>
          <w:tcPr>
            <w:tcW w:w="1271" w:type="dxa"/>
            <w:vAlign w:val="center"/>
          </w:tcPr>
          <w:p w14:paraId="43633529" w14:textId="77777777" w:rsidR="00F63483" w:rsidRPr="00191822" w:rsidRDefault="00F63483" w:rsidP="00277525">
            <w:pPr>
              <w:pStyle w:val="Tableheadingrow"/>
              <w:rPr>
                <w:lang w:val="en-AU"/>
              </w:rPr>
            </w:pPr>
            <w:r w:rsidRPr="00191822">
              <w:rPr>
                <w:lang w:val="en-AU"/>
              </w:rPr>
              <w:t>Component</w:t>
            </w:r>
          </w:p>
        </w:tc>
        <w:tc>
          <w:tcPr>
            <w:tcW w:w="7885" w:type="dxa"/>
            <w:vAlign w:val="center"/>
          </w:tcPr>
          <w:p w14:paraId="4FFB4846" w14:textId="77777777" w:rsidR="00F63483" w:rsidRPr="00191822" w:rsidRDefault="00F63483" w:rsidP="00277525">
            <w:pPr>
              <w:pStyle w:val="Tableheadingrow"/>
              <w:jc w:val="center"/>
              <w:rPr>
                <w:lang w:val="en-AU"/>
              </w:rPr>
            </w:pPr>
            <w:r w:rsidRPr="00191822">
              <w:rPr>
                <w:lang w:val="en-AU"/>
              </w:rPr>
              <w:t>Description</w:t>
            </w:r>
          </w:p>
        </w:tc>
      </w:tr>
      <w:tr w:rsidR="00F63483" w:rsidRPr="00191822" w14:paraId="15014C4E" w14:textId="77777777" w:rsidTr="000623BB">
        <w:trPr>
          <w:trHeight w:val="1924"/>
        </w:trPr>
        <w:tc>
          <w:tcPr>
            <w:tcW w:w="1271" w:type="dxa"/>
            <w:vAlign w:val="center"/>
          </w:tcPr>
          <w:p w14:paraId="74C68B04" w14:textId="77777777" w:rsidR="00F63483" w:rsidRPr="00191822" w:rsidRDefault="00F63483" w:rsidP="00277525">
            <w:pPr>
              <w:pStyle w:val="TableText"/>
            </w:pPr>
            <w:r w:rsidRPr="00191822">
              <w:t>Population</w:t>
            </w:r>
          </w:p>
        </w:tc>
        <w:tc>
          <w:tcPr>
            <w:tcW w:w="7885" w:type="dxa"/>
            <w:vAlign w:val="center"/>
          </w:tcPr>
          <w:p w14:paraId="7FD01175" w14:textId="77777777" w:rsidR="00F63483" w:rsidRPr="00191822" w:rsidRDefault="00F63483" w:rsidP="00277525">
            <w:pPr>
              <w:pStyle w:val="TableText"/>
              <w:rPr>
                <w:u w:val="single"/>
              </w:rPr>
            </w:pPr>
            <w:r w:rsidRPr="00191822">
              <w:t xml:space="preserve">Patients with previously untreated CLL/SLL who are unsuitable for fludarabine-based chemoimmunotherapy, </w:t>
            </w:r>
            <w:r w:rsidRPr="00191822">
              <w:rPr>
                <w:u w:val="single"/>
              </w:rPr>
              <w:t>and who meet the following criteria:</w:t>
            </w:r>
          </w:p>
          <w:p w14:paraId="6C3AC331" w14:textId="77777777" w:rsidR="00F63483" w:rsidRPr="00191822" w:rsidRDefault="00F63483" w:rsidP="00E042B7">
            <w:pPr>
              <w:pStyle w:val="TableText"/>
              <w:numPr>
                <w:ilvl w:val="0"/>
                <w:numId w:val="5"/>
              </w:numPr>
              <w:ind w:left="201" w:hanging="124"/>
              <w:rPr>
                <w:u w:val="single"/>
              </w:rPr>
            </w:pPr>
            <w:r w:rsidRPr="00191822">
              <w:rPr>
                <w:u w:val="single"/>
              </w:rPr>
              <w:t>CIRS score &gt;6; AND</w:t>
            </w:r>
          </w:p>
          <w:p w14:paraId="255F1B39" w14:textId="77777777" w:rsidR="00F63483" w:rsidRPr="00191822" w:rsidRDefault="00F63483" w:rsidP="00E042B7">
            <w:pPr>
              <w:pStyle w:val="TableText"/>
              <w:numPr>
                <w:ilvl w:val="0"/>
                <w:numId w:val="5"/>
              </w:numPr>
              <w:ind w:left="201" w:hanging="124"/>
              <w:rPr>
                <w:u w:val="single"/>
              </w:rPr>
            </w:pPr>
            <w:r w:rsidRPr="00191822">
              <w:rPr>
                <w:u w:val="single"/>
              </w:rPr>
              <w:t>Renal impairment (</w:t>
            </w:r>
            <w:proofErr w:type="spellStart"/>
            <w:r w:rsidRPr="00191822">
              <w:rPr>
                <w:u w:val="single"/>
              </w:rPr>
              <w:t>CrCl</w:t>
            </w:r>
            <w:proofErr w:type="spellEnd"/>
            <w:r w:rsidRPr="00191822">
              <w:rPr>
                <w:u w:val="single"/>
              </w:rPr>
              <w:t xml:space="preserve"> ≥30 and &lt;70 ml/min); AND/OR bulky disease (lymph node(s) ≥5cm); OR </w:t>
            </w:r>
          </w:p>
          <w:p w14:paraId="4CA42D40" w14:textId="77777777" w:rsidR="00F63483" w:rsidRPr="00191822" w:rsidRDefault="00F63483" w:rsidP="00E042B7">
            <w:pPr>
              <w:pStyle w:val="TableText"/>
              <w:numPr>
                <w:ilvl w:val="0"/>
                <w:numId w:val="5"/>
              </w:numPr>
              <w:ind w:left="201" w:hanging="124"/>
              <w:rPr>
                <w:u w:val="single"/>
              </w:rPr>
            </w:pPr>
            <w:r w:rsidRPr="00191822">
              <w:rPr>
                <w:u w:val="single"/>
              </w:rPr>
              <w:t>moderate or high risk of TLS; AND</w:t>
            </w:r>
          </w:p>
          <w:p w14:paraId="5168DE65" w14:textId="77777777" w:rsidR="00F63483" w:rsidRPr="00191822" w:rsidRDefault="00F63483" w:rsidP="00E042B7">
            <w:pPr>
              <w:pStyle w:val="TableText"/>
              <w:numPr>
                <w:ilvl w:val="0"/>
                <w:numId w:val="5"/>
              </w:numPr>
              <w:ind w:left="201" w:hanging="124"/>
              <w:rPr>
                <w:u w:val="single"/>
              </w:rPr>
            </w:pPr>
            <w:r w:rsidRPr="00191822">
              <w:rPr>
                <w:u w:val="single"/>
              </w:rPr>
              <w:t xml:space="preserve">Unsuitable for </w:t>
            </w:r>
            <w:proofErr w:type="spellStart"/>
            <w:r w:rsidRPr="00191822">
              <w:rPr>
                <w:u w:val="single"/>
              </w:rPr>
              <w:t>venetoclax</w:t>
            </w:r>
            <w:proofErr w:type="spellEnd"/>
            <w:r w:rsidRPr="00191822">
              <w:rPr>
                <w:u w:val="single"/>
              </w:rPr>
              <w:t xml:space="preserve"> + </w:t>
            </w:r>
            <w:proofErr w:type="spellStart"/>
            <w:r w:rsidRPr="00191822">
              <w:rPr>
                <w:u w:val="single"/>
              </w:rPr>
              <w:t>obinutuzumab</w:t>
            </w:r>
            <w:proofErr w:type="spellEnd"/>
            <w:r w:rsidRPr="00191822">
              <w:rPr>
                <w:u w:val="single"/>
              </w:rPr>
              <w:t xml:space="preserve"> as unable to comply with the monitoring required for TLS prophylaxis and dose escalation requirements. </w:t>
            </w:r>
          </w:p>
          <w:p w14:paraId="3F28A2FB" w14:textId="77777777" w:rsidR="00F63483" w:rsidRPr="00191822" w:rsidRDefault="00F63483" w:rsidP="00277525">
            <w:pPr>
              <w:pStyle w:val="TableText"/>
            </w:pPr>
            <w:r w:rsidRPr="00191822">
              <w:rPr>
                <w:u w:val="single"/>
              </w:rPr>
              <w:t xml:space="preserve">Patients who initiate treatment with </w:t>
            </w:r>
            <w:proofErr w:type="spellStart"/>
            <w:r w:rsidRPr="00191822">
              <w:rPr>
                <w:u w:val="single"/>
              </w:rPr>
              <w:t>venetoclax</w:t>
            </w:r>
            <w:proofErr w:type="spellEnd"/>
            <w:r w:rsidRPr="00191822">
              <w:rPr>
                <w:u w:val="single"/>
              </w:rPr>
              <w:t xml:space="preserve"> + </w:t>
            </w:r>
            <w:proofErr w:type="spellStart"/>
            <w:r w:rsidRPr="00191822">
              <w:rPr>
                <w:u w:val="single"/>
              </w:rPr>
              <w:t>obinutuzumab</w:t>
            </w:r>
            <w:proofErr w:type="spellEnd"/>
            <w:r w:rsidRPr="00191822">
              <w:rPr>
                <w:u w:val="single"/>
              </w:rPr>
              <w:t xml:space="preserve"> but develop intolerance of a severity necessitating permanent treatment withdrawal prior to completion of the course and before disease progression (pre-progression discontinuation).</w:t>
            </w:r>
          </w:p>
        </w:tc>
      </w:tr>
      <w:tr w:rsidR="00F63483" w:rsidRPr="00191822" w14:paraId="06AAC419" w14:textId="77777777" w:rsidTr="000623BB">
        <w:tc>
          <w:tcPr>
            <w:tcW w:w="1271" w:type="dxa"/>
            <w:vAlign w:val="center"/>
          </w:tcPr>
          <w:p w14:paraId="6DD90CFF" w14:textId="77777777" w:rsidR="00F63483" w:rsidRPr="00191822" w:rsidRDefault="00F63483" w:rsidP="00277525">
            <w:pPr>
              <w:pStyle w:val="TableText"/>
            </w:pPr>
            <w:r w:rsidRPr="00191822">
              <w:t>Intervention</w:t>
            </w:r>
          </w:p>
        </w:tc>
        <w:tc>
          <w:tcPr>
            <w:tcW w:w="7885" w:type="dxa"/>
            <w:vAlign w:val="center"/>
          </w:tcPr>
          <w:p w14:paraId="3AD48979" w14:textId="77777777" w:rsidR="00F63483" w:rsidRPr="00191822" w:rsidRDefault="00F63483" w:rsidP="00277525">
            <w:pPr>
              <w:pStyle w:val="TableText"/>
            </w:pPr>
            <w:r w:rsidRPr="00191822">
              <w:t>Oral acalabrutinib 100 mg twice daily until disease progression or unacceptable toxicity</w:t>
            </w:r>
            <w:r w:rsidR="00591759">
              <w:t>.</w:t>
            </w:r>
          </w:p>
        </w:tc>
      </w:tr>
      <w:tr w:rsidR="00F63483" w:rsidRPr="00191822" w14:paraId="67642881" w14:textId="77777777" w:rsidTr="000623BB">
        <w:tc>
          <w:tcPr>
            <w:tcW w:w="1271" w:type="dxa"/>
            <w:vAlign w:val="center"/>
          </w:tcPr>
          <w:p w14:paraId="60319E17" w14:textId="77777777" w:rsidR="00F63483" w:rsidRPr="00191822" w:rsidRDefault="00F63483" w:rsidP="00277525">
            <w:pPr>
              <w:pStyle w:val="TableText"/>
            </w:pPr>
            <w:r w:rsidRPr="00191822">
              <w:t>Comparator</w:t>
            </w:r>
          </w:p>
        </w:tc>
        <w:tc>
          <w:tcPr>
            <w:tcW w:w="7885" w:type="dxa"/>
            <w:vAlign w:val="center"/>
          </w:tcPr>
          <w:p w14:paraId="6A8ABC3C" w14:textId="77777777" w:rsidR="00F63483" w:rsidRPr="00191822" w:rsidRDefault="00F63483" w:rsidP="00277525">
            <w:pPr>
              <w:pStyle w:val="TableText"/>
            </w:pPr>
            <w:r w:rsidRPr="00191822">
              <w:t xml:space="preserve">Oral chlorambucil for six cycles + intravenous </w:t>
            </w:r>
            <w:proofErr w:type="spellStart"/>
            <w:r w:rsidRPr="00191822">
              <w:t>obinutuzumab</w:t>
            </w:r>
            <w:proofErr w:type="spellEnd"/>
            <w:r w:rsidRPr="00191822">
              <w:t xml:space="preserve"> for six cycles</w:t>
            </w:r>
            <w:r w:rsidR="00591759">
              <w:t>.</w:t>
            </w:r>
          </w:p>
        </w:tc>
      </w:tr>
      <w:tr w:rsidR="00F63483" w:rsidRPr="00191822" w14:paraId="70B2A2F6" w14:textId="77777777" w:rsidTr="000623BB">
        <w:tc>
          <w:tcPr>
            <w:tcW w:w="1271" w:type="dxa"/>
            <w:vAlign w:val="center"/>
          </w:tcPr>
          <w:p w14:paraId="0872CD7C" w14:textId="77777777" w:rsidR="00F63483" w:rsidRPr="00191822" w:rsidRDefault="00F63483" w:rsidP="00277525">
            <w:pPr>
              <w:pStyle w:val="TableText"/>
            </w:pPr>
            <w:r w:rsidRPr="00191822">
              <w:t>Outcomes</w:t>
            </w:r>
          </w:p>
        </w:tc>
        <w:tc>
          <w:tcPr>
            <w:tcW w:w="7885" w:type="dxa"/>
            <w:vAlign w:val="center"/>
          </w:tcPr>
          <w:p w14:paraId="3741C1C0" w14:textId="77777777" w:rsidR="00F63483" w:rsidRPr="00191822" w:rsidRDefault="00F63483" w:rsidP="00277525">
            <w:pPr>
              <w:pStyle w:val="TableText"/>
            </w:pPr>
            <w:r w:rsidRPr="00191822">
              <w:t>Progression-free survival; overall response rate; time to next treatment; overall survival; safety.</w:t>
            </w:r>
          </w:p>
        </w:tc>
      </w:tr>
      <w:tr w:rsidR="00F63483" w:rsidRPr="00191822" w14:paraId="4982BD34" w14:textId="77777777" w:rsidTr="000623BB">
        <w:tc>
          <w:tcPr>
            <w:tcW w:w="1271" w:type="dxa"/>
            <w:vAlign w:val="center"/>
          </w:tcPr>
          <w:p w14:paraId="1022AAC3" w14:textId="77777777" w:rsidR="00F63483" w:rsidRPr="00191822" w:rsidRDefault="00F63483" w:rsidP="00277525">
            <w:pPr>
              <w:pStyle w:val="TableText"/>
            </w:pPr>
            <w:r w:rsidRPr="00191822">
              <w:t>Clinical claim</w:t>
            </w:r>
          </w:p>
        </w:tc>
        <w:tc>
          <w:tcPr>
            <w:tcW w:w="7885" w:type="dxa"/>
            <w:vAlign w:val="center"/>
          </w:tcPr>
          <w:p w14:paraId="1CFDA3D4" w14:textId="77777777" w:rsidR="00F63483" w:rsidRPr="00191822" w:rsidRDefault="00F63483" w:rsidP="00277525">
            <w:pPr>
              <w:pStyle w:val="TableText"/>
            </w:pPr>
            <w:r w:rsidRPr="00191822">
              <w:t xml:space="preserve">In patients with previously untreated CLL/SLL who are unsuitable for fludarabine-based chemoimmunotherapy </w:t>
            </w:r>
            <w:r w:rsidRPr="00191822">
              <w:rPr>
                <w:u w:val="single"/>
              </w:rPr>
              <w:t xml:space="preserve">and </w:t>
            </w:r>
            <w:proofErr w:type="spellStart"/>
            <w:r w:rsidRPr="00191822">
              <w:rPr>
                <w:u w:val="single"/>
              </w:rPr>
              <w:t>venetoclax</w:t>
            </w:r>
            <w:proofErr w:type="spellEnd"/>
            <w:r w:rsidRPr="00191822">
              <w:rPr>
                <w:u w:val="single"/>
              </w:rPr>
              <w:t xml:space="preserve"> + </w:t>
            </w:r>
            <w:proofErr w:type="spellStart"/>
            <w:r w:rsidRPr="00191822">
              <w:rPr>
                <w:u w:val="single"/>
              </w:rPr>
              <w:t>obinutuzumab</w:t>
            </w:r>
            <w:proofErr w:type="spellEnd"/>
            <w:r w:rsidRPr="00191822">
              <w:rPr>
                <w:u w:val="single"/>
              </w:rPr>
              <w:t xml:space="preserve">, or who become intolerant to </w:t>
            </w:r>
            <w:proofErr w:type="spellStart"/>
            <w:r w:rsidRPr="00191822">
              <w:rPr>
                <w:u w:val="single"/>
              </w:rPr>
              <w:t>venetoclax</w:t>
            </w:r>
            <w:proofErr w:type="spellEnd"/>
            <w:r w:rsidRPr="00191822">
              <w:rPr>
                <w:u w:val="single"/>
              </w:rPr>
              <w:t xml:space="preserve"> + </w:t>
            </w:r>
            <w:proofErr w:type="spellStart"/>
            <w:r w:rsidRPr="00191822">
              <w:rPr>
                <w:u w:val="single"/>
              </w:rPr>
              <w:t>obinutuzumab</w:t>
            </w:r>
            <w:proofErr w:type="spellEnd"/>
            <w:r w:rsidRPr="00191822">
              <w:t xml:space="preserve">, acalabrutinib is superior in terms of efficacy and safety compared to chlorambucil + </w:t>
            </w:r>
            <w:proofErr w:type="spellStart"/>
            <w:r w:rsidRPr="00191822">
              <w:t>obinutuzumab</w:t>
            </w:r>
            <w:proofErr w:type="spellEnd"/>
            <w:r w:rsidRPr="00191822">
              <w:t>.</w:t>
            </w:r>
          </w:p>
        </w:tc>
      </w:tr>
    </w:tbl>
    <w:p w14:paraId="37A14EC8" w14:textId="77777777" w:rsidR="00F63483" w:rsidRPr="00191822" w:rsidRDefault="00F63483" w:rsidP="00F63483">
      <w:pPr>
        <w:pStyle w:val="TableFigureFooter"/>
      </w:pPr>
      <w:r w:rsidRPr="00191822">
        <w:t>Source: Table 1.2, p46 of the resubmission.</w:t>
      </w:r>
    </w:p>
    <w:p w14:paraId="42580ECC" w14:textId="77777777" w:rsidR="00F63483" w:rsidRPr="00191822" w:rsidRDefault="00F63483" w:rsidP="00F63483">
      <w:pPr>
        <w:pStyle w:val="TableFigureFooter"/>
      </w:pPr>
      <w:r w:rsidRPr="00191822">
        <w:t xml:space="preserve">CIRS, Cumulative Illness Rating Scale; CLL, chronic lymphocytic leukaemia; </w:t>
      </w:r>
      <w:proofErr w:type="spellStart"/>
      <w:r w:rsidRPr="00191822">
        <w:t>CrCl</w:t>
      </w:r>
      <w:proofErr w:type="spellEnd"/>
      <w:r w:rsidRPr="00191822">
        <w:t>, creatinine clearance; SLL, small lymphocytic lymphoma; TLS, tumour lysis syndrome.</w:t>
      </w:r>
    </w:p>
    <w:p w14:paraId="473C6E2B" w14:textId="77777777" w:rsidR="00F63483" w:rsidRPr="00191822" w:rsidRDefault="00F63483" w:rsidP="00F63483">
      <w:pPr>
        <w:pStyle w:val="TableFigureFooter"/>
      </w:pPr>
      <w:r w:rsidRPr="00191822">
        <w:t>Underlined text indicates key changes from the July 2020 submission.</w:t>
      </w:r>
    </w:p>
    <w:p w14:paraId="745B3B17" w14:textId="77777777" w:rsidR="005C25FF" w:rsidRPr="00191822" w:rsidRDefault="005C25FF" w:rsidP="004A6040">
      <w:pPr>
        <w:pStyle w:val="2-SectionHeading"/>
      </w:pPr>
      <w:bookmarkStart w:id="2" w:name="_Toc82613378"/>
      <w:r w:rsidRPr="00191822">
        <w:lastRenderedPageBreak/>
        <w:t>Background</w:t>
      </w:r>
      <w:bookmarkEnd w:id="2"/>
    </w:p>
    <w:p w14:paraId="6AF6C888" w14:textId="77777777" w:rsidR="005C25FF" w:rsidRPr="00A25C41" w:rsidRDefault="005C25FF" w:rsidP="004A6040">
      <w:pPr>
        <w:pStyle w:val="3-SubsectionHeading"/>
        <w:rPr>
          <w:iCs/>
        </w:rPr>
      </w:pPr>
      <w:bookmarkStart w:id="3" w:name="_Toc22897638"/>
      <w:bookmarkStart w:id="4" w:name="_Toc82613379"/>
      <w:r w:rsidRPr="00A25C41">
        <w:rPr>
          <w:iCs/>
        </w:rPr>
        <w:t>Registration status</w:t>
      </w:r>
      <w:bookmarkEnd w:id="3"/>
      <w:bookmarkEnd w:id="4"/>
    </w:p>
    <w:p w14:paraId="1877E7E5" w14:textId="77777777" w:rsidR="00B77258" w:rsidRPr="00191822" w:rsidRDefault="00B77258" w:rsidP="00B77258">
      <w:pPr>
        <w:pStyle w:val="ExecSumBodyText"/>
      </w:pPr>
      <w:r w:rsidRPr="00191822">
        <w:t>Acalabrutinib was registered on the ARTG on 21 November 2019 for the treatment of patients with CLL/SLL.</w:t>
      </w:r>
    </w:p>
    <w:p w14:paraId="4B07F19D" w14:textId="77777777" w:rsidR="005C25FF" w:rsidRPr="00191822" w:rsidRDefault="005C25FF" w:rsidP="004E18E9">
      <w:pPr>
        <w:pStyle w:val="3-SubsectionHeading"/>
      </w:pPr>
      <w:bookmarkStart w:id="5" w:name="_Toc22897639"/>
      <w:bookmarkStart w:id="6" w:name="_Toc82613380"/>
      <w:r w:rsidRPr="00191822">
        <w:t>Previous PBAC consideration</w:t>
      </w:r>
      <w:bookmarkEnd w:id="5"/>
      <w:bookmarkEnd w:id="6"/>
    </w:p>
    <w:p w14:paraId="0ACD016F" w14:textId="77777777" w:rsidR="00494DAB" w:rsidRPr="00191822" w:rsidRDefault="00494DAB" w:rsidP="00494DAB">
      <w:pPr>
        <w:pStyle w:val="ExecSumBodyText"/>
      </w:pPr>
      <w:r w:rsidRPr="00191822">
        <w:t xml:space="preserve">The matters of concern from the July 2020 PBAC meeting are summarised in </w:t>
      </w:r>
      <w:r w:rsidR="00BD60E3" w:rsidRPr="00191822">
        <w:t xml:space="preserve">Table </w:t>
      </w:r>
      <w:r w:rsidR="00BD60E3">
        <w:rPr>
          <w:noProof/>
        </w:rPr>
        <w:t>2</w:t>
      </w:r>
      <w:r w:rsidRPr="00191822">
        <w:t>.</w:t>
      </w:r>
    </w:p>
    <w:p w14:paraId="75BCBA4A" w14:textId="77777777" w:rsidR="00300024" w:rsidRPr="00191822" w:rsidRDefault="00300024" w:rsidP="00300024">
      <w:pPr>
        <w:pStyle w:val="TableFigureCaption"/>
      </w:pPr>
      <w:bookmarkStart w:id="7" w:name="_Ref80373431"/>
      <w:bookmarkStart w:id="8" w:name="_Ref80373427"/>
      <w:r w:rsidRPr="00191822">
        <w:t xml:space="preserve">Table </w:t>
      </w:r>
      <w:r w:rsidR="00BD60E3">
        <w:rPr>
          <w:noProof/>
        </w:rPr>
        <w:t>2</w:t>
      </w:r>
      <w:bookmarkEnd w:id="7"/>
      <w:r w:rsidRPr="00191822">
        <w:t>: Summary of key matters of concern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4958"/>
        <w:gridCol w:w="4059"/>
      </w:tblGrid>
      <w:tr w:rsidR="00CA2AF2" w:rsidRPr="00191822" w14:paraId="5358F59F" w14:textId="77777777" w:rsidTr="008319BD">
        <w:trPr>
          <w:cantSplit/>
          <w:tblHeader/>
        </w:trPr>
        <w:tc>
          <w:tcPr>
            <w:tcW w:w="2749" w:type="pct"/>
            <w:vAlign w:val="center"/>
          </w:tcPr>
          <w:p w14:paraId="6443A736" w14:textId="77777777" w:rsidR="00CA2AF2" w:rsidRPr="00191822" w:rsidRDefault="00CA2AF2" w:rsidP="00F46385">
            <w:pPr>
              <w:pStyle w:val="Tableheadingrow"/>
              <w:keepNext w:val="0"/>
              <w:jc w:val="center"/>
              <w:rPr>
                <w:lang w:val="en-AU"/>
              </w:rPr>
            </w:pPr>
            <w:r w:rsidRPr="00191822">
              <w:rPr>
                <w:lang w:val="en-AU"/>
              </w:rPr>
              <w:t>Matter of concern</w:t>
            </w:r>
          </w:p>
        </w:tc>
        <w:tc>
          <w:tcPr>
            <w:tcW w:w="2251" w:type="pct"/>
            <w:vAlign w:val="center"/>
          </w:tcPr>
          <w:p w14:paraId="1272A60D" w14:textId="77777777" w:rsidR="00CA2AF2" w:rsidRPr="00191822" w:rsidRDefault="00CA2AF2" w:rsidP="00F46385">
            <w:pPr>
              <w:pStyle w:val="Tableheadingrow"/>
              <w:keepNext w:val="0"/>
              <w:jc w:val="center"/>
              <w:rPr>
                <w:lang w:val="en-AU"/>
              </w:rPr>
            </w:pPr>
            <w:r w:rsidRPr="00191822">
              <w:rPr>
                <w:lang w:val="en-AU"/>
              </w:rPr>
              <w:t>How the resubmission addresses it</w:t>
            </w:r>
          </w:p>
        </w:tc>
      </w:tr>
      <w:tr w:rsidR="00CA2AF2" w:rsidRPr="00191822" w14:paraId="533CCBD7" w14:textId="77777777" w:rsidTr="00CA2AF2">
        <w:trPr>
          <w:cantSplit/>
          <w:trHeight w:val="70"/>
        </w:trPr>
        <w:tc>
          <w:tcPr>
            <w:tcW w:w="5000" w:type="pct"/>
            <w:gridSpan w:val="2"/>
            <w:vAlign w:val="center"/>
          </w:tcPr>
          <w:p w14:paraId="16D3B7BF" w14:textId="77777777" w:rsidR="00CA2AF2" w:rsidRPr="00191822" w:rsidRDefault="00CA2AF2" w:rsidP="00CA2AF2">
            <w:pPr>
              <w:pStyle w:val="TableText"/>
              <w:keepNext w:val="0"/>
              <w:keepLines/>
              <w:jc w:val="both"/>
              <w:rPr>
                <w:b/>
                <w:bCs w:val="0"/>
                <w:iCs/>
              </w:rPr>
            </w:pPr>
            <w:r w:rsidRPr="00191822">
              <w:rPr>
                <w:b/>
                <w:bCs w:val="0"/>
                <w:iCs/>
              </w:rPr>
              <w:t>Comparators</w:t>
            </w:r>
          </w:p>
        </w:tc>
      </w:tr>
      <w:tr w:rsidR="00277525" w:rsidRPr="00A25C41" w14:paraId="274C7372" w14:textId="77777777" w:rsidTr="008319BD">
        <w:trPr>
          <w:cantSplit/>
          <w:trHeight w:val="629"/>
        </w:trPr>
        <w:tc>
          <w:tcPr>
            <w:tcW w:w="2749" w:type="pct"/>
          </w:tcPr>
          <w:p w14:paraId="5E64CC72" w14:textId="77777777" w:rsidR="00277525" w:rsidRPr="00A25C41" w:rsidRDefault="0027752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For the 17p deletion population, the PBAC noted that a comparison was only presented between acalabrutinib monotherapy and ibrutinib, and that no comparison was presented between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and ibrutinib (</w:t>
            </w:r>
            <w:r w:rsidR="00116709">
              <w:rPr>
                <w:rFonts w:eastAsia="Times New Roman" w:cs="Arial"/>
                <w:bCs w:val="0"/>
                <w:iCs/>
                <w:snapToGrid w:val="0"/>
                <w:szCs w:val="20"/>
              </w:rPr>
              <w:t>para</w:t>
            </w:r>
            <w:r w:rsidRPr="00A25C41">
              <w:rPr>
                <w:rFonts w:eastAsia="Times New Roman" w:cs="Arial"/>
                <w:bCs w:val="0"/>
                <w:iCs/>
                <w:snapToGrid w:val="0"/>
                <w:szCs w:val="20"/>
              </w:rPr>
              <w:t xml:space="preserve"> 7.13,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5C042D58" w14:textId="77777777" w:rsidR="00277525" w:rsidRPr="00A25C41" w:rsidRDefault="00277525" w:rsidP="00196AEF">
            <w:pPr>
              <w:pStyle w:val="TableText"/>
              <w:keepNext w:val="0"/>
              <w:keepLines/>
            </w:pPr>
            <w:r w:rsidRPr="00A25C41">
              <w:t>Listing was requested for acalabrutinib monotherapy only.</w:t>
            </w:r>
          </w:p>
        </w:tc>
      </w:tr>
      <w:tr w:rsidR="00CA2AF2" w:rsidRPr="00191822" w14:paraId="7A41C820" w14:textId="77777777" w:rsidTr="00196AEF">
        <w:trPr>
          <w:cantSplit/>
          <w:trHeight w:val="70"/>
        </w:trPr>
        <w:tc>
          <w:tcPr>
            <w:tcW w:w="5000" w:type="pct"/>
            <w:gridSpan w:val="2"/>
          </w:tcPr>
          <w:p w14:paraId="3AF59429" w14:textId="77777777" w:rsidR="00CA2AF2" w:rsidRPr="00191822" w:rsidRDefault="00CA2AF2" w:rsidP="00196AEF">
            <w:pPr>
              <w:pStyle w:val="TableText"/>
              <w:keepNext w:val="0"/>
              <w:keepLines/>
              <w:rPr>
                <w:b/>
                <w:bCs w:val="0"/>
                <w:i/>
              </w:rPr>
            </w:pPr>
            <w:r w:rsidRPr="00191822">
              <w:rPr>
                <w:b/>
                <w:bCs w:val="0"/>
              </w:rPr>
              <w:t>Clinical place in therapy</w:t>
            </w:r>
          </w:p>
        </w:tc>
      </w:tr>
      <w:tr w:rsidR="00277525" w:rsidRPr="00A25C41" w14:paraId="5809379D" w14:textId="77777777" w:rsidTr="008319BD">
        <w:trPr>
          <w:cantSplit/>
        </w:trPr>
        <w:tc>
          <w:tcPr>
            <w:tcW w:w="2749" w:type="pct"/>
          </w:tcPr>
          <w:p w14:paraId="48A76EA8" w14:textId="77777777" w:rsidR="00277525" w:rsidRPr="00A25C41" w:rsidRDefault="0027752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The PBAC considered that the role and likely use of acalabrutinib monotherapy versus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was unclear (</w:t>
            </w:r>
            <w:r w:rsidR="00116709">
              <w:rPr>
                <w:rFonts w:eastAsia="Times New Roman" w:cs="Arial"/>
                <w:bCs w:val="0"/>
                <w:iCs/>
                <w:snapToGrid w:val="0"/>
                <w:szCs w:val="20"/>
              </w:rPr>
              <w:t>para</w:t>
            </w:r>
            <w:r w:rsidRPr="00A25C41">
              <w:rPr>
                <w:rFonts w:eastAsia="Times New Roman" w:cs="Arial"/>
                <w:bCs w:val="0"/>
                <w:iCs/>
                <w:snapToGrid w:val="0"/>
                <w:szCs w:val="20"/>
              </w:rPr>
              <w:t xml:space="preserve"> 7.3,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5A4D06C2" w14:textId="77777777" w:rsidR="00277525" w:rsidRPr="00A25C41" w:rsidRDefault="00277525" w:rsidP="00196AEF">
            <w:pPr>
              <w:pStyle w:val="TableText"/>
              <w:keepNext w:val="0"/>
              <w:keepLines/>
              <w:rPr>
                <w:rFonts w:eastAsia="Times New Roman" w:cs="Arial"/>
                <w:bCs w:val="0"/>
                <w:snapToGrid w:val="0"/>
                <w:szCs w:val="20"/>
              </w:rPr>
            </w:pPr>
            <w:r w:rsidRPr="00A25C41">
              <w:t xml:space="preserve">Listing was requested for acalabrutinib monotherapy only. The proposed PBS population was limited to patients with previously untreated CLL who are unsuitable for fludarabine-based chemoimmunotherapy and </w:t>
            </w:r>
            <w:proofErr w:type="spellStart"/>
            <w:r w:rsidRPr="00A25C41">
              <w:t>venetoclax</w:t>
            </w:r>
            <w:proofErr w:type="spellEnd"/>
            <w:r w:rsidRPr="00A25C41">
              <w:t xml:space="preserve"> + </w:t>
            </w:r>
            <w:proofErr w:type="spellStart"/>
            <w:r w:rsidRPr="00A25C41">
              <w:t>obinutuzumab</w:t>
            </w:r>
            <w:proofErr w:type="spellEnd"/>
            <w:r w:rsidRPr="00A25C41">
              <w:t xml:space="preserve">, or who become intolerant to </w:t>
            </w:r>
            <w:proofErr w:type="spellStart"/>
            <w:r w:rsidRPr="00A25C41">
              <w:t>venetoclax</w:t>
            </w:r>
            <w:proofErr w:type="spellEnd"/>
            <w:r w:rsidRPr="00A25C41">
              <w:t xml:space="preserve"> + </w:t>
            </w:r>
            <w:proofErr w:type="spellStart"/>
            <w:r w:rsidRPr="00A25C41">
              <w:t>obinutuzumab</w:t>
            </w:r>
            <w:proofErr w:type="spellEnd"/>
            <w:r w:rsidRPr="00A25C41">
              <w:t>.</w:t>
            </w:r>
          </w:p>
        </w:tc>
      </w:tr>
      <w:tr w:rsidR="00CA2AF2" w:rsidRPr="00191822" w14:paraId="5262BEB8" w14:textId="77777777" w:rsidTr="00CA2AF2">
        <w:trPr>
          <w:cantSplit/>
        </w:trPr>
        <w:tc>
          <w:tcPr>
            <w:tcW w:w="5000" w:type="pct"/>
            <w:gridSpan w:val="2"/>
            <w:vAlign w:val="center"/>
          </w:tcPr>
          <w:p w14:paraId="74A75487" w14:textId="77777777" w:rsidR="00CA2AF2" w:rsidRPr="00191822" w:rsidRDefault="00CA2AF2" w:rsidP="00116709">
            <w:pPr>
              <w:pStyle w:val="TableText"/>
              <w:keepLines/>
              <w:rPr>
                <w:rFonts w:eastAsia="Times New Roman" w:cs="Arial"/>
                <w:b/>
                <w:bCs w:val="0"/>
                <w:i/>
                <w:snapToGrid w:val="0"/>
                <w:szCs w:val="20"/>
              </w:rPr>
            </w:pPr>
            <w:r w:rsidRPr="00191822">
              <w:rPr>
                <w:b/>
                <w:bCs w:val="0"/>
              </w:rPr>
              <w:t>Clinical evidence</w:t>
            </w:r>
          </w:p>
        </w:tc>
      </w:tr>
      <w:tr w:rsidR="00E57B45" w:rsidRPr="00A25C41" w14:paraId="155AFE6A" w14:textId="77777777" w:rsidTr="00D02A44">
        <w:trPr>
          <w:cantSplit/>
        </w:trPr>
        <w:tc>
          <w:tcPr>
            <w:tcW w:w="2749" w:type="pct"/>
          </w:tcPr>
          <w:p w14:paraId="313B8677"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The PBAC noted that acalabrutinib monotherapy demonstrated a statistically significant improvement compared to chlorambucil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in terms of progression</w:t>
            </w:r>
            <w:r w:rsidR="001F0DA8" w:rsidRPr="00A25C41">
              <w:rPr>
                <w:rFonts w:eastAsia="Times New Roman" w:cs="Arial"/>
                <w:bCs w:val="0"/>
                <w:iCs/>
                <w:snapToGrid w:val="0"/>
                <w:szCs w:val="20"/>
              </w:rPr>
              <w:t>-</w:t>
            </w:r>
            <w:r w:rsidRPr="00A25C41">
              <w:rPr>
                <w:rFonts w:eastAsia="Times New Roman" w:cs="Arial"/>
                <w:bCs w:val="0"/>
                <w:iCs/>
                <w:snapToGrid w:val="0"/>
                <w:szCs w:val="20"/>
              </w:rPr>
              <w:t>free survival. However, the PBAC considered that the magnitude of benefit was uncertain as the data were immature (</w:t>
            </w:r>
            <w:r w:rsidR="00116709">
              <w:rPr>
                <w:rFonts w:eastAsia="Times New Roman" w:cs="Arial"/>
                <w:bCs w:val="0"/>
                <w:iCs/>
                <w:snapToGrid w:val="0"/>
                <w:szCs w:val="20"/>
              </w:rPr>
              <w:t>para</w:t>
            </w:r>
            <w:r w:rsidRPr="00A25C41">
              <w:rPr>
                <w:rFonts w:eastAsia="Times New Roman" w:cs="Arial"/>
                <w:bCs w:val="0"/>
                <w:iCs/>
                <w:snapToGrid w:val="0"/>
                <w:szCs w:val="20"/>
              </w:rPr>
              <w:t xml:space="preserve"> 6.48,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53A2531A" w14:textId="77777777" w:rsidR="00E57B45" w:rsidRPr="00A25C41" w:rsidRDefault="00E57B45" w:rsidP="00A77196">
            <w:pPr>
              <w:pStyle w:val="TableText"/>
              <w:keepNext w:val="0"/>
              <w:keepLines/>
              <w:rPr>
                <w:rFonts w:eastAsia="Times New Roman" w:cs="Arial"/>
                <w:bCs w:val="0"/>
                <w:snapToGrid w:val="0"/>
                <w:szCs w:val="20"/>
              </w:rPr>
            </w:pPr>
            <w:r w:rsidRPr="00A25C41">
              <w:rPr>
                <w:rFonts w:eastAsia="Times New Roman" w:cs="Arial"/>
                <w:bCs w:val="0"/>
                <w:snapToGrid w:val="0"/>
                <w:szCs w:val="20"/>
              </w:rPr>
              <w:t>The resubmission included additional data for the ELEVATE-TN trial based on a median duration of follow-up of 46.9 months (compared to a median follow-up of 28.3 months in the July 2020 submission).</w:t>
            </w:r>
            <w:r w:rsidRPr="00A25C41">
              <w:t xml:space="preserve"> </w:t>
            </w:r>
            <w:r w:rsidRPr="00A25C41">
              <w:rPr>
                <w:rFonts w:eastAsia="Times New Roman" w:cs="Arial"/>
                <w:bCs w:val="0"/>
                <w:snapToGrid w:val="0"/>
                <w:szCs w:val="20"/>
              </w:rPr>
              <w:t xml:space="preserve">Updated results were available for investigator-assessed </w:t>
            </w:r>
            <w:r w:rsidR="00917957" w:rsidRPr="00A25C41">
              <w:rPr>
                <w:rFonts w:eastAsia="Times New Roman" w:cs="Arial"/>
                <w:bCs w:val="0"/>
                <w:snapToGrid w:val="0"/>
                <w:szCs w:val="20"/>
              </w:rPr>
              <w:t>progression-free survival, overall response rate, overall survival</w:t>
            </w:r>
            <w:r w:rsidRPr="00A25C41">
              <w:rPr>
                <w:rFonts w:eastAsia="Times New Roman" w:cs="Arial"/>
                <w:bCs w:val="0"/>
                <w:snapToGrid w:val="0"/>
                <w:szCs w:val="20"/>
              </w:rPr>
              <w:t>,</w:t>
            </w:r>
            <w:r w:rsidR="00917957" w:rsidRPr="00A25C41">
              <w:rPr>
                <w:rFonts w:eastAsia="Times New Roman" w:cs="Arial"/>
                <w:bCs w:val="0"/>
                <w:snapToGrid w:val="0"/>
                <w:szCs w:val="20"/>
              </w:rPr>
              <w:t xml:space="preserve"> </w:t>
            </w:r>
            <w:r w:rsidRPr="00A25C41">
              <w:rPr>
                <w:rFonts w:eastAsia="Times New Roman" w:cs="Arial"/>
                <w:bCs w:val="0"/>
                <w:snapToGrid w:val="0"/>
                <w:szCs w:val="20"/>
              </w:rPr>
              <w:t>and selected safety outcomes.</w:t>
            </w:r>
          </w:p>
        </w:tc>
      </w:tr>
      <w:tr w:rsidR="00E57B45" w:rsidRPr="00A25C41" w14:paraId="2504A452" w14:textId="77777777" w:rsidTr="00D02A44">
        <w:trPr>
          <w:cantSplit/>
        </w:trPr>
        <w:tc>
          <w:tcPr>
            <w:tcW w:w="2749" w:type="pct"/>
          </w:tcPr>
          <w:p w14:paraId="5EDEE68C"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The PBAC considered that the efficacy and safety MAICs between both acalabrutinib monotherapy and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and </w:t>
            </w:r>
            <w:proofErr w:type="spellStart"/>
            <w:r w:rsidRPr="00A25C41">
              <w:rPr>
                <w:rFonts w:eastAsia="Times New Roman" w:cs="Arial"/>
                <w:bCs w:val="0"/>
                <w:iCs/>
                <w:snapToGrid w:val="0"/>
                <w:szCs w:val="20"/>
              </w:rPr>
              <w:t>venetoclax</w:t>
            </w:r>
            <w:proofErr w:type="spellEnd"/>
            <w:r w:rsidRPr="00A25C41">
              <w:rPr>
                <w:rFonts w:eastAsia="Times New Roman" w:cs="Arial"/>
                <w:bCs w:val="0"/>
                <w:iCs/>
                <w:snapToGrid w:val="0"/>
                <w:szCs w:val="20"/>
              </w:rPr>
              <w:t xml:space="preserve">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were highly uncertain, and that the efficacy and safety clinical claims based on the MAICs could not be supported (</w:t>
            </w:r>
            <w:r w:rsidR="00116709">
              <w:rPr>
                <w:rFonts w:eastAsia="Times New Roman" w:cs="Arial"/>
                <w:bCs w:val="0"/>
                <w:iCs/>
                <w:snapToGrid w:val="0"/>
                <w:szCs w:val="20"/>
              </w:rPr>
              <w:t>para</w:t>
            </w:r>
            <w:r w:rsidRPr="00A25C41">
              <w:rPr>
                <w:rFonts w:eastAsia="Times New Roman" w:cs="Arial"/>
                <w:bCs w:val="0"/>
                <w:iCs/>
                <w:snapToGrid w:val="0"/>
                <w:szCs w:val="20"/>
              </w:rPr>
              <w:t xml:space="preserve"> 7.9,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283F71FC" w14:textId="77777777" w:rsidR="00E57B45" w:rsidRPr="00A25C41" w:rsidRDefault="00E57B45" w:rsidP="00196AEF">
            <w:pPr>
              <w:pStyle w:val="TableText"/>
              <w:keepNext w:val="0"/>
              <w:keepLines/>
              <w:rPr>
                <w:rFonts w:eastAsia="Times New Roman" w:cs="Arial"/>
                <w:bCs w:val="0"/>
                <w:snapToGrid w:val="0"/>
                <w:szCs w:val="20"/>
              </w:rPr>
            </w:pPr>
            <w:proofErr w:type="spellStart"/>
            <w:r w:rsidRPr="00A25C41">
              <w:rPr>
                <w:rFonts w:eastAsia="Times New Roman" w:cs="Arial"/>
                <w:bCs w:val="0"/>
                <w:snapToGrid w:val="0"/>
                <w:szCs w:val="20"/>
              </w:rPr>
              <w:t>Venetoclax</w:t>
            </w:r>
            <w:proofErr w:type="spellEnd"/>
            <w:r w:rsidRPr="00A25C41">
              <w:rPr>
                <w:rFonts w:eastAsia="Times New Roman" w:cs="Arial"/>
                <w:bCs w:val="0"/>
                <w:snapToGrid w:val="0"/>
                <w:szCs w:val="20"/>
              </w:rPr>
              <w:t xml:space="preserve"> + </w:t>
            </w:r>
            <w:proofErr w:type="spellStart"/>
            <w:r w:rsidRPr="00A25C41">
              <w:rPr>
                <w:rFonts w:eastAsia="Times New Roman" w:cs="Arial"/>
                <w:bCs w:val="0"/>
                <w:snapToGrid w:val="0"/>
                <w:szCs w:val="20"/>
              </w:rPr>
              <w:t>obinutuzumab</w:t>
            </w:r>
            <w:proofErr w:type="spellEnd"/>
            <w:r w:rsidRPr="00A25C41">
              <w:rPr>
                <w:rFonts w:eastAsia="Times New Roman" w:cs="Arial"/>
                <w:bCs w:val="0"/>
                <w:snapToGrid w:val="0"/>
                <w:szCs w:val="20"/>
              </w:rPr>
              <w:t xml:space="preserve"> was not nominated as a comparator in the resubmission.</w:t>
            </w:r>
          </w:p>
        </w:tc>
      </w:tr>
      <w:tr w:rsidR="00E57B45" w:rsidRPr="00A25C41" w14:paraId="3CD5871C" w14:textId="77777777" w:rsidTr="00D02A44">
        <w:trPr>
          <w:cantSplit/>
        </w:trPr>
        <w:tc>
          <w:tcPr>
            <w:tcW w:w="2749" w:type="pct"/>
          </w:tcPr>
          <w:p w14:paraId="3E20941D"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The PBAC considered that the efficacy and safety MAICs comparing acalabrutinib monotherapy with ibrutinib were highly uncertain. The PBAC noted the comparisons were based on the ELEVATE-TN and RESONATE trials, and, as the RESONATE trial did not include patients with 17p deletion, relied on the assumption that the outcomes in patients with 17p deletion would be the same as for patients without this deletion (</w:t>
            </w:r>
            <w:r w:rsidR="00116709">
              <w:rPr>
                <w:rFonts w:eastAsia="Times New Roman" w:cs="Arial"/>
                <w:bCs w:val="0"/>
                <w:iCs/>
                <w:snapToGrid w:val="0"/>
                <w:szCs w:val="20"/>
              </w:rPr>
              <w:t>para</w:t>
            </w:r>
            <w:r w:rsidRPr="00A25C41">
              <w:rPr>
                <w:rFonts w:eastAsia="Times New Roman" w:cs="Arial"/>
                <w:bCs w:val="0"/>
                <w:iCs/>
                <w:snapToGrid w:val="0"/>
                <w:szCs w:val="20"/>
              </w:rPr>
              <w:t xml:space="preserve"> 7.14,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02DEEA77"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Ibrutinib was not nominated as a comparator in the resubmission.</w:t>
            </w:r>
          </w:p>
        </w:tc>
      </w:tr>
      <w:tr w:rsidR="00277525" w:rsidRPr="00191822" w14:paraId="19BD523E" w14:textId="77777777" w:rsidTr="00277525">
        <w:trPr>
          <w:cantSplit/>
        </w:trPr>
        <w:tc>
          <w:tcPr>
            <w:tcW w:w="5000" w:type="pct"/>
            <w:gridSpan w:val="2"/>
            <w:vAlign w:val="center"/>
          </w:tcPr>
          <w:p w14:paraId="66AD19A2" w14:textId="77777777" w:rsidR="00277525" w:rsidRPr="00191822" w:rsidRDefault="00277525" w:rsidP="00277525">
            <w:pPr>
              <w:pStyle w:val="TableText"/>
              <w:keepNext w:val="0"/>
              <w:keepLines/>
              <w:jc w:val="both"/>
              <w:rPr>
                <w:rFonts w:eastAsia="Times New Roman" w:cs="Arial"/>
                <w:b/>
                <w:bCs w:val="0"/>
                <w:i/>
                <w:snapToGrid w:val="0"/>
                <w:szCs w:val="20"/>
              </w:rPr>
            </w:pPr>
            <w:r w:rsidRPr="00191822">
              <w:rPr>
                <w:b/>
                <w:bCs w:val="0"/>
              </w:rPr>
              <w:t>Economic analysis</w:t>
            </w:r>
          </w:p>
        </w:tc>
      </w:tr>
      <w:tr w:rsidR="00E57B45" w:rsidRPr="00A25C41" w14:paraId="1E47ED50" w14:textId="77777777" w:rsidTr="008319BD">
        <w:trPr>
          <w:cantSplit/>
        </w:trPr>
        <w:tc>
          <w:tcPr>
            <w:tcW w:w="2749" w:type="pct"/>
          </w:tcPr>
          <w:p w14:paraId="0F08C7B4"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lastRenderedPageBreak/>
              <w:t xml:space="preserve">The PBAC considered that the extrapolation functions should be revised to provide more plausible estimates of long-term survival and recalled that for the March 2020 submission for </w:t>
            </w:r>
            <w:proofErr w:type="spellStart"/>
            <w:r w:rsidRPr="00A25C41">
              <w:rPr>
                <w:rFonts w:eastAsia="Times New Roman" w:cs="Arial"/>
                <w:bCs w:val="0"/>
                <w:iCs/>
                <w:snapToGrid w:val="0"/>
                <w:szCs w:val="20"/>
              </w:rPr>
              <w:t>venetoclax</w:t>
            </w:r>
            <w:proofErr w:type="spellEnd"/>
            <w:r w:rsidRPr="00A25C41">
              <w:rPr>
                <w:rFonts w:eastAsia="Times New Roman" w:cs="Arial"/>
                <w:bCs w:val="0"/>
                <w:iCs/>
                <w:snapToGrid w:val="0"/>
                <w:szCs w:val="20"/>
              </w:rPr>
              <w:t xml:space="preserve"> for CLL in the first-line setting, a 10-year time horizon </w:t>
            </w:r>
            <w:proofErr w:type="gramStart"/>
            <w:r w:rsidRPr="00A25C41">
              <w:rPr>
                <w:rFonts w:eastAsia="Times New Roman" w:cs="Arial"/>
                <w:bCs w:val="0"/>
                <w:iCs/>
                <w:snapToGrid w:val="0"/>
                <w:szCs w:val="20"/>
              </w:rPr>
              <w:t>was considered to be</w:t>
            </w:r>
            <w:proofErr w:type="gramEnd"/>
            <w:r w:rsidRPr="00A25C41">
              <w:rPr>
                <w:rFonts w:eastAsia="Times New Roman" w:cs="Arial"/>
                <w:bCs w:val="0"/>
                <w:iCs/>
                <w:snapToGrid w:val="0"/>
                <w:szCs w:val="20"/>
              </w:rPr>
              <w:t xml:space="preserve"> appropriate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5EE1FA30"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The model time horizon was reduced from 20 years to 15 years.</w:t>
            </w:r>
          </w:p>
        </w:tc>
      </w:tr>
      <w:tr w:rsidR="00E57B45" w:rsidRPr="00A25C41" w14:paraId="09C41162" w14:textId="77777777" w:rsidTr="008319BD">
        <w:trPr>
          <w:cantSplit/>
        </w:trPr>
        <w:tc>
          <w:tcPr>
            <w:tcW w:w="2749" w:type="pct"/>
          </w:tcPr>
          <w:p w14:paraId="4867E2CA"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The economic model generated improvements in overall survival for patients in the acalabrutinib treatment arms which were not supported by the data from the ELEVATE-TN trial. The PBAC considered that, based on the available data, a difference in overall survival should not be modelled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54743939"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 xml:space="preserve">Overall survival was assumed to be the same for the acalabrutinib and chlorambucil + </w:t>
            </w:r>
            <w:proofErr w:type="spellStart"/>
            <w:r w:rsidRPr="00A25C41">
              <w:rPr>
                <w:rFonts w:eastAsia="Times New Roman" w:cs="Arial"/>
                <w:bCs w:val="0"/>
                <w:snapToGrid w:val="0"/>
                <w:szCs w:val="20"/>
              </w:rPr>
              <w:t>obinutuzumab</w:t>
            </w:r>
            <w:proofErr w:type="spellEnd"/>
            <w:r w:rsidRPr="00A25C41">
              <w:rPr>
                <w:rFonts w:eastAsia="Times New Roman" w:cs="Arial"/>
                <w:bCs w:val="0"/>
                <w:snapToGrid w:val="0"/>
                <w:szCs w:val="20"/>
              </w:rPr>
              <w:t xml:space="preserve"> arms.</w:t>
            </w:r>
          </w:p>
        </w:tc>
      </w:tr>
      <w:tr w:rsidR="00E57B45" w:rsidRPr="00A25C41" w14:paraId="71DCF53B" w14:textId="77777777" w:rsidTr="008319BD">
        <w:trPr>
          <w:cantSplit/>
        </w:trPr>
        <w:tc>
          <w:tcPr>
            <w:tcW w:w="2749" w:type="pct"/>
          </w:tcPr>
          <w:p w14:paraId="41DB8FA1"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The second</w:t>
            </w:r>
            <w:r w:rsidR="001F0DA8" w:rsidRPr="00A25C41">
              <w:rPr>
                <w:rFonts w:eastAsia="Times New Roman" w:cs="Arial"/>
                <w:bCs w:val="0"/>
                <w:iCs/>
                <w:snapToGrid w:val="0"/>
                <w:szCs w:val="20"/>
              </w:rPr>
              <w:t>-</w:t>
            </w:r>
            <w:r w:rsidRPr="00A25C41">
              <w:rPr>
                <w:rFonts w:eastAsia="Times New Roman" w:cs="Arial"/>
                <w:bCs w:val="0"/>
                <w:iCs/>
                <w:snapToGrid w:val="0"/>
                <w:szCs w:val="20"/>
              </w:rPr>
              <w:t>line treatment options differed across the treatment arms, and there were differences in outcomes and costs for the second</w:t>
            </w:r>
            <w:r w:rsidR="001F0DA8" w:rsidRPr="00A25C41">
              <w:rPr>
                <w:rFonts w:eastAsia="Times New Roman" w:cs="Arial"/>
                <w:bCs w:val="0"/>
                <w:iCs/>
                <w:snapToGrid w:val="0"/>
                <w:szCs w:val="20"/>
              </w:rPr>
              <w:t>-</w:t>
            </w:r>
            <w:r w:rsidRPr="00A25C41">
              <w:rPr>
                <w:rFonts w:eastAsia="Times New Roman" w:cs="Arial"/>
                <w:bCs w:val="0"/>
                <w:iCs/>
                <w:snapToGrid w:val="0"/>
                <w:szCs w:val="20"/>
              </w:rPr>
              <w:t xml:space="preserve">line treatments which had previously been recommended on a cost-minimisation basis. The PBAC considered that the costs and benefits of </w:t>
            </w:r>
            <w:proofErr w:type="spellStart"/>
            <w:r w:rsidRPr="00A25C41">
              <w:rPr>
                <w:rFonts w:eastAsia="Times New Roman" w:cs="Arial"/>
                <w:bCs w:val="0"/>
                <w:iCs/>
                <w:snapToGrid w:val="0"/>
                <w:szCs w:val="20"/>
              </w:rPr>
              <w:t>venetoclax</w:t>
            </w:r>
            <w:proofErr w:type="spellEnd"/>
            <w:r w:rsidRPr="00A25C41">
              <w:rPr>
                <w:rFonts w:eastAsia="Times New Roman" w:cs="Arial"/>
                <w:bCs w:val="0"/>
                <w:iCs/>
                <w:snapToGrid w:val="0"/>
                <w:szCs w:val="20"/>
              </w:rPr>
              <w:t xml:space="preserve"> + rituximab and ibrutinib should be equal in the relapsed/refractory setting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1F21E1B7"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 xml:space="preserve">The resubmission updated the post-progression treatment assumptions. Patients in the acalabrutinib arm were assumed to receive subsequent treatment with </w:t>
            </w:r>
            <w:proofErr w:type="spellStart"/>
            <w:r w:rsidRPr="00A25C41">
              <w:rPr>
                <w:rFonts w:eastAsia="Times New Roman" w:cs="Arial"/>
                <w:bCs w:val="0"/>
                <w:snapToGrid w:val="0"/>
                <w:szCs w:val="20"/>
              </w:rPr>
              <w:t>idelalisib</w:t>
            </w:r>
            <w:proofErr w:type="spellEnd"/>
            <w:r w:rsidRPr="00A25C41">
              <w:rPr>
                <w:rFonts w:eastAsia="Times New Roman" w:cs="Arial"/>
                <w:bCs w:val="0"/>
                <w:snapToGrid w:val="0"/>
                <w:szCs w:val="20"/>
              </w:rPr>
              <w:t xml:space="preserve"> + rituximab.</w:t>
            </w:r>
          </w:p>
        </w:tc>
      </w:tr>
      <w:tr w:rsidR="00E57B45" w:rsidRPr="00A25C41" w14:paraId="62A735D2" w14:textId="77777777" w:rsidTr="008319BD">
        <w:trPr>
          <w:cantSplit/>
        </w:trPr>
        <w:tc>
          <w:tcPr>
            <w:tcW w:w="2749" w:type="pct"/>
          </w:tcPr>
          <w:p w14:paraId="44B8CAC6"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The mortality rates for the different lines of treatment lacked face validity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0047EEF7"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The resubmission model was based on a partitioned survival approach based on survival outcomes reported for the ELEVATE-TN trial. Post-progression treatments were used to inform costs only, with no impact applied to health outcomes.</w:t>
            </w:r>
          </w:p>
        </w:tc>
      </w:tr>
      <w:tr w:rsidR="00E57B45" w:rsidRPr="00A25C41" w14:paraId="1AE17420" w14:textId="77777777" w:rsidTr="008319BD">
        <w:trPr>
          <w:cantSplit/>
        </w:trPr>
        <w:tc>
          <w:tcPr>
            <w:tcW w:w="2749" w:type="pct"/>
          </w:tcPr>
          <w:p w14:paraId="43C8AD0E"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The health state utilities used in the model from Kosmas 2015 differed considerably from the trial-based estimates. The PBAC considered that the Kosmas 2015 values re-anchored to the oral initial therapy state were more appropriate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04A3CC4E"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The post-progression health state utility was based on the Kosmas 2015 estimate for progression after first-line treatment, re-anchored to the oral initial therapy state.</w:t>
            </w:r>
          </w:p>
        </w:tc>
      </w:tr>
      <w:tr w:rsidR="00E57B45" w:rsidRPr="00A25C41" w14:paraId="1E5E5B09" w14:textId="77777777" w:rsidTr="008319BD">
        <w:trPr>
          <w:cantSplit/>
        </w:trPr>
        <w:tc>
          <w:tcPr>
            <w:tcW w:w="2749" w:type="pct"/>
          </w:tcPr>
          <w:p w14:paraId="5630B468"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The length of time patients who discontinued first-line treatment remained progression free (9.2 years for acalabrutinib monotherapy patients and 10.6 years for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patients) was considered implausible (</w:t>
            </w:r>
            <w:r w:rsidR="00116709">
              <w:rPr>
                <w:rFonts w:eastAsia="Times New Roman" w:cs="Arial"/>
                <w:bCs w:val="0"/>
                <w:iCs/>
                <w:snapToGrid w:val="0"/>
                <w:szCs w:val="20"/>
              </w:rPr>
              <w:t>para</w:t>
            </w:r>
            <w:r w:rsidRPr="00A25C41">
              <w:rPr>
                <w:rFonts w:eastAsia="Times New Roman" w:cs="Arial"/>
                <w:bCs w:val="0"/>
                <w:iCs/>
                <w:snapToGrid w:val="0"/>
                <w:szCs w:val="20"/>
              </w:rPr>
              <w:t xml:space="preserve"> 7.10,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2585F03F" w14:textId="77777777" w:rsidR="00E57B45" w:rsidRPr="00A25C41" w:rsidRDefault="00E57B45" w:rsidP="00196AEF">
            <w:pPr>
              <w:pStyle w:val="TableText"/>
              <w:keepNext w:val="0"/>
              <w:keepLines/>
              <w:rPr>
                <w:rFonts w:eastAsia="Times New Roman" w:cs="Arial"/>
                <w:bCs w:val="0"/>
                <w:snapToGrid w:val="0"/>
                <w:szCs w:val="20"/>
              </w:rPr>
            </w:pPr>
            <w:r w:rsidRPr="00A25C41">
              <w:rPr>
                <w:rFonts w:eastAsia="Times New Roman" w:cs="Arial"/>
                <w:bCs w:val="0"/>
                <w:snapToGrid w:val="0"/>
                <w:szCs w:val="20"/>
              </w:rPr>
              <w:t>The resubmission model was based on a partitioned survival approach based on survival outcomes reported for the ELEVATE-TN trial, with no explicitly modelled treatment holiday.</w:t>
            </w:r>
          </w:p>
        </w:tc>
      </w:tr>
      <w:tr w:rsidR="00E57B45" w:rsidRPr="00A25C41" w14:paraId="2A1C6B77" w14:textId="77777777" w:rsidTr="008319BD">
        <w:trPr>
          <w:cantSplit/>
        </w:trPr>
        <w:tc>
          <w:tcPr>
            <w:tcW w:w="2749" w:type="pct"/>
          </w:tcPr>
          <w:p w14:paraId="24D719F3" w14:textId="77777777" w:rsidR="00E57B45" w:rsidRPr="00A25C41" w:rsidRDefault="00E57B45"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 xml:space="preserve">The PBAC noted that the submission presented a cost-minimisation analysis between acalabrutinib monotherapy and ibrutinib in patients with 17p deletion. The PBAC advised that a comparison of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and ibrutinib would be appropriate as combination therapy is most likely to be used in patients with 17p deletion (</w:t>
            </w:r>
            <w:r w:rsidR="00116709">
              <w:rPr>
                <w:rFonts w:eastAsia="Times New Roman" w:cs="Arial"/>
                <w:bCs w:val="0"/>
                <w:iCs/>
                <w:snapToGrid w:val="0"/>
                <w:szCs w:val="20"/>
              </w:rPr>
              <w:t>para</w:t>
            </w:r>
            <w:r w:rsidRPr="00A25C41">
              <w:rPr>
                <w:rFonts w:eastAsia="Times New Roman" w:cs="Arial"/>
                <w:bCs w:val="0"/>
                <w:iCs/>
                <w:snapToGrid w:val="0"/>
                <w:szCs w:val="20"/>
              </w:rPr>
              <w:t xml:space="preserve"> 7.15, </w:t>
            </w:r>
            <w:r w:rsidR="00591759" w:rsidRPr="00A25C41">
              <w:rPr>
                <w:rFonts w:eastAsia="Times New Roman" w:cs="Arial"/>
                <w:bCs w:val="0"/>
                <w:iCs/>
                <w:snapToGrid w:val="0"/>
                <w:szCs w:val="20"/>
              </w:rPr>
              <w:t>a</w:t>
            </w:r>
            <w:r w:rsidRPr="00A25C41">
              <w:rPr>
                <w:rFonts w:eastAsia="Times New Roman" w:cs="Arial"/>
                <w:bCs w:val="0"/>
                <w:iCs/>
                <w:snapToGrid w:val="0"/>
                <w:szCs w:val="20"/>
              </w:rPr>
              <w:t>calabrutinib, PSD, July 2020 PBAC meeting).</w:t>
            </w:r>
          </w:p>
        </w:tc>
        <w:tc>
          <w:tcPr>
            <w:tcW w:w="2251" w:type="pct"/>
          </w:tcPr>
          <w:p w14:paraId="6B0B4329" w14:textId="77777777" w:rsidR="00E57B45" w:rsidRPr="00A25C41" w:rsidRDefault="00E57B45" w:rsidP="00196AEF">
            <w:pPr>
              <w:pStyle w:val="TableText"/>
              <w:keepNext w:val="0"/>
              <w:keepLines/>
              <w:rPr>
                <w:rFonts w:eastAsia="Times New Roman" w:cs="Arial"/>
                <w:bCs w:val="0"/>
                <w:snapToGrid w:val="0"/>
                <w:szCs w:val="20"/>
              </w:rPr>
            </w:pPr>
            <w:r w:rsidRPr="00A25C41">
              <w:t xml:space="preserve">Listing was requested for acalabrutinib monotherapy only. </w:t>
            </w:r>
            <w:r w:rsidRPr="00A25C41">
              <w:rPr>
                <w:rFonts w:eastAsia="Times New Roman" w:cs="Arial"/>
                <w:bCs w:val="0"/>
                <w:snapToGrid w:val="0"/>
                <w:szCs w:val="20"/>
              </w:rPr>
              <w:t>Ibrutinib was not nominated as a comparator in the resubmission.</w:t>
            </w:r>
          </w:p>
        </w:tc>
      </w:tr>
      <w:tr w:rsidR="00277525" w:rsidRPr="00191822" w14:paraId="606A7DA5" w14:textId="77777777" w:rsidTr="00277525">
        <w:trPr>
          <w:cantSplit/>
        </w:trPr>
        <w:tc>
          <w:tcPr>
            <w:tcW w:w="5000" w:type="pct"/>
            <w:gridSpan w:val="2"/>
            <w:vAlign w:val="center"/>
          </w:tcPr>
          <w:p w14:paraId="1F53798B" w14:textId="77777777" w:rsidR="00277525" w:rsidRPr="00191822" w:rsidRDefault="00277525" w:rsidP="00277525">
            <w:pPr>
              <w:pStyle w:val="TableText"/>
              <w:keepNext w:val="0"/>
              <w:keepLines/>
              <w:jc w:val="both"/>
              <w:rPr>
                <w:rFonts w:eastAsia="Times New Roman" w:cs="Arial"/>
                <w:b/>
                <w:bCs w:val="0"/>
                <w:i/>
                <w:iCs/>
                <w:snapToGrid w:val="0"/>
                <w:szCs w:val="20"/>
              </w:rPr>
            </w:pPr>
            <w:r w:rsidRPr="00191822">
              <w:rPr>
                <w:b/>
                <w:bCs w:val="0"/>
              </w:rPr>
              <w:t>Financial estimates</w:t>
            </w:r>
          </w:p>
        </w:tc>
      </w:tr>
      <w:tr w:rsidR="00E57B45" w:rsidRPr="00A25C41" w14:paraId="34CE0670" w14:textId="77777777" w:rsidTr="008319BD">
        <w:trPr>
          <w:cantSplit/>
          <w:trHeight w:val="1177"/>
        </w:trPr>
        <w:tc>
          <w:tcPr>
            <w:tcW w:w="2749" w:type="pct"/>
          </w:tcPr>
          <w:p w14:paraId="70630CF6" w14:textId="77777777" w:rsidR="00E57B45" w:rsidRPr="00A25C41" w:rsidRDefault="00866B0B" w:rsidP="00196AEF">
            <w:pPr>
              <w:pStyle w:val="TableText"/>
              <w:keepNext w:val="0"/>
              <w:keepLines/>
              <w:rPr>
                <w:rFonts w:eastAsia="Times New Roman" w:cs="Arial"/>
                <w:bCs w:val="0"/>
                <w:iCs/>
                <w:snapToGrid w:val="0"/>
                <w:szCs w:val="20"/>
              </w:rPr>
            </w:pPr>
            <w:r w:rsidRPr="00A25C41">
              <w:rPr>
                <w:rFonts w:eastAsia="Times New Roman" w:cs="Arial"/>
                <w:bCs w:val="0"/>
                <w:iCs/>
                <w:snapToGrid w:val="0"/>
                <w:szCs w:val="20"/>
              </w:rPr>
              <w:t>T</w:t>
            </w:r>
            <w:r w:rsidR="00E57B45" w:rsidRPr="00A25C41">
              <w:rPr>
                <w:rFonts w:eastAsia="Times New Roman" w:cs="Arial"/>
                <w:bCs w:val="0"/>
                <w:iCs/>
                <w:snapToGrid w:val="0"/>
                <w:szCs w:val="20"/>
              </w:rPr>
              <w:t>he PBAC considered that the incident patient population was uncertain</w:t>
            </w:r>
            <w:r w:rsidRPr="00A25C41">
              <w:rPr>
                <w:rFonts w:eastAsia="Times New Roman" w:cs="Arial"/>
                <w:bCs w:val="0"/>
                <w:iCs/>
                <w:snapToGrid w:val="0"/>
                <w:szCs w:val="20"/>
              </w:rPr>
              <w:t xml:space="preserve">. </w:t>
            </w:r>
            <w:r w:rsidR="00E57B45" w:rsidRPr="00A25C41">
              <w:rPr>
                <w:rFonts w:eastAsia="Times New Roman" w:cs="Arial"/>
                <w:bCs w:val="0"/>
                <w:iCs/>
                <w:snapToGrid w:val="0"/>
                <w:szCs w:val="20"/>
              </w:rPr>
              <w:t>The PBAC also considered that acalabrutinib</w:t>
            </w:r>
            <w:r w:rsidRPr="00A25C41">
              <w:rPr>
                <w:rFonts w:eastAsia="Times New Roman" w:cs="Arial"/>
                <w:bCs w:val="0"/>
                <w:iCs/>
                <w:snapToGrid w:val="0"/>
                <w:szCs w:val="20"/>
              </w:rPr>
              <w:t xml:space="preserve"> +/-</w:t>
            </w:r>
            <w:r w:rsidR="00E57B45" w:rsidRPr="00A25C41">
              <w:rPr>
                <w:rFonts w:eastAsia="Times New Roman" w:cs="Arial"/>
                <w:bCs w:val="0"/>
                <w:iCs/>
                <w:snapToGrid w:val="0"/>
                <w:szCs w:val="20"/>
              </w:rPr>
              <w:t xml:space="preserve"> </w:t>
            </w:r>
            <w:proofErr w:type="spellStart"/>
            <w:r w:rsidR="00E57B45" w:rsidRPr="00A25C41">
              <w:rPr>
                <w:rFonts w:eastAsia="Times New Roman" w:cs="Arial"/>
                <w:bCs w:val="0"/>
                <w:iCs/>
                <w:snapToGrid w:val="0"/>
                <w:szCs w:val="20"/>
              </w:rPr>
              <w:t>obinutuzumab</w:t>
            </w:r>
            <w:proofErr w:type="spellEnd"/>
            <w:r w:rsidR="00E57B45" w:rsidRPr="00A25C41">
              <w:rPr>
                <w:rFonts w:eastAsia="Times New Roman" w:cs="Arial"/>
                <w:bCs w:val="0"/>
                <w:iCs/>
                <w:snapToGrid w:val="0"/>
                <w:szCs w:val="20"/>
              </w:rPr>
              <w:t xml:space="preserve"> would potentially be used outside of the proposed population in patients who are suitable for treatment with a purine analogue</w:t>
            </w:r>
            <w:r w:rsidR="00843CDA" w:rsidRPr="00A25C41">
              <w:rPr>
                <w:rFonts w:eastAsia="Times New Roman" w:cs="Arial"/>
                <w:bCs w:val="0"/>
                <w:iCs/>
                <w:snapToGrid w:val="0"/>
                <w:szCs w:val="20"/>
              </w:rPr>
              <w:t xml:space="preserve"> (</w:t>
            </w:r>
            <w:r w:rsidR="00116709">
              <w:rPr>
                <w:rFonts w:eastAsia="Times New Roman" w:cs="Arial"/>
                <w:bCs w:val="0"/>
                <w:iCs/>
                <w:snapToGrid w:val="0"/>
                <w:szCs w:val="20"/>
              </w:rPr>
              <w:t>para</w:t>
            </w:r>
            <w:r w:rsidR="00843CDA" w:rsidRPr="00A25C41">
              <w:rPr>
                <w:rFonts w:eastAsia="Times New Roman" w:cs="Arial"/>
                <w:bCs w:val="0"/>
                <w:iCs/>
                <w:snapToGrid w:val="0"/>
                <w:szCs w:val="20"/>
              </w:rPr>
              <w:t xml:space="preserve"> 7.12, </w:t>
            </w:r>
            <w:r w:rsidR="00591759" w:rsidRPr="00A25C41">
              <w:rPr>
                <w:rFonts w:eastAsia="Times New Roman" w:cs="Arial"/>
                <w:bCs w:val="0"/>
                <w:iCs/>
                <w:snapToGrid w:val="0"/>
                <w:szCs w:val="20"/>
              </w:rPr>
              <w:t>a</w:t>
            </w:r>
            <w:r w:rsidR="00843CDA" w:rsidRPr="00A25C41">
              <w:rPr>
                <w:rFonts w:eastAsia="Times New Roman" w:cs="Arial"/>
                <w:bCs w:val="0"/>
                <w:iCs/>
                <w:snapToGrid w:val="0"/>
                <w:szCs w:val="20"/>
              </w:rPr>
              <w:t>calabrutinib, PSD, July 2020 PBAC meeting).</w:t>
            </w:r>
          </w:p>
        </w:tc>
        <w:tc>
          <w:tcPr>
            <w:tcW w:w="2251" w:type="pct"/>
          </w:tcPr>
          <w:p w14:paraId="22F53A65" w14:textId="77777777" w:rsidR="00E57B45" w:rsidRPr="00A25C41" w:rsidRDefault="004F6BEB" w:rsidP="00196AEF">
            <w:pPr>
              <w:pStyle w:val="TableText"/>
              <w:keepLines/>
              <w:rPr>
                <w:rFonts w:eastAsia="Times New Roman" w:cs="Arial"/>
                <w:bCs w:val="0"/>
                <w:iCs/>
                <w:snapToGrid w:val="0"/>
                <w:szCs w:val="20"/>
              </w:rPr>
            </w:pPr>
            <w:r w:rsidRPr="00A25C41">
              <w:rPr>
                <w:rFonts w:eastAsia="Times New Roman" w:cs="Arial"/>
                <w:bCs w:val="0"/>
                <w:iCs/>
                <w:snapToGrid w:val="0"/>
                <w:szCs w:val="20"/>
              </w:rPr>
              <w:t xml:space="preserve">Listing was requested for acalabrutinib monotherapy only (previously acalabrutinib monotherapy and acalabrutinib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The resubmission included updates to reflect the</w:t>
            </w:r>
            <w:r w:rsidR="00F56A40" w:rsidRPr="00A25C41">
              <w:rPr>
                <w:rFonts w:eastAsia="Times New Roman" w:cs="Arial"/>
                <w:bCs w:val="0"/>
                <w:iCs/>
                <w:snapToGrid w:val="0"/>
                <w:szCs w:val="20"/>
              </w:rPr>
              <w:t xml:space="preserve"> revised</w:t>
            </w:r>
            <w:r w:rsidRPr="00A25C41">
              <w:rPr>
                <w:rFonts w:eastAsia="Times New Roman" w:cs="Arial"/>
                <w:bCs w:val="0"/>
                <w:iCs/>
                <w:snapToGrid w:val="0"/>
                <w:szCs w:val="20"/>
              </w:rPr>
              <w:t xml:space="preserve"> proposed PBS population (patients considered unsuitable for treatment with </w:t>
            </w:r>
            <w:proofErr w:type="spellStart"/>
            <w:r w:rsidRPr="00A25C41">
              <w:rPr>
                <w:rFonts w:eastAsia="Times New Roman" w:cs="Arial"/>
                <w:bCs w:val="0"/>
                <w:iCs/>
                <w:snapToGrid w:val="0"/>
                <w:szCs w:val="20"/>
              </w:rPr>
              <w:t>venetoclax</w:t>
            </w:r>
            <w:proofErr w:type="spellEnd"/>
            <w:r w:rsidRPr="00A25C41">
              <w:rPr>
                <w:rFonts w:eastAsia="Times New Roman" w:cs="Arial"/>
                <w:bCs w:val="0"/>
                <w:iCs/>
                <w:snapToGrid w:val="0"/>
                <w:szCs w:val="20"/>
              </w:rPr>
              <w:t xml:space="preserve">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or who permanently discontinue treatment with </w:t>
            </w:r>
            <w:proofErr w:type="spellStart"/>
            <w:r w:rsidRPr="00A25C41">
              <w:rPr>
                <w:rFonts w:eastAsia="Times New Roman" w:cs="Arial"/>
                <w:bCs w:val="0"/>
                <w:iCs/>
                <w:snapToGrid w:val="0"/>
                <w:szCs w:val="20"/>
              </w:rPr>
              <w:t>venetoclax</w:t>
            </w:r>
            <w:proofErr w:type="spellEnd"/>
            <w:r w:rsidRPr="00A25C41">
              <w:rPr>
                <w:rFonts w:eastAsia="Times New Roman" w:cs="Arial"/>
                <w:bCs w:val="0"/>
                <w:iCs/>
                <w:snapToGrid w:val="0"/>
                <w:szCs w:val="20"/>
              </w:rPr>
              <w:t xml:space="preserve"> + </w:t>
            </w:r>
            <w:proofErr w:type="spellStart"/>
            <w:r w:rsidRPr="00A25C41">
              <w:rPr>
                <w:rFonts w:eastAsia="Times New Roman" w:cs="Arial"/>
                <w:bCs w:val="0"/>
                <w:iCs/>
                <w:snapToGrid w:val="0"/>
                <w:szCs w:val="20"/>
              </w:rPr>
              <w:t>obinutuzumab</w:t>
            </w:r>
            <w:proofErr w:type="spellEnd"/>
            <w:r w:rsidRPr="00A25C41">
              <w:rPr>
                <w:rFonts w:eastAsia="Times New Roman" w:cs="Arial"/>
                <w:bCs w:val="0"/>
                <w:iCs/>
                <w:snapToGrid w:val="0"/>
                <w:szCs w:val="20"/>
              </w:rPr>
              <w:t xml:space="preserve"> due to intolerance).</w:t>
            </w:r>
          </w:p>
        </w:tc>
      </w:tr>
    </w:tbl>
    <w:p w14:paraId="5ED9D70B" w14:textId="77777777" w:rsidR="005C25FF" w:rsidRPr="00191822" w:rsidRDefault="00300024" w:rsidP="004E18E9">
      <w:pPr>
        <w:pStyle w:val="TableFigureFooter"/>
      </w:pPr>
      <w:r w:rsidRPr="00191822">
        <w:t xml:space="preserve">Source: </w:t>
      </w:r>
      <w:r w:rsidR="001F0DA8">
        <w:t xml:space="preserve">constructed during the evaluation using </w:t>
      </w:r>
      <w:r w:rsidR="00131B3B">
        <w:t>a</w:t>
      </w:r>
      <w:r w:rsidR="00843CDA" w:rsidRPr="00191822">
        <w:t>calabrutinib</w:t>
      </w:r>
      <w:r w:rsidR="00131B3B">
        <w:t>,</w:t>
      </w:r>
      <w:r w:rsidR="00843CDA" w:rsidRPr="00191822">
        <w:t xml:space="preserve"> </w:t>
      </w:r>
      <w:r w:rsidR="00131B3B">
        <w:t>P</w:t>
      </w:r>
      <w:r w:rsidR="00843CDA" w:rsidRPr="00191822">
        <w:t xml:space="preserve">ublic </w:t>
      </w:r>
      <w:r w:rsidR="00131B3B">
        <w:t>S</w:t>
      </w:r>
      <w:r w:rsidR="00843CDA" w:rsidRPr="00191822">
        <w:t xml:space="preserve">ummary </w:t>
      </w:r>
      <w:r w:rsidR="00131B3B">
        <w:t>D</w:t>
      </w:r>
      <w:r w:rsidR="00843CDA" w:rsidRPr="00191822">
        <w:t>ocument</w:t>
      </w:r>
      <w:r w:rsidR="00131B3B">
        <w:t>, July 2020 PBAC meeting</w:t>
      </w:r>
      <w:r w:rsidR="00843CDA" w:rsidRPr="00191822">
        <w:t>.</w:t>
      </w:r>
    </w:p>
    <w:p w14:paraId="661BB176" w14:textId="77777777" w:rsidR="005C25FF" w:rsidRPr="00191822" w:rsidRDefault="00917957" w:rsidP="00917957">
      <w:pPr>
        <w:pStyle w:val="TableFigureFooter"/>
      </w:pPr>
      <w:r w:rsidRPr="00191822">
        <w:t xml:space="preserve">MAIC, matching adjusted indirect comparison; </w:t>
      </w:r>
      <w:r w:rsidR="00116709">
        <w:t>para</w:t>
      </w:r>
      <w:r w:rsidR="00843CDA" w:rsidRPr="00191822">
        <w:t xml:space="preserve">, </w:t>
      </w:r>
      <w:r w:rsidR="00116709">
        <w:t>para</w:t>
      </w:r>
      <w:r w:rsidR="00843CDA" w:rsidRPr="00191822">
        <w:t>graph; PSD, Public Summary Document.</w:t>
      </w:r>
    </w:p>
    <w:p w14:paraId="4F73EE5B" w14:textId="77777777" w:rsidR="00494DAB" w:rsidRPr="00426B1C" w:rsidRDefault="00494DAB" w:rsidP="00494DAB">
      <w:pPr>
        <w:pStyle w:val="ExecSumBodyText"/>
      </w:pPr>
      <w:r w:rsidRPr="00426B1C">
        <w:t>Acalabrutinib is currently listed on the PBS for relapsed or refractory CLL</w:t>
      </w:r>
      <w:r w:rsidR="00591759" w:rsidRPr="00426B1C">
        <w:t>/</w:t>
      </w:r>
      <w:r w:rsidRPr="00426B1C">
        <w:t>SLL.</w:t>
      </w:r>
    </w:p>
    <w:p w14:paraId="2D8C07E1" w14:textId="77777777" w:rsidR="00DF44A0" w:rsidRPr="006224A3" w:rsidRDefault="00DF44A0" w:rsidP="00DF44A0">
      <w:pPr>
        <w:ind w:firstLine="709"/>
        <w:rPr>
          <w:rFonts w:asciiTheme="minorHAnsi" w:hAnsiTheme="minorHAnsi"/>
          <w:i/>
        </w:rPr>
      </w:pPr>
      <w:bookmarkStart w:id="9" w:name="_Hlk76375324"/>
      <w:r w:rsidRPr="006224A3">
        <w:rPr>
          <w:rFonts w:asciiTheme="minorHAnsi" w:hAnsiTheme="minorHAnsi"/>
          <w:i/>
        </w:rPr>
        <w:lastRenderedPageBreak/>
        <w:t>For more detail on PBAC’s view, see section 7 PBAC outcome.</w:t>
      </w:r>
    </w:p>
    <w:p w14:paraId="70170F03" w14:textId="77777777" w:rsidR="00B60939" w:rsidRPr="00787CD9" w:rsidRDefault="00B50DB8" w:rsidP="00B35566">
      <w:pPr>
        <w:pStyle w:val="2-SectionHeading"/>
      </w:pPr>
      <w:bookmarkStart w:id="10" w:name="_Toc82613381"/>
      <w:bookmarkEnd w:id="9"/>
      <w:r w:rsidRPr="00BA0568">
        <w:t xml:space="preserve">Requested </w:t>
      </w:r>
      <w:r w:rsidRPr="00787CD9">
        <w:t>listing</w:t>
      </w:r>
      <w:bookmarkEnd w:id="10"/>
    </w:p>
    <w:p w14:paraId="3FA7E2D9" w14:textId="77777777" w:rsidR="00A25C41" w:rsidRPr="00426B1C" w:rsidRDefault="00426B1C" w:rsidP="00A25C41">
      <w:pPr>
        <w:pStyle w:val="ListParagraph"/>
        <w:numPr>
          <w:ilvl w:val="1"/>
          <w:numId w:val="1"/>
        </w:numPr>
        <w:spacing w:after="120"/>
        <w:contextualSpacing w:val="0"/>
        <w:rPr>
          <w:rFonts w:cs="Calibri"/>
          <w:bCs/>
          <w:i/>
        </w:rPr>
      </w:pPr>
      <w:r w:rsidRPr="00787CD9">
        <w:rPr>
          <w:rFonts w:cs="Calibri"/>
          <w:bCs/>
        </w:rPr>
        <w:t>Suggestions and additions proposed by the Secretariat are added in italics and suggested deletions are crossed out with strikethrough</w:t>
      </w:r>
      <w:r w:rsidRPr="00763865">
        <w:rPr>
          <w:rFonts w:cs="Calibri"/>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754"/>
        <w:gridCol w:w="2249"/>
        <w:gridCol w:w="793"/>
        <w:gridCol w:w="837"/>
        <w:gridCol w:w="637"/>
        <w:gridCol w:w="755"/>
        <w:gridCol w:w="1396"/>
        <w:gridCol w:w="1226"/>
      </w:tblGrid>
      <w:tr w:rsidR="003D6F11" w:rsidRPr="00426B1C" w14:paraId="50E49629" w14:textId="77777777" w:rsidTr="003D6F11">
        <w:trPr>
          <w:cantSplit/>
          <w:trHeight w:val="471"/>
        </w:trPr>
        <w:tc>
          <w:tcPr>
            <w:tcW w:w="3393" w:type="dxa"/>
            <w:gridSpan w:val="3"/>
          </w:tcPr>
          <w:p w14:paraId="26B662F2" w14:textId="77777777" w:rsidR="003D6F11" w:rsidRPr="00426B1C" w:rsidRDefault="003D6F11" w:rsidP="00287E78">
            <w:pPr>
              <w:keepNext/>
              <w:ind w:left="-57"/>
              <w:rPr>
                <w:rFonts w:ascii="Arial Narrow" w:hAnsi="Arial Narrow"/>
                <w:b/>
                <w:bCs/>
                <w:sz w:val="20"/>
                <w:szCs w:val="20"/>
              </w:rPr>
            </w:pPr>
            <w:r w:rsidRPr="00426B1C">
              <w:rPr>
                <w:rFonts w:eastAsia="Calibri" w:cs="Calibri"/>
              </w:rPr>
              <w:br w:type="column"/>
            </w:r>
            <w:r w:rsidRPr="00426B1C">
              <w:rPr>
                <w:rFonts w:ascii="Arial Narrow" w:hAnsi="Arial Narrow"/>
                <w:b/>
                <w:bCs/>
                <w:sz w:val="20"/>
                <w:szCs w:val="20"/>
              </w:rPr>
              <w:t>MEDICINAL PRODUCT</w:t>
            </w:r>
          </w:p>
          <w:p w14:paraId="3DFE95A9" w14:textId="77777777" w:rsidR="003D6F11" w:rsidRPr="00426B1C" w:rsidRDefault="003D6F11" w:rsidP="00287E78">
            <w:pPr>
              <w:keepNext/>
              <w:ind w:left="-57"/>
              <w:rPr>
                <w:rFonts w:ascii="Arial Narrow" w:hAnsi="Arial Narrow"/>
                <w:b/>
                <w:sz w:val="20"/>
                <w:szCs w:val="20"/>
              </w:rPr>
            </w:pPr>
            <w:r w:rsidRPr="00426B1C">
              <w:rPr>
                <w:rFonts w:ascii="Arial Narrow" w:hAnsi="Arial Narrow"/>
                <w:b/>
                <w:bCs/>
                <w:sz w:val="20"/>
                <w:szCs w:val="20"/>
              </w:rPr>
              <w:t>medicinal product pack</w:t>
            </w:r>
          </w:p>
        </w:tc>
        <w:tc>
          <w:tcPr>
            <w:tcW w:w="797" w:type="dxa"/>
          </w:tcPr>
          <w:p w14:paraId="6AC053A0" w14:textId="77777777" w:rsidR="003D6F11" w:rsidRPr="00426B1C" w:rsidRDefault="003D6F11" w:rsidP="00287E78">
            <w:pPr>
              <w:keepNext/>
              <w:jc w:val="center"/>
              <w:rPr>
                <w:rFonts w:ascii="Arial Narrow" w:hAnsi="Arial Narrow"/>
                <w:b/>
                <w:i/>
                <w:iCs/>
                <w:sz w:val="20"/>
                <w:szCs w:val="20"/>
              </w:rPr>
            </w:pPr>
            <w:r w:rsidRPr="00426B1C">
              <w:rPr>
                <w:rFonts w:ascii="Arial Narrow" w:hAnsi="Arial Narrow"/>
                <w:b/>
                <w:i/>
                <w:iCs/>
                <w:sz w:val="20"/>
                <w:szCs w:val="20"/>
              </w:rPr>
              <w:t>PBS item code</w:t>
            </w:r>
          </w:p>
        </w:tc>
        <w:tc>
          <w:tcPr>
            <w:tcW w:w="841" w:type="dxa"/>
          </w:tcPr>
          <w:p w14:paraId="6F551C28" w14:textId="77777777" w:rsidR="003D6F11" w:rsidRPr="00426B1C" w:rsidRDefault="003D6F11" w:rsidP="00287E78">
            <w:pPr>
              <w:keepNext/>
              <w:jc w:val="center"/>
              <w:rPr>
                <w:rFonts w:ascii="Arial Narrow" w:hAnsi="Arial Narrow"/>
                <w:b/>
                <w:sz w:val="20"/>
                <w:szCs w:val="20"/>
              </w:rPr>
            </w:pPr>
            <w:r w:rsidRPr="00426B1C">
              <w:rPr>
                <w:rFonts w:ascii="Arial Narrow" w:hAnsi="Arial Narrow"/>
                <w:b/>
                <w:sz w:val="20"/>
                <w:szCs w:val="20"/>
              </w:rPr>
              <w:t>Max. qty packs</w:t>
            </w:r>
          </w:p>
        </w:tc>
        <w:tc>
          <w:tcPr>
            <w:tcW w:w="640" w:type="dxa"/>
          </w:tcPr>
          <w:p w14:paraId="2F260E1D" w14:textId="77777777" w:rsidR="003D6F11" w:rsidRPr="00426B1C" w:rsidRDefault="003D6F11" w:rsidP="00287E78">
            <w:pPr>
              <w:keepNext/>
              <w:jc w:val="center"/>
              <w:rPr>
                <w:rFonts w:ascii="Arial Narrow" w:hAnsi="Arial Narrow"/>
                <w:b/>
                <w:sz w:val="20"/>
                <w:szCs w:val="20"/>
              </w:rPr>
            </w:pPr>
            <w:r w:rsidRPr="00426B1C">
              <w:rPr>
                <w:rFonts w:ascii="Arial Narrow" w:hAnsi="Arial Narrow"/>
                <w:b/>
                <w:sz w:val="20"/>
                <w:szCs w:val="20"/>
              </w:rPr>
              <w:t>Max. qty units</w:t>
            </w:r>
          </w:p>
        </w:tc>
        <w:tc>
          <w:tcPr>
            <w:tcW w:w="759" w:type="dxa"/>
          </w:tcPr>
          <w:p w14:paraId="61F83172" w14:textId="77777777" w:rsidR="003D6F11" w:rsidRPr="00426B1C" w:rsidRDefault="003D6F11" w:rsidP="00287E78">
            <w:pPr>
              <w:keepNext/>
              <w:ind w:left="-108"/>
              <w:jc w:val="center"/>
              <w:rPr>
                <w:rFonts w:ascii="Arial Narrow" w:hAnsi="Arial Narrow"/>
                <w:b/>
                <w:sz w:val="20"/>
                <w:szCs w:val="20"/>
              </w:rPr>
            </w:pPr>
            <w:proofErr w:type="gramStart"/>
            <w:r w:rsidRPr="00426B1C">
              <w:rPr>
                <w:rFonts w:ascii="Arial Narrow" w:hAnsi="Arial Narrow"/>
                <w:b/>
                <w:sz w:val="20"/>
                <w:szCs w:val="20"/>
              </w:rPr>
              <w:t>№.of</w:t>
            </w:r>
            <w:proofErr w:type="gramEnd"/>
            <w:r w:rsidRPr="00426B1C">
              <w:rPr>
                <w:rFonts w:ascii="Arial Narrow" w:hAnsi="Arial Narrow"/>
                <w:b/>
                <w:sz w:val="20"/>
                <w:szCs w:val="20"/>
              </w:rPr>
              <w:t xml:space="preserve"> Rpts</w:t>
            </w:r>
          </w:p>
        </w:tc>
        <w:tc>
          <w:tcPr>
            <w:tcW w:w="1404" w:type="dxa"/>
          </w:tcPr>
          <w:p w14:paraId="098DC420" w14:textId="77777777" w:rsidR="003D6F11" w:rsidRDefault="003D6F11" w:rsidP="003D6F11">
            <w:pPr>
              <w:keepNext/>
              <w:jc w:val="center"/>
              <w:rPr>
                <w:rFonts w:ascii="Arial Narrow" w:hAnsi="Arial Narrow"/>
                <w:b/>
                <w:sz w:val="20"/>
                <w:szCs w:val="20"/>
              </w:rPr>
            </w:pPr>
            <w:r w:rsidRPr="003D6F11">
              <w:rPr>
                <w:rFonts w:ascii="Arial Narrow" w:hAnsi="Arial Narrow"/>
                <w:b/>
                <w:sz w:val="20"/>
                <w:szCs w:val="20"/>
              </w:rPr>
              <w:t xml:space="preserve">Dispensed Price for </w:t>
            </w:r>
          </w:p>
          <w:p w14:paraId="1EA9ADB5" w14:textId="77777777" w:rsidR="003D6F11" w:rsidRPr="00426B1C" w:rsidRDefault="003D6F11" w:rsidP="003D6F11">
            <w:pPr>
              <w:keepNext/>
              <w:jc w:val="center"/>
              <w:rPr>
                <w:rFonts w:ascii="Arial Narrow" w:hAnsi="Arial Narrow"/>
                <w:b/>
                <w:sz w:val="20"/>
                <w:szCs w:val="20"/>
              </w:rPr>
            </w:pPr>
            <w:r w:rsidRPr="003D6F11">
              <w:rPr>
                <w:rFonts w:ascii="Arial Narrow" w:hAnsi="Arial Narrow"/>
                <w:b/>
                <w:sz w:val="20"/>
                <w:szCs w:val="20"/>
              </w:rPr>
              <w:t>Max. Qty</w:t>
            </w:r>
          </w:p>
        </w:tc>
        <w:tc>
          <w:tcPr>
            <w:tcW w:w="1233" w:type="dxa"/>
          </w:tcPr>
          <w:p w14:paraId="6E79C76D" w14:textId="77777777" w:rsidR="003D6F11" w:rsidRPr="00426B1C" w:rsidRDefault="003D6F11" w:rsidP="00287E78">
            <w:pPr>
              <w:keepNext/>
              <w:rPr>
                <w:rFonts w:ascii="Arial Narrow" w:hAnsi="Arial Narrow"/>
                <w:b/>
                <w:sz w:val="20"/>
                <w:szCs w:val="20"/>
                <w:lang w:val="fr-FR"/>
              </w:rPr>
            </w:pPr>
            <w:r w:rsidRPr="00426B1C">
              <w:rPr>
                <w:rFonts w:ascii="Arial Narrow" w:hAnsi="Arial Narrow"/>
                <w:b/>
                <w:sz w:val="20"/>
                <w:szCs w:val="20"/>
              </w:rPr>
              <w:t>Available brands</w:t>
            </w:r>
          </w:p>
        </w:tc>
      </w:tr>
      <w:tr w:rsidR="003D6F11" w:rsidRPr="00426B1C" w14:paraId="72F54A39" w14:textId="77777777" w:rsidTr="003D6F11">
        <w:trPr>
          <w:cantSplit/>
          <w:trHeight w:val="224"/>
        </w:trPr>
        <w:tc>
          <w:tcPr>
            <w:tcW w:w="9067" w:type="dxa"/>
            <w:gridSpan w:val="9"/>
          </w:tcPr>
          <w:p w14:paraId="6C617C95" w14:textId="77777777" w:rsidR="003D6F11" w:rsidRPr="00426B1C" w:rsidRDefault="003D6F11" w:rsidP="003D6F11">
            <w:pPr>
              <w:keepNext/>
              <w:ind w:left="-57"/>
              <w:jc w:val="left"/>
              <w:rPr>
                <w:rFonts w:ascii="Arial Narrow" w:hAnsi="Arial Narrow"/>
                <w:i/>
                <w:iCs/>
                <w:sz w:val="20"/>
                <w:szCs w:val="20"/>
              </w:rPr>
            </w:pPr>
            <w:r w:rsidRPr="00426B1C">
              <w:rPr>
                <w:rFonts w:ascii="Arial Narrow" w:hAnsi="Arial Narrow"/>
                <w:i/>
                <w:iCs/>
                <w:sz w:val="20"/>
                <w:szCs w:val="20"/>
              </w:rPr>
              <w:t>ACALABRUTINIB</w:t>
            </w:r>
          </w:p>
        </w:tc>
      </w:tr>
      <w:tr w:rsidR="003D6F11" w:rsidRPr="00426B1C" w14:paraId="76B61684" w14:textId="77777777" w:rsidTr="003D6F11">
        <w:trPr>
          <w:cantSplit/>
          <w:trHeight w:val="553"/>
        </w:trPr>
        <w:tc>
          <w:tcPr>
            <w:tcW w:w="3393" w:type="dxa"/>
            <w:gridSpan w:val="3"/>
          </w:tcPr>
          <w:p w14:paraId="472D74B4" w14:textId="77777777" w:rsidR="003D6F11" w:rsidRPr="00426B1C" w:rsidRDefault="003D6F11" w:rsidP="00287E78">
            <w:pPr>
              <w:keepNext/>
              <w:ind w:left="-57"/>
              <w:rPr>
                <w:rFonts w:ascii="Arial Narrow" w:hAnsi="Arial Narrow"/>
                <w:i/>
                <w:iCs/>
                <w:sz w:val="20"/>
                <w:szCs w:val="20"/>
              </w:rPr>
            </w:pPr>
            <w:r w:rsidRPr="00426B1C">
              <w:rPr>
                <w:rFonts w:ascii="Arial Narrow" w:hAnsi="Arial Narrow"/>
                <w:strike/>
                <w:sz w:val="20"/>
                <w:szCs w:val="20"/>
              </w:rPr>
              <w:t>ACALABRUTINIB, Treatment of patients with previously untreated CLL or SLL, 100 mg capsule, oral administration</w:t>
            </w:r>
            <w:r w:rsidRPr="00426B1C">
              <w:rPr>
                <w:rFonts w:ascii="Arial Narrow" w:hAnsi="Arial Narrow"/>
                <w:i/>
                <w:iCs/>
                <w:sz w:val="20"/>
                <w:szCs w:val="20"/>
              </w:rPr>
              <w:t xml:space="preserve"> acalabrutinib 100 mg capsule, 56</w:t>
            </w:r>
          </w:p>
        </w:tc>
        <w:tc>
          <w:tcPr>
            <w:tcW w:w="797" w:type="dxa"/>
          </w:tcPr>
          <w:p w14:paraId="35E2EAF1" w14:textId="77777777" w:rsidR="003D6F11" w:rsidRPr="00426B1C" w:rsidRDefault="003D6F11" w:rsidP="00287E78">
            <w:pPr>
              <w:keepNext/>
              <w:jc w:val="center"/>
              <w:rPr>
                <w:rFonts w:ascii="Arial Narrow" w:hAnsi="Arial Narrow"/>
                <w:i/>
                <w:iCs/>
                <w:sz w:val="20"/>
                <w:szCs w:val="20"/>
              </w:rPr>
            </w:pPr>
            <w:r w:rsidRPr="00426B1C">
              <w:rPr>
                <w:rFonts w:ascii="Arial Narrow" w:hAnsi="Arial Narrow"/>
                <w:i/>
                <w:iCs/>
                <w:sz w:val="20"/>
                <w:szCs w:val="20"/>
              </w:rPr>
              <w:t>NEW</w:t>
            </w:r>
          </w:p>
        </w:tc>
        <w:tc>
          <w:tcPr>
            <w:tcW w:w="841" w:type="dxa"/>
          </w:tcPr>
          <w:p w14:paraId="5D5BF950" w14:textId="77777777" w:rsidR="003D6F11" w:rsidRPr="00426B1C" w:rsidRDefault="003D6F11" w:rsidP="00287E78">
            <w:pPr>
              <w:keepNext/>
              <w:jc w:val="center"/>
              <w:rPr>
                <w:rFonts w:ascii="Arial Narrow" w:hAnsi="Arial Narrow"/>
                <w:sz w:val="20"/>
                <w:szCs w:val="20"/>
              </w:rPr>
            </w:pPr>
            <w:r w:rsidRPr="00426B1C">
              <w:rPr>
                <w:rFonts w:ascii="Arial Narrow" w:hAnsi="Arial Narrow"/>
                <w:sz w:val="20"/>
                <w:szCs w:val="20"/>
              </w:rPr>
              <w:t>1</w:t>
            </w:r>
          </w:p>
        </w:tc>
        <w:tc>
          <w:tcPr>
            <w:tcW w:w="640" w:type="dxa"/>
          </w:tcPr>
          <w:p w14:paraId="2C786321" w14:textId="77777777" w:rsidR="003D6F11" w:rsidRPr="00426B1C" w:rsidRDefault="003D6F11" w:rsidP="00287E78">
            <w:pPr>
              <w:keepNext/>
              <w:jc w:val="center"/>
              <w:rPr>
                <w:rFonts w:ascii="Arial Narrow" w:hAnsi="Arial Narrow"/>
                <w:sz w:val="20"/>
                <w:szCs w:val="20"/>
              </w:rPr>
            </w:pPr>
            <w:r w:rsidRPr="00426B1C">
              <w:rPr>
                <w:rFonts w:ascii="Arial Narrow" w:hAnsi="Arial Narrow"/>
                <w:sz w:val="20"/>
                <w:szCs w:val="20"/>
              </w:rPr>
              <w:t>56</w:t>
            </w:r>
          </w:p>
        </w:tc>
        <w:tc>
          <w:tcPr>
            <w:tcW w:w="759" w:type="dxa"/>
          </w:tcPr>
          <w:p w14:paraId="217FC680" w14:textId="77777777" w:rsidR="003D6F11" w:rsidRPr="00426B1C" w:rsidRDefault="003D6F11" w:rsidP="00287E78">
            <w:pPr>
              <w:keepNext/>
              <w:jc w:val="center"/>
              <w:rPr>
                <w:rFonts w:ascii="Arial Narrow" w:hAnsi="Arial Narrow"/>
                <w:sz w:val="20"/>
                <w:szCs w:val="20"/>
              </w:rPr>
            </w:pPr>
            <w:r w:rsidRPr="00426B1C">
              <w:rPr>
                <w:rFonts w:ascii="Arial Narrow" w:hAnsi="Arial Narrow"/>
                <w:sz w:val="20"/>
                <w:szCs w:val="20"/>
              </w:rPr>
              <w:t>5</w:t>
            </w:r>
          </w:p>
        </w:tc>
        <w:tc>
          <w:tcPr>
            <w:tcW w:w="1404" w:type="dxa"/>
          </w:tcPr>
          <w:tbl>
            <w:tblPr>
              <w:tblW w:w="4977" w:type="pct"/>
              <w:tblInd w:w="28" w:type="dxa"/>
              <w:tblLayout w:type="fixed"/>
              <w:tblCellMar>
                <w:left w:w="28" w:type="dxa"/>
                <w:right w:w="28" w:type="dxa"/>
              </w:tblCellMar>
              <w:tblLook w:val="04A0" w:firstRow="1" w:lastRow="0" w:firstColumn="1" w:lastColumn="0" w:noHBand="0" w:noVBand="1"/>
            </w:tblPr>
            <w:tblGrid>
              <w:gridCol w:w="1175"/>
            </w:tblGrid>
            <w:tr w:rsidR="003D6F11" w14:paraId="743903AC" w14:textId="77777777" w:rsidTr="003D6F11">
              <w:trPr>
                <w:cantSplit/>
                <w:trHeight w:val="567"/>
              </w:trPr>
              <w:tc>
                <w:tcPr>
                  <w:tcW w:w="1093" w:type="pct"/>
                  <w:vAlign w:val="center"/>
                  <w:hideMark/>
                </w:tcPr>
                <w:p w14:paraId="3DEEEA5A" w14:textId="77777777" w:rsidR="003D6F11" w:rsidRDefault="003D6F11" w:rsidP="003D6F11">
                  <w:pPr>
                    <w:keepNext/>
                    <w:jc w:val="center"/>
                    <w:rPr>
                      <w:rFonts w:ascii="Arial Narrow" w:hAnsi="Arial Narrow"/>
                      <w:sz w:val="20"/>
                    </w:rPr>
                  </w:pPr>
                  <w:r>
                    <w:rPr>
                      <w:rFonts w:ascii="Arial Narrow" w:hAnsi="Arial Narrow"/>
                      <w:sz w:val="20"/>
                    </w:rPr>
                    <w:t>$8,218.96 published price</w:t>
                  </w:r>
                </w:p>
                <w:p w14:paraId="11A14DF9" w14:textId="77777777" w:rsidR="003D6F11" w:rsidRDefault="003D6F11" w:rsidP="003D6F11">
                  <w:pPr>
                    <w:keepNext/>
                    <w:jc w:val="center"/>
                    <w:rPr>
                      <w:rFonts w:ascii="Arial Narrow" w:hAnsi="Arial Narrow"/>
                      <w:sz w:val="20"/>
                    </w:rPr>
                  </w:pPr>
                  <w:r>
                    <w:rPr>
                      <w:rFonts w:ascii="Arial Narrow" w:hAnsi="Arial Narrow"/>
                      <w:sz w:val="20"/>
                    </w:rPr>
                    <w:t>$</w:t>
                  </w:r>
                  <w:r w:rsidR="00BE0CB4">
                    <w:rPr>
                      <w:rFonts w:ascii="Arial Narrow" w:hAnsi="Arial Narrow"/>
                      <w:noProof/>
                      <w:color w:val="000000"/>
                      <w:sz w:val="20"/>
                      <w:highlight w:val="black"/>
                    </w:rPr>
                    <w:t>'''''''''''''''''''</w:t>
                  </w:r>
                  <w:r>
                    <w:rPr>
                      <w:rFonts w:ascii="Arial Narrow" w:hAnsi="Arial Narrow"/>
                      <w:sz w:val="20"/>
                    </w:rPr>
                    <w:t xml:space="preserve"> effective price</w:t>
                  </w:r>
                </w:p>
              </w:tc>
            </w:tr>
          </w:tbl>
          <w:p w14:paraId="4A4EE2DB" w14:textId="77777777" w:rsidR="003D6F11" w:rsidRPr="00426B1C" w:rsidRDefault="003D6F11" w:rsidP="00287E78">
            <w:pPr>
              <w:pStyle w:val="TableText"/>
              <w:jc w:val="center"/>
            </w:pPr>
          </w:p>
        </w:tc>
        <w:tc>
          <w:tcPr>
            <w:tcW w:w="1233" w:type="dxa"/>
          </w:tcPr>
          <w:p w14:paraId="4F61D1AF" w14:textId="77777777" w:rsidR="003D6F11" w:rsidRPr="00426B1C" w:rsidRDefault="003D6F11" w:rsidP="00287E78">
            <w:pPr>
              <w:pStyle w:val="TableText"/>
              <w:jc w:val="center"/>
            </w:pPr>
            <w:proofErr w:type="spellStart"/>
            <w:r w:rsidRPr="00426B1C">
              <w:t>Calquence</w:t>
            </w:r>
            <w:proofErr w:type="spellEnd"/>
          </w:p>
        </w:tc>
      </w:tr>
      <w:tr w:rsidR="003D6F11" w:rsidRPr="00426B1C" w14:paraId="0F5798D2" w14:textId="77777777" w:rsidTr="003D6F11">
        <w:trPr>
          <w:cantSplit/>
          <w:trHeight w:val="327"/>
        </w:trPr>
        <w:tc>
          <w:tcPr>
            <w:tcW w:w="4190" w:type="dxa"/>
            <w:gridSpan w:val="4"/>
          </w:tcPr>
          <w:p w14:paraId="428AAE07" w14:textId="77777777" w:rsidR="003D6F11" w:rsidRPr="00426B1C" w:rsidRDefault="003D6F11" w:rsidP="00287E78">
            <w:pPr>
              <w:keepNext/>
              <w:jc w:val="center"/>
              <w:rPr>
                <w:rFonts w:ascii="Arial Narrow" w:hAnsi="Arial Narrow"/>
                <w:sz w:val="20"/>
                <w:szCs w:val="20"/>
              </w:rPr>
            </w:pPr>
          </w:p>
        </w:tc>
        <w:tc>
          <w:tcPr>
            <w:tcW w:w="1481" w:type="dxa"/>
            <w:gridSpan w:val="2"/>
          </w:tcPr>
          <w:p w14:paraId="5D4327EB" w14:textId="77777777" w:rsidR="003D6F11" w:rsidRPr="00426B1C" w:rsidRDefault="003D6F11" w:rsidP="00287E78">
            <w:pPr>
              <w:keepNext/>
              <w:ind w:left="-57"/>
              <w:rPr>
                <w:rFonts w:ascii="Arial Narrow" w:hAnsi="Arial Narrow"/>
                <w:sz w:val="20"/>
                <w:szCs w:val="20"/>
              </w:rPr>
            </w:pPr>
          </w:p>
        </w:tc>
        <w:tc>
          <w:tcPr>
            <w:tcW w:w="3396" w:type="dxa"/>
            <w:gridSpan w:val="3"/>
          </w:tcPr>
          <w:p w14:paraId="745F595B" w14:textId="77777777" w:rsidR="003D6F11" w:rsidRPr="00426B1C" w:rsidRDefault="003D6F11" w:rsidP="00287E78">
            <w:pPr>
              <w:keepNext/>
              <w:ind w:left="-57"/>
              <w:rPr>
                <w:rFonts w:ascii="Arial Narrow" w:hAnsi="Arial Narrow"/>
                <w:sz w:val="20"/>
                <w:szCs w:val="20"/>
              </w:rPr>
            </w:pPr>
            <w:proofErr w:type="spellStart"/>
            <w:r w:rsidRPr="00426B1C">
              <w:rPr>
                <w:rFonts w:ascii="Arial Narrow" w:hAnsi="Arial Narrow"/>
                <w:sz w:val="20"/>
                <w:szCs w:val="20"/>
              </w:rPr>
              <w:t>Max.qty</w:t>
            </w:r>
            <w:proofErr w:type="spellEnd"/>
            <w:r w:rsidRPr="00426B1C">
              <w:rPr>
                <w:rFonts w:ascii="Arial Narrow" w:hAnsi="Arial Narrow"/>
                <w:sz w:val="20"/>
                <w:szCs w:val="20"/>
              </w:rPr>
              <w:t xml:space="preserve"> (packs) multiplier = 2</w:t>
            </w:r>
          </w:p>
          <w:p w14:paraId="08F3E2FC" w14:textId="77777777" w:rsidR="003D6F11" w:rsidRPr="00426B1C" w:rsidRDefault="003D6F11" w:rsidP="00287E78">
            <w:pPr>
              <w:keepNext/>
              <w:ind w:left="-57"/>
              <w:rPr>
                <w:rFonts w:ascii="Arial Narrow" w:hAnsi="Arial Narrow"/>
                <w:sz w:val="20"/>
                <w:szCs w:val="20"/>
              </w:rPr>
            </w:pPr>
            <w:r w:rsidRPr="00426B1C">
              <w:rPr>
                <w:rFonts w:ascii="Arial Narrow" w:hAnsi="Arial Narrow"/>
                <w:sz w:val="20"/>
                <w:szCs w:val="20"/>
              </w:rPr>
              <w:t>Repeat increases: nil</w:t>
            </w:r>
          </w:p>
        </w:tc>
      </w:tr>
      <w:tr w:rsidR="003D6F11" w:rsidRPr="00426B1C" w14:paraId="25BBDD37" w14:textId="77777777" w:rsidTr="003D6F1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14:paraId="2E8E5767" w14:textId="77777777" w:rsidR="003D6F11" w:rsidRPr="00426B1C" w:rsidRDefault="003D6F11" w:rsidP="00426B1C">
            <w:pPr>
              <w:keepNext/>
              <w:keepLines/>
              <w:rPr>
                <w:rFonts w:ascii="Arial Narrow" w:hAnsi="Arial Narrow"/>
                <w:b/>
                <w:sz w:val="20"/>
                <w:szCs w:val="20"/>
              </w:rPr>
            </w:pPr>
            <w:r w:rsidRPr="00426B1C">
              <w:rPr>
                <w:rFonts w:ascii="Arial Narrow" w:hAnsi="Arial Narrow"/>
                <w:b/>
                <w:sz w:val="20"/>
                <w:szCs w:val="20"/>
              </w:rPr>
              <w:t xml:space="preserve">Restriction Summary [new] / Treatment of Concept: [new] </w:t>
            </w:r>
          </w:p>
        </w:tc>
      </w:tr>
      <w:tr w:rsidR="003D6F11" w:rsidRPr="00426B1C" w14:paraId="618CCDD4"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Merge w:val="restart"/>
            <w:tcBorders>
              <w:top w:val="single" w:sz="4" w:space="0" w:color="auto"/>
              <w:left w:val="single" w:sz="4" w:space="0" w:color="auto"/>
              <w:right w:val="single" w:sz="4" w:space="0" w:color="auto"/>
            </w:tcBorders>
          </w:tcPr>
          <w:p w14:paraId="332255CE" w14:textId="77777777" w:rsidR="003D6F11" w:rsidRPr="00426B1C" w:rsidRDefault="003D6F11" w:rsidP="00426B1C">
            <w:pPr>
              <w:keepNext/>
              <w:keepLines/>
              <w:jc w:val="center"/>
              <w:rPr>
                <w:rFonts w:ascii="Arial Narrow" w:hAnsi="Arial Narrow"/>
                <w:b/>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47429CF9" w14:textId="77777777" w:rsidR="003D6F11" w:rsidRPr="00426B1C" w:rsidRDefault="003D6F11" w:rsidP="00426B1C">
            <w:pPr>
              <w:keepNext/>
              <w:keepLines/>
              <w:rPr>
                <w:rFonts w:ascii="Arial Narrow" w:hAnsi="Arial Narrow"/>
                <w:sz w:val="20"/>
                <w:szCs w:val="20"/>
              </w:rPr>
            </w:pPr>
            <w:r w:rsidRPr="00426B1C">
              <w:rPr>
                <w:rFonts w:ascii="Arial Narrow" w:hAnsi="Arial Narrow"/>
                <w:b/>
                <w:sz w:val="20"/>
                <w:szCs w:val="20"/>
              </w:rPr>
              <w:t xml:space="preserve">Category / Program: </w:t>
            </w:r>
            <w:r w:rsidRPr="00426B1C">
              <w:rPr>
                <w:rFonts w:ascii="Arial Narrow" w:hAnsi="Arial Narrow"/>
                <w:sz w:val="20"/>
                <w:szCs w:val="20"/>
              </w:rPr>
              <w:t xml:space="preserve">GENERAL – General Schedule (Code GE) </w:t>
            </w:r>
          </w:p>
        </w:tc>
      </w:tr>
      <w:tr w:rsidR="003D6F11" w:rsidRPr="00426B1C" w14:paraId="014D642D" w14:textId="77777777" w:rsidTr="003D6F11">
        <w:tblPrEx>
          <w:tblCellMar>
            <w:top w:w="15" w:type="dxa"/>
            <w:left w:w="15" w:type="dxa"/>
            <w:bottom w:w="15" w:type="dxa"/>
            <w:right w:w="15" w:type="dxa"/>
          </w:tblCellMar>
          <w:tblLook w:val="04A0" w:firstRow="1" w:lastRow="0" w:firstColumn="1" w:lastColumn="0" w:noHBand="0" w:noVBand="1"/>
        </w:tblPrEx>
        <w:trPr>
          <w:trHeight w:val="240"/>
        </w:trPr>
        <w:tc>
          <w:tcPr>
            <w:tcW w:w="1129" w:type="dxa"/>
            <w:gridSpan w:val="2"/>
            <w:vMerge/>
            <w:tcBorders>
              <w:left w:val="single" w:sz="4" w:space="0" w:color="auto"/>
              <w:right w:val="single" w:sz="4" w:space="0" w:color="auto"/>
            </w:tcBorders>
          </w:tcPr>
          <w:p w14:paraId="71C121E4" w14:textId="77777777" w:rsidR="003D6F11" w:rsidRPr="00A24FFE" w:rsidRDefault="003D6F11" w:rsidP="00A24FFE">
            <w:pPr>
              <w:keepNext/>
              <w:keepLines/>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193E2CE7" w14:textId="77777777" w:rsidR="003D6F11" w:rsidRPr="00426B1C" w:rsidRDefault="003D6F11" w:rsidP="00A24FFE">
            <w:pPr>
              <w:keepNext/>
              <w:keepLines/>
              <w:rPr>
                <w:rFonts w:ascii="Arial Narrow" w:hAnsi="Arial Narrow"/>
                <w:b/>
                <w:sz w:val="20"/>
                <w:szCs w:val="20"/>
              </w:rPr>
            </w:pPr>
            <w:r w:rsidRPr="00A24FFE">
              <w:rPr>
                <w:rFonts w:ascii="Arial Narrow" w:hAnsi="Arial Narrow"/>
                <w:b/>
                <w:sz w:val="20"/>
                <w:szCs w:val="20"/>
              </w:rPr>
              <w:t xml:space="preserve">Prescriber type: </w:t>
            </w:r>
            <w:r w:rsidRPr="00426B1C">
              <w:rPr>
                <w:rFonts w:ascii="Arial Narrow" w:hAnsi="Arial Narrow"/>
                <w:sz w:val="20"/>
                <w:szCs w:val="20"/>
              </w:rPr>
              <w:fldChar w:fldCharType="begin">
                <w:ffData>
                  <w:name w:val=""/>
                  <w:enabled/>
                  <w:calcOnExit w:val="0"/>
                  <w:checkBox>
                    <w:sizeAuto/>
                    <w:default w:val="1"/>
                  </w:checkBox>
                </w:ffData>
              </w:fldChar>
            </w:r>
            <w:r w:rsidRPr="00A24FFE">
              <w:rPr>
                <w:rFonts w:ascii="Arial Narrow" w:hAnsi="Arial Narrow"/>
                <w:sz w:val="20"/>
                <w:szCs w:val="20"/>
              </w:rPr>
              <w:instrText xml:space="preserve"> FORMCHECKBOX </w:instrText>
            </w:r>
            <w:r w:rsidR="00330E7C">
              <w:rPr>
                <w:rFonts w:ascii="Arial Narrow" w:hAnsi="Arial Narrow"/>
                <w:sz w:val="20"/>
                <w:szCs w:val="20"/>
              </w:rPr>
            </w:r>
            <w:r w:rsidR="00330E7C">
              <w:rPr>
                <w:rFonts w:ascii="Arial Narrow" w:hAnsi="Arial Narrow"/>
                <w:sz w:val="20"/>
                <w:szCs w:val="20"/>
              </w:rPr>
              <w:fldChar w:fldCharType="separate"/>
            </w:r>
            <w:r w:rsidRPr="00426B1C">
              <w:rPr>
                <w:rFonts w:ascii="Arial Narrow" w:hAnsi="Arial Narrow"/>
                <w:sz w:val="20"/>
                <w:szCs w:val="20"/>
              </w:rPr>
              <w:fldChar w:fldCharType="end"/>
            </w:r>
            <w:r w:rsidRPr="00426B1C">
              <w:rPr>
                <w:rFonts w:ascii="Arial Narrow" w:hAnsi="Arial Narrow"/>
                <w:sz w:val="20"/>
                <w:szCs w:val="20"/>
              </w:rPr>
              <w:t>Medical Practitioners</w:t>
            </w:r>
          </w:p>
        </w:tc>
      </w:tr>
      <w:tr w:rsidR="003D6F11" w:rsidRPr="00426B1C" w14:paraId="3204EFB7"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Merge/>
            <w:tcBorders>
              <w:left w:val="single" w:sz="4" w:space="0" w:color="auto"/>
              <w:bottom w:val="single" w:sz="4" w:space="0" w:color="auto"/>
              <w:right w:val="single" w:sz="4" w:space="0" w:color="auto"/>
            </w:tcBorders>
          </w:tcPr>
          <w:p w14:paraId="1108C60D" w14:textId="77777777" w:rsidR="003D6F11" w:rsidRPr="00A24FFE" w:rsidRDefault="003D6F11" w:rsidP="00A24FFE">
            <w:pPr>
              <w:keepNext/>
              <w:keepLines/>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18A2A0F1" w14:textId="77777777" w:rsidR="003D6F11" w:rsidRPr="00426B1C" w:rsidRDefault="003D6F11" w:rsidP="00A24FFE">
            <w:pPr>
              <w:keepNext/>
              <w:keepLines/>
              <w:rPr>
                <w:rFonts w:ascii="Arial Narrow" w:eastAsia="Calibri" w:hAnsi="Arial Narrow"/>
                <w:sz w:val="20"/>
                <w:szCs w:val="20"/>
              </w:rPr>
            </w:pPr>
            <w:r w:rsidRPr="00A24FFE">
              <w:rPr>
                <w:rFonts w:ascii="Arial Narrow" w:hAnsi="Arial Narrow"/>
                <w:b/>
                <w:sz w:val="20"/>
                <w:szCs w:val="20"/>
              </w:rPr>
              <w:t xml:space="preserve">Restriction type: </w:t>
            </w:r>
            <w:r w:rsidRPr="00426B1C">
              <w:rPr>
                <w:rFonts w:ascii="Arial Narrow" w:eastAsia="Calibri" w:hAnsi="Arial Narrow"/>
                <w:sz w:val="20"/>
                <w:szCs w:val="20"/>
              </w:rPr>
              <w:fldChar w:fldCharType="begin">
                <w:ffData>
                  <w:name w:val="Check3"/>
                  <w:enabled/>
                  <w:calcOnExit w:val="0"/>
                  <w:checkBox>
                    <w:sizeAuto/>
                    <w:default w:val="1"/>
                  </w:checkBox>
                </w:ffData>
              </w:fldChar>
            </w:r>
            <w:r w:rsidRPr="00A24FFE">
              <w:rPr>
                <w:rFonts w:ascii="Arial Narrow" w:eastAsia="Calibri" w:hAnsi="Arial Narrow"/>
                <w:sz w:val="20"/>
                <w:szCs w:val="20"/>
              </w:rPr>
              <w:instrText xml:space="preserve"> FORMCHECKBOX </w:instrText>
            </w:r>
            <w:r w:rsidR="00330E7C">
              <w:rPr>
                <w:rFonts w:ascii="Arial Narrow" w:eastAsia="Calibri" w:hAnsi="Arial Narrow"/>
                <w:sz w:val="20"/>
                <w:szCs w:val="20"/>
              </w:rPr>
            </w:r>
            <w:r w:rsidR="00330E7C">
              <w:rPr>
                <w:rFonts w:ascii="Arial Narrow" w:eastAsia="Calibri" w:hAnsi="Arial Narrow"/>
                <w:sz w:val="20"/>
                <w:szCs w:val="20"/>
              </w:rPr>
              <w:fldChar w:fldCharType="separate"/>
            </w:r>
            <w:r w:rsidRPr="00426B1C">
              <w:rPr>
                <w:rFonts w:ascii="Arial Narrow" w:eastAsia="Calibri" w:hAnsi="Arial Narrow"/>
                <w:sz w:val="20"/>
                <w:szCs w:val="20"/>
              </w:rPr>
              <w:fldChar w:fldCharType="end"/>
            </w:r>
            <w:r w:rsidRPr="00426B1C">
              <w:rPr>
                <w:rFonts w:ascii="Arial Narrow" w:eastAsia="Calibri" w:hAnsi="Arial Narrow"/>
                <w:sz w:val="20"/>
                <w:szCs w:val="20"/>
              </w:rPr>
              <w:t xml:space="preserve">Authority Required – Telephone/electronic </w:t>
            </w:r>
            <w:r w:rsidRPr="00426B1C">
              <w:rPr>
                <w:rFonts w:ascii="Arial Narrow" w:eastAsia="Calibri" w:hAnsi="Arial Narrow"/>
                <w:i/>
                <w:iCs/>
                <w:sz w:val="20"/>
                <w:szCs w:val="20"/>
              </w:rPr>
              <w:t>via Online PBS Authorities</w:t>
            </w:r>
          </w:p>
        </w:tc>
      </w:tr>
      <w:tr w:rsidR="003D6F11" w:rsidRPr="00426B1C" w14:paraId="4BB84475" w14:textId="77777777" w:rsidTr="003D6F11">
        <w:tblPrEx>
          <w:tblCellMar>
            <w:top w:w="15" w:type="dxa"/>
            <w:left w:w="15" w:type="dxa"/>
            <w:bottom w:w="15" w:type="dxa"/>
            <w:right w:w="15" w:type="dxa"/>
          </w:tblCellMar>
          <w:tblLook w:val="04A0" w:firstRow="1" w:lastRow="0" w:firstColumn="1" w:lastColumn="0" w:noHBand="0" w:noVBand="1"/>
        </w:tblPrEx>
        <w:tc>
          <w:tcPr>
            <w:tcW w:w="371" w:type="dxa"/>
            <w:vMerge w:val="restart"/>
            <w:tcBorders>
              <w:left w:val="single" w:sz="4" w:space="0" w:color="auto"/>
              <w:right w:val="single" w:sz="4" w:space="0" w:color="auto"/>
            </w:tcBorders>
            <w:textDirection w:val="btLr"/>
          </w:tcPr>
          <w:p w14:paraId="026D1D7B" w14:textId="77777777" w:rsidR="003D6F11" w:rsidRPr="00426B1C" w:rsidRDefault="003D6F11" w:rsidP="00287E78">
            <w:pPr>
              <w:keepNext/>
              <w:keepLines/>
              <w:ind w:left="113" w:right="113"/>
              <w:jc w:val="center"/>
              <w:rPr>
                <w:rFonts w:ascii="Arial Narrow" w:hAnsi="Arial Narrow"/>
                <w:sz w:val="20"/>
                <w:szCs w:val="20"/>
              </w:rPr>
            </w:pPr>
          </w:p>
        </w:tc>
        <w:tc>
          <w:tcPr>
            <w:tcW w:w="758" w:type="dxa"/>
          </w:tcPr>
          <w:p w14:paraId="2F10B949" w14:textId="77777777" w:rsidR="003D6F11" w:rsidRPr="00426B1C" w:rsidRDefault="003D6F11" w:rsidP="00287E78">
            <w:pPr>
              <w:keepNext/>
              <w:keepLines/>
              <w:jc w:val="center"/>
              <w:rPr>
                <w:rFonts w:ascii="Arial Narrow" w:hAnsi="Arial Narrow"/>
                <w:sz w:val="20"/>
                <w:szCs w:val="20"/>
              </w:rPr>
            </w:pPr>
          </w:p>
        </w:tc>
        <w:tc>
          <w:tcPr>
            <w:tcW w:w="7938" w:type="dxa"/>
            <w:gridSpan w:val="7"/>
          </w:tcPr>
          <w:p w14:paraId="2FA0ED31" w14:textId="77777777" w:rsidR="003D6F11" w:rsidRPr="00426B1C" w:rsidRDefault="003D6F11" w:rsidP="00287E78">
            <w:pPr>
              <w:keepNext/>
              <w:keepLines/>
              <w:rPr>
                <w:rFonts w:ascii="Arial Narrow" w:hAnsi="Arial Narrow"/>
                <w:i/>
                <w:iCs/>
                <w:sz w:val="20"/>
                <w:szCs w:val="20"/>
              </w:rPr>
            </w:pPr>
            <w:r w:rsidRPr="00426B1C">
              <w:rPr>
                <w:rFonts w:ascii="Arial Narrow" w:hAnsi="Arial Narrow"/>
                <w:b/>
                <w:bCs/>
                <w:i/>
                <w:iCs/>
                <w:sz w:val="20"/>
                <w:szCs w:val="20"/>
              </w:rPr>
              <w:t xml:space="preserve">Administrative advice: </w:t>
            </w:r>
            <w:r w:rsidRPr="00426B1C">
              <w:rPr>
                <w:rFonts w:ascii="Arial Narrow" w:hAnsi="Arial Narrow"/>
                <w:bCs/>
                <w:i/>
                <w:iCs/>
                <w:sz w:val="20"/>
                <w:szCs w:val="20"/>
              </w:rPr>
              <w:t>No increase in the maximum number of repeats may be authorised.</w:t>
            </w:r>
          </w:p>
        </w:tc>
      </w:tr>
      <w:tr w:rsidR="003D6F11" w:rsidRPr="00426B1C" w14:paraId="445E5D71" w14:textId="77777777" w:rsidTr="003D6F11">
        <w:tblPrEx>
          <w:tblCellMar>
            <w:top w:w="15" w:type="dxa"/>
            <w:left w:w="15" w:type="dxa"/>
            <w:bottom w:w="15" w:type="dxa"/>
            <w:right w:w="15" w:type="dxa"/>
          </w:tblCellMar>
          <w:tblLook w:val="04A0" w:firstRow="1" w:lastRow="0" w:firstColumn="1" w:lastColumn="0" w:noHBand="0" w:noVBand="1"/>
        </w:tblPrEx>
        <w:tc>
          <w:tcPr>
            <w:tcW w:w="371" w:type="dxa"/>
            <w:vMerge/>
            <w:tcBorders>
              <w:left w:val="single" w:sz="4" w:space="0" w:color="auto"/>
              <w:right w:val="single" w:sz="4" w:space="0" w:color="auto"/>
            </w:tcBorders>
          </w:tcPr>
          <w:p w14:paraId="772721EB" w14:textId="77777777" w:rsidR="003D6F11" w:rsidRPr="00A24FFE" w:rsidRDefault="003D6F11" w:rsidP="00287E78">
            <w:pPr>
              <w:keepNext/>
              <w:keepLines/>
              <w:rPr>
                <w:rFonts w:ascii="Arial Narrow" w:hAnsi="Arial Narrow"/>
                <w:sz w:val="20"/>
                <w:szCs w:val="20"/>
              </w:rPr>
            </w:pPr>
          </w:p>
        </w:tc>
        <w:tc>
          <w:tcPr>
            <w:tcW w:w="758" w:type="dxa"/>
          </w:tcPr>
          <w:p w14:paraId="334D1BA0" w14:textId="77777777" w:rsidR="003D6F11" w:rsidRPr="00A24FFE" w:rsidRDefault="003D6F11" w:rsidP="00287E78">
            <w:pPr>
              <w:keepNext/>
              <w:keepLines/>
              <w:jc w:val="center"/>
              <w:rPr>
                <w:rFonts w:ascii="Arial Narrow" w:hAnsi="Arial Narrow"/>
                <w:sz w:val="20"/>
                <w:szCs w:val="20"/>
              </w:rPr>
            </w:pPr>
          </w:p>
        </w:tc>
        <w:tc>
          <w:tcPr>
            <w:tcW w:w="7938" w:type="dxa"/>
            <w:gridSpan w:val="7"/>
          </w:tcPr>
          <w:p w14:paraId="3029884A" w14:textId="77777777" w:rsidR="003D6F11" w:rsidRPr="00A24FFE" w:rsidRDefault="003D6F11" w:rsidP="00287E78">
            <w:pPr>
              <w:keepNext/>
              <w:keepLines/>
              <w:rPr>
                <w:rFonts w:ascii="Arial Narrow" w:hAnsi="Arial Narrow"/>
                <w:b/>
                <w:bCs/>
                <w:i/>
                <w:iCs/>
                <w:sz w:val="20"/>
                <w:szCs w:val="20"/>
              </w:rPr>
            </w:pPr>
            <w:r w:rsidRPr="00A24FFE">
              <w:rPr>
                <w:rFonts w:ascii="Arial Narrow" w:hAnsi="Arial Narrow"/>
                <w:b/>
                <w:bCs/>
                <w:i/>
                <w:iCs/>
                <w:sz w:val="20"/>
                <w:szCs w:val="20"/>
              </w:rPr>
              <w:t xml:space="preserve">Administrative advice: </w:t>
            </w:r>
            <w:r w:rsidRPr="00A24FFE">
              <w:rPr>
                <w:rFonts w:ascii="Arial Narrow" w:hAnsi="Arial Narrow"/>
                <w:bCs/>
                <w:i/>
                <w:iCs/>
                <w:sz w:val="20"/>
                <w:szCs w:val="20"/>
              </w:rPr>
              <w:t>Special Pricing Arrangements apply.</w:t>
            </w:r>
          </w:p>
        </w:tc>
      </w:tr>
      <w:tr w:rsidR="003D6F11" w:rsidRPr="00426B1C" w14:paraId="09C46B89" w14:textId="77777777" w:rsidTr="003D6F11">
        <w:tblPrEx>
          <w:tblCellMar>
            <w:top w:w="15" w:type="dxa"/>
            <w:left w:w="15" w:type="dxa"/>
            <w:bottom w:w="15" w:type="dxa"/>
            <w:right w:w="15" w:type="dxa"/>
          </w:tblCellMar>
          <w:tblLook w:val="04A0" w:firstRow="1" w:lastRow="0" w:firstColumn="1" w:lastColumn="0" w:noHBand="0" w:noVBand="1"/>
        </w:tblPrEx>
        <w:tc>
          <w:tcPr>
            <w:tcW w:w="371" w:type="dxa"/>
            <w:vMerge/>
            <w:tcBorders>
              <w:left w:val="single" w:sz="4" w:space="0" w:color="auto"/>
              <w:bottom w:val="single" w:sz="4" w:space="0" w:color="auto"/>
              <w:right w:val="single" w:sz="4" w:space="0" w:color="auto"/>
            </w:tcBorders>
          </w:tcPr>
          <w:p w14:paraId="73339ABB" w14:textId="77777777" w:rsidR="003D6F11" w:rsidRPr="00A24FFE" w:rsidRDefault="003D6F11" w:rsidP="00287E78">
            <w:pPr>
              <w:keepNext/>
              <w:keepLines/>
              <w:rPr>
                <w:rFonts w:ascii="Arial Narrow" w:hAnsi="Arial Narrow"/>
                <w:sz w:val="20"/>
                <w:szCs w:val="20"/>
              </w:rPr>
            </w:pPr>
          </w:p>
        </w:tc>
        <w:tc>
          <w:tcPr>
            <w:tcW w:w="758" w:type="dxa"/>
            <w:vAlign w:val="center"/>
          </w:tcPr>
          <w:p w14:paraId="1DC3DA3E" w14:textId="77777777" w:rsidR="003D6F11" w:rsidRPr="00A24FFE" w:rsidRDefault="003D6F11" w:rsidP="00287E78">
            <w:pPr>
              <w:keepNext/>
              <w:keepLines/>
              <w:jc w:val="center"/>
              <w:rPr>
                <w:rFonts w:ascii="Arial Narrow" w:hAnsi="Arial Narrow"/>
                <w:sz w:val="20"/>
                <w:szCs w:val="20"/>
              </w:rPr>
            </w:pPr>
          </w:p>
        </w:tc>
        <w:tc>
          <w:tcPr>
            <w:tcW w:w="7938" w:type="dxa"/>
            <w:gridSpan w:val="7"/>
            <w:vAlign w:val="center"/>
          </w:tcPr>
          <w:p w14:paraId="7D983BFC" w14:textId="77777777" w:rsidR="003D6F11" w:rsidRPr="00A24FFE" w:rsidRDefault="003D6F11" w:rsidP="00287E78">
            <w:pPr>
              <w:keepNext/>
              <w:keepLines/>
              <w:rPr>
                <w:rFonts w:ascii="Arial Narrow" w:hAnsi="Arial Narrow"/>
                <w:bCs/>
                <w:i/>
                <w:iCs/>
                <w:sz w:val="20"/>
                <w:szCs w:val="20"/>
              </w:rPr>
            </w:pPr>
            <w:r w:rsidRPr="00A24FFE">
              <w:rPr>
                <w:rFonts w:ascii="Arial Narrow" w:hAnsi="Arial Narrow"/>
                <w:b/>
                <w:bCs/>
                <w:i/>
                <w:iCs/>
                <w:sz w:val="20"/>
                <w:szCs w:val="20"/>
              </w:rPr>
              <w:t xml:space="preserve">Administrative advice: </w:t>
            </w:r>
          </w:p>
          <w:p w14:paraId="54422CFB" w14:textId="77777777" w:rsidR="003D6F11" w:rsidRPr="00A24FFE" w:rsidRDefault="003D6F11" w:rsidP="00287E78">
            <w:pPr>
              <w:keepNext/>
              <w:keepLines/>
              <w:rPr>
                <w:rFonts w:ascii="Arial Narrow" w:hAnsi="Arial Narrow"/>
                <w:b/>
                <w:bCs/>
                <w:sz w:val="20"/>
                <w:szCs w:val="20"/>
              </w:rPr>
            </w:pPr>
            <w:r w:rsidRPr="00A24FFE">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D6F11" w:rsidRPr="00426B1C" w14:paraId="4D02D671"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4F5E0BC9"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65F6ED84" w14:textId="77777777" w:rsidR="003D6F11" w:rsidRPr="00426B1C" w:rsidRDefault="003D6F11" w:rsidP="00287E78">
            <w:pPr>
              <w:rPr>
                <w:rFonts w:ascii="Arial Narrow" w:hAnsi="Arial Narrow"/>
                <w:b/>
                <w:bCs/>
                <w:sz w:val="20"/>
                <w:szCs w:val="20"/>
              </w:rPr>
            </w:pPr>
            <w:r w:rsidRPr="00426B1C">
              <w:rPr>
                <w:rFonts w:ascii="Arial Narrow" w:hAnsi="Arial Narrow"/>
                <w:b/>
                <w:bCs/>
                <w:sz w:val="20"/>
                <w:szCs w:val="20"/>
              </w:rPr>
              <w:t xml:space="preserve">Condition: </w:t>
            </w:r>
            <w:r w:rsidRPr="00426B1C">
              <w:rPr>
                <w:rFonts w:ascii="Arial Narrow" w:hAnsi="Arial Narrow"/>
                <w:sz w:val="20"/>
                <w:szCs w:val="20"/>
              </w:rPr>
              <w:t>Chronic lymphocytic leukaemia (CLL) or small lymphocytic lymphoma (SLL)</w:t>
            </w:r>
            <w:r w:rsidRPr="00426B1C">
              <w:rPr>
                <w:rFonts w:ascii="Arial Narrow" w:hAnsi="Arial Narrow"/>
                <w:bCs/>
                <w:sz w:val="20"/>
                <w:szCs w:val="20"/>
              </w:rPr>
              <w:t xml:space="preserve"> </w:t>
            </w:r>
          </w:p>
        </w:tc>
      </w:tr>
      <w:tr w:rsidR="003D6F11" w:rsidRPr="00426B1C" w14:paraId="6D6CF616" w14:textId="77777777" w:rsidTr="00EB7EA3">
        <w:tblPrEx>
          <w:tblCellMar>
            <w:top w:w="15" w:type="dxa"/>
            <w:left w:w="15" w:type="dxa"/>
            <w:bottom w:w="15" w:type="dxa"/>
            <w:right w:w="15" w:type="dxa"/>
          </w:tblCellMar>
        </w:tblPrEx>
        <w:tc>
          <w:tcPr>
            <w:tcW w:w="1129" w:type="dxa"/>
            <w:gridSpan w:val="2"/>
            <w:vAlign w:val="center"/>
          </w:tcPr>
          <w:p w14:paraId="00E97FB3"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18D4B6EB" w14:textId="77777777" w:rsidR="003D6F11" w:rsidRPr="00426B1C" w:rsidRDefault="003D6F11" w:rsidP="00287E78">
            <w:pPr>
              <w:rPr>
                <w:rFonts w:ascii="Arial Narrow" w:hAnsi="Arial Narrow"/>
                <w:strike/>
                <w:sz w:val="20"/>
                <w:szCs w:val="20"/>
              </w:rPr>
            </w:pPr>
            <w:r w:rsidRPr="00426B1C">
              <w:rPr>
                <w:rFonts w:ascii="Arial Narrow" w:hAnsi="Arial Narrow"/>
                <w:b/>
                <w:bCs/>
                <w:sz w:val="20"/>
                <w:szCs w:val="20"/>
              </w:rPr>
              <w:t>Indication:</w:t>
            </w:r>
            <w:r w:rsidRPr="00426B1C">
              <w:rPr>
                <w:rFonts w:ascii="Arial Narrow" w:hAnsi="Arial Narrow"/>
                <w:sz w:val="20"/>
                <w:szCs w:val="20"/>
              </w:rPr>
              <w:t xml:space="preserve"> </w:t>
            </w:r>
            <w:r w:rsidRPr="00426B1C">
              <w:rPr>
                <w:rFonts w:ascii="Arial Narrow" w:hAnsi="Arial Narrow"/>
                <w:strike/>
                <w:sz w:val="20"/>
                <w:szCs w:val="20"/>
              </w:rPr>
              <w:t xml:space="preserve">Patients with previously untreated CLL/SLL </w:t>
            </w:r>
          </w:p>
          <w:p w14:paraId="337A1463" w14:textId="77777777" w:rsidR="003D6F11" w:rsidRPr="00426B1C" w:rsidRDefault="003D6F11" w:rsidP="00287E78">
            <w:pPr>
              <w:rPr>
                <w:rFonts w:ascii="Arial Narrow" w:hAnsi="Arial Narrow"/>
                <w:sz w:val="20"/>
                <w:szCs w:val="20"/>
              </w:rPr>
            </w:pPr>
            <w:r w:rsidRPr="00426B1C">
              <w:rPr>
                <w:rFonts w:ascii="Arial Narrow" w:hAnsi="Arial Narrow"/>
                <w:i/>
                <w:iCs/>
                <w:sz w:val="20"/>
                <w:szCs w:val="20"/>
              </w:rPr>
              <w:t>Chronic lymphocytic leukaemia (CLL) or small lymphocytic lymphoma (SLL)</w:t>
            </w:r>
          </w:p>
        </w:tc>
      </w:tr>
      <w:tr w:rsidR="003D6F11" w:rsidRPr="00426B1C" w14:paraId="572CCC9D" w14:textId="77777777" w:rsidTr="00EB7EA3">
        <w:tblPrEx>
          <w:tblCellMar>
            <w:top w:w="15" w:type="dxa"/>
            <w:left w:w="15" w:type="dxa"/>
            <w:bottom w:w="15" w:type="dxa"/>
            <w:right w:w="15" w:type="dxa"/>
          </w:tblCellMar>
        </w:tblPrEx>
        <w:tc>
          <w:tcPr>
            <w:tcW w:w="1129" w:type="dxa"/>
            <w:gridSpan w:val="2"/>
            <w:vAlign w:val="center"/>
          </w:tcPr>
          <w:p w14:paraId="0829A391"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4074AD65"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Treatment Phase:</w:t>
            </w:r>
            <w:r w:rsidRPr="00426B1C">
              <w:rPr>
                <w:rFonts w:ascii="Arial Narrow" w:hAnsi="Arial Narrow"/>
                <w:sz w:val="20"/>
                <w:szCs w:val="20"/>
              </w:rPr>
              <w:t xml:space="preserve"> Initial</w:t>
            </w:r>
          </w:p>
        </w:tc>
      </w:tr>
      <w:tr w:rsidR="003D6F11" w:rsidRPr="00426B1C" w14:paraId="7619FD8F" w14:textId="77777777" w:rsidTr="00EB7EA3">
        <w:tblPrEx>
          <w:tblCellMar>
            <w:top w:w="15" w:type="dxa"/>
            <w:left w:w="15" w:type="dxa"/>
            <w:bottom w:w="15" w:type="dxa"/>
            <w:right w:w="15" w:type="dxa"/>
          </w:tblCellMar>
        </w:tblPrEx>
        <w:tc>
          <w:tcPr>
            <w:tcW w:w="1129" w:type="dxa"/>
            <w:gridSpan w:val="2"/>
            <w:vAlign w:val="center"/>
          </w:tcPr>
          <w:p w14:paraId="6CB28377"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176A63AB"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 xml:space="preserve">Clinical criteria: </w:t>
            </w:r>
          </w:p>
          <w:p w14:paraId="677E5F46" w14:textId="77777777" w:rsidR="003D6F11" w:rsidRPr="00426B1C" w:rsidRDefault="003D6F11" w:rsidP="00287E78">
            <w:pPr>
              <w:rPr>
                <w:rFonts w:ascii="Arial Narrow" w:hAnsi="Arial Narrow"/>
                <w:sz w:val="20"/>
                <w:szCs w:val="20"/>
              </w:rPr>
            </w:pPr>
          </w:p>
        </w:tc>
      </w:tr>
      <w:tr w:rsidR="003D6F11" w:rsidRPr="00426B1C" w14:paraId="162D8980" w14:textId="77777777" w:rsidTr="00EB7EA3">
        <w:tblPrEx>
          <w:tblCellMar>
            <w:top w:w="15" w:type="dxa"/>
            <w:left w:w="15" w:type="dxa"/>
            <w:bottom w:w="15" w:type="dxa"/>
            <w:right w:w="15" w:type="dxa"/>
          </w:tblCellMar>
        </w:tblPrEx>
        <w:tc>
          <w:tcPr>
            <w:tcW w:w="1129" w:type="dxa"/>
            <w:gridSpan w:val="2"/>
            <w:vAlign w:val="center"/>
          </w:tcPr>
          <w:p w14:paraId="5E213DD3"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3C4DB0A1" w14:textId="77777777" w:rsidR="003D6F11" w:rsidRPr="00426B1C" w:rsidRDefault="003D6F11" w:rsidP="00287E78">
            <w:pPr>
              <w:rPr>
                <w:rFonts w:ascii="Arial Narrow" w:hAnsi="Arial Narrow"/>
                <w:bCs/>
                <w:sz w:val="20"/>
                <w:szCs w:val="20"/>
              </w:rPr>
            </w:pPr>
            <w:r w:rsidRPr="00426B1C">
              <w:rPr>
                <w:rFonts w:ascii="Arial Narrow" w:hAnsi="Arial Narrow"/>
                <w:bCs/>
                <w:sz w:val="20"/>
                <w:szCs w:val="20"/>
              </w:rPr>
              <w:t xml:space="preserve">The condition must be </w:t>
            </w:r>
            <w:r w:rsidRPr="00426B1C">
              <w:rPr>
                <w:rFonts w:ascii="Arial Narrow" w:hAnsi="Arial Narrow"/>
                <w:bCs/>
                <w:strike/>
                <w:sz w:val="20"/>
                <w:szCs w:val="20"/>
              </w:rPr>
              <w:t>previously</w:t>
            </w:r>
            <w:r w:rsidRPr="00426B1C">
              <w:rPr>
                <w:rFonts w:ascii="Arial Narrow" w:hAnsi="Arial Narrow"/>
                <w:bCs/>
                <w:sz w:val="20"/>
                <w:szCs w:val="20"/>
              </w:rPr>
              <w:t xml:space="preserve"> untreated,</w:t>
            </w:r>
          </w:p>
          <w:p w14:paraId="0B7DD653" w14:textId="77777777" w:rsidR="003D6F11" w:rsidRPr="00426B1C" w:rsidRDefault="003D6F11" w:rsidP="00287E78">
            <w:pPr>
              <w:rPr>
                <w:rFonts w:ascii="Arial Narrow" w:hAnsi="Arial Narrow"/>
                <w:bCs/>
                <w:strike/>
                <w:sz w:val="20"/>
                <w:szCs w:val="20"/>
              </w:rPr>
            </w:pPr>
            <w:r w:rsidRPr="00426B1C">
              <w:rPr>
                <w:rFonts w:ascii="Arial Narrow" w:hAnsi="Arial Narrow"/>
                <w:bCs/>
                <w:strike/>
                <w:sz w:val="20"/>
                <w:szCs w:val="20"/>
              </w:rPr>
              <w:t>OR</w:t>
            </w:r>
          </w:p>
          <w:p w14:paraId="7593ECB7" w14:textId="77777777" w:rsidR="003D6F11" w:rsidRPr="00426B1C" w:rsidRDefault="003D6F11" w:rsidP="00287E78">
            <w:pPr>
              <w:rPr>
                <w:rFonts w:ascii="Arial Narrow" w:hAnsi="Arial Narrow"/>
                <w:bCs/>
                <w:sz w:val="20"/>
                <w:szCs w:val="20"/>
              </w:rPr>
            </w:pPr>
            <w:r w:rsidRPr="00426B1C">
              <w:rPr>
                <w:rFonts w:ascii="Arial Narrow" w:hAnsi="Arial Narrow"/>
                <w:bCs/>
                <w:strike/>
                <w:sz w:val="20"/>
                <w:szCs w:val="20"/>
              </w:rPr>
              <w:t>Patient who</w:t>
            </w:r>
            <w:r w:rsidRPr="00426B1C">
              <w:rPr>
                <w:strike/>
                <w:sz w:val="20"/>
                <w:szCs w:val="20"/>
              </w:rPr>
              <w:t xml:space="preserve"> </w:t>
            </w:r>
            <w:r w:rsidRPr="00426B1C">
              <w:rPr>
                <w:rFonts w:ascii="Arial Narrow" w:hAnsi="Arial Narrow"/>
                <w:bCs/>
                <w:strike/>
                <w:sz w:val="20"/>
                <w:szCs w:val="20"/>
              </w:rPr>
              <w:t xml:space="preserve">commenced </w:t>
            </w:r>
            <w:proofErr w:type="spellStart"/>
            <w:r w:rsidRPr="00426B1C">
              <w:rPr>
                <w:rFonts w:ascii="Arial Narrow" w:hAnsi="Arial Narrow"/>
                <w:bCs/>
                <w:strike/>
                <w:sz w:val="20"/>
                <w:szCs w:val="20"/>
              </w:rPr>
              <w:t>venetoclax</w:t>
            </w:r>
            <w:proofErr w:type="spellEnd"/>
            <w:r w:rsidRPr="00426B1C">
              <w:rPr>
                <w:rFonts w:ascii="Arial Narrow" w:hAnsi="Arial Narrow"/>
                <w:bCs/>
                <w:strike/>
                <w:sz w:val="20"/>
                <w:szCs w:val="20"/>
              </w:rPr>
              <w:t xml:space="preserve"> in combination with </w:t>
            </w:r>
            <w:proofErr w:type="spellStart"/>
            <w:r w:rsidRPr="00426B1C">
              <w:rPr>
                <w:rFonts w:ascii="Arial Narrow" w:hAnsi="Arial Narrow"/>
                <w:bCs/>
                <w:strike/>
                <w:sz w:val="20"/>
                <w:szCs w:val="20"/>
              </w:rPr>
              <w:t>obinutuzumab</w:t>
            </w:r>
            <w:proofErr w:type="spellEnd"/>
            <w:r w:rsidRPr="00426B1C">
              <w:rPr>
                <w:rFonts w:ascii="Arial Narrow" w:hAnsi="Arial Narrow"/>
                <w:bCs/>
                <w:strike/>
                <w:sz w:val="20"/>
                <w:szCs w:val="20"/>
              </w:rPr>
              <w:t xml:space="preserve"> but experienced intolerance/adverse event requiring permanent discontinuation of treatment.</w:t>
            </w:r>
            <w:r w:rsidRPr="00426B1C">
              <w:rPr>
                <w:rFonts w:ascii="Arial Narrow" w:hAnsi="Arial Narrow"/>
                <w:bCs/>
                <w:sz w:val="20"/>
                <w:szCs w:val="20"/>
              </w:rPr>
              <w:t xml:space="preserve"> </w:t>
            </w:r>
          </w:p>
          <w:p w14:paraId="46ED1C05" w14:textId="77777777" w:rsidR="003D6F11" w:rsidRPr="00426B1C" w:rsidRDefault="003D6F11" w:rsidP="00287E78">
            <w:pPr>
              <w:rPr>
                <w:rFonts w:ascii="Arial Narrow" w:hAnsi="Arial Narrow"/>
                <w:bCs/>
                <w:i/>
                <w:iCs/>
                <w:sz w:val="20"/>
                <w:szCs w:val="20"/>
              </w:rPr>
            </w:pPr>
            <w:r w:rsidRPr="00426B1C">
              <w:rPr>
                <w:rFonts w:ascii="Arial Narrow" w:hAnsi="Arial Narrow"/>
                <w:bCs/>
                <w:i/>
                <w:iCs/>
                <w:sz w:val="20"/>
                <w:szCs w:val="20"/>
              </w:rPr>
              <w:t>OR</w:t>
            </w:r>
          </w:p>
          <w:p w14:paraId="1158C941" w14:textId="77777777" w:rsidR="003D6F11" w:rsidRPr="00426B1C" w:rsidRDefault="003D6F11" w:rsidP="00287E78">
            <w:pPr>
              <w:rPr>
                <w:rFonts w:ascii="Arial Narrow" w:hAnsi="Arial Narrow"/>
                <w:bCs/>
                <w:i/>
                <w:iCs/>
                <w:sz w:val="20"/>
                <w:szCs w:val="20"/>
              </w:rPr>
            </w:pPr>
            <w:r w:rsidRPr="00426B1C">
              <w:rPr>
                <w:rFonts w:ascii="Arial Narrow" w:hAnsi="Arial Narrow"/>
                <w:bCs/>
                <w:i/>
                <w:iCs/>
                <w:sz w:val="20"/>
                <w:szCs w:val="20"/>
              </w:rPr>
              <w:t xml:space="preserve">Patient must have received PBS-subsidised treatment with </w:t>
            </w:r>
            <w:proofErr w:type="spellStart"/>
            <w:r w:rsidRPr="00426B1C">
              <w:rPr>
                <w:rFonts w:ascii="Arial Narrow" w:hAnsi="Arial Narrow"/>
                <w:bCs/>
                <w:i/>
                <w:iCs/>
                <w:sz w:val="20"/>
                <w:szCs w:val="20"/>
              </w:rPr>
              <w:t>venetoclax</w:t>
            </w:r>
            <w:proofErr w:type="spellEnd"/>
            <w:r w:rsidRPr="00426B1C">
              <w:rPr>
                <w:rFonts w:ascii="Arial Narrow" w:hAnsi="Arial Narrow"/>
                <w:bCs/>
                <w:i/>
                <w:iCs/>
                <w:sz w:val="20"/>
                <w:szCs w:val="20"/>
              </w:rPr>
              <w:t xml:space="preserve"> in combination with </w:t>
            </w:r>
            <w:proofErr w:type="spellStart"/>
            <w:r w:rsidRPr="00426B1C">
              <w:rPr>
                <w:rFonts w:ascii="Arial Narrow" w:hAnsi="Arial Narrow"/>
                <w:bCs/>
                <w:i/>
                <w:iCs/>
                <w:sz w:val="20"/>
                <w:szCs w:val="20"/>
              </w:rPr>
              <w:t>obinutuzumab</w:t>
            </w:r>
            <w:proofErr w:type="spellEnd"/>
            <w:r w:rsidRPr="00426B1C">
              <w:rPr>
                <w:rFonts w:ascii="Arial Narrow" w:hAnsi="Arial Narrow"/>
                <w:bCs/>
                <w:i/>
                <w:iCs/>
                <w:sz w:val="20"/>
                <w:szCs w:val="20"/>
              </w:rPr>
              <w:t xml:space="preserve"> for this condition but experienced intolerance/adverse event necessitating permanent treatment withdrawal,</w:t>
            </w:r>
          </w:p>
        </w:tc>
      </w:tr>
      <w:tr w:rsidR="003D6F11" w:rsidRPr="00426B1C" w14:paraId="087CA692" w14:textId="77777777" w:rsidTr="00EB7EA3">
        <w:tblPrEx>
          <w:tblCellMar>
            <w:top w:w="15" w:type="dxa"/>
            <w:left w:w="15" w:type="dxa"/>
            <w:bottom w:w="15" w:type="dxa"/>
            <w:right w:w="15" w:type="dxa"/>
          </w:tblCellMar>
        </w:tblPrEx>
        <w:tc>
          <w:tcPr>
            <w:tcW w:w="1129" w:type="dxa"/>
            <w:gridSpan w:val="2"/>
            <w:vAlign w:val="center"/>
          </w:tcPr>
          <w:p w14:paraId="6C00A088"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6F1B619D" w14:textId="77777777" w:rsidR="003D6F11" w:rsidRPr="00426B1C" w:rsidRDefault="003D6F11" w:rsidP="00287E78">
            <w:pPr>
              <w:rPr>
                <w:rFonts w:ascii="Arial Narrow" w:hAnsi="Arial Narrow"/>
                <w:sz w:val="20"/>
                <w:szCs w:val="20"/>
              </w:rPr>
            </w:pPr>
            <w:r w:rsidRPr="00426B1C">
              <w:rPr>
                <w:rFonts w:ascii="Arial Narrow" w:hAnsi="Arial Narrow"/>
                <w:b/>
                <w:bCs/>
                <w:i/>
                <w:iCs/>
                <w:sz w:val="20"/>
                <w:szCs w:val="20"/>
              </w:rPr>
              <w:t>AND</w:t>
            </w:r>
          </w:p>
        </w:tc>
      </w:tr>
      <w:tr w:rsidR="003D6F11" w:rsidRPr="00426B1C" w14:paraId="686E1262"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310EDD1F"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2245BCF0"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Clinical criteria:</w:t>
            </w:r>
          </w:p>
        </w:tc>
      </w:tr>
      <w:tr w:rsidR="003D6F11" w:rsidRPr="00426B1C" w14:paraId="4F105C04"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61C43994"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3FE1C5E5" w14:textId="77777777" w:rsidR="003D6F11" w:rsidRPr="00426B1C" w:rsidRDefault="003D6F11" w:rsidP="00287E78">
            <w:pPr>
              <w:rPr>
                <w:rFonts w:ascii="Arial Narrow" w:hAnsi="Arial Narrow"/>
                <w:strike/>
                <w:sz w:val="20"/>
                <w:szCs w:val="20"/>
              </w:rPr>
            </w:pPr>
            <w:r w:rsidRPr="00426B1C">
              <w:rPr>
                <w:rFonts w:ascii="Arial Narrow" w:hAnsi="Arial Narrow"/>
                <w:strike/>
                <w:sz w:val="20"/>
                <w:szCs w:val="20"/>
              </w:rPr>
              <w:t>Patient must be considered unsuitable for fludarabine-based chemoimmunotherapy,</w:t>
            </w:r>
          </w:p>
          <w:p w14:paraId="5371C7F1" w14:textId="77777777" w:rsidR="003D6F11" w:rsidRPr="00426B1C" w:rsidRDefault="003D6F11" w:rsidP="00287E78">
            <w:pPr>
              <w:rPr>
                <w:rFonts w:ascii="Arial Narrow" w:hAnsi="Arial Narrow"/>
                <w:i/>
                <w:iCs/>
                <w:sz w:val="20"/>
                <w:szCs w:val="20"/>
              </w:rPr>
            </w:pPr>
            <w:r w:rsidRPr="00426B1C">
              <w:rPr>
                <w:rFonts w:ascii="Arial Narrow" w:hAnsi="Arial Narrow"/>
                <w:i/>
                <w:iCs/>
                <w:sz w:val="20"/>
                <w:szCs w:val="20"/>
              </w:rPr>
              <w:t>Patient must be inappropriate for fludarabine based chemo-immunotherapy,</w:t>
            </w:r>
          </w:p>
        </w:tc>
      </w:tr>
      <w:tr w:rsidR="003D6F11" w:rsidRPr="00426B1C" w14:paraId="65BBCCE6"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41A6DBC5"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3949F7FF" w14:textId="77777777" w:rsidR="003D6F11" w:rsidRPr="00426B1C" w:rsidRDefault="003D6F11" w:rsidP="00287E78">
            <w:pPr>
              <w:rPr>
                <w:rFonts w:ascii="Arial Narrow" w:hAnsi="Arial Narrow"/>
                <w:strike/>
                <w:sz w:val="20"/>
                <w:szCs w:val="20"/>
              </w:rPr>
            </w:pPr>
            <w:r w:rsidRPr="00426B1C">
              <w:rPr>
                <w:rFonts w:ascii="Arial Narrow" w:hAnsi="Arial Narrow"/>
                <w:b/>
                <w:bCs/>
                <w:i/>
                <w:iCs/>
                <w:sz w:val="20"/>
                <w:szCs w:val="20"/>
              </w:rPr>
              <w:t>AND</w:t>
            </w:r>
          </w:p>
        </w:tc>
      </w:tr>
      <w:tr w:rsidR="003D6F11" w:rsidRPr="00426B1C" w14:paraId="360778D6"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70B07688"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3CC03D96" w14:textId="77777777" w:rsidR="003D6F11" w:rsidRPr="00426B1C" w:rsidRDefault="003D6F11" w:rsidP="00287E78">
            <w:pPr>
              <w:rPr>
                <w:rFonts w:ascii="Arial Narrow" w:hAnsi="Arial Narrow"/>
                <w:strike/>
                <w:sz w:val="20"/>
                <w:szCs w:val="20"/>
              </w:rPr>
            </w:pPr>
            <w:r w:rsidRPr="00426B1C">
              <w:rPr>
                <w:rFonts w:ascii="Arial Narrow" w:hAnsi="Arial Narrow"/>
                <w:b/>
                <w:bCs/>
                <w:i/>
                <w:iCs/>
                <w:sz w:val="20"/>
                <w:szCs w:val="20"/>
              </w:rPr>
              <w:t>Clinical criteria:</w:t>
            </w:r>
          </w:p>
        </w:tc>
      </w:tr>
      <w:tr w:rsidR="003D6F11" w:rsidRPr="00426B1C" w14:paraId="41694A18"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57B37F4F"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1C27E42D" w14:textId="77777777" w:rsidR="003D6F11" w:rsidRPr="00426B1C" w:rsidRDefault="003D6F11" w:rsidP="00287E78">
            <w:pPr>
              <w:rPr>
                <w:rFonts w:ascii="Arial Narrow" w:hAnsi="Arial Narrow"/>
                <w:strike/>
                <w:sz w:val="20"/>
                <w:szCs w:val="20"/>
              </w:rPr>
            </w:pPr>
            <w:r w:rsidRPr="00426B1C">
              <w:rPr>
                <w:rFonts w:ascii="Arial Narrow" w:hAnsi="Arial Narrow"/>
                <w:i/>
                <w:iCs/>
                <w:sz w:val="20"/>
                <w:szCs w:val="20"/>
              </w:rPr>
              <w:t>Patient must have a creatinine clearance 30 mL/min or greater,</w:t>
            </w:r>
          </w:p>
        </w:tc>
      </w:tr>
      <w:tr w:rsidR="003D6F11" w:rsidRPr="00426B1C" w14:paraId="08AF4C6F"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7F4C59F3"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2F23BA50"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AND</w:t>
            </w:r>
          </w:p>
        </w:tc>
      </w:tr>
      <w:tr w:rsidR="003D6F11" w:rsidRPr="00426B1C" w14:paraId="70ACB30F"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4813E8BC"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3ED446CB"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Clinical criteria:</w:t>
            </w:r>
          </w:p>
        </w:tc>
      </w:tr>
      <w:tr w:rsidR="003D6F11" w:rsidRPr="00426B1C" w14:paraId="6B689BFB"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2C5E3412"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3500667D" w14:textId="77777777" w:rsidR="003D6F11" w:rsidRPr="00426B1C" w:rsidRDefault="003D6F11" w:rsidP="00287E78">
            <w:r w:rsidRPr="00426B1C">
              <w:rPr>
                <w:rFonts w:ascii="Arial Narrow" w:hAnsi="Arial Narrow"/>
                <w:sz w:val="20"/>
                <w:szCs w:val="20"/>
              </w:rPr>
              <w:t>Patient must have a total cumulative illness rating scale (CIRS) score of greater than 6 (excluding CLL-induced illness or organ damage)</w:t>
            </w:r>
          </w:p>
        </w:tc>
      </w:tr>
      <w:tr w:rsidR="003D6F11" w:rsidRPr="00426B1C" w14:paraId="7C9AE80D"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2734CC78"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2F94DACE"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AND</w:t>
            </w:r>
          </w:p>
        </w:tc>
      </w:tr>
      <w:tr w:rsidR="003D6F11" w:rsidRPr="00426B1C" w14:paraId="61B5E1C0" w14:textId="77777777" w:rsidTr="003D6F11">
        <w:tblPrEx>
          <w:tblCellMar>
            <w:top w:w="15" w:type="dxa"/>
            <w:left w:w="15" w:type="dxa"/>
            <w:bottom w:w="15" w:type="dxa"/>
            <w:right w:w="15" w:type="dxa"/>
          </w:tblCellMar>
          <w:tblLook w:val="04A0" w:firstRow="1" w:lastRow="0" w:firstColumn="1" w:lastColumn="0" w:noHBand="0" w:noVBand="1"/>
        </w:tblPrEx>
        <w:trPr>
          <w:cantSplit/>
        </w:trPr>
        <w:tc>
          <w:tcPr>
            <w:tcW w:w="1129" w:type="dxa"/>
            <w:gridSpan w:val="2"/>
            <w:vAlign w:val="center"/>
          </w:tcPr>
          <w:p w14:paraId="5DC5250B" w14:textId="77777777" w:rsidR="003D6F11" w:rsidRPr="00426B1C" w:rsidRDefault="003D6F11" w:rsidP="00426B1C">
            <w:pPr>
              <w:keepNext/>
              <w:jc w:val="center"/>
              <w:rPr>
                <w:rFonts w:ascii="Arial Narrow" w:hAnsi="Arial Narrow"/>
                <w:sz w:val="20"/>
                <w:szCs w:val="20"/>
              </w:rPr>
            </w:pPr>
          </w:p>
        </w:tc>
        <w:tc>
          <w:tcPr>
            <w:tcW w:w="7938" w:type="dxa"/>
            <w:gridSpan w:val="7"/>
            <w:vAlign w:val="center"/>
            <w:hideMark/>
          </w:tcPr>
          <w:p w14:paraId="6F2B0D9B" w14:textId="77777777" w:rsidR="003D6F11" w:rsidRPr="00426B1C" w:rsidRDefault="003D6F11" w:rsidP="00426B1C">
            <w:pPr>
              <w:keepNext/>
              <w:rPr>
                <w:rFonts w:ascii="Arial Narrow" w:hAnsi="Arial Narrow"/>
                <w:sz w:val="20"/>
                <w:szCs w:val="20"/>
              </w:rPr>
            </w:pPr>
            <w:r w:rsidRPr="00426B1C">
              <w:rPr>
                <w:rFonts w:ascii="Arial Narrow" w:hAnsi="Arial Narrow"/>
                <w:b/>
                <w:bCs/>
                <w:sz w:val="20"/>
                <w:szCs w:val="20"/>
              </w:rPr>
              <w:t>Clinical criteria:</w:t>
            </w:r>
          </w:p>
        </w:tc>
      </w:tr>
      <w:tr w:rsidR="003D6F11" w:rsidRPr="00426B1C" w14:paraId="62DF7776" w14:textId="77777777" w:rsidTr="003D6F11">
        <w:tblPrEx>
          <w:tblCellMar>
            <w:top w:w="15" w:type="dxa"/>
            <w:left w:w="15" w:type="dxa"/>
            <w:bottom w:w="15" w:type="dxa"/>
            <w:right w:w="15" w:type="dxa"/>
          </w:tblCellMar>
          <w:tblLook w:val="04A0" w:firstRow="1" w:lastRow="0" w:firstColumn="1" w:lastColumn="0" w:noHBand="0" w:noVBand="1"/>
        </w:tblPrEx>
        <w:trPr>
          <w:cantSplit/>
        </w:trPr>
        <w:tc>
          <w:tcPr>
            <w:tcW w:w="1129" w:type="dxa"/>
            <w:gridSpan w:val="2"/>
            <w:vAlign w:val="center"/>
          </w:tcPr>
          <w:p w14:paraId="19A27910"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090B2D63" w14:textId="77777777" w:rsidR="003D6F11" w:rsidRPr="00426B1C" w:rsidRDefault="003D6F11" w:rsidP="00287E78">
            <w:pPr>
              <w:rPr>
                <w:rFonts w:ascii="Arial Narrow" w:hAnsi="Arial Narrow"/>
                <w:strike/>
                <w:sz w:val="20"/>
                <w:szCs w:val="20"/>
              </w:rPr>
            </w:pPr>
            <w:r w:rsidRPr="00426B1C">
              <w:rPr>
                <w:rFonts w:ascii="Arial Narrow" w:hAnsi="Arial Narrow"/>
                <w:strike/>
                <w:sz w:val="20"/>
                <w:szCs w:val="20"/>
              </w:rPr>
              <w:t>Patient must have renal impairment defined as a creatinine clearance of ≥ 30 mL/min but &lt; 70 mL/min,</w:t>
            </w:r>
          </w:p>
          <w:p w14:paraId="0CD8E8E3" w14:textId="77777777" w:rsidR="003D6F11" w:rsidRPr="00426B1C" w:rsidRDefault="003D6F11" w:rsidP="00287E78">
            <w:pPr>
              <w:rPr>
                <w:rFonts w:ascii="Arial Narrow" w:hAnsi="Arial Narrow"/>
                <w:i/>
                <w:iCs/>
                <w:sz w:val="20"/>
                <w:szCs w:val="20"/>
              </w:rPr>
            </w:pPr>
            <w:r w:rsidRPr="00426B1C">
              <w:rPr>
                <w:rFonts w:ascii="Arial Narrow" w:hAnsi="Arial Narrow"/>
                <w:i/>
                <w:iCs/>
                <w:sz w:val="20"/>
                <w:szCs w:val="20"/>
              </w:rPr>
              <w:t>Patient must have a creatinine clearance less than 70 mL/min.</w:t>
            </w:r>
          </w:p>
          <w:p w14:paraId="786B0F99" w14:textId="77777777" w:rsidR="003D6F11" w:rsidRPr="00426B1C" w:rsidRDefault="003D6F11" w:rsidP="00287E78">
            <w:pPr>
              <w:rPr>
                <w:rFonts w:ascii="Arial Narrow" w:hAnsi="Arial Narrow"/>
                <w:sz w:val="20"/>
                <w:szCs w:val="20"/>
              </w:rPr>
            </w:pPr>
            <w:r w:rsidRPr="00426B1C">
              <w:rPr>
                <w:rFonts w:ascii="Arial Narrow" w:hAnsi="Arial Narrow"/>
                <w:strike/>
                <w:sz w:val="20"/>
                <w:szCs w:val="20"/>
              </w:rPr>
              <w:t>AND/</w:t>
            </w:r>
            <w:r w:rsidRPr="00426B1C">
              <w:rPr>
                <w:rFonts w:ascii="Arial Narrow" w:hAnsi="Arial Narrow"/>
                <w:sz w:val="20"/>
                <w:szCs w:val="20"/>
              </w:rPr>
              <w:t>OR</w:t>
            </w:r>
          </w:p>
          <w:p w14:paraId="3E425732" w14:textId="77777777" w:rsidR="003D6F11" w:rsidRPr="00426B1C" w:rsidRDefault="003D6F11" w:rsidP="00287E78">
            <w:pPr>
              <w:rPr>
                <w:rFonts w:ascii="Arial Narrow" w:hAnsi="Arial Narrow"/>
                <w:sz w:val="20"/>
                <w:szCs w:val="20"/>
              </w:rPr>
            </w:pPr>
            <w:r w:rsidRPr="00426B1C">
              <w:rPr>
                <w:rFonts w:ascii="Arial Narrow" w:hAnsi="Arial Narrow"/>
                <w:sz w:val="20"/>
                <w:szCs w:val="20"/>
              </w:rPr>
              <w:t xml:space="preserve">Patient </w:t>
            </w:r>
            <w:r w:rsidRPr="00426B1C">
              <w:rPr>
                <w:rFonts w:ascii="Arial Narrow" w:hAnsi="Arial Narrow"/>
                <w:i/>
                <w:iCs/>
                <w:sz w:val="20"/>
                <w:szCs w:val="20"/>
              </w:rPr>
              <w:t xml:space="preserve">must have </w:t>
            </w:r>
            <w:proofErr w:type="gramStart"/>
            <w:r w:rsidRPr="00426B1C">
              <w:rPr>
                <w:rFonts w:ascii="Arial Narrow" w:hAnsi="Arial Narrow"/>
                <w:strike/>
                <w:sz w:val="20"/>
                <w:szCs w:val="20"/>
              </w:rPr>
              <w:t>has</w:t>
            </w:r>
            <w:proofErr w:type="gramEnd"/>
            <w:r w:rsidRPr="00426B1C">
              <w:rPr>
                <w:rFonts w:ascii="Arial Narrow" w:hAnsi="Arial Narrow"/>
                <w:sz w:val="20"/>
                <w:szCs w:val="20"/>
              </w:rPr>
              <w:t xml:space="preserve"> bulky disease (lymph nodes ≥5 cm), </w:t>
            </w:r>
          </w:p>
          <w:p w14:paraId="1217E153" w14:textId="77777777" w:rsidR="003D6F11" w:rsidRPr="00426B1C" w:rsidRDefault="003D6F11" w:rsidP="00287E78">
            <w:pPr>
              <w:rPr>
                <w:rFonts w:ascii="Arial Narrow" w:hAnsi="Arial Narrow"/>
                <w:sz w:val="20"/>
                <w:szCs w:val="20"/>
              </w:rPr>
            </w:pPr>
            <w:r w:rsidRPr="00426B1C">
              <w:rPr>
                <w:rFonts w:ascii="Arial Narrow" w:hAnsi="Arial Narrow"/>
                <w:sz w:val="20"/>
                <w:szCs w:val="20"/>
              </w:rPr>
              <w:t>OR</w:t>
            </w:r>
          </w:p>
          <w:p w14:paraId="392BDD8F" w14:textId="77777777" w:rsidR="003D6F11" w:rsidRPr="00426B1C" w:rsidRDefault="003D6F11" w:rsidP="00287E78">
            <w:pPr>
              <w:rPr>
                <w:rFonts w:ascii="Arial Narrow" w:hAnsi="Arial Narrow"/>
                <w:sz w:val="20"/>
                <w:szCs w:val="20"/>
              </w:rPr>
            </w:pPr>
            <w:r w:rsidRPr="00426B1C">
              <w:rPr>
                <w:rFonts w:ascii="Arial Narrow" w:hAnsi="Arial Narrow"/>
                <w:sz w:val="20"/>
                <w:szCs w:val="20"/>
              </w:rPr>
              <w:t xml:space="preserve">Patient </w:t>
            </w:r>
            <w:r w:rsidRPr="00426B1C">
              <w:rPr>
                <w:rFonts w:ascii="Arial Narrow" w:hAnsi="Arial Narrow"/>
                <w:i/>
                <w:iCs/>
                <w:sz w:val="20"/>
                <w:szCs w:val="20"/>
              </w:rPr>
              <w:t xml:space="preserve">must have </w:t>
            </w:r>
            <w:proofErr w:type="gramStart"/>
            <w:r w:rsidRPr="00426B1C">
              <w:rPr>
                <w:rFonts w:ascii="Arial Narrow" w:hAnsi="Arial Narrow"/>
                <w:strike/>
                <w:sz w:val="20"/>
                <w:szCs w:val="20"/>
              </w:rPr>
              <w:t>has</w:t>
            </w:r>
            <w:proofErr w:type="gramEnd"/>
            <w:r w:rsidRPr="00426B1C">
              <w:rPr>
                <w:rFonts w:ascii="Arial Narrow" w:hAnsi="Arial Narrow"/>
                <w:sz w:val="20"/>
                <w:szCs w:val="20"/>
              </w:rPr>
              <w:t xml:space="preserve"> moderate or high risk of </w:t>
            </w:r>
            <w:r w:rsidRPr="00426B1C">
              <w:rPr>
                <w:rFonts w:ascii="Arial Narrow" w:hAnsi="Arial Narrow"/>
                <w:i/>
                <w:iCs/>
                <w:sz w:val="20"/>
                <w:szCs w:val="20"/>
              </w:rPr>
              <w:t>developing</w:t>
            </w:r>
            <w:r w:rsidRPr="00426B1C">
              <w:rPr>
                <w:rFonts w:ascii="Arial Narrow" w:hAnsi="Arial Narrow"/>
                <w:sz w:val="20"/>
                <w:szCs w:val="20"/>
              </w:rPr>
              <w:t xml:space="preserve"> tumour lysis syndrome (TLS),</w:t>
            </w:r>
          </w:p>
        </w:tc>
      </w:tr>
      <w:tr w:rsidR="003D6F11" w:rsidRPr="00426B1C" w14:paraId="6164FB02"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31F6D2C5"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65008E6E"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AND</w:t>
            </w:r>
          </w:p>
        </w:tc>
      </w:tr>
      <w:tr w:rsidR="003D6F11" w:rsidRPr="00426B1C" w14:paraId="28D897C4"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79FE6EE3"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30F101A3"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Clinical criteria:</w:t>
            </w:r>
          </w:p>
        </w:tc>
      </w:tr>
      <w:tr w:rsidR="003D6F11" w:rsidRPr="00426B1C" w14:paraId="38415448"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184313F8"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6061DBCC" w14:textId="77777777" w:rsidR="003D6F11" w:rsidRPr="00426B1C" w:rsidRDefault="003D6F11" w:rsidP="00287E78">
            <w:pPr>
              <w:rPr>
                <w:rFonts w:ascii="Arial Narrow" w:hAnsi="Arial Narrow"/>
                <w:strike/>
                <w:sz w:val="20"/>
                <w:szCs w:val="20"/>
              </w:rPr>
            </w:pPr>
            <w:r w:rsidRPr="00426B1C">
              <w:rPr>
                <w:rFonts w:ascii="Arial Narrow" w:hAnsi="Arial Narrow"/>
                <w:strike/>
                <w:sz w:val="20"/>
                <w:szCs w:val="20"/>
              </w:rPr>
              <w:t xml:space="preserve">Patient is unsuitable for </w:t>
            </w:r>
            <w:proofErr w:type="spellStart"/>
            <w:r w:rsidRPr="00426B1C">
              <w:rPr>
                <w:rFonts w:ascii="Arial Narrow" w:hAnsi="Arial Narrow"/>
                <w:strike/>
                <w:sz w:val="20"/>
                <w:szCs w:val="20"/>
              </w:rPr>
              <w:t>venetoclax</w:t>
            </w:r>
            <w:proofErr w:type="spellEnd"/>
            <w:r w:rsidRPr="00426B1C">
              <w:rPr>
                <w:rFonts w:ascii="Arial Narrow" w:hAnsi="Arial Narrow"/>
                <w:strike/>
                <w:sz w:val="20"/>
                <w:szCs w:val="20"/>
              </w:rPr>
              <w:t xml:space="preserve"> in combination with </w:t>
            </w:r>
            <w:proofErr w:type="spellStart"/>
            <w:r w:rsidRPr="00426B1C">
              <w:rPr>
                <w:rFonts w:ascii="Arial Narrow" w:hAnsi="Arial Narrow"/>
                <w:strike/>
                <w:sz w:val="20"/>
                <w:szCs w:val="20"/>
              </w:rPr>
              <w:t>obinutuzumab</w:t>
            </w:r>
            <w:proofErr w:type="spellEnd"/>
            <w:r w:rsidRPr="00426B1C">
              <w:rPr>
                <w:rFonts w:ascii="Arial Narrow" w:hAnsi="Arial Narrow"/>
                <w:strike/>
                <w:sz w:val="20"/>
                <w:szCs w:val="20"/>
              </w:rPr>
              <w:t xml:space="preserve"> as unable to comply with monitoring requirements for tumour lysis syndrome (TLS) prophylaxis and </w:t>
            </w:r>
            <w:proofErr w:type="spellStart"/>
            <w:r w:rsidRPr="00426B1C">
              <w:rPr>
                <w:rFonts w:ascii="Arial Narrow" w:hAnsi="Arial Narrow"/>
                <w:strike/>
                <w:sz w:val="20"/>
                <w:szCs w:val="20"/>
              </w:rPr>
              <w:t>venetoclax</w:t>
            </w:r>
            <w:proofErr w:type="spellEnd"/>
            <w:r w:rsidRPr="00426B1C">
              <w:rPr>
                <w:rFonts w:ascii="Arial Narrow" w:hAnsi="Arial Narrow"/>
                <w:strike/>
                <w:sz w:val="20"/>
                <w:szCs w:val="20"/>
              </w:rPr>
              <w:t xml:space="preserve"> dose escalation schedule.</w:t>
            </w:r>
          </w:p>
          <w:p w14:paraId="2539FE9F" w14:textId="77777777" w:rsidR="003D6F11" w:rsidRPr="00426B1C" w:rsidRDefault="003D6F11" w:rsidP="00287E78">
            <w:pPr>
              <w:rPr>
                <w:rFonts w:ascii="Arial Narrow" w:hAnsi="Arial Narrow"/>
                <w:bCs/>
                <w:i/>
                <w:iCs/>
                <w:sz w:val="20"/>
                <w:szCs w:val="20"/>
              </w:rPr>
            </w:pPr>
            <w:r w:rsidRPr="00426B1C">
              <w:rPr>
                <w:rFonts w:ascii="Arial Narrow" w:hAnsi="Arial Narrow"/>
                <w:bCs/>
                <w:i/>
                <w:iCs/>
                <w:sz w:val="20"/>
                <w:szCs w:val="20"/>
              </w:rPr>
              <w:t xml:space="preserve">Patient must be unsuitable for </w:t>
            </w:r>
            <w:proofErr w:type="spellStart"/>
            <w:r w:rsidRPr="00426B1C">
              <w:rPr>
                <w:rFonts w:ascii="Arial Narrow" w:hAnsi="Arial Narrow"/>
                <w:bCs/>
                <w:i/>
                <w:iCs/>
                <w:sz w:val="20"/>
                <w:szCs w:val="20"/>
              </w:rPr>
              <w:t>venetoclax</w:t>
            </w:r>
            <w:proofErr w:type="spellEnd"/>
            <w:r w:rsidRPr="00426B1C">
              <w:rPr>
                <w:rFonts w:ascii="Arial Narrow" w:hAnsi="Arial Narrow"/>
                <w:bCs/>
                <w:i/>
                <w:iCs/>
                <w:sz w:val="20"/>
                <w:szCs w:val="20"/>
              </w:rPr>
              <w:t xml:space="preserve"> in combination with </w:t>
            </w:r>
            <w:proofErr w:type="spellStart"/>
            <w:r w:rsidRPr="00426B1C">
              <w:rPr>
                <w:rFonts w:ascii="Arial Narrow" w:hAnsi="Arial Narrow"/>
                <w:bCs/>
                <w:i/>
                <w:iCs/>
                <w:sz w:val="20"/>
                <w:szCs w:val="20"/>
              </w:rPr>
              <w:t>obinutuzumab</w:t>
            </w:r>
            <w:proofErr w:type="spellEnd"/>
            <w:r w:rsidRPr="00426B1C">
              <w:rPr>
                <w:rFonts w:ascii="Arial Narrow" w:hAnsi="Arial Narrow"/>
                <w:bCs/>
                <w:i/>
                <w:iCs/>
                <w:sz w:val="20"/>
                <w:szCs w:val="20"/>
              </w:rPr>
              <w:t xml:space="preserve"> for the treatment of CLL/SLL as unable to comply with the monitoring requirements for tumour lysis syndrome (TLS) prophylaxis,</w:t>
            </w:r>
          </w:p>
          <w:p w14:paraId="3CE9E79D" w14:textId="77777777" w:rsidR="003D6F11" w:rsidRPr="00426B1C" w:rsidRDefault="003D6F11" w:rsidP="00287E78">
            <w:pPr>
              <w:rPr>
                <w:rFonts w:ascii="Arial Narrow" w:hAnsi="Arial Narrow"/>
                <w:bCs/>
                <w:i/>
                <w:iCs/>
                <w:sz w:val="20"/>
                <w:szCs w:val="20"/>
              </w:rPr>
            </w:pPr>
            <w:r w:rsidRPr="00426B1C">
              <w:rPr>
                <w:rFonts w:ascii="Arial Narrow" w:hAnsi="Arial Narrow"/>
                <w:bCs/>
                <w:i/>
                <w:iCs/>
                <w:sz w:val="20"/>
                <w:szCs w:val="20"/>
              </w:rPr>
              <w:t>OR</w:t>
            </w:r>
          </w:p>
          <w:p w14:paraId="7467414E" w14:textId="77777777" w:rsidR="003D6F11" w:rsidRPr="00426B1C" w:rsidRDefault="003D6F11" w:rsidP="00287E78">
            <w:pPr>
              <w:rPr>
                <w:rFonts w:ascii="Arial Narrow" w:hAnsi="Arial Narrow"/>
                <w:strike/>
                <w:sz w:val="20"/>
                <w:szCs w:val="20"/>
              </w:rPr>
            </w:pPr>
            <w:r w:rsidRPr="00426B1C">
              <w:rPr>
                <w:rFonts w:ascii="Arial Narrow" w:hAnsi="Arial Narrow"/>
                <w:bCs/>
                <w:i/>
                <w:iCs/>
                <w:sz w:val="20"/>
                <w:szCs w:val="20"/>
              </w:rPr>
              <w:t xml:space="preserve">Patient must be unsuitable for </w:t>
            </w:r>
            <w:proofErr w:type="spellStart"/>
            <w:r w:rsidRPr="00426B1C">
              <w:rPr>
                <w:rFonts w:ascii="Arial Narrow" w:hAnsi="Arial Narrow"/>
                <w:bCs/>
                <w:i/>
                <w:iCs/>
                <w:sz w:val="20"/>
                <w:szCs w:val="20"/>
              </w:rPr>
              <w:t>venetoclax</w:t>
            </w:r>
            <w:proofErr w:type="spellEnd"/>
            <w:r w:rsidRPr="00426B1C">
              <w:rPr>
                <w:rFonts w:ascii="Arial Narrow" w:hAnsi="Arial Narrow"/>
                <w:bCs/>
                <w:i/>
                <w:iCs/>
                <w:sz w:val="20"/>
                <w:szCs w:val="20"/>
              </w:rPr>
              <w:t xml:space="preserve"> in combination with </w:t>
            </w:r>
            <w:proofErr w:type="spellStart"/>
            <w:r w:rsidRPr="00426B1C">
              <w:rPr>
                <w:rFonts w:ascii="Arial Narrow" w:hAnsi="Arial Narrow"/>
                <w:bCs/>
                <w:i/>
                <w:iCs/>
                <w:sz w:val="20"/>
                <w:szCs w:val="20"/>
              </w:rPr>
              <w:t>obinutuzumab</w:t>
            </w:r>
            <w:proofErr w:type="spellEnd"/>
            <w:r w:rsidRPr="00426B1C">
              <w:rPr>
                <w:rFonts w:ascii="Arial Narrow" w:hAnsi="Arial Narrow"/>
                <w:bCs/>
                <w:i/>
                <w:iCs/>
                <w:sz w:val="20"/>
                <w:szCs w:val="20"/>
              </w:rPr>
              <w:t xml:space="preserve"> for the treatment of CLL/SLL as unable to comply with the </w:t>
            </w:r>
            <w:proofErr w:type="spellStart"/>
            <w:r w:rsidRPr="00426B1C">
              <w:rPr>
                <w:rFonts w:ascii="Arial Narrow" w:hAnsi="Arial Narrow"/>
                <w:bCs/>
                <w:i/>
                <w:iCs/>
                <w:sz w:val="20"/>
                <w:szCs w:val="20"/>
              </w:rPr>
              <w:t>venetoclax</w:t>
            </w:r>
            <w:proofErr w:type="spellEnd"/>
            <w:r w:rsidRPr="00426B1C">
              <w:rPr>
                <w:rFonts w:ascii="Arial Narrow" w:hAnsi="Arial Narrow"/>
                <w:bCs/>
                <w:i/>
                <w:iCs/>
                <w:sz w:val="20"/>
                <w:szCs w:val="20"/>
              </w:rPr>
              <w:t xml:space="preserve"> dose escalation schedule,</w:t>
            </w:r>
          </w:p>
        </w:tc>
      </w:tr>
      <w:tr w:rsidR="003D6F11" w:rsidRPr="00426B1C" w14:paraId="6BE02B6F"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3D4B2D3E"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08136A42" w14:textId="77777777" w:rsidR="003D6F11" w:rsidRPr="00426B1C" w:rsidRDefault="003D6F11" w:rsidP="00287E78">
            <w:pPr>
              <w:rPr>
                <w:rFonts w:ascii="Arial Narrow" w:hAnsi="Arial Narrow"/>
                <w:strike/>
                <w:sz w:val="20"/>
                <w:szCs w:val="20"/>
              </w:rPr>
            </w:pPr>
            <w:r w:rsidRPr="00426B1C">
              <w:rPr>
                <w:rFonts w:ascii="Arial Narrow" w:hAnsi="Arial Narrow"/>
                <w:b/>
                <w:bCs/>
                <w:i/>
                <w:iCs/>
                <w:sz w:val="20"/>
                <w:szCs w:val="20"/>
              </w:rPr>
              <w:t xml:space="preserve">Clinical criteria: </w:t>
            </w:r>
          </w:p>
        </w:tc>
      </w:tr>
      <w:tr w:rsidR="003D6F11" w:rsidRPr="00426B1C" w14:paraId="079D4B46"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11EF29C7"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1F2272DD" w14:textId="77777777" w:rsidR="003D6F11" w:rsidRPr="00426B1C" w:rsidRDefault="003D6F11" w:rsidP="00287E78">
            <w:pPr>
              <w:rPr>
                <w:rFonts w:ascii="Arial Narrow" w:hAnsi="Arial Narrow"/>
                <w:strike/>
                <w:sz w:val="20"/>
                <w:szCs w:val="20"/>
              </w:rPr>
            </w:pPr>
            <w:r w:rsidRPr="00426B1C">
              <w:rPr>
                <w:rFonts w:ascii="Arial Narrow" w:hAnsi="Arial Narrow"/>
                <w:i/>
                <w:iCs/>
                <w:sz w:val="20"/>
                <w:szCs w:val="20"/>
              </w:rPr>
              <w:t>The treatment must be as monotherapy for this condition</w:t>
            </w:r>
          </w:p>
        </w:tc>
      </w:tr>
      <w:tr w:rsidR="003D6F11" w:rsidRPr="00426B1C" w14:paraId="75D40F58" w14:textId="77777777" w:rsidTr="003D6F11">
        <w:tblPrEx>
          <w:tblCellMar>
            <w:top w:w="15" w:type="dxa"/>
            <w:left w:w="15" w:type="dxa"/>
            <w:bottom w:w="15" w:type="dxa"/>
            <w:right w:w="15" w:type="dxa"/>
          </w:tblCellMar>
          <w:tblLook w:val="04A0" w:firstRow="1" w:lastRow="0" w:firstColumn="1" w:lastColumn="0" w:noHBand="0" w:noVBand="1"/>
        </w:tblPrEx>
        <w:tc>
          <w:tcPr>
            <w:tcW w:w="9067" w:type="dxa"/>
            <w:gridSpan w:val="9"/>
          </w:tcPr>
          <w:p w14:paraId="385D7EBE" w14:textId="77777777" w:rsidR="003D6F11" w:rsidRPr="00426B1C" w:rsidRDefault="003D6F11" w:rsidP="00287E78">
            <w:pPr>
              <w:rPr>
                <w:rFonts w:ascii="Arial Narrow" w:hAnsi="Arial Narrow"/>
                <w:bCs/>
                <w:sz w:val="20"/>
                <w:szCs w:val="20"/>
              </w:rPr>
            </w:pPr>
          </w:p>
        </w:tc>
      </w:tr>
      <w:tr w:rsidR="003D6F11" w:rsidRPr="00426B1C" w14:paraId="18ABB35B" w14:textId="77777777" w:rsidTr="003D6F11">
        <w:tblPrEx>
          <w:tblCellMar>
            <w:top w:w="15" w:type="dxa"/>
            <w:left w:w="15" w:type="dxa"/>
            <w:bottom w:w="15" w:type="dxa"/>
            <w:right w:w="15" w:type="dxa"/>
          </w:tblCellMar>
          <w:tblLook w:val="04A0" w:firstRow="1" w:lastRow="0" w:firstColumn="1" w:lastColumn="0" w:noHBand="0" w:noVBand="1"/>
        </w:tblPrEx>
        <w:tc>
          <w:tcPr>
            <w:tcW w:w="9067" w:type="dxa"/>
            <w:gridSpan w:val="9"/>
          </w:tcPr>
          <w:p w14:paraId="635D9861" w14:textId="77777777" w:rsidR="003D6F11" w:rsidRPr="00426B1C" w:rsidRDefault="003D6F11" w:rsidP="00287E78">
            <w:pPr>
              <w:rPr>
                <w:rFonts w:ascii="Arial Narrow" w:hAnsi="Arial Narrow"/>
                <w:b/>
                <w:bCs/>
                <w:sz w:val="20"/>
                <w:szCs w:val="20"/>
              </w:rPr>
            </w:pPr>
            <w:r w:rsidRPr="00426B1C">
              <w:rPr>
                <w:rFonts w:ascii="Arial Narrow" w:hAnsi="Arial Narrow"/>
                <w:b/>
                <w:bCs/>
                <w:sz w:val="20"/>
                <w:szCs w:val="20"/>
              </w:rPr>
              <w:t xml:space="preserve">Restriction Summary [new] / Treatment of Concept: [new] </w:t>
            </w:r>
          </w:p>
        </w:tc>
      </w:tr>
      <w:tr w:rsidR="003D6F11" w:rsidRPr="00426B1C" w14:paraId="50C064B0"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Merge w:val="restart"/>
            <w:tcBorders>
              <w:top w:val="single" w:sz="4" w:space="0" w:color="auto"/>
              <w:left w:val="single" w:sz="4" w:space="0" w:color="auto"/>
              <w:right w:val="single" w:sz="4" w:space="0" w:color="auto"/>
            </w:tcBorders>
          </w:tcPr>
          <w:p w14:paraId="0E0C760A"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0F191828" w14:textId="77777777" w:rsidR="003D6F11" w:rsidRPr="00426B1C" w:rsidRDefault="003D6F11" w:rsidP="00287E78">
            <w:pPr>
              <w:rPr>
                <w:rFonts w:ascii="Arial Narrow" w:hAnsi="Arial Narrow"/>
                <w:sz w:val="20"/>
                <w:szCs w:val="20"/>
              </w:rPr>
            </w:pPr>
            <w:r w:rsidRPr="00426B1C">
              <w:rPr>
                <w:rFonts w:ascii="Arial Narrow" w:hAnsi="Arial Narrow"/>
                <w:b/>
                <w:sz w:val="20"/>
                <w:szCs w:val="20"/>
              </w:rPr>
              <w:t xml:space="preserve">Category / Program: </w:t>
            </w:r>
            <w:r w:rsidRPr="00426B1C">
              <w:rPr>
                <w:rFonts w:ascii="Arial Narrow" w:hAnsi="Arial Narrow"/>
                <w:sz w:val="20"/>
                <w:szCs w:val="20"/>
              </w:rPr>
              <w:t>GENERAL – General Schedule (Code GE)</w:t>
            </w:r>
          </w:p>
        </w:tc>
      </w:tr>
      <w:tr w:rsidR="003D6F11" w:rsidRPr="00426B1C" w14:paraId="4A3C9F64" w14:textId="77777777" w:rsidTr="003D6F11">
        <w:tblPrEx>
          <w:tblCellMar>
            <w:top w:w="15" w:type="dxa"/>
            <w:left w:w="15" w:type="dxa"/>
            <w:bottom w:w="15" w:type="dxa"/>
            <w:right w:w="15" w:type="dxa"/>
          </w:tblCellMar>
          <w:tblLook w:val="04A0" w:firstRow="1" w:lastRow="0" w:firstColumn="1" w:lastColumn="0" w:noHBand="0" w:noVBand="1"/>
        </w:tblPrEx>
        <w:trPr>
          <w:trHeight w:val="240"/>
        </w:trPr>
        <w:tc>
          <w:tcPr>
            <w:tcW w:w="1129" w:type="dxa"/>
            <w:gridSpan w:val="2"/>
            <w:vMerge/>
            <w:tcBorders>
              <w:left w:val="single" w:sz="4" w:space="0" w:color="auto"/>
              <w:right w:val="single" w:sz="4" w:space="0" w:color="auto"/>
            </w:tcBorders>
          </w:tcPr>
          <w:p w14:paraId="7FE38994" w14:textId="77777777" w:rsidR="003D6F11" w:rsidRPr="00A24FFE" w:rsidRDefault="003D6F11" w:rsidP="00287E78">
            <w:pP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5721E435" w14:textId="77777777" w:rsidR="003D6F11" w:rsidRPr="00426B1C" w:rsidRDefault="003D6F11" w:rsidP="00287E78">
            <w:pPr>
              <w:rPr>
                <w:rFonts w:ascii="Arial Narrow" w:hAnsi="Arial Narrow"/>
                <w:b/>
                <w:sz w:val="20"/>
                <w:szCs w:val="20"/>
              </w:rPr>
            </w:pPr>
            <w:r w:rsidRPr="00A24FFE">
              <w:rPr>
                <w:rFonts w:ascii="Arial Narrow" w:hAnsi="Arial Narrow"/>
                <w:b/>
                <w:sz w:val="20"/>
                <w:szCs w:val="20"/>
              </w:rPr>
              <w:t xml:space="preserve">Prescriber type: </w:t>
            </w:r>
            <w:r w:rsidRPr="00426B1C">
              <w:rPr>
                <w:rFonts w:ascii="Arial Narrow" w:hAnsi="Arial Narrow"/>
                <w:sz w:val="20"/>
                <w:szCs w:val="20"/>
              </w:rPr>
              <w:fldChar w:fldCharType="begin">
                <w:ffData>
                  <w:name w:val=""/>
                  <w:enabled/>
                  <w:calcOnExit w:val="0"/>
                  <w:checkBox>
                    <w:sizeAuto/>
                    <w:default w:val="1"/>
                  </w:checkBox>
                </w:ffData>
              </w:fldChar>
            </w:r>
            <w:r w:rsidRPr="00A24FFE">
              <w:rPr>
                <w:rFonts w:ascii="Arial Narrow" w:hAnsi="Arial Narrow"/>
                <w:sz w:val="20"/>
                <w:szCs w:val="20"/>
              </w:rPr>
              <w:instrText xml:space="preserve"> FORMCHECKBOX </w:instrText>
            </w:r>
            <w:r w:rsidR="00330E7C">
              <w:rPr>
                <w:rFonts w:ascii="Arial Narrow" w:hAnsi="Arial Narrow"/>
                <w:sz w:val="20"/>
                <w:szCs w:val="20"/>
              </w:rPr>
            </w:r>
            <w:r w:rsidR="00330E7C">
              <w:rPr>
                <w:rFonts w:ascii="Arial Narrow" w:hAnsi="Arial Narrow"/>
                <w:sz w:val="20"/>
                <w:szCs w:val="20"/>
              </w:rPr>
              <w:fldChar w:fldCharType="separate"/>
            </w:r>
            <w:r w:rsidRPr="00426B1C">
              <w:rPr>
                <w:rFonts w:ascii="Arial Narrow" w:hAnsi="Arial Narrow"/>
                <w:sz w:val="20"/>
                <w:szCs w:val="20"/>
              </w:rPr>
              <w:fldChar w:fldCharType="end"/>
            </w:r>
            <w:r w:rsidRPr="00426B1C">
              <w:rPr>
                <w:rFonts w:ascii="Arial Narrow" w:hAnsi="Arial Narrow"/>
                <w:sz w:val="20"/>
                <w:szCs w:val="20"/>
              </w:rPr>
              <w:t>Medical Practitioners</w:t>
            </w:r>
          </w:p>
        </w:tc>
      </w:tr>
      <w:tr w:rsidR="003D6F11" w:rsidRPr="00426B1C" w14:paraId="7839E9EC"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Merge/>
            <w:tcBorders>
              <w:left w:val="single" w:sz="4" w:space="0" w:color="auto"/>
              <w:bottom w:val="single" w:sz="4" w:space="0" w:color="auto"/>
              <w:right w:val="single" w:sz="4" w:space="0" w:color="auto"/>
            </w:tcBorders>
          </w:tcPr>
          <w:p w14:paraId="12BBACE0" w14:textId="77777777" w:rsidR="003D6F11" w:rsidRPr="00A24FFE" w:rsidRDefault="003D6F11" w:rsidP="00287E78">
            <w:pP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tcPr>
          <w:p w14:paraId="44E3D648" w14:textId="77777777" w:rsidR="003D6F11" w:rsidRPr="00A24FFE" w:rsidRDefault="003D6F11" w:rsidP="00287E78">
            <w:pPr>
              <w:rPr>
                <w:rFonts w:ascii="Arial Narrow" w:hAnsi="Arial Narrow"/>
                <w:b/>
                <w:sz w:val="20"/>
                <w:szCs w:val="20"/>
              </w:rPr>
            </w:pPr>
            <w:r w:rsidRPr="00A24FFE">
              <w:rPr>
                <w:rFonts w:ascii="Arial Narrow" w:hAnsi="Arial Narrow"/>
                <w:b/>
                <w:sz w:val="20"/>
                <w:szCs w:val="20"/>
              </w:rPr>
              <w:t>Restriction type:</w:t>
            </w:r>
          </w:p>
          <w:p w14:paraId="73A057E1" w14:textId="77777777" w:rsidR="003D6F11" w:rsidRPr="00426B1C" w:rsidRDefault="003D6F11" w:rsidP="00287E78">
            <w:pPr>
              <w:rPr>
                <w:rFonts w:ascii="Arial Narrow" w:eastAsia="Calibri" w:hAnsi="Arial Narrow"/>
                <w:sz w:val="20"/>
                <w:szCs w:val="20"/>
              </w:rPr>
            </w:pPr>
            <w:r w:rsidRPr="00426B1C">
              <w:rPr>
                <w:rFonts w:ascii="Arial Narrow" w:eastAsia="Calibri" w:hAnsi="Arial Narrow"/>
                <w:sz w:val="20"/>
                <w:szCs w:val="20"/>
              </w:rPr>
              <w:fldChar w:fldCharType="begin">
                <w:ffData>
                  <w:name w:val=""/>
                  <w:enabled/>
                  <w:calcOnExit w:val="0"/>
                  <w:checkBox>
                    <w:sizeAuto/>
                    <w:default w:val="1"/>
                  </w:checkBox>
                </w:ffData>
              </w:fldChar>
            </w:r>
            <w:r w:rsidRPr="00A24FFE">
              <w:rPr>
                <w:rFonts w:ascii="Arial Narrow" w:eastAsia="Calibri" w:hAnsi="Arial Narrow"/>
                <w:sz w:val="20"/>
                <w:szCs w:val="20"/>
              </w:rPr>
              <w:instrText xml:space="preserve"> FORMCHECKBOX </w:instrText>
            </w:r>
            <w:r w:rsidR="00330E7C">
              <w:rPr>
                <w:rFonts w:ascii="Arial Narrow" w:eastAsia="Calibri" w:hAnsi="Arial Narrow"/>
                <w:sz w:val="20"/>
                <w:szCs w:val="20"/>
              </w:rPr>
            </w:r>
            <w:r w:rsidR="00330E7C">
              <w:rPr>
                <w:rFonts w:ascii="Arial Narrow" w:eastAsia="Calibri" w:hAnsi="Arial Narrow"/>
                <w:sz w:val="20"/>
                <w:szCs w:val="20"/>
              </w:rPr>
              <w:fldChar w:fldCharType="separate"/>
            </w:r>
            <w:r w:rsidRPr="00426B1C">
              <w:rPr>
                <w:rFonts w:ascii="Arial Narrow" w:eastAsia="Calibri" w:hAnsi="Arial Narrow"/>
                <w:sz w:val="20"/>
                <w:szCs w:val="20"/>
              </w:rPr>
              <w:fldChar w:fldCharType="end"/>
            </w:r>
            <w:r w:rsidRPr="00426B1C">
              <w:rPr>
                <w:rFonts w:ascii="Arial Narrow" w:eastAsia="Calibri" w:hAnsi="Arial Narrow"/>
                <w:strike/>
                <w:sz w:val="20"/>
                <w:szCs w:val="20"/>
              </w:rPr>
              <w:t>Authority Required – Streamlined</w:t>
            </w:r>
            <w:r w:rsidRPr="00426B1C">
              <w:rPr>
                <w:rFonts w:ascii="Arial Narrow" w:eastAsia="Calibri" w:hAnsi="Arial Narrow"/>
                <w:sz w:val="20"/>
                <w:szCs w:val="20"/>
              </w:rPr>
              <w:t xml:space="preserve"> </w:t>
            </w:r>
          </w:p>
          <w:p w14:paraId="695836C4" w14:textId="77777777" w:rsidR="003D6F11" w:rsidRPr="00426B1C" w:rsidRDefault="003D6F11" w:rsidP="00287E78">
            <w:pPr>
              <w:rPr>
                <w:rFonts w:ascii="Arial Narrow" w:eastAsia="Calibri" w:hAnsi="Arial Narrow"/>
                <w:sz w:val="20"/>
                <w:szCs w:val="20"/>
              </w:rPr>
            </w:pPr>
            <w:r w:rsidRPr="00426B1C">
              <w:rPr>
                <w:rFonts w:ascii="Arial Narrow" w:eastAsia="Calibri" w:hAnsi="Arial Narrow"/>
                <w:sz w:val="20"/>
                <w:szCs w:val="20"/>
              </w:rPr>
              <w:fldChar w:fldCharType="begin">
                <w:ffData>
                  <w:name w:val=""/>
                  <w:enabled/>
                  <w:calcOnExit w:val="0"/>
                  <w:checkBox>
                    <w:sizeAuto/>
                    <w:default w:val="1"/>
                  </w:checkBox>
                </w:ffData>
              </w:fldChar>
            </w:r>
            <w:r w:rsidRPr="00426B1C">
              <w:rPr>
                <w:rFonts w:ascii="Arial Narrow" w:eastAsia="Calibri" w:hAnsi="Arial Narrow"/>
                <w:sz w:val="20"/>
                <w:szCs w:val="20"/>
              </w:rPr>
              <w:instrText xml:space="preserve"> FORMCHECKBOX </w:instrText>
            </w:r>
            <w:r w:rsidR="00330E7C">
              <w:rPr>
                <w:rFonts w:ascii="Arial Narrow" w:eastAsia="Calibri" w:hAnsi="Arial Narrow"/>
                <w:sz w:val="20"/>
                <w:szCs w:val="20"/>
              </w:rPr>
            </w:r>
            <w:r w:rsidR="00330E7C">
              <w:rPr>
                <w:rFonts w:ascii="Arial Narrow" w:eastAsia="Calibri" w:hAnsi="Arial Narrow"/>
                <w:sz w:val="20"/>
                <w:szCs w:val="20"/>
              </w:rPr>
              <w:fldChar w:fldCharType="separate"/>
            </w:r>
            <w:r w:rsidRPr="00426B1C">
              <w:rPr>
                <w:rFonts w:ascii="Arial Narrow" w:eastAsia="Calibri" w:hAnsi="Arial Narrow"/>
                <w:sz w:val="20"/>
                <w:szCs w:val="20"/>
              </w:rPr>
              <w:fldChar w:fldCharType="end"/>
            </w:r>
            <w:r w:rsidRPr="00426B1C">
              <w:rPr>
                <w:rFonts w:ascii="Arial Narrow" w:eastAsia="Calibri" w:hAnsi="Arial Narrow"/>
                <w:i/>
                <w:iCs/>
                <w:sz w:val="20"/>
                <w:szCs w:val="20"/>
              </w:rPr>
              <w:t>Authority Required via Online PBS Authorities</w:t>
            </w:r>
          </w:p>
        </w:tc>
      </w:tr>
      <w:tr w:rsidR="003D6F11" w:rsidRPr="00426B1C" w14:paraId="6084B9A7"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Merge/>
            <w:vAlign w:val="center"/>
          </w:tcPr>
          <w:p w14:paraId="60CFF213" w14:textId="77777777" w:rsidR="003D6F11" w:rsidRPr="00A24FFE" w:rsidRDefault="003D6F11" w:rsidP="00287E78">
            <w:pPr>
              <w:jc w:val="center"/>
              <w:rPr>
                <w:rFonts w:ascii="Arial Narrow" w:hAnsi="Arial Narrow"/>
                <w:sz w:val="20"/>
                <w:szCs w:val="20"/>
              </w:rPr>
            </w:pPr>
          </w:p>
        </w:tc>
        <w:tc>
          <w:tcPr>
            <w:tcW w:w="7938" w:type="dxa"/>
            <w:gridSpan w:val="7"/>
            <w:vAlign w:val="center"/>
          </w:tcPr>
          <w:p w14:paraId="2486C01C" w14:textId="77777777" w:rsidR="003D6F11" w:rsidRPr="00A24FFE" w:rsidRDefault="003D6F11" w:rsidP="00287E78">
            <w:pPr>
              <w:rPr>
                <w:rFonts w:ascii="Arial Narrow" w:hAnsi="Arial Narrow"/>
                <w:b/>
                <w:bCs/>
                <w:sz w:val="20"/>
                <w:szCs w:val="20"/>
              </w:rPr>
            </w:pPr>
            <w:r w:rsidRPr="00A24FFE">
              <w:rPr>
                <w:rFonts w:ascii="Arial Narrow" w:hAnsi="Arial Narrow"/>
                <w:b/>
                <w:bCs/>
                <w:sz w:val="20"/>
                <w:szCs w:val="20"/>
              </w:rPr>
              <w:t xml:space="preserve">Condition: </w:t>
            </w:r>
            <w:r w:rsidRPr="00A24FFE">
              <w:rPr>
                <w:rFonts w:ascii="Arial Narrow" w:hAnsi="Arial Narrow"/>
                <w:sz w:val="20"/>
                <w:szCs w:val="20"/>
              </w:rPr>
              <w:t>Chronic lymphocytic leukaemia (CLL) or small lymphocytic lymphoma (SLL)</w:t>
            </w:r>
            <w:r w:rsidRPr="00A24FFE">
              <w:rPr>
                <w:rFonts w:ascii="Arial Narrow" w:hAnsi="Arial Narrow"/>
                <w:bCs/>
                <w:sz w:val="20"/>
                <w:szCs w:val="20"/>
              </w:rPr>
              <w:t xml:space="preserve"> </w:t>
            </w:r>
          </w:p>
        </w:tc>
      </w:tr>
      <w:tr w:rsidR="003D6F11" w:rsidRPr="00426B1C" w14:paraId="4CC5F4BE" w14:textId="77777777" w:rsidTr="00EB7EA3">
        <w:tblPrEx>
          <w:tblCellMar>
            <w:top w:w="15" w:type="dxa"/>
            <w:left w:w="15" w:type="dxa"/>
            <w:bottom w:w="15" w:type="dxa"/>
            <w:right w:w="15" w:type="dxa"/>
          </w:tblCellMar>
        </w:tblPrEx>
        <w:tc>
          <w:tcPr>
            <w:tcW w:w="1129" w:type="dxa"/>
            <w:gridSpan w:val="2"/>
            <w:vAlign w:val="center"/>
          </w:tcPr>
          <w:p w14:paraId="5ED32072"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64909B04" w14:textId="77777777" w:rsidR="003D6F11" w:rsidRPr="00426B1C" w:rsidRDefault="003D6F11" w:rsidP="00287E78">
            <w:pPr>
              <w:rPr>
                <w:rFonts w:ascii="Arial Narrow" w:hAnsi="Arial Narrow"/>
                <w:strike/>
                <w:sz w:val="20"/>
                <w:szCs w:val="20"/>
              </w:rPr>
            </w:pPr>
            <w:r w:rsidRPr="00426B1C">
              <w:rPr>
                <w:rFonts w:ascii="Arial Narrow" w:hAnsi="Arial Narrow"/>
                <w:b/>
                <w:bCs/>
                <w:sz w:val="20"/>
                <w:szCs w:val="20"/>
              </w:rPr>
              <w:t>Indication:</w:t>
            </w:r>
            <w:r w:rsidRPr="00426B1C">
              <w:rPr>
                <w:rFonts w:ascii="Arial Narrow" w:hAnsi="Arial Narrow"/>
                <w:sz w:val="20"/>
                <w:szCs w:val="20"/>
              </w:rPr>
              <w:t xml:space="preserve"> </w:t>
            </w:r>
            <w:r w:rsidRPr="00426B1C">
              <w:rPr>
                <w:rFonts w:ascii="Arial Narrow" w:hAnsi="Arial Narrow"/>
                <w:strike/>
                <w:sz w:val="20"/>
                <w:szCs w:val="20"/>
              </w:rPr>
              <w:t xml:space="preserve">Patients with previously untreated CLL/SLL </w:t>
            </w:r>
          </w:p>
          <w:p w14:paraId="1A97CDFC" w14:textId="77777777" w:rsidR="003D6F11" w:rsidRPr="00426B1C" w:rsidRDefault="003D6F11" w:rsidP="00287E78">
            <w:pPr>
              <w:rPr>
                <w:rFonts w:ascii="Arial Narrow" w:hAnsi="Arial Narrow"/>
                <w:i/>
                <w:iCs/>
                <w:sz w:val="20"/>
                <w:szCs w:val="20"/>
              </w:rPr>
            </w:pPr>
            <w:r w:rsidRPr="00426B1C">
              <w:rPr>
                <w:rFonts w:ascii="Arial Narrow" w:hAnsi="Arial Narrow"/>
                <w:i/>
                <w:iCs/>
                <w:sz w:val="20"/>
                <w:szCs w:val="20"/>
              </w:rPr>
              <w:t>Chronic lymphocytic leukaemia (CLL) or small lymphocytic lymphoma (SLL)</w:t>
            </w:r>
          </w:p>
        </w:tc>
      </w:tr>
      <w:tr w:rsidR="003D6F11" w:rsidRPr="00426B1C" w14:paraId="6649587D" w14:textId="77777777" w:rsidTr="00EB7EA3">
        <w:tblPrEx>
          <w:tblCellMar>
            <w:top w:w="15" w:type="dxa"/>
            <w:left w:w="15" w:type="dxa"/>
            <w:bottom w:w="15" w:type="dxa"/>
            <w:right w:w="15" w:type="dxa"/>
          </w:tblCellMar>
        </w:tblPrEx>
        <w:tc>
          <w:tcPr>
            <w:tcW w:w="1129" w:type="dxa"/>
            <w:gridSpan w:val="2"/>
            <w:vAlign w:val="center"/>
          </w:tcPr>
          <w:p w14:paraId="614AFFB4" w14:textId="77777777" w:rsidR="003D6F11" w:rsidRPr="00426B1C" w:rsidRDefault="003D6F11" w:rsidP="00287E78">
            <w:pPr>
              <w:jc w:val="center"/>
              <w:rPr>
                <w:rFonts w:ascii="Arial Narrow" w:hAnsi="Arial Narrow"/>
                <w:sz w:val="20"/>
                <w:szCs w:val="20"/>
              </w:rPr>
            </w:pPr>
          </w:p>
        </w:tc>
        <w:tc>
          <w:tcPr>
            <w:tcW w:w="7938" w:type="dxa"/>
            <w:gridSpan w:val="7"/>
            <w:vAlign w:val="center"/>
            <w:hideMark/>
          </w:tcPr>
          <w:p w14:paraId="15407EB3" w14:textId="77777777" w:rsidR="003D6F11" w:rsidRPr="00426B1C" w:rsidRDefault="003D6F11" w:rsidP="00287E78">
            <w:pPr>
              <w:rPr>
                <w:rFonts w:ascii="Arial Narrow" w:hAnsi="Arial Narrow"/>
                <w:sz w:val="20"/>
                <w:szCs w:val="20"/>
              </w:rPr>
            </w:pPr>
            <w:r w:rsidRPr="00426B1C">
              <w:rPr>
                <w:rFonts w:ascii="Arial Narrow" w:hAnsi="Arial Narrow"/>
                <w:b/>
                <w:bCs/>
                <w:sz w:val="20"/>
                <w:szCs w:val="20"/>
              </w:rPr>
              <w:t>Treatment Phase:</w:t>
            </w:r>
            <w:r w:rsidRPr="00426B1C">
              <w:rPr>
                <w:rFonts w:ascii="Arial Narrow" w:hAnsi="Arial Narrow"/>
                <w:sz w:val="20"/>
                <w:szCs w:val="20"/>
              </w:rPr>
              <w:t xml:space="preserve"> Continuing</w:t>
            </w:r>
          </w:p>
        </w:tc>
      </w:tr>
      <w:tr w:rsidR="003D6F11" w:rsidRPr="00426B1C" w14:paraId="4365A290" w14:textId="77777777" w:rsidTr="00EB7EA3">
        <w:tblPrEx>
          <w:tblCellMar>
            <w:top w:w="15" w:type="dxa"/>
            <w:left w:w="15" w:type="dxa"/>
            <w:bottom w:w="15" w:type="dxa"/>
            <w:right w:w="15" w:type="dxa"/>
          </w:tblCellMar>
        </w:tblPrEx>
        <w:tc>
          <w:tcPr>
            <w:tcW w:w="1129" w:type="dxa"/>
            <w:gridSpan w:val="2"/>
            <w:tcBorders>
              <w:top w:val="single" w:sz="4" w:space="0" w:color="auto"/>
              <w:left w:val="single" w:sz="4" w:space="0" w:color="auto"/>
              <w:bottom w:val="single" w:sz="4" w:space="0" w:color="auto"/>
              <w:right w:val="single" w:sz="4" w:space="0" w:color="auto"/>
            </w:tcBorders>
            <w:vAlign w:val="center"/>
          </w:tcPr>
          <w:p w14:paraId="26D4ADD8"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14:paraId="481E09AA" w14:textId="77777777" w:rsidR="003D6F11" w:rsidRPr="00426B1C" w:rsidRDefault="003D6F11" w:rsidP="00287E78">
            <w:pPr>
              <w:rPr>
                <w:rFonts w:ascii="Arial Narrow" w:hAnsi="Arial Narrow"/>
                <w:b/>
                <w:bCs/>
                <w:sz w:val="20"/>
                <w:szCs w:val="20"/>
              </w:rPr>
            </w:pPr>
            <w:r w:rsidRPr="00426B1C">
              <w:rPr>
                <w:rFonts w:ascii="Arial Narrow" w:hAnsi="Arial Narrow"/>
                <w:b/>
                <w:bCs/>
                <w:sz w:val="20"/>
                <w:szCs w:val="20"/>
              </w:rPr>
              <w:t>Clinical criteria:</w:t>
            </w:r>
          </w:p>
        </w:tc>
      </w:tr>
      <w:tr w:rsidR="003D6F11" w:rsidRPr="00426B1C" w14:paraId="2F21698F" w14:textId="77777777" w:rsidTr="00EB7EA3">
        <w:tblPrEx>
          <w:tblCellMar>
            <w:top w:w="15" w:type="dxa"/>
            <w:left w:w="15" w:type="dxa"/>
            <w:bottom w:w="15" w:type="dxa"/>
            <w:right w:w="15" w:type="dxa"/>
          </w:tblCellMar>
        </w:tblPrEx>
        <w:tc>
          <w:tcPr>
            <w:tcW w:w="1129" w:type="dxa"/>
            <w:gridSpan w:val="2"/>
            <w:tcBorders>
              <w:top w:val="single" w:sz="4" w:space="0" w:color="auto"/>
              <w:left w:val="single" w:sz="4" w:space="0" w:color="auto"/>
              <w:bottom w:val="single" w:sz="4" w:space="0" w:color="auto"/>
              <w:right w:val="single" w:sz="4" w:space="0" w:color="auto"/>
            </w:tcBorders>
            <w:vAlign w:val="center"/>
          </w:tcPr>
          <w:p w14:paraId="2D1A460E"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14:paraId="63FE5576" w14:textId="77777777" w:rsidR="003D6F11" w:rsidRPr="00426B1C" w:rsidRDefault="003D6F11" w:rsidP="00287E78">
            <w:pPr>
              <w:rPr>
                <w:rFonts w:ascii="Arial Narrow" w:hAnsi="Arial Narrow"/>
                <w:i/>
                <w:iCs/>
                <w:sz w:val="20"/>
                <w:szCs w:val="20"/>
              </w:rPr>
            </w:pPr>
            <w:r w:rsidRPr="00426B1C">
              <w:rPr>
                <w:rFonts w:ascii="Arial Narrow" w:hAnsi="Arial Narrow"/>
                <w:sz w:val="20"/>
                <w:szCs w:val="20"/>
              </w:rPr>
              <w:t>Patient must have previously received PBS-subsidised treatment with this drug for this condition,</w:t>
            </w:r>
          </w:p>
        </w:tc>
      </w:tr>
      <w:tr w:rsidR="003D6F11" w:rsidRPr="00426B1C" w14:paraId="720013BA" w14:textId="77777777" w:rsidTr="00EB7EA3">
        <w:tblPrEx>
          <w:tblCellMar>
            <w:top w:w="15" w:type="dxa"/>
            <w:left w:w="15" w:type="dxa"/>
            <w:bottom w:w="15" w:type="dxa"/>
            <w:right w:w="15" w:type="dxa"/>
          </w:tblCellMar>
        </w:tblPrEx>
        <w:tc>
          <w:tcPr>
            <w:tcW w:w="1129" w:type="dxa"/>
            <w:gridSpan w:val="2"/>
            <w:tcBorders>
              <w:top w:val="single" w:sz="4" w:space="0" w:color="auto"/>
              <w:left w:val="single" w:sz="4" w:space="0" w:color="auto"/>
              <w:bottom w:val="single" w:sz="4" w:space="0" w:color="auto"/>
              <w:right w:val="single" w:sz="4" w:space="0" w:color="auto"/>
            </w:tcBorders>
            <w:vAlign w:val="center"/>
          </w:tcPr>
          <w:p w14:paraId="2FDB56B0"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14:paraId="0C995936" w14:textId="77777777" w:rsidR="003D6F11" w:rsidRPr="00426B1C" w:rsidRDefault="003D6F11" w:rsidP="00287E78">
            <w:pPr>
              <w:rPr>
                <w:rFonts w:ascii="Arial Narrow" w:hAnsi="Arial Narrow"/>
                <w:b/>
                <w:bCs/>
                <w:sz w:val="20"/>
                <w:szCs w:val="20"/>
              </w:rPr>
            </w:pPr>
            <w:r w:rsidRPr="00426B1C">
              <w:rPr>
                <w:rFonts w:ascii="Arial Narrow" w:hAnsi="Arial Narrow"/>
                <w:b/>
                <w:bCs/>
                <w:sz w:val="20"/>
                <w:szCs w:val="20"/>
              </w:rPr>
              <w:t>AND</w:t>
            </w:r>
          </w:p>
        </w:tc>
      </w:tr>
      <w:tr w:rsidR="003D6F11" w:rsidRPr="00426B1C" w14:paraId="1CDBCA7C" w14:textId="77777777" w:rsidTr="00EB7EA3">
        <w:tblPrEx>
          <w:tblCellMar>
            <w:top w:w="15" w:type="dxa"/>
            <w:left w:w="15" w:type="dxa"/>
            <w:bottom w:w="15" w:type="dxa"/>
            <w:right w:w="15" w:type="dxa"/>
          </w:tblCellMar>
        </w:tblPrEx>
        <w:tc>
          <w:tcPr>
            <w:tcW w:w="1129" w:type="dxa"/>
            <w:gridSpan w:val="2"/>
            <w:tcBorders>
              <w:top w:val="single" w:sz="4" w:space="0" w:color="auto"/>
              <w:left w:val="single" w:sz="4" w:space="0" w:color="auto"/>
              <w:bottom w:val="single" w:sz="4" w:space="0" w:color="auto"/>
              <w:right w:val="single" w:sz="4" w:space="0" w:color="auto"/>
            </w:tcBorders>
            <w:vAlign w:val="center"/>
          </w:tcPr>
          <w:p w14:paraId="0801BFBC"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14:paraId="462537D5" w14:textId="77777777" w:rsidR="003D6F11" w:rsidRPr="00426B1C" w:rsidRDefault="003D6F11" w:rsidP="00287E78">
            <w:pPr>
              <w:rPr>
                <w:rFonts w:ascii="Arial Narrow" w:hAnsi="Arial Narrow"/>
                <w:b/>
                <w:bCs/>
                <w:sz w:val="20"/>
                <w:szCs w:val="20"/>
              </w:rPr>
            </w:pPr>
            <w:r w:rsidRPr="00426B1C">
              <w:rPr>
                <w:rFonts w:ascii="Arial Narrow" w:hAnsi="Arial Narrow"/>
                <w:b/>
                <w:bCs/>
                <w:sz w:val="20"/>
                <w:szCs w:val="20"/>
              </w:rPr>
              <w:t>Clinical criteria:</w:t>
            </w:r>
          </w:p>
        </w:tc>
      </w:tr>
      <w:tr w:rsidR="003D6F11" w:rsidRPr="00426B1C" w14:paraId="66A2A879" w14:textId="77777777" w:rsidTr="00EB7EA3">
        <w:tblPrEx>
          <w:tblCellMar>
            <w:top w:w="15" w:type="dxa"/>
            <w:left w:w="15" w:type="dxa"/>
            <w:bottom w:w="15" w:type="dxa"/>
            <w:right w:w="15" w:type="dxa"/>
          </w:tblCellMar>
        </w:tblPrEx>
        <w:tc>
          <w:tcPr>
            <w:tcW w:w="1129" w:type="dxa"/>
            <w:gridSpan w:val="2"/>
            <w:tcBorders>
              <w:top w:val="single" w:sz="4" w:space="0" w:color="auto"/>
              <w:left w:val="single" w:sz="4" w:space="0" w:color="auto"/>
              <w:bottom w:val="single" w:sz="4" w:space="0" w:color="auto"/>
              <w:right w:val="single" w:sz="4" w:space="0" w:color="auto"/>
            </w:tcBorders>
            <w:vAlign w:val="center"/>
          </w:tcPr>
          <w:p w14:paraId="36F3C44C" w14:textId="77777777" w:rsidR="003D6F11" w:rsidRPr="00426B1C" w:rsidRDefault="003D6F11" w:rsidP="00287E78">
            <w:pPr>
              <w:jc w:val="center"/>
              <w:rPr>
                <w:rFonts w:ascii="Arial Narrow" w:hAnsi="Arial Narrow"/>
                <w:sz w:val="20"/>
                <w:szCs w:val="20"/>
              </w:rPr>
            </w:pP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14:paraId="40BE7BDD" w14:textId="77777777" w:rsidR="003D6F11" w:rsidRPr="00426B1C" w:rsidRDefault="003D6F11" w:rsidP="00287E78">
            <w:pPr>
              <w:rPr>
                <w:rFonts w:ascii="Arial Narrow" w:hAnsi="Arial Narrow"/>
                <w:sz w:val="20"/>
                <w:szCs w:val="20"/>
              </w:rPr>
            </w:pPr>
            <w:r w:rsidRPr="00426B1C">
              <w:rPr>
                <w:rFonts w:ascii="Arial Narrow" w:hAnsi="Arial Narrow"/>
                <w:sz w:val="20"/>
                <w:szCs w:val="20"/>
              </w:rPr>
              <w:t>Patient must not develop disease progression while receiving PBS-subsidised treatment with this drug for this condition</w:t>
            </w:r>
          </w:p>
        </w:tc>
      </w:tr>
      <w:tr w:rsidR="003D6F11" w:rsidRPr="00426B1C" w14:paraId="64A922DF"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092605F9"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12BFD709" w14:textId="77777777" w:rsidR="003D6F11" w:rsidRPr="00426B1C" w:rsidRDefault="003D6F11" w:rsidP="00287E78">
            <w:pPr>
              <w:rPr>
                <w:rFonts w:ascii="Arial Narrow" w:hAnsi="Arial Narrow"/>
                <w:b/>
                <w:bCs/>
                <w:i/>
                <w:iCs/>
                <w:sz w:val="20"/>
                <w:szCs w:val="20"/>
              </w:rPr>
            </w:pPr>
            <w:r w:rsidRPr="00426B1C">
              <w:rPr>
                <w:rFonts w:ascii="Arial Narrow" w:hAnsi="Arial Narrow"/>
                <w:b/>
                <w:bCs/>
                <w:i/>
                <w:iCs/>
                <w:sz w:val="20"/>
                <w:szCs w:val="20"/>
              </w:rPr>
              <w:t>AND</w:t>
            </w:r>
          </w:p>
        </w:tc>
      </w:tr>
      <w:tr w:rsidR="003D6F11" w:rsidRPr="00426B1C" w14:paraId="5494DD26"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47ABC477"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239CE1F3" w14:textId="77777777" w:rsidR="003D6F11" w:rsidRPr="00426B1C" w:rsidRDefault="003D6F11" w:rsidP="00287E78">
            <w:pPr>
              <w:rPr>
                <w:rFonts w:ascii="Arial Narrow" w:hAnsi="Arial Narrow"/>
                <w:strike/>
                <w:sz w:val="20"/>
                <w:szCs w:val="20"/>
              </w:rPr>
            </w:pPr>
            <w:r w:rsidRPr="00426B1C">
              <w:rPr>
                <w:rFonts w:ascii="Arial Narrow" w:hAnsi="Arial Narrow"/>
                <w:b/>
                <w:bCs/>
                <w:i/>
                <w:iCs/>
                <w:sz w:val="20"/>
                <w:szCs w:val="20"/>
              </w:rPr>
              <w:t xml:space="preserve">Clinical criteria: </w:t>
            </w:r>
          </w:p>
        </w:tc>
      </w:tr>
      <w:tr w:rsidR="003D6F11" w:rsidRPr="00426B1C" w14:paraId="0A994FF0" w14:textId="77777777" w:rsidTr="003D6F11">
        <w:tblPrEx>
          <w:tblCellMar>
            <w:top w:w="15" w:type="dxa"/>
            <w:left w:w="15" w:type="dxa"/>
            <w:bottom w:w="15" w:type="dxa"/>
            <w:right w:w="15" w:type="dxa"/>
          </w:tblCellMar>
          <w:tblLook w:val="04A0" w:firstRow="1" w:lastRow="0" w:firstColumn="1" w:lastColumn="0" w:noHBand="0" w:noVBand="1"/>
        </w:tblPrEx>
        <w:tc>
          <w:tcPr>
            <w:tcW w:w="1129" w:type="dxa"/>
            <w:gridSpan w:val="2"/>
            <w:vAlign w:val="center"/>
          </w:tcPr>
          <w:p w14:paraId="6DF4EBA5" w14:textId="77777777" w:rsidR="003D6F11" w:rsidRPr="00426B1C" w:rsidRDefault="003D6F11" w:rsidP="00287E78">
            <w:pPr>
              <w:jc w:val="center"/>
              <w:rPr>
                <w:rFonts w:ascii="Arial Narrow" w:hAnsi="Arial Narrow"/>
                <w:sz w:val="20"/>
                <w:szCs w:val="20"/>
              </w:rPr>
            </w:pPr>
          </w:p>
        </w:tc>
        <w:tc>
          <w:tcPr>
            <w:tcW w:w="7938" w:type="dxa"/>
            <w:gridSpan w:val="7"/>
            <w:vAlign w:val="center"/>
          </w:tcPr>
          <w:p w14:paraId="680107E8" w14:textId="77777777" w:rsidR="003D6F11" w:rsidRPr="00426B1C" w:rsidRDefault="003D6F11" w:rsidP="00287E78">
            <w:pPr>
              <w:rPr>
                <w:rFonts w:ascii="Arial Narrow" w:hAnsi="Arial Narrow"/>
                <w:strike/>
                <w:sz w:val="20"/>
                <w:szCs w:val="20"/>
              </w:rPr>
            </w:pPr>
            <w:r w:rsidRPr="00426B1C">
              <w:rPr>
                <w:rFonts w:ascii="Arial Narrow" w:hAnsi="Arial Narrow"/>
                <w:i/>
                <w:iCs/>
                <w:sz w:val="20"/>
                <w:szCs w:val="20"/>
              </w:rPr>
              <w:t>The treatment must be as monotherapy for this condition</w:t>
            </w:r>
          </w:p>
        </w:tc>
      </w:tr>
    </w:tbl>
    <w:p w14:paraId="369C58F2" w14:textId="77777777" w:rsidR="00426B1C" w:rsidRDefault="00426B1C"/>
    <w:p w14:paraId="270CFC94" w14:textId="77777777" w:rsidR="00591957" w:rsidRPr="00A25C41" w:rsidRDefault="00F41B74" w:rsidP="004E18E9">
      <w:pPr>
        <w:pStyle w:val="ExecSumBodyText"/>
        <w:rPr>
          <w:iCs/>
        </w:rPr>
      </w:pPr>
      <w:r w:rsidRPr="00426B1C">
        <w:t xml:space="preserve">The resubmission proposed a special pricing arrangement, with an effective price </w:t>
      </w:r>
      <w:r w:rsidR="00487B0D" w:rsidRPr="00426B1C">
        <w:t xml:space="preserve">of </w:t>
      </w:r>
      <w:r w:rsidR="00BE0CB4">
        <w:rPr>
          <w:noProof/>
          <w:color w:val="000000"/>
          <w:highlight w:val="black"/>
        </w:rPr>
        <w:t>'''''''''</w:t>
      </w:r>
      <w:r w:rsidR="00487B0D" w:rsidRPr="00426B1C">
        <w:t>% of</w:t>
      </w:r>
      <w:r w:rsidRPr="00426B1C">
        <w:t xml:space="preserve"> the proposed published price. </w:t>
      </w:r>
      <w:r w:rsidRPr="00426B1C">
        <w:rPr>
          <w:iCs/>
        </w:rPr>
        <w:t xml:space="preserve">The proposed price was lower than the price proposed in the July 2020 submission (effective </w:t>
      </w:r>
      <w:r w:rsidR="00534531" w:rsidRPr="00426B1C">
        <w:rPr>
          <w:iCs/>
        </w:rPr>
        <w:t>DPMQ</w:t>
      </w:r>
      <w:r w:rsidRPr="00426B1C">
        <w:rPr>
          <w:iCs/>
        </w:rPr>
        <w:t>: $</w:t>
      </w:r>
      <w:r w:rsidR="00BE0CB4">
        <w:rPr>
          <w:iCs/>
          <w:noProof/>
          <w:color w:val="000000"/>
          <w:highlight w:val="black"/>
        </w:rPr>
        <w:t>''''''''''''''''</w:t>
      </w:r>
      <w:r w:rsidRPr="00426B1C">
        <w:rPr>
          <w:iCs/>
        </w:rPr>
        <w:t xml:space="preserve">; published </w:t>
      </w:r>
      <w:r w:rsidR="00534531" w:rsidRPr="00426B1C">
        <w:rPr>
          <w:iCs/>
        </w:rPr>
        <w:t>DPMQ</w:t>
      </w:r>
      <w:r w:rsidRPr="00426B1C">
        <w:rPr>
          <w:iCs/>
        </w:rPr>
        <w:t>: $</w:t>
      </w:r>
      <w:r w:rsidR="00BE0CB4">
        <w:rPr>
          <w:iCs/>
          <w:noProof/>
          <w:color w:val="000000"/>
          <w:highlight w:val="black"/>
        </w:rPr>
        <w:t>''''''''''''''''''</w:t>
      </w:r>
      <w:r w:rsidRPr="00426B1C">
        <w:rPr>
          <w:iCs/>
        </w:rPr>
        <w:t>).</w:t>
      </w:r>
      <w:r w:rsidR="00124E2C" w:rsidRPr="00A25C41">
        <w:rPr>
          <w:iCs/>
        </w:rPr>
        <w:t xml:space="preserve"> The </w:t>
      </w:r>
      <w:r w:rsidR="00B96C13" w:rsidRPr="00A25C41">
        <w:rPr>
          <w:iCs/>
        </w:rPr>
        <w:t>proposed</w:t>
      </w:r>
      <w:r w:rsidR="00124E2C" w:rsidRPr="00A25C41">
        <w:rPr>
          <w:iCs/>
        </w:rPr>
        <w:t xml:space="preserve"> effective price</w:t>
      </w:r>
      <w:r w:rsidR="002F2814" w:rsidRPr="00A25C41">
        <w:rPr>
          <w:iCs/>
        </w:rPr>
        <w:t xml:space="preserve"> </w:t>
      </w:r>
      <w:r w:rsidR="00D02A44" w:rsidRPr="00A25C41">
        <w:rPr>
          <w:iCs/>
        </w:rPr>
        <w:t>was</w:t>
      </w:r>
      <w:r w:rsidR="00124E2C" w:rsidRPr="00A25C41">
        <w:rPr>
          <w:iCs/>
        </w:rPr>
        <w:t xml:space="preserve"> the same as the </w:t>
      </w:r>
      <w:r w:rsidR="002F2814" w:rsidRPr="00A25C41">
        <w:rPr>
          <w:iCs/>
        </w:rPr>
        <w:t xml:space="preserve">effective price </w:t>
      </w:r>
      <w:r w:rsidR="00EE3258" w:rsidRPr="00A25C41">
        <w:rPr>
          <w:iCs/>
        </w:rPr>
        <w:t>for</w:t>
      </w:r>
      <w:r w:rsidR="00733A86" w:rsidRPr="00A25C41">
        <w:rPr>
          <w:iCs/>
        </w:rPr>
        <w:t xml:space="preserve"> acalabrutinib </w:t>
      </w:r>
      <w:r w:rsidR="00EE3258" w:rsidRPr="00A25C41">
        <w:rPr>
          <w:iCs/>
        </w:rPr>
        <w:t>under</w:t>
      </w:r>
      <w:r w:rsidR="00733A86" w:rsidRPr="00A25C41">
        <w:rPr>
          <w:iCs/>
        </w:rPr>
        <w:t xml:space="preserve"> </w:t>
      </w:r>
      <w:r w:rsidR="002F2814" w:rsidRPr="00A25C41">
        <w:rPr>
          <w:iCs/>
        </w:rPr>
        <w:t xml:space="preserve">the </w:t>
      </w:r>
      <w:r w:rsidR="006438B4" w:rsidRPr="00A25C41">
        <w:rPr>
          <w:iCs/>
        </w:rPr>
        <w:t xml:space="preserve">current </w:t>
      </w:r>
      <w:r w:rsidR="002F2814" w:rsidRPr="00A25C41">
        <w:rPr>
          <w:iCs/>
        </w:rPr>
        <w:t>relapsed</w:t>
      </w:r>
      <w:r w:rsidR="00124E2C" w:rsidRPr="00A25C41">
        <w:rPr>
          <w:iCs/>
        </w:rPr>
        <w:t>/refractory</w:t>
      </w:r>
      <w:r w:rsidR="00733A86" w:rsidRPr="00A25C41">
        <w:rPr>
          <w:iCs/>
        </w:rPr>
        <w:t xml:space="preserve"> CLL/SLL PBS listing.</w:t>
      </w:r>
    </w:p>
    <w:p w14:paraId="38428A3D" w14:textId="77777777" w:rsidR="00031077" w:rsidRPr="00A25C41" w:rsidRDefault="00031077" w:rsidP="00F9393E">
      <w:pPr>
        <w:pStyle w:val="ExecSumBodyText"/>
        <w:rPr>
          <w:iCs/>
        </w:rPr>
      </w:pPr>
      <w:r w:rsidRPr="00A25C41">
        <w:rPr>
          <w:iCs/>
        </w:rPr>
        <w:t xml:space="preserve">The proposed restriction </w:t>
      </w:r>
      <w:r w:rsidR="00534531" w:rsidRPr="00A25C41">
        <w:rPr>
          <w:iCs/>
        </w:rPr>
        <w:t xml:space="preserve">was </w:t>
      </w:r>
      <w:r w:rsidRPr="00A25C41">
        <w:rPr>
          <w:iCs/>
        </w:rPr>
        <w:t xml:space="preserve">narrower than the TGA indication, which does not restrict treatment </w:t>
      </w:r>
      <w:proofErr w:type="gramStart"/>
      <w:r w:rsidRPr="00A25C41">
        <w:rPr>
          <w:iCs/>
        </w:rPr>
        <w:t>on the basis of</w:t>
      </w:r>
      <w:proofErr w:type="gramEnd"/>
      <w:r w:rsidRPr="00A25C41">
        <w:rPr>
          <w:iCs/>
        </w:rPr>
        <w:t xml:space="preserve"> CIRS score, renal function, tumour lysis syndrome risk, or intolerance/unsuitability for treatments. </w:t>
      </w:r>
    </w:p>
    <w:p w14:paraId="6BBE2325" w14:textId="77777777" w:rsidR="00031077" w:rsidRPr="00A25C41" w:rsidRDefault="00031077" w:rsidP="00F9393E">
      <w:pPr>
        <w:pStyle w:val="ExecSumBodyText"/>
        <w:rPr>
          <w:iCs/>
        </w:rPr>
      </w:pPr>
      <w:r w:rsidRPr="00A25C41">
        <w:rPr>
          <w:iCs/>
        </w:rPr>
        <w:lastRenderedPageBreak/>
        <w:t xml:space="preserve">The proposed clinical criteria </w:t>
      </w:r>
      <w:r w:rsidR="00534531" w:rsidRPr="00A25C41">
        <w:rPr>
          <w:iCs/>
        </w:rPr>
        <w:t xml:space="preserve">were </w:t>
      </w:r>
      <w:r w:rsidRPr="00A25C41">
        <w:rPr>
          <w:iCs/>
        </w:rPr>
        <w:t>narrower than the eligibility criteria for the ELEVATE-TN trial, which recruited patients with previously untreated CLL aged ≥65</w:t>
      </w:r>
      <w:r w:rsidR="00534531" w:rsidRPr="00A25C41">
        <w:rPr>
          <w:iCs/>
        </w:rPr>
        <w:t> </w:t>
      </w:r>
      <w:r w:rsidRPr="00A25C41">
        <w:rPr>
          <w:iCs/>
        </w:rPr>
        <w:t xml:space="preserve">years and patients aged &lt;65 years meeting additional criteria (creatinine clearance of 30-69 mL/min or a CIRS score &gt;6). The proposed restriction </w:t>
      </w:r>
      <w:r w:rsidR="00534531" w:rsidRPr="00A25C41">
        <w:rPr>
          <w:iCs/>
        </w:rPr>
        <w:t xml:space="preserve">did </w:t>
      </w:r>
      <w:r w:rsidRPr="00A25C41">
        <w:rPr>
          <w:iCs/>
        </w:rPr>
        <w:t>not include a performance status requirement, whereas the ELEVATE-TN trial inclusion criteria specified an ECOG performance score of ≤2.</w:t>
      </w:r>
    </w:p>
    <w:p w14:paraId="78572C3D" w14:textId="77777777" w:rsidR="005F6F3E" w:rsidRDefault="005F6F3E" w:rsidP="00F9393E">
      <w:pPr>
        <w:pStyle w:val="ExecSumBodyText"/>
        <w:rPr>
          <w:iCs/>
        </w:rPr>
      </w:pPr>
      <w:r w:rsidRPr="00A25C41">
        <w:rPr>
          <w:iCs/>
        </w:rPr>
        <w:t xml:space="preserve">The proposed clinical criteria </w:t>
      </w:r>
      <w:r w:rsidR="00B35566">
        <w:rPr>
          <w:iCs/>
        </w:rPr>
        <w:t>were</w:t>
      </w:r>
      <w:r w:rsidR="00B35566" w:rsidRPr="00A25C41">
        <w:rPr>
          <w:iCs/>
        </w:rPr>
        <w:t xml:space="preserve"> </w:t>
      </w:r>
      <w:r w:rsidRPr="00A25C41">
        <w:rPr>
          <w:iCs/>
        </w:rPr>
        <w:t>difficult to interpret and require</w:t>
      </w:r>
      <w:r w:rsidR="00B35566">
        <w:rPr>
          <w:iCs/>
        </w:rPr>
        <w:t>d</w:t>
      </w:r>
      <w:r w:rsidRPr="00A25C41">
        <w:rPr>
          <w:iCs/>
        </w:rPr>
        <w:t xml:space="preserve"> rewording to remove ambiguity</w:t>
      </w:r>
      <w:r w:rsidR="00A2788C" w:rsidRPr="00A25C41">
        <w:rPr>
          <w:iCs/>
        </w:rPr>
        <w:t xml:space="preserve"> and to meet the electronic requirements of listing</w:t>
      </w:r>
      <w:r w:rsidRPr="00A25C41">
        <w:rPr>
          <w:iCs/>
        </w:rPr>
        <w:t xml:space="preserve">. </w:t>
      </w:r>
    </w:p>
    <w:p w14:paraId="43490C48" w14:textId="77777777" w:rsidR="00373169" w:rsidRPr="00DF44A0" w:rsidRDefault="00373169" w:rsidP="00F9393E">
      <w:pPr>
        <w:pStyle w:val="ExecSumBodyText"/>
      </w:pPr>
      <w:r w:rsidRPr="00DF44A0">
        <w:t>The Pre-Sub-Committee Response (PSCR) articulated that the proposed PBS population could be split into two patient groups:</w:t>
      </w:r>
    </w:p>
    <w:p w14:paraId="64690430" w14:textId="77777777" w:rsidR="00373169" w:rsidRPr="00DF44A0" w:rsidRDefault="00373169" w:rsidP="00E042B7">
      <w:pPr>
        <w:pStyle w:val="ExecSumBodyText"/>
        <w:numPr>
          <w:ilvl w:val="0"/>
          <w:numId w:val="15"/>
        </w:numPr>
        <w:spacing w:after="0"/>
        <w:ind w:left="1077" w:hanging="357"/>
      </w:pPr>
      <w:r w:rsidRPr="00DF44A0">
        <w:rPr>
          <w:b/>
          <w:bCs/>
        </w:rPr>
        <w:t>Group 1:</w:t>
      </w:r>
      <w:r w:rsidRPr="00DF44A0">
        <w:t xml:space="preserve"> Patients unsuitable for VTX+OBIN with one or more clinical characteristics: </w:t>
      </w:r>
    </w:p>
    <w:p w14:paraId="2BD2A411" w14:textId="77777777" w:rsidR="00373169" w:rsidRPr="00DF44A0" w:rsidRDefault="00373169" w:rsidP="00E042B7">
      <w:pPr>
        <w:pStyle w:val="ExecSumBodyText"/>
        <w:numPr>
          <w:ilvl w:val="1"/>
          <w:numId w:val="15"/>
        </w:numPr>
        <w:spacing w:after="0"/>
      </w:pPr>
      <w:r w:rsidRPr="00DF44A0">
        <w:t>renal impairment (creatinine clearance less than 70 mL/min) OR</w:t>
      </w:r>
    </w:p>
    <w:p w14:paraId="4AECF8F7" w14:textId="77777777" w:rsidR="00373169" w:rsidRPr="00DF44A0" w:rsidRDefault="00373169" w:rsidP="00E042B7">
      <w:pPr>
        <w:pStyle w:val="ExecSumBodyText"/>
        <w:numPr>
          <w:ilvl w:val="1"/>
          <w:numId w:val="15"/>
        </w:numPr>
        <w:spacing w:after="0"/>
      </w:pPr>
      <w:r w:rsidRPr="00DF44A0">
        <w:t xml:space="preserve">bulky disease (lymph nodes ≥5 cm) </w:t>
      </w:r>
    </w:p>
    <w:p w14:paraId="0017FEF1" w14:textId="77777777" w:rsidR="00373169" w:rsidRPr="00DF44A0" w:rsidRDefault="00373169" w:rsidP="00800337">
      <w:pPr>
        <w:pStyle w:val="ExecSumBodyText"/>
        <w:numPr>
          <w:ilvl w:val="0"/>
          <w:numId w:val="0"/>
        </w:numPr>
        <w:spacing w:after="0"/>
        <w:ind w:left="720" w:firstLine="720"/>
      </w:pPr>
      <w:r w:rsidRPr="00DF44A0">
        <w:t>AND</w:t>
      </w:r>
    </w:p>
    <w:p w14:paraId="339C038C" w14:textId="77777777" w:rsidR="00373169" w:rsidRPr="00DF44A0" w:rsidRDefault="00373169" w:rsidP="00E042B7">
      <w:pPr>
        <w:pStyle w:val="ExecSumBodyText"/>
        <w:numPr>
          <w:ilvl w:val="1"/>
          <w:numId w:val="15"/>
        </w:numPr>
        <w:spacing w:after="0"/>
      </w:pPr>
      <w:r w:rsidRPr="00DF44A0">
        <w:t xml:space="preserve">are unable to comply with the </w:t>
      </w:r>
      <w:proofErr w:type="spellStart"/>
      <w:r w:rsidRPr="00DF44A0">
        <w:t>venetoclax</w:t>
      </w:r>
      <w:proofErr w:type="spellEnd"/>
      <w:r w:rsidRPr="00DF44A0">
        <w:t xml:space="preserve"> dose escalation schedule OR</w:t>
      </w:r>
    </w:p>
    <w:p w14:paraId="0340DAD8" w14:textId="77777777" w:rsidR="00373169" w:rsidRPr="00DF44A0" w:rsidRDefault="00373169" w:rsidP="00E042B7">
      <w:pPr>
        <w:pStyle w:val="ExecSumBodyText"/>
        <w:numPr>
          <w:ilvl w:val="1"/>
          <w:numId w:val="15"/>
        </w:numPr>
        <w:spacing w:after="0"/>
      </w:pPr>
      <w:r w:rsidRPr="00DF44A0">
        <w:t xml:space="preserve">are unable to comply with monitoring requirements for </w:t>
      </w:r>
      <w:r w:rsidR="002F7B74">
        <w:t>tumour lysis syndrome (</w:t>
      </w:r>
      <w:r w:rsidRPr="00DF44A0">
        <w:t>TLS</w:t>
      </w:r>
      <w:r w:rsidR="002F7B74">
        <w:t>)</w:t>
      </w:r>
      <w:r w:rsidRPr="00DF44A0">
        <w:t xml:space="preserve"> prophylaxis.</w:t>
      </w:r>
    </w:p>
    <w:p w14:paraId="6A184E6F" w14:textId="77777777" w:rsidR="00373169" w:rsidRPr="00DF44A0" w:rsidRDefault="00373169" w:rsidP="00E042B7">
      <w:pPr>
        <w:pStyle w:val="ExecSumBodyText"/>
        <w:numPr>
          <w:ilvl w:val="0"/>
          <w:numId w:val="15"/>
        </w:numPr>
        <w:spacing w:after="0"/>
        <w:ind w:left="1077" w:hanging="357"/>
      </w:pPr>
      <w:r w:rsidRPr="00DF44A0">
        <w:rPr>
          <w:b/>
          <w:bCs/>
        </w:rPr>
        <w:t>Group 2:</w:t>
      </w:r>
      <w:r w:rsidRPr="00DF44A0">
        <w:t xml:space="preserve"> Patients who initiated VTX+OBIN but experienced intolerance/adverse event requiring permanent discontinuation of treatment.</w:t>
      </w:r>
    </w:p>
    <w:p w14:paraId="4185DA7C" w14:textId="77777777" w:rsidR="00D17E36" w:rsidRPr="00DF44A0" w:rsidRDefault="00373169" w:rsidP="00D17E36">
      <w:pPr>
        <w:pStyle w:val="ExecSumBodyText"/>
        <w:spacing w:before="240"/>
      </w:pPr>
      <w:r w:rsidRPr="00DF44A0">
        <w:t xml:space="preserve">The PSCR accepted the Secretariat’s proposed changes to the </w:t>
      </w:r>
      <w:proofErr w:type="gramStart"/>
      <w:r w:rsidRPr="00DF44A0">
        <w:t xml:space="preserve">restriction, </w:t>
      </w:r>
      <w:r w:rsidR="006D4E91" w:rsidRPr="00DF44A0">
        <w:t>but</w:t>
      </w:r>
      <w:proofErr w:type="gramEnd"/>
      <w:r w:rsidR="006D4E91" w:rsidRPr="00DF44A0">
        <w:t xml:space="preserve"> considered that patients in Group 2 should not be required to meet all other criteria associated with the proposed initial phase listing, as they must have previously qualified for treatment with </w:t>
      </w:r>
      <w:bookmarkStart w:id="11" w:name="_Hlk84862013"/>
      <w:proofErr w:type="spellStart"/>
      <w:r w:rsidR="006D4E91" w:rsidRPr="00DF44A0">
        <w:t>venetoclax</w:t>
      </w:r>
      <w:proofErr w:type="spellEnd"/>
      <w:r w:rsidR="006D4E91" w:rsidRPr="00DF44A0">
        <w:t xml:space="preserve"> + </w:t>
      </w:r>
      <w:proofErr w:type="spellStart"/>
      <w:r w:rsidR="006D4E91" w:rsidRPr="00DF44A0">
        <w:t>obinutuzumab</w:t>
      </w:r>
      <w:bookmarkEnd w:id="11"/>
      <w:proofErr w:type="spellEnd"/>
      <w:r w:rsidR="006D4E91" w:rsidRPr="00DF44A0">
        <w:t>.</w:t>
      </w:r>
      <w:r w:rsidR="00615C6B" w:rsidRPr="00DF44A0">
        <w:t xml:space="preserve"> Given this, the Secretariat advised that a separate initial phase listing would likely be required for these patients. It was unclear to the Secretariat if any clinical criteria would be applied to this listing beyond</w:t>
      </w:r>
      <w:r w:rsidR="0030534F" w:rsidRPr="00DF44A0">
        <w:t xml:space="preserve"> limiting to monotherapy and requiring that a</w:t>
      </w:r>
      <w:r w:rsidR="00615C6B" w:rsidRPr="00DF44A0">
        <w:t xml:space="preserve"> “Patient must have received PBS-subsidised treatment with </w:t>
      </w:r>
      <w:proofErr w:type="spellStart"/>
      <w:r w:rsidR="00615C6B" w:rsidRPr="00DF44A0">
        <w:t>venetoclax</w:t>
      </w:r>
      <w:proofErr w:type="spellEnd"/>
      <w:r w:rsidR="00615C6B" w:rsidRPr="00DF44A0">
        <w:t xml:space="preserve"> in combination with </w:t>
      </w:r>
      <w:proofErr w:type="spellStart"/>
      <w:r w:rsidR="00615C6B" w:rsidRPr="00DF44A0">
        <w:t>obinutuzumab</w:t>
      </w:r>
      <w:proofErr w:type="spellEnd"/>
      <w:r w:rsidR="00615C6B" w:rsidRPr="00DF44A0">
        <w:t xml:space="preserve"> for this condition but experienced intolerance/adverse event necessitating permanent treatment withdrawal”.</w:t>
      </w:r>
      <w:r w:rsidR="00595FAA" w:rsidRPr="00DF44A0">
        <w:t xml:space="preserve"> The PBAC consider</w:t>
      </w:r>
      <w:r w:rsidR="00D17E36">
        <w:t>ed</w:t>
      </w:r>
      <w:r w:rsidR="00595FAA" w:rsidRPr="00DF44A0">
        <w:t xml:space="preserve"> </w:t>
      </w:r>
      <w:r w:rsidR="00D17E36">
        <w:t>that</w:t>
      </w:r>
      <w:r w:rsidR="00D17E36" w:rsidRPr="00DF44A0">
        <w:t xml:space="preserve"> </w:t>
      </w:r>
      <w:r w:rsidR="00595FAA" w:rsidRPr="00DF44A0">
        <w:t xml:space="preserve">additional clarification </w:t>
      </w:r>
      <w:r w:rsidR="00D17E36">
        <w:t>may be</w:t>
      </w:r>
      <w:r w:rsidR="00D17E36" w:rsidRPr="00DF44A0">
        <w:t xml:space="preserve"> </w:t>
      </w:r>
      <w:r w:rsidR="00595FAA" w:rsidRPr="00DF44A0">
        <w:t>required to indicate that these patients must have discontinued treatment prior to disease progression or completing a treatment course.</w:t>
      </w:r>
      <w:r w:rsidR="00D17E36">
        <w:t xml:space="preserve"> </w:t>
      </w:r>
      <w:r w:rsidR="006224A3">
        <w:t xml:space="preserve">The pre-PBAC response </w:t>
      </w:r>
      <w:r w:rsidR="00BA0568">
        <w:t>provided further expert commentary on the restriction and proposed further minor amendments.</w:t>
      </w:r>
      <w:r w:rsidR="005B6D89">
        <w:t xml:space="preserve"> </w:t>
      </w:r>
      <w:r w:rsidR="00B56DBA">
        <w:t>The PBAC specifically raised that</w:t>
      </w:r>
      <w:r w:rsidR="005B6D89">
        <w:t xml:space="preserve"> it may not be reasonable to require that patients have both a CIRS &gt; 6 </w:t>
      </w:r>
      <w:r w:rsidR="005B6D89" w:rsidRPr="005B6D89">
        <w:rPr>
          <w:b/>
          <w:bCs/>
        </w:rPr>
        <w:t>and</w:t>
      </w:r>
      <w:r w:rsidR="005B6D89">
        <w:t xml:space="preserve"> </w:t>
      </w:r>
      <w:proofErr w:type="spellStart"/>
      <w:r w:rsidR="005B6D89">
        <w:t>CrCL</w:t>
      </w:r>
      <w:proofErr w:type="spellEnd"/>
      <w:r w:rsidR="005B6D89">
        <w:t xml:space="preserve"> </w:t>
      </w:r>
      <w:r w:rsidR="005B6D89" w:rsidRPr="005B6D89">
        <w:t>≤70 mL/min</w:t>
      </w:r>
      <w:r w:rsidR="005B6D89">
        <w:t xml:space="preserve">, </w:t>
      </w:r>
      <w:r w:rsidR="00572D06">
        <w:t>given</w:t>
      </w:r>
      <w:r w:rsidR="005B6D89">
        <w:t xml:space="preserve"> this is more restrictive than </w:t>
      </w:r>
      <w:r w:rsidR="005B6D89" w:rsidRPr="005B6D89">
        <w:t xml:space="preserve">first-line listings for </w:t>
      </w:r>
      <w:proofErr w:type="spellStart"/>
      <w:r w:rsidR="005B6D89" w:rsidRPr="005B6D89">
        <w:t>obinutuzumab</w:t>
      </w:r>
      <w:proofErr w:type="spellEnd"/>
      <w:r w:rsidR="005B6D89" w:rsidRPr="005B6D89">
        <w:t xml:space="preserve"> + chlorambucil and </w:t>
      </w:r>
      <w:proofErr w:type="spellStart"/>
      <w:r w:rsidR="005B6D89" w:rsidRPr="005B6D89">
        <w:t>venetoclax</w:t>
      </w:r>
      <w:proofErr w:type="spellEnd"/>
      <w:r w:rsidR="005B6D89" w:rsidRPr="005B6D89">
        <w:t xml:space="preserve"> + </w:t>
      </w:r>
      <w:proofErr w:type="spellStart"/>
      <w:r w:rsidR="005B6D89" w:rsidRPr="005B6D89">
        <w:t>obinutuzumab</w:t>
      </w:r>
      <w:proofErr w:type="spellEnd"/>
      <w:r w:rsidR="005B6D89">
        <w:t>.</w:t>
      </w:r>
      <w:r w:rsidR="00B56DBA">
        <w:t xml:space="preserve"> Also, given bulky </w:t>
      </w:r>
      <w:r w:rsidR="000C1C94">
        <w:t>disease</w:t>
      </w:r>
      <w:r w:rsidR="00B56DBA">
        <w:t xml:space="preserve"> is a risk factor for TLS</w:t>
      </w:r>
      <w:r w:rsidR="003D6F11">
        <w:t>,</w:t>
      </w:r>
      <w:r w:rsidR="00B56DBA">
        <w:t xml:space="preserve"> it does not need to be separately specified in the criteria.</w:t>
      </w:r>
    </w:p>
    <w:p w14:paraId="471B8F94" w14:textId="77777777" w:rsidR="00D104CB" w:rsidRPr="00DF44A0" w:rsidRDefault="00D104CB" w:rsidP="00D104CB">
      <w:pPr>
        <w:pStyle w:val="ExecSumBodyText"/>
      </w:pPr>
      <w:r w:rsidRPr="00DF44A0">
        <w:t xml:space="preserve">The PSCR also claimed that unsuitability for </w:t>
      </w:r>
      <w:proofErr w:type="spellStart"/>
      <w:r w:rsidRPr="00DF44A0">
        <w:t>venetoclax</w:t>
      </w:r>
      <w:proofErr w:type="spellEnd"/>
      <w:r w:rsidRPr="00DF44A0">
        <w:t xml:space="preserve"> + </w:t>
      </w:r>
      <w:proofErr w:type="spellStart"/>
      <w:r w:rsidRPr="00DF44A0">
        <w:t>obinutuzumab</w:t>
      </w:r>
      <w:proofErr w:type="spellEnd"/>
      <w:r w:rsidRPr="00DF44A0">
        <w:t xml:space="preserve"> is clearly understood in clinical practice and is defined in current guidelines (National Comprehensive Cancer Network</w:t>
      </w:r>
      <w:r w:rsidR="003D448B">
        <w:t xml:space="preserve"> (NCCN)</w:t>
      </w:r>
      <w:r w:rsidRPr="00DF44A0">
        <w:t xml:space="preserve">, 2021, </w:t>
      </w:r>
      <w:proofErr w:type="spellStart"/>
      <w:r w:rsidRPr="00DF44A0">
        <w:t>eviQ</w:t>
      </w:r>
      <w:proofErr w:type="spellEnd"/>
      <w:r w:rsidRPr="00DF44A0">
        <w:t>, 2018</w:t>
      </w:r>
      <w:r w:rsidR="00615C6B">
        <w:t xml:space="preserve">). </w:t>
      </w:r>
      <w:r w:rsidR="00615C6B" w:rsidRPr="00DF44A0">
        <w:t xml:space="preserve">It </w:t>
      </w:r>
      <w:r w:rsidR="002E0D52" w:rsidRPr="00DF44A0">
        <w:t>was</w:t>
      </w:r>
      <w:r w:rsidR="00615C6B" w:rsidRPr="00DF44A0">
        <w:t xml:space="preserve"> unclear which parts </w:t>
      </w:r>
      <w:r w:rsidR="00615C6B" w:rsidRPr="00DF44A0">
        <w:lastRenderedPageBreak/>
        <w:t xml:space="preserve">of the respective guidelines the sponsor </w:t>
      </w:r>
      <w:r w:rsidR="002E0D52" w:rsidRPr="00DF44A0">
        <w:t>was referring to</w:t>
      </w:r>
      <w:r w:rsidR="00615C6B" w:rsidRPr="00DF44A0">
        <w:t xml:space="preserve">. The </w:t>
      </w:r>
      <w:r w:rsidR="002E0D52" w:rsidRPr="00DF44A0">
        <w:t>PSCR</w:t>
      </w:r>
      <w:r w:rsidR="00615C6B" w:rsidRPr="00DF44A0">
        <w:t xml:space="preserve"> listed patients with cognitive impairment, patients with no enabling carer, and patients living in regional or remote locations who are unable to access home or hospital-based care for IV infusions as examples of patients who are unable to comply with the </w:t>
      </w:r>
      <w:proofErr w:type="spellStart"/>
      <w:r w:rsidR="00615C6B" w:rsidRPr="00DF44A0">
        <w:t>venetoclax</w:t>
      </w:r>
      <w:proofErr w:type="spellEnd"/>
      <w:r w:rsidR="00615C6B" w:rsidRPr="00DF44A0">
        <w:t xml:space="preserve"> dose escalation schedule. The </w:t>
      </w:r>
      <w:r w:rsidR="002E0D52" w:rsidRPr="00DF44A0">
        <w:t>PSCR</w:t>
      </w:r>
      <w:r w:rsidR="00615C6B" w:rsidRPr="00DF44A0">
        <w:t xml:space="preserve"> listed patients living in regional/remote locations who cannot access hospital-based care with rapid turn-around lab</w:t>
      </w:r>
      <w:r w:rsidR="00487B0D" w:rsidRPr="00DF44A0">
        <w:t>oratory</w:t>
      </w:r>
      <w:r w:rsidR="00615C6B" w:rsidRPr="00DF44A0">
        <w:t xml:space="preserve"> results, </w:t>
      </w:r>
      <w:proofErr w:type="gramStart"/>
      <w:r w:rsidR="00615C6B" w:rsidRPr="00DF44A0">
        <w:t>elderly</w:t>
      </w:r>
      <w:proofErr w:type="gramEnd"/>
      <w:r w:rsidR="00615C6B" w:rsidRPr="00DF44A0">
        <w:t xml:space="preserve"> or frail patients with no access to enabling carer support/transport services, and patients who need home-based care, as examples of patients unable to comply with monitoring requirements for tumour lysis syndrome prophylaxis.</w:t>
      </w:r>
      <w:r w:rsidR="00B56DBA">
        <w:t xml:space="preserve"> </w:t>
      </w:r>
    </w:p>
    <w:p w14:paraId="075FF404" w14:textId="77777777" w:rsidR="00615C6B" w:rsidRPr="002E0D52" w:rsidRDefault="002E0D52" w:rsidP="002E0D52">
      <w:pPr>
        <w:pStyle w:val="ExecSumBodyText"/>
        <w:rPr>
          <w:iCs/>
        </w:rPr>
      </w:pPr>
      <w:r w:rsidRPr="00DF44A0">
        <w:t>The ESC noted that the PSCR had not proposed any specific additions to the listing criteria or Prescriber Instructions to define (un</w:t>
      </w:r>
      <w:r w:rsidR="00150577" w:rsidRPr="00DF44A0">
        <w:t>)</w:t>
      </w:r>
      <w:r w:rsidRPr="00DF44A0">
        <w:t xml:space="preserve">suitability for </w:t>
      </w:r>
      <w:proofErr w:type="spellStart"/>
      <w:r w:rsidRPr="00DF44A0">
        <w:t>venetoclax</w:t>
      </w:r>
      <w:proofErr w:type="spellEnd"/>
      <w:r w:rsidRPr="00DF44A0">
        <w:t xml:space="preserve"> + </w:t>
      </w:r>
      <w:proofErr w:type="spellStart"/>
      <w:r w:rsidRPr="00DF44A0">
        <w:t>obinutuzumab</w:t>
      </w:r>
      <w:proofErr w:type="spellEnd"/>
      <w:r w:rsidRPr="00DF44A0">
        <w:t xml:space="preserve">. The ESC also noted that </w:t>
      </w:r>
      <w:r w:rsidR="00150577" w:rsidRPr="00DF44A0">
        <w:t xml:space="preserve">most definitions proposed in the paragraph </w:t>
      </w:r>
      <w:r w:rsidR="00DC54FF">
        <w:t xml:space="preserve">above </w:t>
      </w:r>
      <w:r w:rsidR="00150577" w:rsidRPr="00DF44A0">
        <w:t xml:space="preserve">were highly subjective, and </w:t>
      </w:r>
      <w:r w:rsidR="005D08C6" w:rsidRPr="00DF44A0">
        <w:t>it was unclear whether prescribing choices would be influenced by the availability of acalabrutinib in the first-line setting.</w:t>
      </w:r>
    </w:p>
    <w:p w14:paraId="0720E95D" w14:textId="77777777" w:rsidR="005F6F3E" w:rsidRPr="00A25C41" w:rsidRDefault="005F6F3E" w:rsidP="00F9393E">
      <w:pPr>
        <w:pStyle w:val="ExecSumBodyText"/>
        <w:rPr>
          <w:iCs/>
        </w:rPr>
      </w:pPr>
      <w:r w:rsidRPr="00A25C41">
        <w:rPr>
          <w:iCs/>
        </w:rPr>
        <w:t xml:space="preserve">A </w:t>
      </w:r>
      <w:bookmarkStart w:id="12" w:name="_Hlk89494181"/>
      <w:r w:rsidRPr="00A25C41">
        <w:rPr>
          <w:iCs/>
        </w:rPr>
        <w:t xml:space="preserve">large proportion of the previously untreated CLL/SLL population are likely to meet the included tumour lysis syndrome risk requirements. </w:t>
      </w:r>
      <w:bookmarkEnd w:id="12"/>
      <w:r w:rsidRPr="00A25C41">
        <w:rPr>
          <w:iCs/>
        </w:rPr>
        <w:t xml:space="preserve">Baseline characteristics for the CLL-14 trial assessing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 xml:space="preserve"> versus chlorambucil + </w:t>
      </w:r>
      <w:proofErr w:type="spellStart"/>
      <w:r w:rsidRPr="00A25C41">
        <w:rPr>
          <w:iCs/>
        </w:rPr>
        <w:t>obinutuzumab</w:t>
      </w:r>
      <w:proofErr w:type="spellEnd"/>
      <w:r w:rsidRPr="00A25C41">
        <w:rPr>
          <w:iCs/>
        </w:rPr>
        <w:t xml:space="preserve"> in previously untreated CLL suggest that 13% had a low risk of tumour lysis syndrome risk, 66% had an intermediate risk, and 21% had a high risk.</w:t>
      </w:r>
    </w:p>
    <w:p w14:paraId="14A55933" w14:textId="77777777" w:rsidR="005F6F3E" w:rsidRPr="00A25C41" w:rsidRDefault="005F6F3E" w:rsidP="00F9393E">
      <w:pPr>
        <w:pStyle w:val="ExecSumBodyText"/>
        <w:rPr>
          <w:iCs/>
        </w:rPr>
      </w:pPr>
      <w:r w:rsidRPr="00A25C41">
        <w:rPr>
          <w:iCs/>
        </w:rPr>
        <w:t xml:space="preserve">The proposed restriction </w:t>
      </w:r>
      <w:r w:rsidR="00707332">
        <w:rPr>
          <w:iCs/>
        </w:rPr>
        <w:t>did</w:t>
      </w:r>
      <w:r w:rsidR="00707332" w:rsidRPr="00A25C41">
        <w:rPr>
          <w:iCs/>
        </w:rPr>
        <w:t xml:space="preserve"> </w:t>
      </w:r>
      <w:r w:rsidRPr="00A25C41">
        <w:rPr>
          <w:iCs/>
        </w:rPr>
        <w:t>not limit use of acalabrutinib to monotherapy. There may be potential for use of</w:t>
      </w:r>
      <w:r w:rsidR="003F0AC8" w:rsidRPr="00A25C41">
        <w:rPr>
          <w:iCs/>
        </w:rPr>
        <w:t xml:space="preserve"> acalabrutinib</w:t>
      </w:r>
      <w:r w:rsidRPr="00A25C41">
        <w:rPr>
          <w:iCs/>
        </w:rPr>
        <w:t xml:space="preserve"> in combination with </w:t>
      </w:r>
      <w:proofErr w:type="spellStart"/>
      <w:r w:rsidRPr="00A25C41">
        <w:rPr>
          <w:iCs/>
        </w:rPr>
        <w:t>obinutuzumab</w:t>
      </w:r>
      <w:proofErr w:type="spellEnd"/>
      <w:r w:rsidRPr="00A25C41">
        <w:rPr>
          <w:iCs/>
        </w:rPr>
        <w:t xml:space="preserve"> given positive results for treatment with acalabrutinib + </w:t>
      </w:r>
      <w:proofErr w:type="spellStart"/>
      <w:r w:rsidRPr="00A25C41">
        <w:rPr>
          <w:iCs/>
        </w:rPr>
        <w:t>obinutuzumab</w:t>
      </w:r>
      <w:proofErr w:type="spellEnd"/>
      <w:r w:rsidRPr="00A25C41">
        <w:rPr>
          <w:iCs/>
        </w:rPr>
        <w:t xml:space="preserve"> in the ELEVATE-TN trial.</w:t>
      </w:r>
      <w:r w:rsidR="00373169">
        <w:rPr>
          <w:iCs/>
        </w:rPr>
        <w:t xml:space="preserve"> </w:t>
      </w:r>
      <w:r w:rsidR="00373169" w:rsidRPr="00DF44A0">
        <w:t>The ESC considered that the restriction should explicitly limit use to monotherapy</w:t>
      </w:r>
      <w:r w:rsidR="004A35FB" w:rsidRPr="00DF44A0">
        <w:t xml:space="preserve">, as this was the clinical position proposed by the </w:t>
      </w:r>
      <w:r w:rsidR="003D448B">
        <w:t>re</w:t>
      </w:r>
      <w:r w:rsidR="004A35FB" w:rsidRPr="00DF44A0">
        <w:t>submission</w:t>
      </w:r>
      <w:r w:rsidR="00373169" w:rsidRPr="00DF44A0">
        <w:t>.</w:t>
      </w:r>
      <w:r w:rsidR="004A35FB" w:rsidRPr="00DF44A0">
        <w:t xml:space="preserve"> </w:t>
      </w:r>
    </w:p>
    <w:p w14:paraId="265BA6C9" w14:textId="77777777" w:rsidR="00A5124D" w:rsidRPr="00DF44A0" w:rsidRDefault="003D6304" w:rsidP="00F9393E">
      <w:pPr>
        <w:pStyle w:val="ExecSumBodyText"/>
        <w:rPr>
          <w:iCs/>
        </w:rPr>
      </w:pPr>
      <w:r w:rsidRPr="00A25C41">
        <w:rPr>
          <w:iCs/>
        </w:rPr>
        <w:t xml:space="preserve">The </w:t>
      </w:r>
      <w:r w:rsidR="002412A9" w:rsidRPr="00A25C41">
        <w:rPr>
          <w:iCs/>
        </w:rPr>
        <w:t>resubmission noted that the sponsor may initiate a patient access program if PBAC recommend</w:t>
      </w:r>
      <w:r w:rsidR="00DC54FF">
        <w:rPr>
          <w:iCs/>
        </w:rPr>
        <w:t>ed</w:t>
      </w:r>
      <w:r w:rsidR="002412A9" w:rsidRPr="00A25C41">
        <w:rPr>
          <w:iCs/>
        </w:rPr>
        <w:t xml:space="preserve"> the requested listing “for a finite period while PBS listing arrangements are finalised”. A proposed grandfathering restriction was included for this purpose</w:t>
      </w:r>
      <w:r w:rsidR="000A05BC" w:rsidRPr="00DF44A0">
        <w:t>, but t</w:t>
      </w:r>
      <w:r w:rsidR="00461B15" w:rsidRPr="00DF44A0">
        <w:t xml:space="preserve">he sponsor </w:t>
      </w:r>
      <w:r w:rsidR="000A05BC" w:rsidRPr="00DF44A0">
        <w:t xml:space="preserve">had not provided any </w:t>
      </w:r>
      <w:r w:rsidR="00DC54FF">
        <w:t xml:space="preserve">financial </w:t>
      </w:r>
      <w:r w:rsidR="000A05BC" w:rsidRPr="00DF44A0">
        <w:t>estimates.</w:t>
      </w:r>
    </w:p>
    <w:p w14:paraId="251A3BC5" w14:textId="77777777" w:rsidR="00DF44A0" w:rsidRPr="00C33D30" w:rsidRDefault="00DF44A0" w:rsidP="00DF44A0">
      <w:pPr>
        <w:ind w:firstLine="709"/>
        <w:rPr>
          <w:rFonts w:asciiTheme="minorHAnsi" w:hAnsiTheme="minorHAnsi"/>
          <w:i/>
        </w:rPr>
      </w:pPr>
      <w:r w:rsidRPr="00C33D30">
        <w:rPr>
          <w:rFonts w:asciiTheme="minorHAnsi" w:hAnsiTheme="minorHAnsi"/>
          <w:i/>
        </w:rPr>
        <w:t>For more detail on PBAC’s view, see section 7 PBAC outcome.</w:t>
      </w:r>
    </w:p>
    <w:p w14:paraId="7A73CABB" w14:textId="77777777" w:rsidR="00B50DB8" w:rsidRPr="00191822" w:rsidRDefault="00203181" w:rsidP="004E18E9">
      <w:pPr>
        <w:pStyle w:val="2-SectionHeading"/>
      </w:pPr>
      <w:bookmarkStart w:id="13" w:name="_Toc82613382"/>
      <w:r w:rsidRPr="00191822">
        <w:t xml:space="preserve">Population and </w:t>
      </w:r>
      <w:r w:rsidR="008E0D3C" w:rsidRPr="00191822">
        <w:t>d</w:t>
      </w:r>
      <w:r w:rsidRPr="00191822">
        <w:t>isease</w:t>
      </w:r>
      <w:bookmarkEnd w:id="13"/>
    </w:p>
    <w:p w14:paraId="473563CA" w14:textId="77777777" w:rsidR="00D47956" w:rsidRPr="00191822" w:rsidRDefault="00D47956" w:rsidP="004E18E9">
      <w:pPr>
        <w:pStyle w:val="ExecSumBodyText"/>
      </w:pPr>
      <w:r w:rsidRPr="00191822">
        <w:t>CLL is characterised by the progressive accumulation of functionally incompetent B-lymphocytes in the blood, bone marrow, lymph nodes, spleen</w:t>
      </w:r>
      <w:r w:rsidR="0036103B">
        <w:t>,</w:t>
      </w:r>
      <w:r w:rsidRPr="00191822">
        <w:t xml:space="preserve"> and liver. Typical symptoms associated with CLL include swollen lymph nodes, pain, anaemia, infections, increased or unexplained bleeding/bruising, excessive nocturnal sweating</w:t>
      </w:r>
      <w:r w:rsidR="0036103B">
        <w:t>,</w:t>
      </w:r>
      <w:r w:rsidRPr="00191822">
        <w:t xml:space="preserve"> and unintentional weight loss.</w:t>
      </w:r>
    </w:p>
    <w:p w14:paraId="66421FF6" w14:textId="77777777" w:rsidR="00D47956" w:rsidRPr="00191822" w:rsidRDefault="00D47956" w:rsidP="00D47956">
      <w:pPr>
        <w:pStyle w:val="ExecSumBodyText"/>
      </w:pPr>
      <w:r w:rsidRPr="00191822">
        <w:t xml:space="preserve">CLL is more common in men than women (62% versus 38%), with a mean age at diagnosis in Australia of 70.6 years (males 69.9 years, females 71.8 years). The five-year relative survival rate in Australia in 2013-2017 was 84.9% (AIHW, 2021). CLL and SLL are generally considered to be different manifestations of the same disease. In </w:t>
      </w:r>
      <w:r w:rsidRPr="00191822">
        <w:lastRenderedPageBreak/>
        <w:t>CLL, abnormal lymphocytes are predominantly found in blood, bone marrow and lymphoid tissue, whereas in SLL, abnormal lymphocytes are predominantly located in lymph nodes, bone marrow and other lymphoid tissue.</w:t>
      </w:r>
    </w:p>
    <w:p w14:paraId="11D10992" w14:textId="77777777" w:rsidR="00D47956" w:rsidRPr="00191822" w:rsidRDefault="00D47956" w:rsidP="00D47956">
      <w:pPr>
        <w:pStyle w:val="ExecSumBodyText"/>
      </w:pPr>
      <w:r w:rsidRPr="00191822">
        <w:t xml:space="preserve">Characteristics associated with a worse prognosis include genetic factors (17p deletion/TP53 mutation, 11q deletion, unmutated IGHV), biochemical/cell surface markers (serum thymidine kinase, serum β2 </w:t>
      </w:r>
      <w:proofErr w:type="spellStart"/>
      <w:r w:rsidRPr="00191822">
        <w:t>microglobulin</w:t>
      </w:r>
      <w:proofErr w:type="spellEnd"/>
      <w:r w:rsidRPr="00191822">
        <w:t>), and patient characteristics (male sex, older age, worse ECOG performance score). Deletion of the short arm of chromosome 17 (17p deletion) is found in 5-8% of chemotherapy-naïve patients, and is associated with resistance to genotoxic chemotherapies, including conventional chemoimmunotherapy regimens (</w:t>
      </w:r>
      <w:proofErr w:type="spellStart"/>
      <w:r w:rsidRPr="00191822">
        <w:t>Hallek</w:t>
      </w:r>
      <w:proofErr w:type="spellEnd"/>
      <w:r w:rsidR="0036103B">
        <w:t>,</w:t>
      </w:r>
      <w:r w:rsidRPr="00191822">
        <w:t xml:space="preserve"> 2015).</w:t>
      </w:r>
    </w:p>
    <w:p w14:paraId="1B68DA6B" w14:textId="77777777" w:rsidR="00D47956" w:rsidRPr="00191822" w:rsidRDefault="00D47956" w:rsidP="00D47956">
      <w:pPr>
        <w:pStyle w:val="ExecSumBodyText"/>
      </w:pPr>
      <w:r w:rsidRPr="00191822">
        <w:t xml:space="preserve">CLL/SLL is generally a slowly progressing cancer, with many patients managed with a ‘watch and wait’ approach until symptoms develop. The choice of therapy depends on </w:t>
      </w:r>
      <w:r w:rsidR="0036103B" w:rsidRPr="00191822">
        <w:t>several</w:t>
      </w:r>
      <w:r w:rsidRPr="00191822">
        <w:t xml:space="preserve"> factors, including age, fitness, comorbidities, and the presence of prognostic genetic mutations.</w:t>
      </w:r>
    </w:p>
    <w:p w14:paraId="208FED13" w14:textId="77777777" w:rsidR="0075235F" w:rsidRPr="00191822" w:rsidRDefault="0075235F" w:rsidP="0075235F">
      <w:pPr>
        <w:pStyle w:val="ExecSumBodyText"/>
      </w:pPr>
      <w:r w:rsidRPr="00191822">
        <w:t>Acalabrutinib is a small-molecule inhibitor of Bruton’s Tyrosine Kinase (BTK). In B cells, BTK signalling results in activation of pathways necessary for B-cell proliferation, trafficking, chemotaxis, and adhesion.</w:t>
      </w:r>
    </w:p>
    <w:p w14:paraId="4C86C034" w14:textId="77777777" w:rsidR="00617191" w:rsidRPr="00191822" w:rsidRDefault="00BD60E3" w:rsidP="00617191">
      <w:pPr>
        <w:pStyle w:val="ExecSumBodyText"/>
      </w:pPr>
      <w:r>
        <w:t xml:space="preserve">Figure </w:t>
      </w:r>
      <w:r>
        <w:rPr>
          <w:noProof/>
        </w:rPr>
        <w:t>1</w:t>
      </w:r>
      <w:r w:rsidR="00617191" w:rsidRPr="00191822">
        <w:t xml:space="preserve"> presents the </w:t>
      </w:r>
      <w:r w:rsidR="0036103B">
        <w:t xml:space="preserve">resubmission’s </w:t>
      </w:r>
      <w:r w:rsidR="00617191" w:rsidRPr="00191822">
        <w:t>proposed clinical management algorithm.</w:t>
      </w:r>
    </w:p>
    <w:p w14:paraId="68885D9C" w14:textId="77777777" w:rsidR="00617191" w:rsidRPr="00191822" w:rsidRDefault="004026AA" w:rsidP="00795E12">
      <w:pPr>
        <w:pStyle w:val="TableFigureCaption"/>
      </w:pPr>
      <w:bookmarkStart w:id="14" w:name="_Ref80373746"/>
      <w:r>
        <w:t xml:space="preserve">Figure </w:t>
      </w:r>
      <w:r w:rsidR="00BD60E3">
        <w:rPr>
          <w:noProof/>
        </w:rPr>
        <w:t>1</w:t>
      </w:r>
      <w:bookmarkEnd w:id="14"/>
      <w:r w:rsidR="00617191" w:rsidRPr="00191822">
        <w:t>: Proposed clinical management algorithm for patients with CLL/SLL</w:t>
      </w:r>
    </w:p>
    <w:p w14:paraId="527C17E4" w14:textId="77777777" w:rsidR="00617191" w:rsidRPr="00191822" w:rsidRDefault="00617191" w:rsidP="005B1294">
      <w:pPr>
        <w:pStyle w:val="ExecSumBodyText"/>
        <w:numPr>
          <w:ilvl w:val="0"/>
          <w:numId w:val="0"/>
        </w:numPr>
        <w:spacing w:after="0"/>
        <w:ind w:left="720" w:hanging="720"/>
        <w:jc w:val="left"/>
      </w:pPr>
      <w:r w:rsidRPr="00191822">
        <w:rPr>
          <w:noProof/>
        </w:rPr>
        <w:drawing>
          <wp:inline distT="0" distB="0" distL="0" distR="0" wp14:anchorId="500E9799" wp14:editId="4752F5AF">
            <wp:extent cx="5732145" cy="3150870"/>
            <wp:effectExtent l="19050" t="19050" r="20955" b="11430"/>
            <wp:docPr id="7" name="Picture 7" title="Figure 1: Proposed clinical management algorithm for patients with CLL/S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150870"/>
                    </a:xfrm>
                    <a:prstGeom prst="rect">
                      <a:avLst/>
                    </a:prstGeom>
                    <a:noFill/>
                    <a:ln>
                      <a:solidFill>
                        <a:schemeClr val="tx1"/>
                      </a:solidFill>
                    </a:ln>
                  </pic:spPr>
                </pic:pic>
              </a:graphicData>
            </a:graphic>
          </wp:inline>
        </w:drawing>
      </w:r>
    </w:p>
    <w:p w14:paraId="7DAD6715" w14:textId="77777777" w:rsidR="00B15482" w:rsidRPr="00191822" w:rsidRDefault="00B15482" w:rsidP="00B15482">
      <w:pPr>
        <w:pStyle w:val="TableFigureFooter"/>
      </w:pPr>
      <w:r w:rsidRPr="00191822">
        <w:t>Source: Figure 1.4, p57 of the resubmission.</w:t>
      </w:r>
    </w:p>
    <w:p w14:paraId="005887FE" w14:textId="77777777" w:rsidR="00B15482" w:rsidRPr="00191822" w:rsidRDefault="00B15482" w:rsidP="00B15482">
      <w:pPr>
        <w:pStyle w:val="TableFigureFooter"/>
      </w:pPr>
      <w:r w:rsidRPr="00191822">
        <w:t>FCR, fludarabine + cyclophosphamide + rituximab; OBI</w:t>
      </w:r>
      <w:r w:rsidR="0036103B">
        <w:t>N</w:t>
      </w:r>
      <w:r w:rsidRPr="00191822">
        <w:t xml:space="preserve">, </w:t>
      </w:r>
      <w:proofErr w:type="spellStart"/>
      <w:r w:rsidRPr="00191822">
        <w:t>obinutuzumab</w:t>
      </w:r>
      <w:proofErr w:type="spellEnd"/>
      <w:r w:rsidRPr="00191822">
        <w:t xml:space="preserve">; VTX, </w:t>
      </w:r>
      <w:proofErr w:type="spellStart"/>
      <w:r w:rsidRPr="00191822">
        <w:t>venetoclax</w:t>
      </w:r>
      <w:proofErr w:type="spellEnd"/>
      <w:r w:rsidRPr="00191822">
        <w:t>.</w:t>
      </w:r>
    </w:p>
    <w:p w14:paraId="5F65DC62" w14:textId="77777777" w:rsidR="00617191" w:rsidRPr="00055278" w:rsidRDefault="00617191" w:rsidP="00D47956">
      <w:pPr>
        <w:pStyle w:val="ExecSumBodyText"/>
      </w:pPr>
      <w:r w:rsidRPr="00191822">
        <w:t>The algorithm position</w:t>
      </w:r>
      <w:r w:rsidR="0036103B">
        <w:t>ed</w:t>
      </w:r>
      <w:r w:rsidRPr="00191822">
        <w:t xml:space="preserve"> acalabrutinib monotherapy as a first-line option for frail patients with significant comorbidity who are unable to tolerate treatment with a purine analogue, patients aged ≥65 years, and patients aged &lt;65 years with significant </w:t>
      </w:r>
      <w:r w:rsidRPr="00191822">
        <w:lastRenderedPageBreak/>
        <w:t xml:space="preserve">comorbidities or high-risk </w:t>
      </w:r>
      <w:proofErr w:type="gramStart"/>
      <w:r w:rsidRPr="00191822">
        <w:t>factors;</w:t>
      </w:r>
      <w:proofErr w:type="gramEnd"/>
      <w:r w:rsidRPr="00191822">
        <w:t xml:space="preserve"> who are considered unsuitable for treatment with </w:t>
      </w:r>
      <w:proofErr w:type="spellStart"/>
      <w:r w:rsidRPr="00191822">
        <w:t>venetoclax</w:t>
      </w:r>
      <w:proofErr w:type="spellEnd"/>
      <w:r w:rsidRPr="00191822">
        <w:t xml:space="preserve"> + </w:t>
      </w:r>
      <w:proofErr w:type="spellStart"/>
      <w:r w:rsidRPr="00191822">
        <w:t>obinutuzumab</w:t>
      </w:r>
      <w:proofErr w:type="spellEnd"/>
      <w:r w:rsidRPr="00191822">
        <w:t xml:space="preserve">. </w:t>
      </w:r>
      <w:r w:rsidRPr="00057659">
        <w:t xml:space="preserve">The resubmission also requested listing of acalabrutinib for patients who permanently discontinue treatment with </w:t>
      </w:r>
      <w:proofErr w:type="spellStart"/>
      <w:r w:rsidRPr="00057659">
        <w:t>venetoclax</w:t>
      </w:r>
      <w:proofErr w:type="spellEnd"/>
      <w:r w:rsidRPr="00057659">
        <w:t xml:space="preserve"> + </w:t>
      </w:r>
      <w:proofErr w:type="spellStart"/>
      <w:r w:rsidRPr="00057659">
        <w:t>obinutuzumab</w:t>
      </w:r>
      <w:proofErr w:type="spellEnd"/>
      <w:r w:rsidRPr="00057659">
        <w:t xml:space="preserve"> due to intolerance.</w:t>
      </w:r>
      <w:r w:rsidRPr="00A25C41">
        <w:rPr>
          <w:iCs/>
        </w:rPr>
        <w:t xml:space="preserve"> These patients were not explicitly included in the treatment algorithm.</w:t>
      </w:r>
    </w:p>
    <w:p w14:paraId="61C495E2" w14:textId="77777777" w:rsidR="006D4E91" w:rsidRDefault="00080B2C" w:rsidP="006D4E91">
      <w:pPr>
        <w:pStyle w:val="ExecSumBodyText"/>
      </w:pPr>
      <w:bookmarkStart w:id="15" w:name="_Hlk82162385"/>
      <w:r>
        <w:t>The resubmission argued that</w:t>
      </w:r>
      <w:r w:rsidR="003767D1">
        <w:t xml:space="preserve">, based on expert opinion, </w:t>
      </w:r>
      <w:r>
        <w:t xml:space="preserve">there is a clinical need for additional therapies among </w:t>
      </w:r>
      <w:r w:rsidR="0015590C">
        <w:t xml:space="preserve">previously untreated </w:t>
      </w:r>
      <w:r>
        <w:t xml:space="preserve">patients </w:t>
      </w:r>
      <w:r w:rsidR="003767D1">
        <w:t xml:space="preserve">who are unsuitable for treatment with fludarabine-based chemoimmunotherapy and </w:t>
      </w:r>
      <w:proofErr w:type="spellStart"/>
      <w:r w:rsidR="003767D1">
        <w:t>venetoclax</w:t>
      </w:r>
      <w:proofErr w:type="spellEnd"/>
      <w:r w:rsidR="003767D1">
        <w:t xml:space="preserve"> + </w:t>
      </w:r>
      <w:proofErr w:type="spellStart"/>
      <w:r w:rsidR="003767D1">
        <w:t>obinutuzumab</w:t>
      </w:r>
      <w:proofErr w:type="spellEnd"/>
      <w:r w:rsidR="0015590C">
        <w:t>,</w:t>
      </w:r>
      <w:r w:rsidR="00E31F06">
        <w:t xml:space="preserve"> </w:t>
      </w:r>
      <w:r w:rsidR="00234A50">
        <w:t>due to</w:t>
      </w:r>
      <w:r w:rsidR="0015590C">
        <w:t xml:space="preserve"> the lower effectiveness of chlorambucil + </w:t>
      </w:r>
      <w:proofErr w:type="spellStart"/>
      <w:r w:rsidR="0015590C">
        <w:t>obinutuzumab</w:t>
      </w:r>
      <w:proofErr w:type="spellEnd"/>
      <w:r w:rsidR="00EC5547">
        <w:t xml:space="preserve">.  </w:t>
      </w:r>
      <w:r w:rsidR="005D08C6" w:rsidRPr="00DF44A0">
        <w:rPr>
          <w:iCs/>
        </w:rPr>
        <w:t xml:space="preserve">The ESC recognised there was a clinical rationale for the narrower </w:t>
      </w:r>
      <w:proofErr w:type="gramStart"/>
      <w:r w:rsidR="005D08C6" w:rsidRPr="00DF44A0">
        <w:rPr>
          <w:iCs/>
        </w:rPr>
        <w:t>listing, but</w:t>
      </w:r>
      <w:proofErr w:type="gramEnd"/>
      <w:r w:rsidR="005D08C6" w:rsidRPr="00DF44A0">
        <w:rPr>
          <w:iCs/>
        </w:rPr>
        <w:t xml:space="preserve"> noted that the </w:t>
      </w:r>
      <w:r w:rsidR="00692F2C" w:rsidRPr="005D08C6">
        <w:rPr>
          <w:iCs/>
        </w:rPr>
        <w:t xml:space="preserve">clinical need identified in the resubmission could also be addressed with a broader </w:t>
      </w:r>
      <w:r w:rsidR="00917386">
        <w:rPr>
          <w:iCs/>
        </w:rPr>
        <w:t>listing extended to</w:t>
      </w:r>
      <w:r w:rsidR="00917386" w:rsidRPr="005D08C6">
        <w:rPr>
          <w:iCs/>
        </w:rPr>
        <w:t xml:space="preserve"> </w:t>
      </w:r>
      <w:r w:rsidR="00692F2C" w:rsidRPr="005D08C6">
        <w:rPr>
          <w:iCs/>
        </w:rPr>
        <w:t>the population who are unsuitable for fludarabine based chemotherapy.</w:t>
      </w:r>
      <w:r w:rsidR="00692F2C" w:rsidRPr="00692F2C">
        <w:t xml:space="preserve"> </w:t>
      </w:r>
      <w:r w:rsidR="00846B5B">
        <w:t xml:space="preserve">The resubmission </w:t>
      </w:r>
      <w:r w:rsidR="00DB01CA">
        <w:t>claimed</w:t>
      </w:r>
      <w:r w:rsidR="00846B5B">
        <w:t xml:space="preserve"> that patients who discontinue treatment with </w:t>
      </w:r>
      <w:proofErr w:type="spellStart"/>
      <w:r w:rsidR="00846B5B">
        <w:t>venetoclax</w:t>
      </w:r>
      <w:proofErr w:type="spellEnd"/>
      <w:r w:rsidR="00846B5B">
        <w:t xml:space="preserve"> + </w:t>
      </w:r>
      <w:proofErr w:type="spellStart"/>
      <w:r w:rsidR="00846B5B">
        <w:t>obinutuzumab</w:t>
      </w:r>
      <w:proofErr w:type="spellEnd"/>
      <w:r w:rsidR="00846B5B">
        <w:t xml:space="preserve"> due to intolerance </w:t>
      </w:r>
      <w:r w:rsidR="000357B1">
        <w:t xml:space="preserve">have limited treatment options, </w:t>
      </w:r>
      <w:r w:rsidR="005C7CEC">
        <w:t>as they do no</w:t>
      </w:r>
      <w:r w:rsidR="00DB01CA">
        <w:t xml:space="preserve">t meet eligibility requirements </w:t>
      </w:r>
      <w:r w:rsidR="00846B5B">
        <w:t xml:space="preserve">for </w:t>
      </w:r>
      <w:r w:rsidR="00DB01CA">
        <w:t xml:space="preserve">PBS-listed </w:t>
      </w:r>
      <w:r w:rsidR="00846B5B">
        <w:t xml:space="preserve">relapsed/refractory </w:t>
      </w:r>
      <w:r w:rsidR="00DB01CA">
        <w:t>treatments</w:t>
      </w:r>
      <w:r w:rsidR="009E58E6">
        <w:t>.</w:t>
      </w:r>
    </w:p>
    <w:p w14:paraId="4DB6F81C" w14:textId="77777777" w:rsidR="006D4E91" w:rsidRPr="008B7085" w:rsidRDefault="006D4E91" w:rsidP="006D4E91">
      <w:pPr>
        <w:pStyle w:val="ExecSumBodyText"/>
      </w:pPr>
      <w:bookmarkStart w:id="16" w:name="_Hlk89495286"/>
      <w:r w:rsidRPr="00DF44A0">
        <w:rPr>
          <w:iCs/>
        </w:rPr>
        <w:t>The PSCR explained that achieving cost-effectiveness for a broader listing would be challenging as acalabrutinib monotherapy is</w:t>
      </w:r>
      <w:r w:rsidR="00D104CB" w:rsidRPr="00DF44A0">
        <w:rPr>
          <w:iCs/>
        </w:rPr>
        <w:t xml:space="preserve"> used until disease progression or unacceptable toxicity, potentially for several years, compared with </w:t>
      </w:r>
      <w:proofErr w:type="spellStart"/>
      <w:r w:rsidR="00D104CB" w:rsidRPr="00DF44A0">
        <w:rPr>
          <w:iCs/>
        </w:rPr>
        <w:t>venetoclax</w:t>
      </w:r>
      <w:proofErr w:type="spellEnd"/>
      <w:r w:rsidR="00D104CB" w:rsidRPr="00DF44A0">
        <w:rPr>
          <w:iCs/>
        </w:rPr>
        <w:t xml:space="preserve"> + </w:t>
      </w:r>
      <w:proofErr w:type="spellStart"/>
      <w:r w:rsidR="00D104CB" w:rsidRPr="00DF44A0">
        <w:rPr>
          <w:iCs/>
        </w:rPr>
        <w:t>obinutuzumab</w:t>
      </w:r>
      <w:proofErr w:type="spellEnd"/>
      <w:r w:rsidR="00D104CB" w:rsidRPr="00DF44A0">
        <w:rPr>
          <w:iCs/>
        </w:rPr>
        <w:t>, which has a fixed duration of 48 weeks. Hence, the sponsor</w:t>
      </w:r>
      <w:r w:rsidR="008A5059" w:rsidRPr="00DF44A0">
        <w:rPr>
          <w:iCs/>
        </w:rPr>
        <w:t xml:space="preserve"> had</w:t>
      </w:r>
      <w:r w:rsidR="00D104CB" w:rsidRPr="00DF44A0">
        <w:rPr>
          <w:iCs/>
        </w:rPr>
        <w:t xml:space="preserve"> identified a narrower population in </w:t>
      </w:r>
      <w:r w:rsidR="008A5059" w:rsidRPr="00DF44A0">
        <w:rPr>
          <w:iCs/>
        </w:rPr>
        <w:t>which</w:t>
      </w:r>
      <w:r w:rsidR="00D104CB" w:rsidRPr="00DF44A0">
        <w:rPr>
          <w:iCs/>
        </w:rPr>
        <w:t xml:space="preserve"> there was a</w:t>
      </w:r>
      <w:r w:rsidR="008A5059" w:rsidRPr="00DF44A0">
        <w:rPr>
          <w:iCs/>
        </w:rPr>
        <w:t xml:space="preserve"> </w:t>
      </w:r>
      <w:r w:rsidR="00D104CB" w:rsidRPr="00DF44A0">
        <w:rPr>
          <w:iCs/>
        </w:rPr>
        <w:t>clinical need for alternative treatment options.</w:t>
      </w:r>
    </w:p>
    <w:bookmarkEnd w:id="15"/>
    <w:bookmarkEnd w:id="16"/>
    <w:p w14:paraId="7F59316B" w14:textId="77777777" w:rsidR="006F19FC" w:rsidRPr="008B7085" w:rsidRDefault="00617191" w:rsidP="00D540A3">
      <w:pPr>
        <w:pStyle w:val="ExecSumBodyText"/>
      </w:pPr>
      <w:r w:rsidRPr="008B7085">
        <w:t xml:space="preserve">The resubmission </w:t>
      </w:r>
      <w:r w:rsidR="0028752A" w:rsidRPr="008B7085">
        <w:t xml:space="preserve">assumed </w:t>
      </w:r>
      <w:r w:rsidRPr="008B7085">
        <w:t xml:space="preserve">that approximately 16% of patients who are eligible for treatment with </w:t>
      </w:r>
      <w:proofErr w:type="spellStart"/>
      <w:r w:rsidRPr="008B7085">
        <w:t>venetoclax</w:t>
      </w:r>
      <w:proofErr w:type="spellEnd"/>
      <w:r w:rsidRPr="008B7085">
        <w:t xml:space="preserve"> + </w:t>
      </w:r>
      <w:proofErr w:type="spellStart"/>
      <w:r w:rsidRPr="008B7085">
        <w:t>obinutuzumab</w:t>
      </w:r>
      <w:proofErr w:type="spellEnd"/>
      <w:r w:rsidRPr="008B7085">
        <w:t xml:space="preserve"> would develop intolerance to </w:t>
      </w:r>
      <w:proofErr w:type="spellStart"/>
      <w:r w:rsidRPr="008B7085">
        <w:t>venetoclax</w:t>
      </w:r>
      <w:proofErr w:type="spellEnd"/>
      <w:r w:rsidRPr="008B7085">
        <w:t xml:space="preserve"> + </w:t>
      </w:r>
      <w:proofErr w:type="spellStart"/>
      <w:r w:rsidRPr="008B7085">
        <w:t>obinutuzumab</w:t>
      </w:r>
      <w:proofErr w:type="spellEnd"/>
      <w:r w:rsidRPr="008B7085">
        <w:t xml:space="preserve"> requiring permanent discontinuation, and that approximately 14% of patients are unsuitable for treatment with </w:t>
      </w:r>
      <w:proofErr w:type="spellStart"/>
      <w:r w:rsidRPr="008B7085">
        <w:t>venetoclax</w:t>
      </w:r>
      <w:proofErr w:type="spellEnd"/>
      <w:r w:rsidRPr="008B7085">
        <w:t xml:space="preserve"> + </w:t>
      </w:r>
      <w:proofErr w:type="spellStart"/>
      <w:r w:rsidRPr="008B7085">
        <w:t>obinutuzumab</w:t>
      </w:r>
      <w:proofErr w:type="spellEnd"/>
      <w:r w:rsidR="003D448B">
        <w:t>.</w:t>
      </w:r>
      <w:r w:rsidR="0028752A" w:rsidRPr="008B7085">
        <w:t xml:space="preserve"> </w:t>
      </w:r>
      <w:r w:rsidR="00146DDC" w:rsidRPr="00DF44A0">
        <w:rPr>
          <w:iCs/>
        </w:rPr>
        <w:t>The ESC noted that the 16% appeared to be based on the proportion of patients who discontinued at least one treatment component</w:t>
      </w:r>
      <w:r w:rsidR="002A0F6B" w:rsidRPr="00DF44A0">
        <w:rPr>
          <w:iCs/>
        </w:rPr>
        <w:t xml:space="preserve"> of </w:t>
      </w:r>
      <w:proofErr w:type="spellStart"/>
      <w:r w:rsidR="002A0F6B" w:rsidRPr="00DF44A0">
        <w:rPr>
          <w:iCs/>
        </w:rPr>
        <w:t>venetoclax</w:t>
      </w:r>
      <w:proofErr w:type="spellEnd"/>
      <w:r w:rsidR="002A0F6B" w:rsidRPr="00DF44A0">
        <w:rPr>
          <w:iCs/>
        </w:rPr>
        <w:t xml:space="preserve"> + </w:t>
      </w:r>
      <w:proofErr w:type="spellStart"/>
      <w:r w:rsidR="002A0F6B" w:rsidRPr="00DF44A0">
        <w:rPr>
          <w:iCs/>
        </w:rPr>
        <w:t>obinutuzumab</w:t>
      </w:r>
      <w:proofErr w:type="spellEnd"/>
      <w:r w:rsidR="00146DDC" w:rsidRPr="00DF44A0">
        <w:rPr>
          <w:iCs/>
        </w:rPr>
        <w:t xml:space="preserve"> due to adverse events in the CLL-14 trial (Fischer et al., 2019) </w:t>
      </w:r>
      <w:r w:rsidR="00146DDC" w:rsidRPr="008B7085">
        <w:t xml:space="preserve">(see also </w:t>
      </w:r>
      <w:r w:rsidR="00BD60E3">
        <w:t xml:space="preserve">Table </w:t>
      </w:r>
      <w:r w:rsidR="00BD60E3">
        <w:rPr>
          <w:noProof/>
        </w:rPr>
        <w:t>16</w:t>
      </w:r>
      <w:r w:rsidR="00BD60E3" w:rsidRPr="00191822">
        <w:t>: Key inputs for financial estimates</w:t>
      </w:r>
      <w:r w:rsidR="00146DDC" w:rsidRPr="008B7085">
        <w:t>).</w:t>
      </w:r>
      <w:r w:rsidR="00146DDC" w:rsidRPr="00DF44A0">
        <w:rPr>
          <w:iCs/>
        </w:rPr>
        <w:t xml:space="preserve"> </w:t>
      </w:r>
      <w:r w:rsidR="006F19FC" w:rsidRPr="008B7085">
        <w:rPr>
          <w:iCs/>
        </w:rPr>
        <w:t xml:space="preserve">Overall, the population targeted in the resubmission was unclear due to a lack of definition </w:t>
      </w:r>
      <w:r w:rsidR="008B7085" w:rsidRPr="009E7F27">
        <w:rPr>
          <w:iCs/>
        </w:rPr>
        <w:t xml:space="preserve">for </w:t>
      </w:r>
      <w:r w:rsidR="006F19FC" w:rsidRPr="008B7085">
        <w:rPr>
          <w:iCs/>
        </w:rPr>
        <w:t xml:space="preserve">unsuitability for </w:t>
      </w:r>
      <w:proofErr w:type="spellStart"/>
      <w:r w:rsidR="006F19FC" w:rsidRPr="008B7085">
        <w:rPr>
          <w:iCs/>
        </w:rPr>
        <w:t>venetoclax</w:t>
      </w:r>
      <w:proofErr w:type="spellEnd"/>
      <w:r w:rsidR="006F19FC" w:rsidRPr="008B7085">
        <w:rPr>
          <w:iCs/>
        </w:rPr>
        <w:t xml:space="preserve"> + </w:t>
      </w:r>
      <w:proofErr w:type="spellStart"/>
      <w:r w:rsidR="006F19FC" w:rsidRPr="008B7085">
        <w:rPr>
          <w:iCs/>
        </w:rPr>
        <w:t>obinutuzumab</w:t>
      </w:r>
      <w:proofErr w:type="spellEnd"/>
      <w:r w:rsidR="006F19FC" w:rsidRPr="008B7085">
        <w:rPr>
          <w:iCs/>
        </w:rPr>
        <w:t xml:space="preserve"> treatment.</w:t>
      </w:r>
      <w:r w:rsidR="006D4E91" w:rsidRPr="008B7085">
        <w:rPr>
          <w:iCs/>
        </w:rPr>
        <w:t xml:space="preserve"> </w:t>
      </w:r>
      <w:r w:rsidR="006D4E91" w:rsidRPr="00DF44A0">
        <w:t>Although the PSCR</w:t>
      </w:r>
      <w:r w:rsidR="00BD6AD1" w:rsidRPr="00DF44A0">
        <w:t xml:space="preserve"> </w:t>
      </w:r>
      <w:r w:rsidR="008B7085" w:rsidRPr="00DF44A0">
        <w:t xml:space="preserve">provided </w:t>
      </w:r>
      <w:r w:rsidR="00BD6AD1" w:rsidRPr="00DF44A0">
        <w:t>examples</w:t>
      </w:r>
      <w:r w:rsidR="008B7085" w:rsidRPr="00DF44A0">
        <w:t xml:space="preserve"> of patients who might be unsuitable, the ESC again noted that most were highly subjective, and</w:t>
      </w:r>
      <w:r w:rsidR="003D448B">
        <w:t xml:space="preserve"> thus</w:t>
      </w:r>
      <w:r w:rsidR="008B7085" w:rsidRPr="00DF44A0">
        <w:t xml:space="preserve"> it was unclear whether prescribing choices would be influenced by the availability of acalabrutinib in the first-line setting</w:t>
      </w:r>
      <w:r w:rsidR="00146DDC" w:rsidRPr="00DF44A0">
        <w:t>.</w:t>
      </w:r>
      <w:r w:rsidR="008B7085" w:rsidRPr="00DF44A0">
        <w:t xml:space="preserve"> </w:t>
      </w:r>
    </w:p>
    <w:p w14:paraId="1BC9E19D" w14:textId="77777777" w:rsidR="006D4E91" w:rsidRPr="00DF44A0" w:rsidRDefault="008078C3" w:rsidP="006D4E91">
      <w:pPr>
        <w:pStyle w:val="ExecSumBodyText"/>
      </w:pPr>
      <w:bookmarkStart w:id="17" w:name="_Ref84941343"/>
      <w:r w:rsidRPr="008B7085">
        <w:rPr>
          <w:iCs/>
        </w:rPr>
        <w:t>T</w:t>
      </w:r>
      <w:r w:rsidR="00097891" w:rsidRPr="008B7085">
        <w:rPr>
          <w:iCs/>
        </w:rPr>
        <w:t xml:space="preserve">he July 2020 submission requested listing </w:t>
      </w:r>
      <w:r w:rsidR="005C7CEC" w:rsidRPr="008B7085">
        <w:rPr>
          <w:iCs/>
        </w:rPr>
        <w:t xml:space="preserve">for acalabrutinib monotherapy and acalabrutinib + </w:t>
      </w:r>
      <w:proofErr w:type="spellStart"/>
      <w:r w:rsidR="005C7CEC" w:rsidRPr="008B7085">
        <w:rPr>
          <w:iCs/>
        </w:rPr>
        <w:t>obinutuzumab</w:t>
      </w:r>
      <w:proofErr w:type="spellEnd"/>
      <w:r w:rsidRPr="008B7085">
        <w:rPr>
          <w:iCs/>
        </w:rPr>
        <w:t>,</w:t>
      </w:r>
      <w:r w:rsidRPr="008B7085">
        <w:t xml:space="preserve"> </w:t>
      </w:r>
      <w:r w:rsidRPr="008B7085">
        <w:rPr>
          <w:iCs/>
        </w:rPr>
        <w:t>whereas the current resubmission requested listing for acalabrutinib monotherapy only.</w:t>
      </w:r>
      <w:r w:rsidR="00097891" w:rsidRPr="008B7085">
        <w:rPr>
          <w:iCs/>
        </w:rPr>
        <w:t xml:space="preserve"> </w:t>
      </w:r>
      <w:r w:rsidR="00B27E43" w:rsidRPr="008B7085">
        <w:rPr>
          <w:iCs/>
        </w:rPr>
        <w:t>The</w:t>
      </w:r>
      <w:r w:rsidR="008F7B67" w:rsidRPr="008B7085">
        <w:rPr>
          <w:iCs/>
        </w:rPr>
        <w:t xml:space="preserve"> rationale for limiting treatment to acalabrutinib monotherapy in the resubmission was unclear.</w:t>
      </w:r>
      <w:r w:rsidR="00B27E43" w:rsidRPr="008B7085">
        <w:rPr>
          <w:iCs/>
        </w:rPr>
        <w:t xml:space="preserve"> </w:t>
      </w:r>
      <w:r w:rsidR="008B7085" w:rsidRPr="00DF44A0">
        <w:t>This did not appear to be addressed in the PSCR</w:t>
      </w:r>
      <w:r w:rsidR="00707332" w:rsidRPr="00DF44A0">
        <w:t>, although the ESC considered that</w:t>
      </w:r>
      <w:r w:rsidR="002E43D0" w:rsidRPr="00DF44A0">
        <w:t>, in the context of the proposed population,</w:t>
      </w:r>
      <w:r w:rsidR="00707332" w:rsidRPr="00DF44A0">
        <w:t xml:space="preserve"> limiting to use as monotherapy may be appropriate </w:t>
      </w:r>
      <w:r w:rsidR="002E43D0" w:rsidRPr="00DF44A0">
        <w:t>as these patients may be</w:t>
      </w:r>
      <w:r w:rsidR="00707332" w:rsidRPr="00DF44A0">
        <w:t xml:space="preserve"> less fit for treatment with the combination regimen</w:t>
      </w:r>
      <w:r w:rsidR="008B7085" w:rsidRPr="00DF44A0">
        <w:t xml:space="preserve">. </w:t>
      </w:r>
      <w:r w:rsidR="00194E91" w:rsidRPr="008B7085">
        <w:rPr>
          <w:iCs/>
        </w:rPr>
        <w:t xml:space="preserve">Acalabrutinib and acalabrutinib + </w:t>
      </w:r>
      <w:proofErr w:type="spellStart"/>
      <w:r w:rsidR="00194E91" w:rsidRPr="008B7085">
        <w:rPr>
          <w:iCs/>
        </w:rPr>
        <w:t>obinutuzumab</w:t>
      </w:r>
      <w:proofErr w:type="spellEnd"/>
      <w:r w:rsidR="00194E91" w:rsidRPr="008B7085">
        <w:rPr>
          <w:iCs/>
        </w:rPr>
        <w:t xml:space="preserve"> are both listed as preferred treatments </w:t>
      </w:r>
      <w:r w:rsidR="009006F7" w:rsidRPr="008B7085">
        <w:rPr>
          <w:iCs/>
        </w:rPr>
        <w:t xml:space="preserve">among patients </w:t>
      </w:r>
      <w:r w:rsidR="009006F7" w:rsidRPr="008B7085">
        <w:rPr>
          <w:iCs/>
        </w:rPr>
        <w:lastRenderedPageBreak/>
        <w:t xml:space="preserve">with previously untreated CLL/SLL </w:t>
      </w:r>
      <w:r w:rsidR="00194E91" w:rsidRPr="008B7085">
        <w:rPr>
          <w:iCs/>
        </w:rPr>
        <w:t xml:space="preserve">in </w:t>
      </w:r>
      <w:r w:rsidR="009006F7" w:rsidRPr="008B7085">
        <w:rPr>
          <w:iCs/>
        </w:rPr>
        <w:t xml:space="preserve">the </w:t>
      </w:r>
      <w:r w:rsidR="00194E91" w:rsidRPr="008B7085">
        <w:rPr>
          <w:iCs/>
        </w:rPr>
        <w:t>current NCCN treatment guidelines (Version 3.2021, 2021</w:t>
      </w:r>
      <w:r w:rsidR="00097891" w:rsidRPr="008B7085">
        <w:rPr>
          <w:iCs/>
        </w:rPr>
        <w:t>).</w:t>
      </w:r>
      <w:bookmarkEnd w:id="17"/>
      <w:r w:rsidR="00292F2A" w:rsidRPr="008B7085">
        <w:rPr>
          <w:iCs/>
        </w:rPr>
        <w:t xml:space="preserve"> </w:t>
      </w:r>
    </w:p>
    <w:p w14:paraId="2AE114BC" w14:textId="77777777" w:rsidR="00DF44A0" w:rsidRPr="00C33D30" w:rsidRDefault="00DF44A0" w:rsidP="00DF44A0">
      <w:pPr>
        <w:ind w:firstLine="709"/>
        <w:rPr>
          <w:rFonts w:asciiTheme="minorHAnsi" w:hAnsiTheme="minorHAnsi"/>
          <w:i/>
        </w:rPr>
      </w:pPr>
      <w:r w:rsidRPr="00C33D30">
        <w:rPr>
          <w:rFonts w:asciiTheme="minorHAnsi" w:hAnsiTheme="minorHAnsi"/>
          <w:i/>
        </w:rPr>
        <w:t>For more detail on PBAC’s view, see section 7 PBAC outcome.</w:t>
      </w:r>
    </w:p>
    <w:p w14:paraId="17E53BD4" w14:textId="77777777" w:rsidR="00B50DB8" w:rsidRPr="00191822" w:rsidRDefault="00B50DB8" w:rsidP="004E18E9">
      <w:pPr>
        <w:pStyle w:val="2-SectionHeading"/>
      </w:pPr>
      <w:bookmarkStart w:id="18" w:name="_Toc82613383"/>
      <w:r w:rsidRPr="00191822">
        <w:t>Comparator</w:t>
      </w:r>
      <w:bookmarkEnd w:id="18"/>
    </w:p>
    <w:p w14:paraId="5034EB16" w14:textId="77777777" w:rsidR="00EB00F5" w:rsidRPr="00191822" w:rsidRDefault="00EB00F5" w:rsidP="00433DFD">
      <w:pPr>
        <w:pStyle w:val="ExecSumBodyText"/>
        <w:rPr>
          <w:snapToGrid/>
        </w:rPr>
      </w:pPr>
      <w:r w:rsidRPr="00191822">
        <w:t xml:space="preserve">The resubmission nominated chlorambucil + </w:t>
      </w:r>
      <w:proofErr w:type="spellStart"/>
      <w:r w:rsidRPr="00191822">
        <w:t>obinutuzumab</w:t>
      </w:r>
      <w:proofErr w:type="spellEnd"/>
      <w:r w:rsidRPr="00191822">
        <w:t xml:space="preserve"> as the main comparator. The </w:t>
      </w:r>
      <w:r w:rsidR="00EB0F1E">
        <w:t xml:space="preserve">resubmission claimed </w:t>
      </w:r>
      <w:r w:rsidRPr="00191822">
        <w:t xml:space="preserve">that chlorambucil + </w:t>
      </w:r>
      <w:proofErr w:type="spellStart"/>
      <w:r w:rsidRPr="00191822">
        <w:t>obinutuzumab</w:t>
      </w:r>
      <w:proofErr w:type="spellEnd"/>
      <w:r w:rsidRPr="00191822">
        <w:t xml:space="preserve"> is the treatment most likely to be replaced among patients who are considered unsuitable for treatment with fludarabine-based chemotherapy and </w:t>
      </w:r>
      <w:proofErr w:type="spellStart"/>
      <w:r w:rsidRPr="00191822">
        <w:t>venetoclax</w:t>
      </w:r>
      <w:proofErr w:type="spellEnd"/>
      <w:r w:rsidRPr="00191822">
        <w:t xml:space="preserve"> + </w:t>
      </w:r>
      <w:proofErr w:type="spellStart"/>
      <w:r w:rsidRPr="00191822">
        <w:t>obinutuzumab</w:t>
      </w:r>
      <w:proofErr w:type="spellEnd"/>
      <w:r w:rsidRPr="00191822">
        <w:t xml:space="preserve">, or who develop intolerance necessitating permanent withdrawal of </w:t>
      </w:r>
      <w:proofErr w:type="spellStart"/>
      <w:r w:rsidRPr="00191822">
        <w:t>venetoclax</w:t>
      </w:r>
      <w:proofErr w:type="spellEnd"/>
      <w:r w:rsidRPr="00191822">
        <w:t xml:space="preserve"> + </w:t>
      </w:r>
      <w:proofErr w:type="spellStart"/>
      <w:r w:rsidRPr="00191822">
        <w:t>obinutuzumab</w:t>
      </w:r>
      <w:proofErr w:type="spellEnd"/>
      <w:r w:rsidRPr="00191822">
        <w:t xml:space="preserve">. </w:t>
      </w:r>
    </w:p>
    <w:p w14:paraId="192B983E" w14:textId="77777777" w:rsidR="00EB00F5" w:rsidRPr="00A25C41" w:rsidRDefault="00EB00F5" w:rsidP="00EB00F5">
      <w:pPr>
        <w:pStyle w:val="ExecSumBodyText"/>
        <w:rPr>
          <w:iCs/>
          <w:snapToGrid/>
        </w:rPr>
      </w:pPr>
      <w:bookmarkStart w:id="19" w:name="_Ref89497238"/>
      <w:r w:rsidRPr="00A25C41">
        <w:rPr>
          <w:iCs/>
          <w:snapToGrid/>
        </w:rPr>
        <w:t xml:space="preserve">The PBAC previously considered that chlorambucil + </w:t>
      </w:r>
      <w:proofErr w:type="spellStart"/>
      <w:r w:rsidR="003F0AC8" w:rsidRPr="00A25C41">
        <w:rPr>
          <w:iCs/>
          <w:snapToGrid/>
        </w:rPr>
        <w:t>obinutuzumab</w:t>
      </w:r>
      <w:proofErr w:type="spellEnd"/>
      <w:r w:rsidR="003F0AC8" w:rsidRPr="00A25C41">
        <w:rPr>
          <w:iCs/>
          <w:snapToGrid/>
        </w:rPr>
        <w:t xml:space="preserve"> </w:t>
      </w:r>
      <w:r w:rsidRPr="00A25C41">
        <w:rPr>
          <w:iCs/>
          <w:snapToGrid/>
        </w:rPr>
        <w:t xml:space="preserve">was an appropriate comparator for patients with previously untreated CLL who are unsuitable for treatment with a purine analogue. However, </w:t>
      </w:r>
      <w:r w:rsidR="003D43F4">
        <w:rPr>
          <w:iCs/>
          <w:snapToGrid/>
        </w:rPr>
        <w:t xml:space="preserve">the evaluation suggested </w:t>
      </w:r>
      <w:r w:rsidRPr="00A25C41">
        <w:rPr>
          <w:iCs/>
          <w:snapToGrid/>
        </w:rPr>
        <w:t xml:space="preserve">it </w:t>
      </w:r>
      <w:r w:rsidR="00EB0F1E" w:rsidRPr="00A25C41">
        <w:rPr>
          <w:iCs/>
          <w:snapToGrid/>
        </w:rPr>
        <w:t xml:space="preserve">was </w:t>
      </w:r>
      <w:r w:rsidRPr="00A25C41">
        <w:rPr>
          <w:iCs/>
          <w:snapToGrid/>
        </w:rPr>
        <w:t>unclear</w:t>
      </w:r>
      <w:r w:rsidR="004723E8">
        <w:rPr>
          <w:iCs/>
          <w:snapToGrid/>
        </w:rPr>
        <w:t xml:space="preserve"> </w:t>
      </w:r>
      <w:r w:rsidRPr="00A25C41">
        <w:rPr>
          <w:iCs/>
          <w:snapToGrid/>
        </w:rPr>
        <w:t xml:space="preserve">whether chlorambucil + </w:t>
      </w:r>
      <w:proofErr w:type="spellStart"/>
      <w:r w:rsidRPr="00A25C41">
        <w:rPr>
          <w:iCs/>
          <w:snapToGrid/>
        </w:rPr>
        <w:t>obinutuzumab</w:t>
      </w:r>
      <w:proofErr w:type="spellEnd"/>
      <w:r w:rsidRPr="00A25C41">
        <w:rPr>
          <w:iCs/>
          <w:snapToGrid/>
        </w:rPr>
        <w:t xml:space="preserve"> </w:t>
      </w:r>
      <w:r w:rsidR="00EB0F1E" w:rsidRPr="00A25C41">
        <w:rPr>
          <w:iCs/>
          <w:snapToGrid/>
        </w:rPr>
        <w:t>was</w:t>
      </w:r>
      <w:r w:rsidRPr="00A25C41">
        <w:rPr>
          <w:iCs/>
          <w:snapToGrid/>
        </w:rPr>
        <w:t xml:space="preserve"> the appropriate main comparator for the PBS population targeted in the resubmission, given the following:</w:t>
      </w:r>
      <w:bookmarkEnd w:id="19"/>
    </w:p>
    <w:p w14:paraId="387C2F8E" w14:textId="77777777" w:rsidR="004746C4" w:rsidRPr="00A25C41" w:rsidRDefault="00EB00F5" w:rsidP="00E042B7">
      <w:pPr>
        <w:pStyle w:val="ExecSumBodyText"/>
        <w:numPr>
          <w:ilvl w:val="0"/>
          <w:numId w:val="15"/>
        </w:numPr>
        <w:spacing w:after="0"/>
        <w:ind w:left="1077" w:hanging="357"/>
        <w:rPr>
          <w:iCs/>
          <w:snapToGrid/>
        </w:rPr>
      </w:pPr>
      <w:r w:rsidRPr="00A25C41">
        <w:rPr>
          <w:iCs/>
          <w:snapToGrid/>
        </w:rPr>
        <w:t xml:space="preserve">Choice of treatment among patients who permanently discontinue </w:t>
      </w:r>
      <w:proofErr w:type="spellStart"/>
      <w:r w:rsidRPr="00A25C41">
        <w:rPr>
          <w:iCs/>
          <w:snapToGrid/>
        </w:rPr>
        <w:t>venetoclax</w:t>
      </w:r>
      <w:proofErr w:type="spellEnd"/>
      <w:r w:rsidRPr="00A25C41">
        <w:rPr>
          <w:iCs/>
          <w:snapToGrid/>
        </w:rPr>
        <w:t xml:space="preserve"> + </w:t>
      </w:r>
      <w:proofErr w:type="spellStart"/>
      <w:r w:rsidRPr="00A25C41">
        <w:rPr>
          <w:iCs/>
          <w:snapToGrid/>
        </w:rPr>
        <w:t>obinutuzumab</w:t>
      </w:r>
      <w:proofErr w:type="spellEnd"/>
      <w:r w:rsidRPr="00A25C41">
        <w:rPr>
          <w:iCs/>
          <w:snapToGrid/>
        </w:rPr>
        <w:t xml:space="preserve"> treatment due to intolerance is likely to depend on whether discontinuation was due to one or both components of the treatment, which component required discontinuation, and the timing of discontinuation in relation to the 12-month treatment course. </w:t>
      </w:r>
      <w:r w:rsidR="00057182" w:rsidRPr="00A25C41">
        <w:rPr>
          <w:iCs/>
          <w:snapToGrid/>
        </w:rPr>
        <w:t xml:space="preserve">Patients who discontinue treatment with </w:t>
      </w:r>
      <w:proofErr w:type="spellStart"/>
      <w:r w:rsidR="00057182" w:rsidRPr="00A25C41">
        <w:rPr>
          <w:iCs/>
          <w:snapToGrid/>
        </w:rPr>
        <w:t>venetoclax</w:t>
      </w:r>
      <w:proofErr w:type="spellEnd"/>
      <w:r w:rsidR="00057182" w:rsidRPr="00A25C41">
        <w:rPr>
          <w:iCs/>
          <w:snapToGrid/>
        </w:rPr>
        <w:t xml:space="preserve"> + </w:t>
      </w:r>
      <w:proofErr w:type="spellStart"/>
      <w:r w:rsidR="00057182" w:rsidRPr="00A25C41">
        <w:rPr>
          <w:iCs/>
          <w:snapToGrid/>
        </w:rPr>
        <w:t>obinutuzumab</w:t>
      </w:r>
      <w:proofErr w:type="spellEnd"/>
      <w:r w:rsidR="00057182" w:rsidRPr="00A25C41">
        <w:rPr>
          <w:iCs/>
          <w:snapToGrid/>
        </w:rPr>
        <w:t xml:space="preserve"> due to intolerance of </w:t>
      </w:r>
      <w:proofErr w:type="spellStart"/>
      <w:r w:rsidR="00057182" w:rsidRPr="00A25C41">
        <w:rPr>
          <w:iCs/>
          <w:snapToGrid/>
        </w:rPr>
        <w:t>venetoclax</w:t>
      </w:r>
      <w:proofErr w:type="spellEnd"/>
      <w:r w:rsidR="00057182" w:rsidRPr="00A25C41">
        <w:rPr>
          <w:iCs/>
          <w:snapToGrid/>
        </w:rPr>
        <w:t xml:space="preserve"> would be ineligible for treatment with chlorambucil + </w:t>
      </w:r>
      <w:proofErr w:type="spellStart"/>
      <w:r w:rsidR="00057182" w:rsidRPr="00A25C41">
        <w:rPr>
          <w:iCs/>
          <w:snapToGrid/>
        </w:rPr>
        <w:t>obinutuzumab</w:t>
      </w:r>
      <w:proofErr w:type="spellEnd"/>
      <w:r w:rsidR="00057182" w:rsidRPr="00A25C41">
        <w:rPr>
          <w:iCs/>
          <w:snapToGrid/>
        </w:rPr>
        <w:t xml:space="preserve"> as the </w:t>
      </w:r>
      <w:proofErr w:type="spellStart"/>
      <w:r w:rsidR="00057182" w:rsidRPr="00A25C41">
        <w:rPr>
          <w:iCs/>
          <w:snapToGrid/>
        </w:rPr>
        <w:t>obinutuzumab</w:t>
      </w:r>
      <w:proofErr w:type="spellEnd"/>
      <w:r w:rsidR="00057182" w:rsidRPr="00A25C41">
        <w:rPr>
          <w:iCs/>
          <w:snapToGrid/>
        </w:rPr>
        <w:t xml:space="preserve"> PBS restriction for use in combination with chlorambucil requires patients to be previously untreated.</w:t>
      </w:r>
      <w:r w:rsidR="00CB1F75" w:rsidRPr="00CB1F75">
        <w:rPr>
          <w:rFonts w:ascii="Calibri" w:eastAsia="Calibri" w:hAnsi="Calibri"/>
          <w:snapToGrid/>
          <w:sz w:val="22"/>
          <w:szCs w:val="22"/>
          <w:lang w:eastAsia="en-US"/>
        </w:rPr>
        <w:t xml:space="preserve"> </w:t>
      </w:r>
      <w:r w:rsidR="008B7085" w:rsidRPr="00DF44A0">
        <w:rPr>
          <w:rFonts w:ascii="Calibri" w:eastAsia="Calibri" w:hAnsi="Calibri"/>
          <w:iCs/>
          <w:snapToGrid/>
          <w:lang w:eastAsia="en-US"/>
        </w:rPr>
        <w:t>The PSCR argued that this means there are no active treatments available for these patients, and given the resubmission assumed an active comparator for all patients, the efficacy and cost-effectiveness estimates are potentially biased against acalabrutinib.</w:t>
      </w:r>
      <w:r w:rsidR="002E43D0" w:rsidRPr="00DF44A0">
        <w:rPr>
          <w:rFonts w:ascii="Calibri" w:eastAsia="Calibri" w:hAnsi="Calibri"/>
          <w:iCs/>
          <w:snapToGrid/>
          <w:lang w:eastAsia="en-US"/>
        </w:rPr>
        <w:t xml:space="preserve"> </w:t>
      </w:r>
      <w:r w:rsidR="002E43D0" w:rsidRPr="00DF44A0">
        <w:t>The ESC considered that this would be a very small patient population and would not impact the efficacy or cost-effectiveness estimates to a significant degree.</w:t>
      </w:r>
    </w:p>
    <w:p w14:paraId="0F393ACC" w14:textId="77777777" w:rsidR="00EB00F5" w:rsidRPr="007B0243" w:rsidRDefault="00EB00F5" w:rsidP="00E042B7">
      <w:pPr>
        <w:pStyle w:val="ExecSumBodyText"/>
        <w:numPr>
          <w:ilvl w:val="0"/>
          <w:numId w:val="15"/>
        </w:numPr>
        <w:ind w:left="1077" w:hanging="357"/>
        <w:rPr>
          <w:iCs/>
          <w:snapToGrid/>
        </w:rPr>
      </w:pPr>
      <w:r w:rsidRPr="00A25C41">
        <w:rPr>
          <w:iCs/>
          <w:snapToGrid/>
        </w:rPr>
        <w:t xml:space="preserve">Based on the proposed restriction, patients are considered unsuitable for </w:t>
      </w:r>
      <w:proofErr w:type="spellStart"/>
      <w:r w:rsidRPr="00A25C41">
        <w:rPr>
          <w:iCs/>
          <w:snapToGrid/>
        </w:rPr>
        <w:t>venetoclax</w:t>
      </w:r>
      <w:proofErr w:type="spellEnd"/>
      <w:r w:rsidRPr="00A25C41">
        <w:rPr>
          <w:iCs/>
          <w:snapToGrid/>
        </w:rPr>
        <w:t xml:space="preserve"> + </w:t>
      </w:r>
      <w:proofErr w:type="spellStart"/>
      <w:r w:rsidRPr="00A25C41">
        <w:rPr>
          <w:iCs/>
          <w:snapToGrid/>
        </w:rPr>
        <w:t>obinutuzumab</w:t>
      </w:r>
      <w:proofErr w:type="spellEnd"/>
      <w:r w:rsidRPr="00A25C41">
        <w:rPr>
          <w:iCs/>
          <w:snapToGrid/>
        </w:rPr>
        <w:t xml:space="preserve"> if they are at moderate or high risk of tumour lysis syndrome and are unable to comply with monitoring requirements for tumour lysis syndrome prophylaxis and </w:t>
      </w:r>
      <w:proofErr w:type="spellStart"/>
      <w:r w:rsidRPr="00A25C41">
        <w:rPr>
          <w:iCs/>
          <w:snapToGrid/>
        </w:rPr>
        <w:t>venetoclax</w:t>
      </w:r>
      <w:proofErr w:type="spellEnd"/>
      <w:r w:rsidRPr="00A25C41">
        <w:rPr>
          <w:iCs/>
          <w:snapToGrid/>
        </w:rPr>
        <w:t xml:space="preserve"> dose escalation schedule. It is unclear how the restriction criteria would be interpreted in clinical practice. </w:t>
      </w:r>
      <w:r w:rsidR="00470BD6" w:rsidRPr="00A25C41">
        <w:rPr>
          <w:iCs/>
          <w:snapToGrid/>
        </w:rPr>
        <w:t xml:space="preserve">Patients/clinicians may </w:t>
      </w:r>
      <w:r w:rsidR="003D43F4">
        <w:rPr>
          <w:iCs/>
          <w:snapToGrid/>
        </w:rPr>
        <w:t xml:space="preserve">also </w:t>
      </w:r>
      <w:r w:rsidR="00470BD6" w:rsidRPr="00A25C41">
        <w:rPr>
          <w:iCs/>
          <w:snapToGrid/>
        </w:rPr>
        <w:t xml:space="preserve">elect treatment with acalabrutinib due to preference for an oral therapy and/or a therapy that does not require hospital attendance. </w:t>
      </w:r>
      <w:r w:rsidRPr="00A25C41">
        <w:rPr>
          <w:iCs/>
          <w:snapToGrid/>
        </w:rPr>
        <w:t xml:space="preserve">In this case, </w:t>
      </w:r>
      <w:bookmarkStart w:id="20" w:name="_Hlk84863637"/>
      <w:proofErr w:type="spellStart"/>
      <w:r w:rsidRPr="00A25C41">
        <w:rPr>
          <w:iCs/>
          <w:snapToGrid/>
        </w:rPr>
        <w:t>venetoclax</w:t>
      </w:r>
      <w:proofErr w:type="spellEnd"/>
      <w:r w:rsidRPr="00A25C41">
        <w:rPr>
          <w:iCs/>
          <w:snapToGrid/>
        </w:rPr>
        <w:t xml:space="preserve"> + </w:t>
      </w:r>
      <w:proofErr w:type="spellStart"/>
      <w:r w:rsidRPr="00A25C41">
        <w:rPr>
          <w:iCs/>
          <w:snapToGrid/>
        </w:rPr>
        <w:t>obinutuzumab</w:t>
      </w:r>
      <w:proofErr w:type="spellEnd"/>
      <w:r w:rsidRPr="00A25C41">
        <w:rPr>
          <w:iCs/>
          <w:snapToGrid/>
        </w:rPr>
        <w:t xml:space="preserve"> </w:t>
      </w:r>
      <w:bookmarkEnd w:id="20"/>
      <w:r w:rsidRPr="00A25C41">
        <w:rPr>
          <w:iCs/>
          <w:snapToGrid/>
        </w:rPr>
        <w:t xml:space="preserve">may be </w:t>
      </w:r>
      <w:r w:rsidR="00470BD6" w:rsidRPr="00A25C41">
        <w:rPr>
          <w:iCs/>
          <w:snapToGrid/>
        </w:rPr>
        <w:t xml:space="preserve">an </w:t>
      </w:r>
      <w:r w:rsidRPr="00A25C41">
        <w:rPr>
          <w:iCs/>
          <w:snapToGrid/>
        </w:rPr>
        <w:t>appropriate comparator.</w:t>
      </w:r>
      <w:r w:rsidR="00CF655F">
        <w:rPr>
          <w:iCs/>
          <w:snapToGrid/>
        </w:rPr>
        <w:t xml:space="preserve"> </w:t>
      </w:r>
      <w:r w:rsidR="008B7085" w:rsidRPr="00DF44A0">
        <w:rPr>
          <w:snapToGrid/>
        </w:rPr>
        <w:t>The PSCR argued that i</w:t>
      </w:r>
      <w:r w:rsidR="00CF655F" w:rsidRPr="00DF44A0">
        <w:rPr>
          <w:rFonts w:ascii="Calibri" w:eastAsia="Calibri" w:hAnsi="Calibri"/>
          <w:iCs/>
          <w:snapToGrid/>
          <w:lang w:eastAsia="en-US"/>
        </w:rPr>
        <w:t xml:space="preserve">t is also plausible that patients may prefer a significantly shorter treatment regimen, even with the requirement of hospitalisation and increased monitoring, </w:t>
      </w:r>
      <w:r w:rsidR="00CF655F" w:rsidRPr="00DF44A0">
        <w:rPr>
          <w:rFonts w:ascii="Calibri" w:eastAsia="Calibri" w:hAnsi="Calibri"/>
          <w:bCs/>
          <w:iCs/>
          <w:snapToGrid/>
          <w:lang w:eastAsia="en-US"/>
        </w:rPr>
        <w:t xml:space="preserve">unless they were considered clinically unsuitable for treatment with </w:t>
      </w:r>
      <w:proofErr w:type="spellStart"/>
      <w:r w:rsidR="007B0243" w:rsidRPr="00DF44A0">
        <w:rPr>
          <w:rFonts w:ascii="Calibri" w:eastAsia="Calibri" w:hAnsi="Calibri"/>
          <w:bCs/>
          <w:iCs/>
          <w:snapToGrid/>
          <w:lang w:eastAsia="en-US"/>
        </w:rPr>
        <w:lastRenderedPageBreak/>
        <w:t>venetoclax</w:t>
      </w:r>
      <w:proofErr w:type="spellEnd"/>
      <w:r w:rsidR="007B0243" w:rsidRPr="00DF44A0">
        <w:rPr>
          <w:rFonts w:ascii="Calibri" w:eastAsia="Calibri" w:hAnsi="Calibri"/>
          <w:bCs/>
          <w:iCs/>
          <w:snapToGrid/>
          <w:lang w:eastAsia="en-US"/>
        </w:rPr>
        <w:t xml:space="preserve"> + </w:t>
      </w:r>
      <w:proofErr w:type="spellStart"/>
      <w:r w:rsidR="007B0243" w:rsidRPr="00DF44A0">
        <w:rPr>
          <w:rFonts w:ascii="Calibri" w:eastAsia="Calibri" w:hAnsi="Calibri"/>
          <w:bCs/>
          <w:iCs/>
          <w:snapToGrid/>
          <w:lang w:eastAsia="en-US"/>
        </w:rPr>
        <w:t>obinutuzumab</w:t>
      </w:r>
      <w:proofErr w:type="spellEnd"/>
      <w:r w:rsidR="00CF655F" w:rsidRPr="00DF44A0">
        <w:rPr>
          <w:rFonts w:ascii="Calibri" w:eastAsia="Calibri" w:hAnsi="Calibri"/>
          <w:bCs/>
          <w:iCs/>
          <w:snapToGrid/>
          <w:lang w:eastAsia="en-US"/>
        </w:rPr>
        <w:t>.</w:t>
      </w:r>
      <w:r w:rsidR="00CF655F" w:rsidRPr="00DF44A0">
        <w:rPr>
          <w:rFonts w:ascii="Calibri" w:eastAsia="Calibri" w:hAnsi="Calibri"/>
          <w:iCs/>
          <w:snapToGrid/>
          <w:lang w:eastAsia="en-US"/>
        </w:rPr>
        <w:t xml:space="preserve"> </w:t>
      </w:r>
      <w:r w:rsidR="007B0243" w:rsidRPr="00DF44A0">
        <w:rPr>
          <w:rFonts w:ascii="Calibri" w:eastAsia="Calibri" w:hAnsi="Calibri"/>
          <w:iCs/>
          <w:snapToGrid/>
          <w:lang w:eastAsia="en-US"/>
        </w:rPr>
        <w:t>It claimed this was</w:t>
      </w:r>
      <w:r w:rsidR="00CF655F" w:rsidRPr="00DF44A0">
        <w:rPr>
          <w:rFonts w:ascii="Calibri" w:eastAsia="Calibri" w:hAnsi="Calibri"/>
          <w:iCs/>
          <w:snapToGrid/>
          <w:lang w:eastAsia="en-US"/>
        </w:rPr>
        <w:t xml:space="preserve"> supported by research with CLL patients</w:t>
      </w:r>
      <w:r w:rsidR="007B0243" w:rsidRPr="00DF44A0">
        <w:rPr>
          <w:rFonts w:ascii="Calibri" w:eastAsia="Calibri" w:hAnsi="Calibri"/>
          <w:iCs/>
          <w:snapToGrid/>
          <w:lang w:eastAsia="en-US"/>
        </w:rPr>
        <w:t xml:space="preserve">, </w:t>
      </w:r>
      <w:r w:rsidR="00CF655F" w:rsidRPr="00DF44A0">
        <w:rPr>
          <w:rFonts w:ascii="Calibri" w:eastAsia="Calibri" w:hAnsi="Calibri"/>
          <w:iCs/>
          <w:snapToGrid/>
          <w:lang w:eastAsia="en-US"/>
        </w:rPr>
        <w:t xml:space="preserve">which demonstrated a weak preference for oral therapy which was outweighed by efficacy and safety considerations </w:t>
      </w:r>
      <w:r w:rsidR="00CF655F" w:rsidRPr="00DF44A0">
        <w:rPr>
          <w:rFonts w:ascii="Calibri" w:eastAsia="Calibri" w:hAnsi="Calibri"/>
          <w:iCs/>
          <w:noProof/>
          <w:snapToGrid/>
          <w:lang w:eastAsia="en-US"/>
        </w:rPr>
        <w:t>(Mansfield et al., 2017)</w:t>
      </w:r>
      <w:r w:rsidR="00CF655F" w:rsidRPr="00DF44A0">
        <w:rPr>
          <w:rFonts w:ascii="Calibri" w:eastAsia="Calibri" w:hAnsi="Calibri"/>
          <w:iCs/>
          <w:snapToGrid/>
          <w:lang w:eastAsia="en-US"/>
        </w:rPr>
        <w:t>.</w:t>
      </w:r>
    </w:p>
    <w:p w14:paraId="21916047" w14:textId="77777777" w:rsidR="00BD6AD1" w:rsidRPr="00DF44A0" w:rsidRDefault="004746C4" w:rsidP="002E4F02">
      <w:pPr>
        <w:pStyle w:val="ExecSumBodyText"/>
      </w:pPr>
      <w:r w:rsidRPr="007B0243">
        <w:t xml:space="preserve">Ibrutinib monotherapy was nominated as a comparator in the July 2020 acalabrutinib submission for patients with 17p deletion. The current resubmission argued that ibrutinib was no longer a relevant comparator given that a PBS listing has not eventuated following the positive recommendation at the November 2019 PBAC meeting. </w:t>
      </w:r>
    </w:p>
    <w:p w14:paraId="61275829" w14:textId="77777777" w:rsidR="00DF44A0" w:rsidRPr="00C33D30" w:rsidRDefault="00DF44A0" w:rsidP="00DF44A0">
      <w:pPr>
        <w:ind w:firstLine="709"/>
        <w:rPr>
          <w:rFonts w:asciiTheme="minorHAnsi" w:hAnsiTheme="minorHAnsi"/>
          <w:i/>
        </w:rPr>
      </w:pPr>
      <w:r w:rsidRPr="00C33D30">
        <w:rPr>
          <w:rFonts w:asciiTheme="minorHAnsi" w:hAnsiTheme="minorHAnsi"/>
          <w:i/>
        </w:rPr>
        <w:t>For more detail on PBAC’s view, see section 7 PBAC outcome.</w:t>
      </w:r>
    </w:p>
    <w:p w14:paraId="3D6E0AF7" w14:textId="77777777" w:rsidR="00223D5A" w:rsidRPr="00191822" w:rsidRDefault="00223D5A" w:rsidP="00223D5A">
      <w:pPr>
        <w:pStyle w:val="2-SectionHeading"/>
        <w:numPr>
          <w:ilvl w:val="0"/>
          <w:numId w:val="1"/>
        </w:numPr>
      </w:pPr>
      <w:bookmarkStart w:id="21" w:name="_Toc82613384"/>
      <w:bookmarkStart w:id="22" w:name="_Toc22897640"/>
      <w:r w:rsidRPr="007B0243">
        <w:t>Consideration</w:t>
      </w:r>
      <w:r w:rsidRPr="00191822">
        <w:t xml:space="preserve"> of the evidence</w:t>
      </w:r>
      <w:bookmarkEnd w:id="21"/>
    </w:p>
    <w:p w14:paraId="41A7790D" w14:textId="77777777" w:rsidR="00760721" w:rsidRPr="00551A82" w:rsidRDefault="00760721" w:rsidP="00760721">
      <w:pPr>
        <w:pStyle w:val="3-SubsectionHeading"/>
      </w:pPr>
      <w:bookmarkStart w:id="23" w:name="_Hlk76375935"/>
      <w:bookmarkStart w:id="24" w:name="_Toc82613385"/>
      <w:r w:rsidRPr="00551A82">
        <w:t>Sponsor hearing</w:t>
      </w:r>
    </w:p>
    <w:p w14:paraId="50DBC0F6" w14:textId="77777777" w:rsidR="00760721" w:rsidRPr="00551A82" w:rsidRDefault="00B42C95" w:rsidP="00760721">
      <w:pPr>
        <w:widowControl w:val="0"/>
        <w:numPr>
          <w:ilvl w:val="1"/>
          <w:numId w:val="1"/>
        </w:numPr>
        <w:spacing w:after="120"/>
        <w:rPr>
          <w:rFonts w:cs="Calibri"/>
          <w:bCs/>
          <w:snapToGrid w:val="0"/>
        </w:rPr>
      </w:pPr>
      <w:r w:rsidRPr="00B42C95">
        <w:rPr>
          <w:rFonts w:cs="Calibri"/>
          <w:bCs/>
          <w:snapToGrid w:val="0"/>
        </w:rPr>
        <w:t>The sponsor requested a hearing for this item. The clinician discussed the natural history of the disease</w:t>
      </w:r>
      <w:r w:rsidR="008065C8">
        <w:rPr>
          <w:rFonts w:cs="Calibri"/>
          <w:bCs/>
          <w:snapToGrid w:val="0"/>
        </w:rPr>
        <w:t xml:space="preserve"> and emphasised the challenges of using infusion-based chemotherapy for treating patients living in regional and rural areas. The clinician</w:t>
      </w:r>
      <w:r w:rsidR="00503412">
        <w:rPr>
          <w:rFonts w:cs="Calibri"/>
          <w:bCs/>
          <w:snapToGrid w:val="0"/>
        </w:rPr>
        <w:t xml:space="preserve"> also </w:t>
      </w:r>
      <w:r w:rsidR="008065C8">
        <w:rPr>
          <w:rFonts w:cs="Calibri"/>
          <w:bCs/>
          <w:snapToGrid w:val="0"/>
        </w:rPr>
        <w:t xml:space="preserve">described how older patients often have declining renal function making them less suitable for infusion-based chemotherapy treatments. The clinician </w:t>
      </w:r>
      <w:r w:rsidR="00503412">
        <w:rPr>
          <w:rFonts w:cs="Calibri"/>
          <w:bCs/>
          <w:snapToGrid w:val="0"/>
        </w:rPr>
        <w:t xml:space="preserve">further </w:t>
      </w:r>
      <w:r w:rsidR="008065C8">
        <w:rPr>
          <w:rFonts w:cs="Calibri"/>
          <w:bCs/>
          <w:snapToGrid w:val="0"/>
        </w:rPr>
        <w:t xml:space="preserve">noted that BTKi treatments like acalabrutinib have superior outcomes for CLL compared with chlorambucil + </w:t>
      </w:r>
      <w:proofErr w:type="spellStart"/>
      <w:r w:rsidR="008065C8">
        <w:rPr>
          <w:rFonts w:cs="Calibri"/>
          <w:bCs/>
          <w:snapToGrid w:val="0"/>
        </w:rPr>
        <w:t>obinutuzumab</w:t>
      </w:r>
      <w:proofErr w:type="spellEnd"/>
      <w:r w:rsidR="008065C8">
        <w:rPr>
          <w:rFonts w:cs="Calibri"/>
          <w:bCs/>
          <w:snapToGrid w:val="0"/>
        </w:rPr>
        <w:t xml:space="preserve"> in the first-line setting. The risks of TLS associated with </w:t>
      </w:r>
      <w:proofErr w:type="spellStart"/>
      <w:r w:rsidR="008065C8">
        <w:rPr>
          <w:rFonts w:cs="Calibri"/>
          <w:bCs/>
          <w:snapToGrid w:val="0"/>
        </w:rPr>
        <w:t>venetoclax</w:t>
      </w:r>
      <w:proofErr w:type="spellEnd"/>
      <w:r w:rsidR="008065C8">
        <w:rPr>
          <w:rFonts w:cs="Calibri"/>
          <w:bCs/>
          <w:snapToGrid w:val="0"/>
        </w:rPr>
        <w:t xml:space="preserve"> + </w:t>
      </w:r>
      <w:proofErr w:type="spellStart"/>
      <w:r w:rsidR="008065C8">
        <w:rPr>
          <w:rFonts w:cs="Calibri"/>
          <w:bCs/>
          <w:snapToGrid w:val="0"/>
        </w:rPr>
        <w:t>obinutuzumab</w:t>
      </w:r>
      <w:proofErr w:type="spellEnd"/>
      <w:r w:rsidR="008065C8">
        <w:rPr>
          <w:rFonts w:cs="Calibri"/>
          <w:bCs/>
          <w:snapToGrid w:val="0"/>
        </w:rPr>
        <w:t xml:space="preserve"> therapy were also </w:t>
      </w:r>
      <w:r w:rsidR="00503412">
        <w:rPr>
          <w:rFonts w:cs="Calibri"/>
          <w:bCs/>
          <w:snapToGrid w:val="0"/>
        </w:rPr>
        <w:t>described</w:t>
      </w:r>
      <w:r w:rsidR="008065C8">
        <w:rPr>
          <w:rFonts w:cs="Calibri"/>
          <w:bCs/>
          <w:snapToGrid w:val="0"/>
        </w:rPr>
        <w:t xml:space="preserve">, </w:t>
      </w:r>
      <w:r w:rsidR="008E62C9">
        <w:rPr>
          <w:rFonts w:cs="Calibri"/>
          <w:bCs/>
          <w:snapToGrid w:val="0"/>
        </w:rPr>
        <w:t xml:space="preserve">with discussion of the increased hospital resources used to monitor and manage this risk. The clinician particularly commented on the inequity of available treatment choices for patients not living in close proximity to major tertiary treatment </w:t>
      </w:r>
      <w:proofErr w:type="gramStart"/>
      <w:r w:rsidR="008E62C9">
        <w:rPr>
          <w:rFonts w:cs="Calibri"/>
          <w:bCs/>
          <w:snapToGrid w:val="0"/>
        </w:rPr>
        <w:t>centres, and</w:t>
      </w:r>
      <w:proofErr w:type="gramEnd"/>
      <w:r w:rsidR="008E62C9">
        <w:rPr>
          <w:rFonts w:cs="Calibri"/>
          <w:bCs/>
          <w:snapToGrid w:val="0"/>
        </w:rPr>
        <w:t xml:space="preserve"> explained that patients may choose inferior treatments because they are unable to travel to the hospital for the frequency and duration required, due to either their own personal circumstances, or the impact it may have on their family members. The sponsor hearing also highlighted the individual story of a patient with CLL who, after an initial long period managed via a “watch-and-wait” approach, was treated with acalabrutinib via a clinical trial. This patient experienced a side effect of increased fatigue for some weeks, but then regained energy, quality of life, and improved mental clarity. The clinician highlighted that this was a common </w:t>
      </w:r>
      <w:r w:rsidR="00503412">
        <w:rPr>
          <w:rFonts w:cs="Calibri"/>
          <w:bCs/>
          <w:snapToGrid w:val="0"/>
        </w:rPr>
        <w:t>experience</w:t>
      </w:r>
      <w:r w:rsidR="008E62C9">
        <w:rPr>
          <w:rFonts w:cs="Calibri"/>
          <w:bCs/>
          <w:snapToGrid w:val="0"/>
        </w:rPr>
        <w:t xml:space="preserve"> for patients using </w:t>
      </w:r>
      <w:proofErr w:type="gramStart"/>
      <w:r w:rsidR="008E62C9">
        <w:rPr>
          <w:rFonts w:cs="Calibri"/>
          <w:bCs/>
          <w:snapToGrid w:val="0"/>
        </w:rPr>
        <w:t>acalabrutinib</w:t>
      </w:r>
      <w:r w:rsidR="008F3384">
        <w:rPr>
          <w:rFonts w:cs="Calibri"/>
          <w:bCs/>
          <w:snapToGrid w:val="0"/>
        </w:rPr>
        <w:t>, and</w:t>
      </w:r>
      <w:proofErr w:type="gramEnd"/>
      <w:r w:rsidR="008F3384">
        <w:rPr>
          <w:rFonts w:cs="Calibri"/>
          <w:bCs/>
          <w:snapToGrid w:val="0"/>
        </w:rPr>
        <w:t xml:space="preserve"> stated that patients would benefit from knowing their disease was being controlled</w:t>
      </w:r>
      <w:r w:rsidR="008E62C9">
        <w:rPr>
          <w:rFonts w:cs="Calibri"/>
          <w:bCs/>
          <w:snapToGrid w:val="0"/>
        </w:rPr>
        <w:t xml:space="preserve">. </w:t>
      </w:r>
    </w:p>
    <w:p w14:paraId="19868406" w14:textId="77777777" w:rsidR="00760721" w:rsidRPr="00F11A29" w:rsidRDefault="00760721" w:rsidP="00760721">
      <w:pPr>
        <w:pStyle w:val="3-SubsectionHeading"/>
      </w:pPr>
      <w:r w:rsidRPr="00F11A29">
        <w:t>Consumer comments</w:t>
      </w:r>
    </w:p>
    <w:p w14:paraId="588387CF" w14:textId="77777777" w:rsidR="00760721" w:rsidRPr="003A45C9" w:rsidRDefault="00760721" w:rsidP="003A45C9">
      <w:pPr>
        <w:widowControl w:val="0"/>
        <w:numPr>
          <w:ilvl w:val="1"/>
          <w:numId w:val="1"/>
        </w:numPr>
        <w:spacing w:after="120"/>
        <w:rPr>
          <w:rFonts w:asciiTheme="minorHAnsi" w:hAnsiTheme="minorHAnsi"/>
          <w:bCs/>
          <w:snapToGrid w:val="0"/>
        </w:rPr>
      </w:pPr>
      <w:bookmarkStart w:id="25" w:name="_Hlk76382618"/>
      <w:r w:rsidRPr="00F11A29">
        <w:rPr>
          <w:rFonts w:asciiTheme="minorHAnsi" w:hAnsiTheme="minorHAnsi"/>
          <w:bCs/>
          <w:snapToGrid w:val="0"/>
        </w:rPr>
        <w:t>The PBAC noted and welcomed the input from health care professionals (</w:t>
      </w:r>
      <w:r w:rsidR="00F11A29" w:rsidRPr="00F11A29">
        <w:rPr>
          <w:rFonts w:asciiTheme="minorHAnsi" w:hAnsiTheme="minorHAnsi"/>
          <w:bCs/>
          <w:snapToGrid w:val="0"/>
        </w:rPr>
        <w:t>4</w:t>
      </w:r>
      <w:r w:rsidRPr="00F11A29">
        <w:rPr>
          <w:rFonts w:asciiTheme="minorHAnsi" w:hAnsiTheme="minorHAnsi"/>
          <w:bCs/>
          <w:snapToGrid w:val="0"/>
        </w:rPr>
        <w:t>) and organisations (</w:t>
      </w:r>
      <w:r w:rsidR="00F11A29" w:rsidRPr="00F11A29">
        <w:rPr>
          <w:rFonts w:asciiTheme="minorHAnsi" w:hAnsiTheme="minorHAnsi"/>
          <w:bCs/>
          <w:snapToGrid w:val="0"/>
        </w:rPr>
        <w:t>3</w:t>
      </w:r>
      <w:r w:rsidRPr="00F11A29">
        <w:rPr>
          <w:rFonts w:asciiTheme="minorHAnsi" w:hAnsiTheme="minorHAnsi"/>
          <w:bCs/>
          <w:snapToGrid w:val="0"/>
        </w:rPr>
        <w:t xml:space="preserve">) via the Consumer Comments facility on the PBS website. The comments </w:t>
      </w:r>
      <w:r w:rsidR="00F11A29" w:rsidRPr="00F11A29">
        <w:rPr>
          <w:rFonts w:asciiTheme="minorHAnsi" w:hAnsiTheme="minorHAnsi"/>
          <w:bCs/>
          <w:snapToGrid w:val="0"/>
        </w:rPr>
        <w:t>noted that there are currently no BTKis that are PBS-subsided for previously untreated CLL/SLL</w:t>
      </w:r>
      <w:r w:rsidR="00F11A29">
        <w:rPr>
          <w:rFonts w:asciiTheme="minorHAnsi" w:hAnsiTheme="minorHAnsi"/>
          <w:bCs/>
          <w:snapToGrid w:val="0"/>
        </w:rPr>
        <w:t xml:space="preserve">, and that acalabrutinib’s oral form may assist regional/rural patients to access therapy, as it would not require admission to a day hospital unit. Comments were received from </w:t>
      </w:r>
      <w:r w:rsidR="00BB00ED">
        <w:rPr>
          <w:rFonts w:asciiTheme="minorHAnsi" w:hAnsiTheme="minorHAnsi"/>
          <w:bCs/>
          <w:snapToGrid w:val="0"/>
        </w:rPr>
        <w:t xml:space="preserve">the Centre for Community-Driven </w:t>
      </w:r>
      <w:r w:rsidR="00BB00ED">
        <w:rPr>
          <w:rFonts w:asciiTheme="minorHAnsi" w:hAnsiTheme="minorHAnsi"/>
          <w:bCs/>
          <w:snapToGrid w:val="0"/>
        </w:rPr>
        <w:lastRenderedPageBreak/>
        <w:t xml:space="preserve">Research, </w:t>
      </w:r>
      <w:r w:rsidR="00F11A29">
        <w:rPr>
          <w:rFonts w:asciiTheme="minorHAnsi" w:hAnsiTheme="minorHAnsi"/>
          <w:bCs/>
          <w:snapToGrid w:val="0"/>
        </w:rPr>
        <w:t xml:space="preserve">Rare Cancers Australia, </w:t>
      </w:r>
      <w:r w:rsidR="00BB00ED">
        <w:rPr>
          <w:rFonts w:asciiTheme="minorHAnsi" w:hAnsiTheme="minorHAnsi"/>
          <w:bCs/>
          <w:snapToGrid w:val="0"/>
        </w:rPr>
        <w:t xml:space="preserve">and the Leukaemia Foundation, in support of the PBS listing. The Leukaemia Foundation highlighted the experiences of three patients who have taken acalabrutinib for previously untreated CLL/SLL where they variously experienced improved quality of life, </w:t>
      </w:r>
      <w:proofErr w:type="gramStart"/>
      <w:r w:rsidR="00BB00ED">
        <w:rPr>
          <w:rFonts w:asciiTheme="minorHAnsi" w:hAnsiTheme="minorHAnsi"/>
          <w:bCs/>
          <w:snapToGrid w:val="0"/>
        </w:rPr>
        <w:t>energy</w:t>
      </w:r>
      <w:proofErr w:type="gramEnd"/>
      <w:r w:rsidR="00BB00ED">
        <w:rPr>
          <w:rFonts w:asciiTheme="minorHAnsi" w:hAnsiTheme="minorHAnsi"/>
          <w:bCs/>
          <w:snapToGrid w:val="0"/>
        </w:rPr>
        <w:t xml:space="preserve"> and a more positive outlook. Some patients experienced increased fatigue, but fewer side-effects overall than chemotherapy, others highlighted the convenience of the oral form</w:t>
      </w:r>
      <w:r w:rsidR="003A45C9">
        <w:rPr>
          <w:rFonts w:asciiTheme="minorHAnsi" w:hAnsiTheme="minorHAnsi"/>
          <w:bCs/>
          <w:snapToGrid w:val="0"/>
        </w:rPr>
        <w:t>. C</w:t>
      </w:r>
      <w:r w:rsidR="00BB00ED">
        <w:rPr>
          <w:rFonts w:asciiTheme="minorHAnsi" w:hAnsiTheme="minorHAnsi"/>
          <w:bCs/>
          <w:snapToGrid w:val="0"/>
        </w:rPr>
        <w:t xml:space="preserve">linical outcomes such as partial remission induction and </w:t>
      </w:r>
      <w:r w:rsidR="003A45C9">
        <w:rPr>
          <w:rFonts w:asciiTheme="minorHAnsi" w:hAnsiTheme="minorHAnsi"/>
          <w:bCs/>
          <w:snapToGrid w:val="0"/>
        </w:rPr>
        <w:t xml:space="preserve">improved blood counts were also noted. The CCDR presented survey data (n=70), mostly collected in 2020, on various aspects of the lived experience of CLL/SLL, although no specific discussion of acalabrutinib treatment itself. </w:t>
      </w:r>
    </w:p>
    <w:bookmarkEnd w:id="23"/>
    <w:bookmarkEnd w:id="25"/>
    <w:p w14:paraId="48FE01CA" w14:textId="77777777" w:rsidR="00B60939" w:rsidRPr="00A25C41" w:rsidRDefault="00B60939" w:rsidP="00760721">
      <w:pPr>
        <w:pStyle w:val="3-SubsectionHeading"/>
      </w:pPr>
      <w:r w:rsidRPr="00A25C41">
        <w:t xml:space="preserve">Clinical </w:t>
      </w:r>
      <w:bookmarkEnd w:id="22"/>
      <w:r w:rsidR="00433DFD" w:rsidRPr="00760721">
        <w:t>trials</w:t>
      </w:r>
      <w:bookmarkEnd w:id="24"/>
    </w:p>
    <w:p w14:paraId="53978A4F" w14:textId="77777777" w:rsidR="007F1017" w:rsidRPr="00191822" w:rsidRDefault="00433DFD" w:rsidP="002E4F02">
      <w:pPr>
        <w:pStyle w:val="ExecSumBodyText"/>
      </w:pPr>
      <w:r w:rsidRPr="00191822">
        <w:t xml:space="preserve">The resubmission was based on one head-to-head randomised trial comparing acalabrutinib and acalabrutinib + </w:t>
      </w:r>
      <w:proofErr w:type="spellStart"/>
      <w:r w:rsidRPr="00191822">
        <w:t>obinutuzumab</w:t>
      </w:r>
      <w:proofErr w:type="spellEnd"/>
      <w:r w:rsidRPr="00191822">
        <w:t xml:space="preserve"> to chlorambucil + </w:t>
      </w:r>
      <w:proofErr w:type="spellStart"/>
      <w:r w:rsidRPr="00191822">
        <w:t>obinutuzumab</w:t>
      </w:r>
      <w:proofErr w:type="spellEnd"/>
      <w:r w:rsidRPr="00191822">
        <w:t xml:space="preserve"> (ELEVATE-TN trial). The ELEVATE-TN trial was previously considered by the PBAC as part of the July 2020 submission.</w:t>
      </w:r>
    </w:p>
    <w:p w14:paraId="77A1D010" w14:textId="77777777" w:rsidR="00862502" w:rsidRPr="00191822" w:rsidRDefault="00433DFD" w:rsidP="002E4F02">
      <w:pPr>
        <w:pStyle w:val="ExecSumBodyText"/>
      </w:pPr>
      <w:r w:rsidRPr="00191822">
        <w:rPr>
          <w:snapToGrid/>
        </w:rPr>
        <w:t xml:space="preserve">Details of the </w:t>
      </w:r>
      <w:r w:rsidR="0075235F" w:rsidRPr="00191822">
        <w:rPr>
          <w:snapToGrid/>
        </w:rPr>
        <w:t>trial reports</w:t>
      </w:r>
      <w:r w:rsidRPr="00191822">
        <w:rPr>
          <w:snapToGrid/>
        </w:rPr>
        <w:t xml:space="preserve"> presented in the </w:t>
      </w:r>
      <w:r w:rsidR="003D448B">
        <w:rPr>
          <w:snapToGrid/>
        </w:rPr>
        <w:t>re</w:t>
      </w:r>
      <w:r w:rsidRPr="00191822">
        <w:rPr>
          <w:snapToGrid/>
        </w:rPr>
        <w:t>submission are provided in the table below</w:t>
      </w:r>
      <w:r w:rsidR="00A73134" w:rsidRPr="00191822">
        <w:rPr>
          <w:snapToGrid/>
        </w:rPr>
        <w:t>.</w:t>
      </w:r>
    </w:p>
    <w:p w14:paraId="15B7EE13" w14:textId="77777777" w:rsidR="00433DFD" w:rsidRPr="00191822" w:rsidRDefault="004026AA" w:rsidP="004026AA">
      <w:pPr>
        <w:pStyle w:val="TableFigureCaption"/>
      </w:pPr>
      <w:r>
        <w:lastRenderedPageBreak/>
        <w:t xml:space="preserve">Table </w:t>
      </w:r>
      <w:r w:rsidR="00BD60E3">
        <w:rPr>
          <w:noProof/>
        </w:rPr>
        <w:t>3</w:t>
      </w:r>
      <w:r w:rsidR="00433DFD" w:rsidRPr="00191822">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272"/>
        <w:gridCol w:w="5527"/>
        <w:gridCol w:w="2218"/>
      </w:tblGrid>
      <w:tr w:rsidR="00433DFD" w:rsidRPr="00191822" w14:paraId="46B2E70D" w14:textId="77777777" w:rsidTr="00032C24">
        <w:trPr>
          <w:tblHeader/>
        </w:trPr>
        <w:tc>
          <w:tcPr>
            <w:tcW w:w="705" w:type="pct"/>
            <w:tcBorders>
              <w:top w:val="single" w:sz="4" w:space="0" w:color="auto"/>
              <w:left w:val="single" w:sz="4" w:space="0" w:color="auto"/>
            </w:tcBorders>
            <w:vAlign w:val="center"/>
          </w:tcPr>
          <w:p w14:paraId="4C3516E8" w14:textId="77777777" w:rsidR="00433DFD" w:rsidRPr="00191822" w:rsidRDefault="00433DFD" w:rsidP="00530CFC">
            <w:pPr>
              <w:pStyle w:val="Tableheadingrow"/>
              <w:rPr>
                <w:lang w:val="en-AU"/>
              </w:rPr>
            </w:pPr>
            <w:r w:rsidRPr="00191822">
              <w:rPr>
                <w:lang w:val="en-AU"/>
              </w:rPr>
              <w:t>Trial ID</w:t>
            </w:r>
          </w:p>
        </w:tc>
        <w:tc>
          <w:tcPr>
            <w:tcW w:w="3065" w:type="pct"/>
            <w:tcBorders>
              <w:top w:val="single" w:sz="4" w:space="0" w:color="auto"/>
            </w:tcBorders>
            <w:vAlign w:val="center"/>
          </w:tcPr>
          <w:p w14:paraId="2BBCB17A" w14:textId="77777777" w:rsidR="00433DFD" w:rsidRPr="00191822" w:rsidRDefault="00433DFD" w:rsidP="00530CFC">
            <w:pPr>
              <w:pStyle w:val="Tableheadingrow"/>
              <w:jc w:val="center"/>
              <w:rPr>
                <w:lang w:val="en-AU"/>
              </w:rPr>
            </w:pPr>
            <w:r w:rsidRPr="00191822">
              <w:rPr>
                <w:lang w:val="en-AU"/>
              </w:rPr>
              <w:t>Protocol title/ Publication title</w:t>
            </w:r>
          </w:p>
        </w:tc>
        <w:tc>
          <w:tcPr>
            <w:tcW w:w="1230" w:type="pct"/>
            <w:tcBorders>
              <w:top w:val="single" w:sz="4" w:space="0" w:color="auto"/>
              <w:right w:val="single" w:sz="4" w:space="0" w:color="auto"/>
            </w:tcBorders>
            <w:vAlign w:val="center"/>
          </w:tcPr>
          <w:p w14:paraId="00F15E14" w14:textId="77777777" w:rsidR="00433DFD" w:rsidRPr="00191822" w:rsidRDefault="00433DFD" w:rsidP="00530CFC">
            <w:pPr>
              <w:pStyle w:val="Tableheadingrow"/>
              <w:jc w:val="center"/>
              <w:rPr>
                <w:lang w:val="en-AU"/>
              </w:rPr>
            </w:pPr>
            <w:r w:rsidRPr="00191822">
              <w:rPr>
                <w:lang w:val="en-AU"/>
              </w:rPr>
              <w:t>Publication citation</w:t>
            </w:r>
          </w:p>
        </w:tc>
      </w:tr>
      <w:tr w:rsidR="00433DFD" w:rsidRPr="00191822" w14:paraId="3425FF22" w14:textId="77777777" w:rsidTr="00032C24">
        <w:tc>
          <w:tcPr>
            <w:tcW w:w="705" w:type="pct"/>
            <w:vMerge w:val="restart"/>
            <w:tcBorders>
              <w:left w:val="single" w:sz="4" w:space="0" w:color="auto"/>
            </w:tcBorders>
            <w:vAlign w:val="center"/>
          </w:tcPr>
          <w:p w14:paraId="5856C9FE" w14:textId="77777777" w:rsidR="00433DFD" w:rsidRPr="00191822" w:rsidRDefault="00433DFD" w:rsidP="00530CFC">
            <w:pPr>
              <w:pStyle w:val="TableText"/>
            </w:pPr>
            <w:r w:rsidRPr="00191822">
              <w:t>ELEVATE-TN</w:t>
            </w:r>
          </w:p>
          <w:p w14:paraId="14900CA3" w14:textId="77777777" w:rsidR="00433DFD" w:rsidRPr="00191822" w:rsidRDefault="00433DFD" w:rsidP="00530CFC">
            <w:pPr>
              <w:pStyle w:val="TableText"/>
            </w:pPr>
            <w:r w:rsidRPr="00191822">
              <w:t>NCT02475681</w:t>
            </w:r>
          </w:p>
        </w:tc>
        <w:tc>
          <w:tcPr>
            <w:tcW w:w="3065" w:type="pct"/>
          </w:tcPr>
          <w:p w14:paraId="75418A40" w14:textId="77777777" w:rsidR="00433DFD" w:rsidRPr="00191822" w:rsidRDefault="00433DFD" w:rsidP="00530CFC">
            <w:pPr>
              <w:pStyle w:val="TableText"/>
              <w:rPr>
                <w:szCs w:val="18"/>
              </w:rPr>
            </w:pPr>
            <w:r w:rsidRPr="00191822">
              <w:rPr>
                <w:szCs w:val="18"/>
              </w:rPr>
              <w:t xml:space="preserve">A randomized, multicentre, open-label, 3 arm phase 3 study of </w:t>
            </w:r>
            <w:proofErr w:type="spellStart"/>
            <w:r w:rsidRPr="00191822">
              <w:rPr>
                <w:szCs w:val="18"/>
              </w:rPr>
              <w:t>obinutuzumab</w:t>
            </w:r>
            <w:proofErr w:type="spellEnd"/>
            <w:r w:rsidRPr="00191822">
              <w:rPr>
                <w:szCs w:val="18"/>
              </w:rPr>
              <w:t xml:space="preserve"> in combination with chlorambucil, ACP-196 in combination with </w:t>
            </w:r>
            <w:proofErr w:type="spellStart"/>
            <w:r w:rsidRPr="00191822">
              <w:rPr>
                <w:szCs w:val="18"/>
              </w:rPr>
              <w:t>obinutuzumab</w:t>
            </w:r>
            <w:proofErr w:type="spellEnd"/>
            <w:r w:rsidRPr="00191822">
              <w:rPr>
                <w:szCs w:val="18"/>
              </w:rPr>
              <w:t xml:space="preserve">, and ACP-196 monotherapy in subjects with previously untreated chronic lymphocytic leukaemia. </w:t>
            </w:r>
          </w:p>
        </w:tc>
        <w:tc>
          <w:tcPr>
            <w:tcW w:w="1230" w:type="pct"/>
            <w:tcBorders>
              <w:right w:val="single" w:sz="4" w:space="0" w:color="auto"/>
            </w:tcBorders>
          </w:tcPr>
          <w:p w14:paraId="6E61AC90" w14:textId="77777777" w:rsidR="00433DFD" w:rsidRPr="00191822" w:rsidRDefault="00433DFD" w:rsidP="00530CFC">
            <w:pPr>
              <w:pStyle w:val="TableText"/>
            </w:pPr>
            <w:r w:rsidRPr="00191822">
              <w:t xml:space="preserve">Interim clinical Study Report, </w:t>
            </w:r>
            <w:r w:rsidRPr="00191822">
              <w:rPr>
                <w:szCs w:val="18"/>
              </w:rPr>
              <w:t>16 August 2019.</w:t>
            </w:r>
          </w:p>
        </w:tc>
      </w:tr>
      <w:tr w:rsidR="00433DFD" w:rsidRPr="00191822" w14:paraId="3816090F" w14:textId="77777777" w:rsidTr="00032C24">
        <w:tc>
          <w:tcPr>
            <w:tcW w:w="705" w:type="pct"/>
            <w:vMerge/>
            <w:tcBorders>
              <w:left w:val="single" w:sz="4" w:space="0" w:color="auto"/>
            </w:tcBorders>
          </w:tcPr>
          <w:p w14:paraId="30B987B4" w14:textId="77777777" w:rsidR="00433DFD" w:rsidRPr="00191822" w:rsidRDefault="00433DFD" w:rsidP="00530CFC">
            <w:pPr>
              <w:pStyle w:val="TableText"/>
            </w:pPr>
          </w:p>
        </w:tc>
        <w:tc>
          <w:tcPr>
            <w:tcW w:w="3065" w:type="pct"/>
          </w:tcPr>
          <w:p w14:paraId="5897E1C0" w14:textId="77777777" w:rsidR="00433DFD" w:rsidRPr="00191822" w:rsidRDefault="00433DFD" w:rsidP="00530CFC">
            <w:pPr>
              <w:pStyle w:val="TableText"/>
              <w:rPr>
                <w:szCs w:val="18"/>
              </w:rPr>
            </w:pPr>
            <w:r w:rsidRPr="00191822">
              <w:rPr>
                <w:szCs w:val="18"/>
              </w:rPr>
              <w:t>Xu W. ELEVATE-TN high level results.</w:t>
            </w:r>
          </w:p>
        </w:tc>
        <w:tc>
          <w:tcPr>
            <w:tcW w:w="1230" w:type="pct"/>
            <w:tcBorders>
              <w:right w:val="single" w:sz="4" w:space="0" w:color="auto"/>
            </w:tcBorders>
          </w:tcPr>
          <w:p w14:paraId="55BC6907" w14:textId="77777777" w:rsidR="00433DFD" w:rsidRPr="00191822" w:rsidRDefault="00433DFD" w:rsidP="00530CFC">
            <w:pPr>
              <w:pStyle w:val="TableText"/>
            </w:pPr>
            <w:r w:rsidRPr="00191822">
              <w:rPr>
                <w:szCs w:val="18"/>
              </w:rPr>
              <w:t>PowerPoint slides, Attachment 8 of the resubmission, 7 January 2021.</w:t>
            </w:r>
          </w:p>
        </w:tc>
      </w:tr>
      <w:tr w:rsidR="00433DFD" w:rsidRPr="00191822" w14:paraId="48ADF344" w14:textId="77777777" w:rsidTr="00032C24">
        <w:tc>
          <w:tcPr>
            <w:tcW w:w="705" w:type="pct"/>
            <w:vMerge/>
            <w:tcBorders>
              <w:left w:val="single" w:sz="4" w:space="0" w:color="auto"/>
            </w:tcBorders>
          </w:tcPr>
          <w:p w14:paraId="40666448" w14:textId="77777777" w:rsidR="00433DFD" w:rsidRPr="00191822" w:rsidRDefault="00433DFD" w:rsidP="00530CFC">
            <w:pPr>
              <w:pStyle w:val="TableText"/>
            </w:pPr>
          </w:p>
        </w:tc>
        <w:tc>
          <w:tcPr>
            <w:tcW w:w="3065" w:type="pct"/>
          </w:tcPr>
          <w:p w14:paraId="33220436" w14:textId="77777777" w:rsidR="00433DFD" w:rsidRPr="00191822" w:rsidRDefault="00433DFD" w:rsidP="00530CFC">
            <w:pPr>
              <w:pStyle w:val="TableText"/>
              <w:rPr>
                <w:szCs w:val="18"/>
              </w:rPr>
            </w:pPr>
            <w:r w:rsidRPr="00191822">
              <w:rPr>
                <w:szCs w:val="18"/>
              </w:rPr>
              <w:t xml:space="preserve">Sharman J, Banerji V, </w:t>
            </w:r>
            <w:proofErr w:type="spellStart"/>
            <w:r w:rsidRPr="00191822">
              <w:rPr>
                <w:szCs w:val="18"/>
              </w:rPr>
              <w:t>Fogliatto</w:t>
            </w:r>
            <w:proofErr w:type="spellEnd"/>
            <w:r w:rsidRPr="00191822">
              <w:rPr>
                <w:szCs w:val="18"/>
              </w:rPr>
              <w:t xml:space="preserve"> L, </w:t>
            </w:r>
            <w:proofErr w:type="spellStart"/>
            <w:r w:rsidRPr="00191822">
              <w:rPr>
                <w:szCs w:val="18"/>
              </w:rPr>
              <w:t>Herishanu</w:t>
            </w:r>
            <w:proofErr w:type="spellEnd"/>
            <w:r w:rsidRPr="00191822">
              <w:rPr>
                <w:szCs w:val="18"/>
              </w:rPr>
              <w:t xml:space="preserve"> Y, Munir T. ELEVATE TN: Phase 3 Study of Acalabrutinib Combined with Obinutuzumab (O) or Alone Vs O Plus Chlorambucil (</w:t>
            </w:r>
            <w:proofErr w:type="spellStart"/>
            <w:r w:rsidRPr="00191822">
              <w:rPr>
                <w:szCs w:val="18"/>
              </w:rPr>
              <w:t>Clb</w:t>
            </w:r>
            <w:proofErr w:type="spellEnd"/>
            <w:r w:rsidRPr="00191822">
              <w:rPr>
                <w:szCs w:val="18"/>
              </w:rPr>
              <w:t xml:space="preserve">) in Patients (Pts) with Treatment-Naive Chronic Lymphocytic Leukemia (CLL). </w:t>
            </w:r>
          </w:p>
        </w:tc>
        <w:tc>
          <w:tcPr>
            <w:tcW w:w="1230" w:type="pct"/>
            <w:tcBorders>
              <w:right w:val="single" w:sz="4" w:space="0" w:color="auto"/>
            </w:tcBorders>
          </w:tcPr>
          <w:p w14:paraId="3B084E3B" w14:textId="77777777" w:rsidR="00433DFD" w:rsidRPr="00191822" w:rsidRDefault="00433DFD" w:rsidP="00530CFC">
            <w:pPr>
              <w:pStyle w:val="TableText"/>
            </w:pPr>
            <w:r w:rsidRPr="00191822">
              <w:rPr>
                <w:i/>
                <w:iCs/>
                <w:szCs w:val="18"/>
              </w:rPr>
              <w:t>Blood</w:t>
            </w:r>
            <w:r w:rsidRPr="00191822">
              <w:rPr>
                <w:szCs w:val="18"/>
              </w:rPr>
              <w:t xml:space="preserve"> 2019; 134 (Supplement 1): 31.</w:t>
            </w:r>
          </w:p>
        </w:tc>
      </w:tr>
      <w:tr w:rsidR="00433DFD" w:rsidRPr="00191822" w14:paraId="2D54C953" w14:textId="77777777" w:rsidTr="00032C24">
        <w:tc>
          <w:tcPr>
            <w:tcW w:w="705" w:type="pct"/>
            <w:vMerge/>
            <w:tcBorders>
              <w:left w:val="single" w:sz="4" w:space="0" w:color="auto"/>
            </w:tcBorders>
          </w:tcPr>
          <w:p w14:paraId="545A5CA1" w14:textId="77777777" w:rsidR="00433DFD" w:rsidRPr="00191822" w:rsidRDefault="00433DFD" w:rsidP="00530CFC">
            <w:pPr>
              <w:pStyle w:val="TableText"/>
            </w:pPr>
          </w:p>
        </w:tc>
        <w:tc>
          <w:tcPr>
            <w:tcW w:w="3065" w:type="pct"/>
          </w:tcPr>
          <w:p w14:paraId="29A08008" w14:textId="77777777" w:rsidR="00433DFD" w:rsidRPr="00191822" w:rsidRDefault="00433DFD" w:rsidP="00530CFC">
            <w:pPr>
              <w:pStyle w:val="TableText"/>
              <w:rPr>
                <w:szCs w:val="18"/>
              </w:rPr>
            </w:pPr>
            <w:r w:rsidRPr="00191822">
              <w:rPr>
                <w:szCs w:val="18"/>
              </w:rPr>
              <w:t xml:space="preserve">Sharman J, </w:t>
            </w:r>
            <w:proofErr w:type="spellStart"/>
            <w:r w:rsidRPr="00191822">
              <w:rPr>
                <w:szCs w:val="18"/>
              </w:rPr>
              <w:t>Egyed</w:t>
            </w:r>
            <w:proofErr w:type="spellEnd"/>
            <w:r w:rsidRPr="00191822">
              <w:rPr>
                <w:szCs w:val="18"/>
              </w:rPr>
              <w:t xml:space="preserve"> M, </w:t>
            </w:r>
            <w:proofErr w:type="spellStart"/>
            <w:r w:rsidRPr="00191822">
              <w:rPr>
                <w:szCs w:val="18"/>
              </w:rPr>
              <w:t>Jurczak</w:t>
            </w:r>
            <w:proofErr w:type="spellEnd"/>
            <w:r w:rsidRPr="00191822">
              <w:rPr>
                <w:szCs w:val="18"/>
              </w:rPr>
              <w:t xml:space="preserve"> W, </w:t>
            </w:r>
            <w:proofErr w:type="spellStart"/>
            <w:r w:rsidRPr="00191822">
              <w:rPr>
                <w:szCs w:val="18"/>
              </w:rPr>
              <w:t>Sharbnik</w:t>
            </w:r>
            <w:proofErr w:type="spellEnd"/>
            <w:r w:rsidRPr="00191822">
              <w:rPr>
                <w:szCs w:val="18"/>
              </w:rPr>
              <w:t xml:space="preserve"> A, </w:t>
            </w:r>
            <w:proofErr w:type="spellStart"/>
            <w:r w:rsidRPr="00191822">
              <w:rPr>
                <w:szCs w:val="18"/>
              </w:rPr>
              <w:t>Pagal</w:t>
            </w:r>
            <w:proofErr w:type="spellEnd"/>
            <w:r w:rsidRPr="00191822">
              <w:rPr>
                <w:szCs w:val="18"/>
              </w:rPr>
              <w:t xml:space="preserve"> J et al. Acalabrutinib ± </w:t>
            </w:r>
            <w:proofErr w:type="spellStart"/>
            <w:r w:rsidRPr="00191822">
              <w:rPr>
                <w:szCs w:val="18"/>
              </w:rPr>
              <w:t>obinutuzumab</w:t>
            </w:r>
            <w:proofErr w:type="spellEnd"/>
            <w:r w:rsidRPr="00191822">
              <w:rPr>
                <w:szCs w:val="18"/>
              </w:rPr>
              <w:t xml:space="preserve"> versus </w:t>
            </w:r>
            <w:proofErr w:type="spellStart"/>
            <w:r w:rsidRPr="00191822">
              <w:rPr>
                <w:szCs w:val="18"/>
              </w:rPr>
              <w:t>obinutuzumab</w:t>
            </w:r>
            <w:proofErr w:type="spellEnd"/>
            <w:r w:rsidRPr="00191822">
              <w:rPr>
                <w:szCs w:val="18"/>
              </w:rPr>
              <w:t xml:space="preserve"> + chlorambucil in treatment-naïve chronic lymphoc</w:t>
            </w:r>
            <w:r w:rsidR="00F94360" w:rsidRPr="00191822">
              <w:rPr>
                <w:szCs w:val="18"/>
              </w:rPr>
              <w:t>y</w:t>
            </w:r>
            <w:r w:rsidRPr="00191822">
              <w:rPr>
                <w:szCs w:val="18"/>
              </w:rPr>
              <w:t xml:space="preserve">tic leukaemia: ELEVATE-TN four-year follow up. </w:t>
            </w:r>
          </w:p>
        </w:tc>
        <w:tc>
          <w:tcPr>
            <w:tcW w:w="1230" w:type="pct"/>
            <w:tcBorders>
              <w:right w:val="single" w:sz="4" w:space="0" w:color="auto"/>
            </w:tcBorders>
          </w:tcPr>
          <w:p w14:paraId="0D5C69D5" w14:textId="77777777" w:rsidR="00433DFD" w:rsidRPr="00191822" w:rsidRDefault="00433DFD" w:rsidP="00530CFC">
            <w:pPr>
              <w:pStyle w:val="TableText"/>
            </w:pPr>
            <w:r w:rsidRPr="00191822">
              <w:rPr>
                <w:i/>
                <w:iCs/>
                <w:szCs w:val="18"/>
              </w:rPr>
              <w:t xml:space="preserve">Journal of Clinical Oncology </w:t>
            </w:r>
            <w:r w:rsidRPr="00191822">
              <w:rPr>
                <w:szCs w:val="18"/>
              </w:rPr>
              <w:t>2021; 39 (15_suppl): 7509-7509.</w:t>
            </w:r>
          </w:p>
        </w:tc>
      </w:tr>
      <w:tr w:rsidR="00433DFD" w:rsidRPr="00191822" w14:paraId="1212BB6E" w14:textId="77777777" w:rsidTr="00032C24">
        <w:tc>
          <w:tcPr>
            <w:tcW w:w="705" w:type="pct"/>
            <w:vMerge/>
            <w:tcBorders>
              <w:left w:val="single" w:sz="4" w:space="0" w:color="auto"/>
            </w:tcBorders>
          </w:tcPr>
          <w:p w14:paraId="28BC50CB" w14:textId="77777777" w:rsidR="00433DFD" w:rsidRPr="00191822" w:rsidRDefault="00433DFD" w:rsidP="00530CFC">
            <w:pPr>
              <w:pStyle w:val="TableText"/>
            </w:pPr>
          </w:p>
        </w:tc>
        <w:tc>
          <w:tcPr>
            <w:tcW w:w="3065" w:type="pct"/>
          </w:tcPr>
          <w:p w14:paraId="5B7434D7" w14:textId="77777777" w:rsidR="00433DFD" w:rsidRPr="00191822" w:rsidRDefault="00433DFD" w:rsidP="00530CFC">
            <w:pPr>
              <w:pStyle w:val="TableText"/>
              <w:rPr>
                <w:szCs w:val="18"/>
              </w:rPr>
            </w:pPr>
            <w:r w:rsidRPr="00191822">
              <w:rPr>
                <w:szCs w:val="18"/>
              </w:rPr>
              <w:t xml:space="preserve">Sharman J, </w:t>
            </w:r>
            <w:proofErr w:type="spellStart"/>
            <w:r w:rsidRPr="00191822">
              <w:rPr>
                <w:szCs w:val="18"/>
              </w:rPr>
              <w:t>Egyed</w:t>
            </w:r>
            <w:proofErr w:type="spellEnd"/>
            <w:r w:rsidRPr="00191822">
              <w:rPr>
                <w:szCs w:val="18"/>
              </w:rPr>
              <w:t xml:space="preserve"> M, </w:t>
            </w:r>
            <w:proofErr w:type="spellStart"/>
            <w:r w:rsidRPr="00191822">
              <w:rPr>
                <w:szCs w:val="18"/>
              </w:rPr>
              <w:t>Jurczak</w:t>
            </w:r>
            <w:proofErr w:type="spellEnd"/>
            <w:r w:rsidRPr="00191822">
              <w:rPr>
                <w:szCs w:val="18"/>
              </w:rPr>
              <w:t xml:space="preserve"> W, </w:t>
            </w:r>
            <w:proofErr w:type="spellStart"/>
            <w:r w:rsidRPr="00191822">
              <w:rPr>
                <w:szCs w:val="18"/>
              </w:rPr>
              <w:t>Sharbnik</w:t>
            </w:r>
            <w:proofErr w:type="spellEnd"/>
            <w:r w:rsidRPr="00191822">
              <w:rPr>
                <w:szCs w:val="18"/>
              </w:rPr>
              <w:t xml:space="preserve"> A, </w:t>
            </w:r>
            <w:proofErr w:type="spellStart"/>
            <w:r w:rsidRPr="00191822">
              <w:rPr>
                <w:szCs w:val="18"/>
              </w:rPr>
              <w:t>Pagal</w:t>
            </w:r>
            <w:proofErr w:type="spellEnd"/>
            <w:r w:rsidRPr="00191822">
              <w:rPr>
                <w:szCs w:val="18"/>
              </w:rPr>
              <w:t xml:space="preserve"> J et al. Acalabrutinib ± </w:t>
            </w:r>
            <w:proofErr w:type="spellStart"/>
            <w:r w:rsidRPr="00191822">
              <w:rPr>
                <w:szCs w:val="18"/>
              </w:rPr>
              <w:t>obinutuzumab</w:t>
            </w:r>
            <w:proofErr w:type="spellEnd"/>
            <w:r w:rsidRPr="00191822">
              <w:rPr>
                <w:szCs w:val="18"/>
              </w:rPr>
              <w:t xml:space="preserve"> versus </w:t>
            </w:r>
            <w:proofErr w:type="spellStart"/>
            <w:r w:rsidRPr="00191822">
              <w:rPr>
                <w:szCs w:val="18"/>
              </w:rPr>
              <w:t>obinutuzumab</w:t>
            </w:r>
            <w:proofErr w:type="spellEnd"/>
            <w:r w:rsidRPr="00191822">
              <w:rPr>
                <w:szCs w:val="18"/>
              </w:rPr>
              <w:t xml:space="preserve"> + chlorambucil in treatment-naïve chronic lymphoc</w:t>
            </w:r>
            <w:r w:rsidR="00F94360" w:rsidRPr="00191822">
              <w:rPr>
                <w:szCs w:val="18"/>
              </w:rPr>
              <w:t>y</w:t>
            </w:r>
            <w:r w:rsidRPr="00191822">
              <w:rPr>
                <w:szCs w:val="18"/>
              </w:rPr>
              <w:t xml:space="preserve">tic leukaemia: ELEVATE-TN four-year follow up. </w:t>
            </w:r>
          </w:p>
        </w:tc>
        <w:tc>
          <w:tcPr>
            <w:tcW w:w="1230" w:type="pct"/>
            <w:tcBorders>
              <w:right w:val="single" w:sz="4" w:space="0" w:color="auto"/>
            </w:tcBorders>
          </w:tcPr>
          <w:p w14:paraId="141C05AF" w14:textId="77777777" w:rsidR="00433DFD" w:rsidRPr="00191822" w:rsidRDefault="00433DFD" w:rsidP="00530CFC">
            <w:pPr>
              <w:pStyle w:val="TableText"/>
            </w:pPr>
            <w:r w:rsidRPr="00191822">
              <w:rPr>
                <w:szCs w:val="18"/>
              </w:rPr>
              <w:t xml:space="preserve">ASCO Meeting Library </w:t>
            </w:r>
            <w:r w:rsidR="00E1266D">
              <w:rPr>
                <w:szCs w:val="18"/>
              </w:rPr>
              <w:t xml:space="preserve">2021 </w:t>
            </w:r>
            <w:r w:rsidRPr="00191822">
              <w:rPr>
                <w:szCs w:val="18"/>
              </w:rPr>
              <w:t>(poster).</w:t>
            </w:r>
          </w:p>
        </w:tc>
      </w:tr>
      <w:tr w:rsidR="00433DFD" w:rsidRPr="00191822" w14:paraId="4CAF2118" w14:textId="77777777" w:rsidTr="00032C24">
        <w:tc>
          <w:tcPr>
            <w:tcW w:w="705" w:type="pct"/>
            <w:vMerge/>
            <w:tcBorders>
              <w:left w:val="single" w:sz="4" w:space="0" w:color="auto"/>
            </w:tcBorders>
          </w:tcPr>
          <w:p w14:paraId="73AD2EEB" w14:textId="77777777" w:rsidR="00433DFD" w:rsidRPr="00191822" w:rsidRDefault="00433DFD" w:rsidP="00530CFC">
            <w:pPr>
              <w:pStyle w:val="TableText"/>
            </w:pPr>
          </w:p>
        </w:tc>
        <w:tc>
          <w:tcPr>
            <w:tcW w:w="3065" w:type="pct"/>
          </w:tcPr>
          <w:p w14:paraId="55EDE3E8" w14:textId="77777777" w:rsidR="00433DFD" w:rsidRPr="00191822" w:rsidRDefault="00433DFD" w:rsidP="00530CFC">
            <w:pPr>
              <w:pStyle w:val="TableText"/>
              <w:rPr>
                <w:szCs w:val="18"/>
              </w:rPr>
            </w:pPr>
            <w:r w:rsidRPr="00191822">
              <w:rPr>
                <w:szCs w:val="18"/>
              </w:rPr>
              <w:t xml:space="preserve">Sharman J, </w:t>
            </w:r>
            <w:proofErr w:type="spellStart"/>
            <w:r w:rsidRPr="00191822">
              <w:rPr>
                <w:szCs w:val="18"/>
              </w:rPr>
              <w:t>Egyed</w:t>
            </w:r>
            <w:proofErr w:type="spellEnd"/>
            <w:r w:rsidRPr="00191822">
              <w:rPr>
                <w:szCs w:val="18"/>
              </w:rPr>
              <w:t xml:space="preserve"> M, </w:t>
            </w:r>
            <w:proofErr w:type="spellStart"/>
            <w:r w:rsidRPr="00191822">
              <w:rPr>
                <w:szCs w:val="18"/>
              </w:rPr>
              <w:t>Jurczak</w:t>
            </w:r>
            <w:proofErr w:type="spellEnd"/>
            <w:r w:rsidRPr="00191822">
              <w:rPr>
                <w:szCs w:val="18"/>
              </w:rPr>
              <w:t xml:space="preserve"> W, </w:t>
            </w:r>
            <w:proofErr w:type="spellStart"/>
            <w:r w:rsidRPr="00191822">
              <w:rPr>
                <w:szCs w:val="18"/>
              </w:rPr>
              <w:t>Sharbnik</w:t>
            </w:r>
            <w:proofErr w:type="spellEnd"/>
            <w:r w:rsidRPr="00191822">
              <w:rPr>
                <w:szCs w:val="18"/>
              </w:rPr>
              <w:t xml:space="preserve"> A, </w:t>
            </w:r>
            <w:proofErr w:type="spellStart"/>
            <w:r w:rsidRPr="00191822">
              <w:rPr>
                <w:szCs w:val="18"/>
              </w:rPr>
              <w:t>Pagal</w:t>
            </w:r>
            <w:proofErr w:type="spellEnd"/>
            <w:r w:rsidRPr="00191822">
              <w:rPr>
                <w:szCs w:val="18"/>
              </w:rPr>
              <w:t xml:space="preserve"> J et al. Acalabrutinib with or without </w:t>
            </w:r>
            <w:proofErr w:type="spellStart"/>
            <w:r w:rsidRPr="00191822">
              <w:rPr>
                <w:szCs w:val="18"/>
              </w:rPr>
              <w:t>obinutuzumab</w:t>
            </w:r>
            <w:proofErr w:type="spellEnd"/>
            <w:r w:rsidRPr="00191822">
              <w:rPr>
                <w:szCs w:val="18"/>
              </w:rPr>
              <w:t xml:space="preserve"> versus chlorambucil and </w:t>
            </w:r>
            <w:proofErr w:type="spellStart"/>
            <w:r w:rsidRPr="00191822">
              <w:rPr>
                <w:szCs w:val="18"/>
              </w:rPr>
              <w:t>obinutuz</w:t>
            </w:r>
            <w:r w:rsidR="00F94360" w:rsidRPr="00191822">
              <w:rPr>
                <w:szCs w:val="18"/>
              </w:rPr>
              <w:t>u</w:t>
            </w:r>
            <w:r w:rsidRPr="00191822">
              <w:rPr>
                <w:szCs w:val="18"/>
              </w:rPr>
              <w:t>mab</w:t>
            </w:r>
            <w:proofErr w:type="spellEnd"/>
            <w:r w:rsidRPr="00191822">
              <w:rPr>
                <w:szCs w:val="18"/>
              </w:rPr>
              <w:t xml:space="preserve"> for treatment-naive chronic lymphocytic leukaemia (ELEVATE TN): a randomised, controlled, phase 3 trial. </w:t>
            </w:r>
          </w:p>
        </w:tc>
        <w:tc>
          <w:tcPr>
            <w:tcW w:w="1230" w:type="pct"/>
            <w:tcBorders>
              <w:right w:val="single" w:sz="4" w:space="0" w:color="auto"/>
            </w:tcBorders>
          </w:tcPr>
          <w:p w14:paraId="224D22E9" w14:textId="77777777" w:rsidR="00433DFD" w:rsidRPr="00191822" w:rsidRDefault="00433DFD" w:rsidP="00530CFC">
            <w:pPr>
              <w:pStyle w:val="TableText"/>
              <w:rPr>
                <w:i/>
                <w:iCs/>
                <w:szCs w:val="18"/>
              </w:rPr>
            </w:pPr>
            <w:r w:rsidRPr="00191822">
              <w:rPr>
                <w:i/>
                <w:iCs/>
                <w:szCs w:val="18"/>
              </w:rPr>
              <w:t xml:space="preserve">The Lancet </w:t>
            </w:r>
            <w:r w:rsidRPr="00191822">
              <w:rPr>
                <w:szCs w:val="18"/>
              </w:rPr>
              <w:t>2020;</w:t>
            </w:r>
            <w:r w:rsidRPr="00191822">
              <w:rPr>
                <w:i/>
                <w:iCs/>
                <w:szCs w:val="18"/>
              </w:rPr>
              <w:t xml:space="preserve"> </w:t>
            </w:r>
            <w:r w:rsidRPr="00191822">
              <w:rPr>
                <w:szCs w:val="18"/>
              </w:rPr>
              <w:t>395 (10232): 1278-1291.</w:t>
            </w:r>
          </w:p>
          <w:p w14:paraId="04410024" w14:textId="77777777" w:rsidR="00433DFD" w:rsidRPr="00191822" w:rsidRDefault="00433DFD" w:rsidP="00530CFC">
            <w:pPr>
              <w:pStyle w:val="TableText"/>
            </w:pPr>
          </w:p>
        </w:tc>
      </w:tr>
      <w:tr w:rsidR="00433DFD" w:rsidRPr="00191822" w14:paraId="4A8B4490" w14:textId="77777777" w:rsidTr="00032C24">
        <w:tc>
          <w:tcPr>
            <w:tcW w:w="705" w:type="pct"/>
            <w:vMerge/>
            <w:tcBorders>
              <w:left w:val="single" w:sz="4" w:space="0" w:color="auto"/>
            </w:tcBorders>
          </w:tcPr>
          <w:p w14:paraId="75958283" w14:textId="77777777" w:rsidR="00433DFD" w:rsidRPr="00191822" w:rsidRDefault="00433DFD" w:rsidP="00530CFC">
            <w:pPr>
              <w:pStyle w:val="TableText"/>
            </w:pPr>
          </w:p>
        </w:tc>
        <w:tc>
          <w:tcPr>
            <w:tcW w:w="3065" w:type="pct"/>
          </w:tcPr>
          <w:p w14:paraId="03BCD1E8" w14:textId="77777777" w:rsidR="00433DFD" w:rsidRPr="00191822" w:rsidRDefault="00433DFD" w:rsidP="00530CFC">
            <w:pPr>
              <w:pStyle w:val="TableText"/>
              <w:rPr>
                <w:szCs w:val="18"/>
              </w:rPr>
            </w:pPr>
            <w:r w:rsidRPr="00191822">
              <w:rPr>
                <w:szCs w:val="18"/>
              </w:rPr>
              <w:t xml:space="preserve">Martens U, Sharman J, Banerji V, </w:t>
            </w:r>
            <w:proofErr w:type="spellStart"/>
            <w:r w:rsidRPr="00191822">
              <w:rPr>
                <w:szCs w:val="18"/>
              </w:rPr>
              <w:t>Fogliatto</w:t>
            </w:r>
            <w:proofErr w:type="spellEnd"/>
            <w:r w:rsidRPr="00191822">
              <w:rPr>
                <w:szCs w:val="18"/>
              </w:rPr>
              <w:t xml:space="preserve"> L, </w:t>
            </w:r>
            <w:proofErr w:type="spellStart"/>
            <w:r w:rsidRPr="00191822">
              <w:rPr>
                <w:szCs w:val="18"/>
              </w:rPr>
              <w:t>Herishanu</w:t>
            </w:r>
            <w:proofErr w:type="spellEnd"/>
            <w:r w:rsidRPr="00191822">
              <w:rPr>
                <w:szCs w:val="18"/>
              </w:rPr>
              <w:t xml:space="preserve"> Y et al. </w:t>
            </w:r>
            <w:r w:rsidR="00F94360" w:rsidRPr="00191822">
              <w:rPr>
                <w:szCs w:val="18"/>
              </w:rPr>
              <w:t>ELEVATE TN</w:t>
            </w:r>
            <w:r w:rsidRPr="00191822">
              <w:rPr>
                <w:szCs w:val="18"/>
              </w:rPr>
              <w:t xml:space="preserve"> phase 3 study of acalabrutinib plus </w:t>
            </w:r>
            <w:proofErr w:type="spellStart"/>
            <w:r w:rsidRPr="00191822">
              <w:rPr>
                <w:szCs w:val="18"/>
              </w:rPr>
              <w:t>obinutuzumab</w:t>
            </w:r>
            <w:proofErr w:type="spellEnd"/>
            <w:r w:rsidRPr="00191822">
              <w:rPr>
                <w:szCs w:val="18"/>
              </w:rPr>
              <w:t xml:space="preserve"> or acalabrutinib monotherapy vs chlorambucil plus </w:t>
            </w:r>
            <w:proofErr w:type="spellStart"/>
            <w:r w:rsidRPr="00191822">
              <w:rPr>
                <w:szCs w:val="18"/>
              </w:rPr>
              <w:t>obinutuzumab</w:t>
            </w:r>
            <w:proofErr w:type="spellEnd"/>
            <w:r w:rsidRPr="00191822">
              <w:rPr>
                <w:szCs w:val="18"/>
              </w:rPr>
              <w:t xml:space="preserve"> (CLBO) in subjects with previously untreated chronic lymphocytic leukemia (CLL). </w:t>
            </w:r>
          </w:p>
        </w:tc>
        <w:tc>
          <w:tcPr>
            <w:tcW w:w="1230" w:type="pct"/>
            <w:tcBorders>
              <w:right w:val="single" w:sz="4" w:space="0" w:color="auto"/>
            </w:tcBorders>
          </w:tcPr>
          <w:p w14:paraId="7DCD5D8F" w14:textId="77777777" w:rsidR="00433DFD" w:rsidRPr="00191822" w:rsidRDefault="00433DFD" w:rsidP="00530CFC">
            <w:pPr>
              <w:pStyle w:val="TableText"/>
            </w:pPr>
            <w:r w:rsidRPr="00191822">
              <w:rPr>
                <w:i/>
                <w:iCs/>
                <w:szCs w:val="18"/>
              </w:rPr>
              <w:t xml:space="preserve">Oncology Research and Treatment </w:t>
            </w:r>
            <w:r w:rsidRPr="00191822">
              <w:rPr>
                <w:szCs w:val="18"/>
              </w:rPr>
              <w:t>2020; 43 (Supplement 1): 127.</w:t>
            </w:r>
          </w:p>
        </w:tc>
      </w:tr>
      <w:tr w:rsidR="00433DFD" w:rsidRPr="00191822" w14:paraId="489C3DFE" w14:textId="77777777" w:rsidTr="00032C24">
        <w:trPr>
          <w:trHeight w:val="290"/>
        </w:trPr>
        <w:tc>
          <w:tcPr>
            <w:tcW w:w="705" w:type="pct"/>
            <w:vMerge/>
            <w:tcBorders>
              <w:left w:val="single" w:sz="4" w:space="0" w:color="auto"/>
              <w:bottom w:val="single" w:sz="4" w:space="0" w:color="auto"/>
            </w:tcBorders>
          </w:tcPr>
          <w:p w14:paraId="5BD22DD7" w14:textId="77777777" w:rsidR="00433DFD" w:rsidRPr="00191822" w:rsidRDefault="00433DFD" w:rsidP="00530CFC">
            <w:pPr>
              <w:pStyle w:val="TableText"/>
            </w:pPr>
          </w:p>
        </w:tc>
        <w:tc>
          <w:tcPr>
            <w:tcW w:w="3065" w:type="pct"/>
            <w:tcBorders>
              <w:bottom w:val="single" w:sz="4" w:space="0" w:color="auto"/>
            </w:tcBorders>
          </w:tcPr>
          <w:p w14:paraId="29356FAB" w14:textId="77777777" w:rsidR="00433DFD" w:rsidRPr="00191822" w:rsidRDefault="00433DFD" w:rsidP="00530CFC">
            <w:pPr>
              <w:pStyle w:val="TableText"/>
              <w:rPr>
                <w:szCs w:val="18"/>
              </w:rPr>
            </w:pPr>
            <w:r w:rsidRPr="00191822">
              <w:rPr>
                <w:szCs w:val="18"/>
              </w:rPr>
              <w:t xml:space="preserve">Munir T, Sharman J, Banerji V, </w:t>
            </w:r>
            <w:proofErr w:type="spellStart"/>
            <w:r w:rsidRPr="00191822">
              <w:rPr>
                <w:szCs w:val="18"/>
              </w:rPr>
              <w:t>Fogliatto</w:t>
            </w:r>
            <w:proofErr w:type="spellEnd"/>
            <w:r w:rsidRPr="00191822">
              <w:rPr>
                <w:szCs w:val="18"/>
              </w:rPr>
              <w:t xml:space="preserve"> L, </w:t>
            </w:r>
            <w:proofErr w:type="spellStart"/>
            <w:r w:rsidRPr="00191822">
              <w:rPr>
                <w:szCs w:val="18"/>
              </w:rPr>
              <w:t>Herishanu</w:t>
            </w:r>
            <w:proofErr w:type="spellEnd"/>
            <w:r w:rsidRPr="00191822">
              <w:rPr>
                <w:szCs w:val="18"/>
              </w:rPr>
              <w:t xml:space="preserve"> Y et al. ELEVATE-TN: a phase 3, multicentre, open-label study of acalabrutinib (Ab) combined with </w:t>
            </w:r>
            <w:proofErr w:type="spellStart"/>
            <w:r w:rsidRPr="00191822">
              <w:rPr>
                <w:szCs w:val="18"/>
              </w:rPr>
              <w:t>obinutuzumab</w:t>
            </w:r>
            <w:proofErr w:type="spellEnd"/>
            <w:r w:rsidRPr="00191822">
              <w:rPr>
                <w:szCs w:val="18"/>
              </w:rPr>
              <w:t xml:space="preserve"> (O) or Ab alone versus O plus chlorambucil (</w:t>
            </w:r>
            <w:proofErr w:type="spellStart"/>
            <w:r w:rsidRPr="00191822">
              <w:rPr>
                <w:szCs w:val="18"/>
              </w:rPr>
              <w:t>Clb</w:t>
            </w:r>
            <w:proofErr w:type="spellEnd"/>
            <w:r w:rsidRPr="00191822">
              <w:rPr>
                <w:szCs w:val="18"/>
              </w:rPr>
              <w:t xml:space="preserve">) in patients (pts) with treatment-naive chronic lymphocytic leukaemia (TN-CLL). </w:t>
            </w:r>
          </w:p>
        </w:tc>
        <w:tc>
          <w:tcPr>
            <w:tcW w:w="1230" w:type="pct"/>
            <w:tcBorders>
              <w:bottom w:val="single" w:sz="4" w:space="0" w:color="auto"/>
              <w:right w:val="single" w:sz="4" w:space="0" w:color="auto"/>
            </w:tcBorders>
          </w:tcPr>
          <w:p w14:paraId="0209AF71" w14:textId="77777777" w:rsidR="00433DFD" w:rsidRPr="00191822" w:rsidRDefault="00433DFD" w:rsidP="00530CFC">
            <w:pPr>
              <w:pStyle w:val="TableText"/>
            </w:pPr>
            <w:r w:rsidRPr="00191822">
              <w:rPr>
                <w:i/>
                <w:iCs/>
                <w:szCs w:val="18"/>
              </w:rPr>
              <w:t xml:space="preserve">British Journal of Haematology </w:t>
            </w:r>
            <w:r w:rsidRPr="00191822">
              <w:rPr>
                <w:szCs w:val="18"/>
              </w:rPr>
              <w:t>2020; 189 (Supplement 1): 26-28.</w:t>
            </w:r>
          </w:p>
        </w:tc>
      </w:tr>
      <w:tr w:rsidR="00433DFD" w:rsidRPr="00191822" w14:paraId="0935600C" w14:textId="77777777" w:rsidTr="00032C24">
        <w:trPr>
          <w:trHeight w:val="760"/>
        </w:trPr>
        <w:tc>
          <w:tcPr>
            <w:tcW w:w="705" w:type="pct"/>
            <w:vMerge/>
            <w:tcBorders>
              <w:top w:val="single" w:sz="4" w:space="0" w:color="auto"/>
            </w:tcBorders>
          </w:tcPr>
          <w:p w14:paraId="2D031F1B" w14:textId="77777777" w:rsidR="00433DFD" w:rsidRPr="00191822" w:rsidRDefault="00433DFD" w:rsidP="00530CFC">
            <w:pPr>
              <w:pStyle w:val="TableText"/>
            </w:pPr>
          </w:p>
        </w:tc>
        <w:tc>
          <w:tcPr>
            <w:tcW w:w="3065" w:type="pct"/>
            <w:tcBorders>
              <w:top w:val="single" w:sz="4" w:space="0" w:color="auto"/>
            </w:tcBorders>
          </w:tcPr>
          <w:p w14:paraId="6BCD1384" w14:textId="77777777" w:rsidR="00433DFD" w:rsidRPr="007D66D9" w:rsidRDefault="00433DFD" w:rsidP="00530CFC">
            <w:pPr>
              <w:pStyle w:val="TableText"/>
              <w:rPr>
                <w:szCs w:val="18"/>
                <w:vertAlign w:val="superscript"/>
              </w:rPr>
            </w:pPr>
            <w:r w:rsidRPr="007D66D9">
              <w:rPr>
                <w:szCs w:val="18"/>
              </w:rPr>
              <w:t xml:space="preserve">Walker P, Sharman JP, </w:t>
            </w:r>
            <w:proofErr w:type="spellStart"/>
            <w:r w:rsidRPr="007D66D9">
              <w:rPr>
                <w:szCs w:val="18"/>
              </w:rPr>
              <w:t>Jurczak</w:t>
            </w:r>
            <w:proofErr w:type="spellEnd"/>
            <w:r w:rsidRPr="007D66D9">
              <w:rPr>
                <w:szCs w:val="18"/>
              </w:rPr>
              <w:t xml:space="preserve"> W, Munir T, Banerji V et al. Patient-reported outcomes from the phase 3, randomized study of acalabrutinib with or without </w:t>
            </w:r>
            <w:proofErr w:type="spellStart"/>
            <w:r w:rsidRPr="007D66D9">
              <w:rPr>
                <w:szCs w:val="18"/>
              </w:rPr>
              <w:t>obinutuzumab</w:t>
            </w:r>
            <w:proofErr w:type="spellEnd"/>
            <w:r w:rsidRPr="007D66D9">
              <w:rPr>
                <w:szCs w:val="18"/>
              </w:rPr>
              <w:t xml:space="preserve"> versus chlorambucil plus </w:t>
            </w:r>
            <w:proofErr w:type="spellStart"/>
            <w:r w:rsidRPr="007D66D9">
              <w:rPr>
                <w:szCs w:val="18"/>
              </w:rPr>
              <w:t>obinutuzumab</w:t>
            </w:r>
            <w:proofErr w:type="spellEnd"/>
            <w:r w:rsidRPr="007D66D9">
              <w:rPr>
                <w:szCs w:val="18"/>
              </w:rPr>
              <w:t xml:space="preserve"> for treatment-naive chronic lymphocytic leukemia (ELEVATE-TN</w:t>
            </w:r>
            <w:proofErr w:type="gramStart"/>
            <w:r w:rsidRPr="007D66D9">
              <w:rPr>
                <w:szCs w:val="18"/>
              </w:rPr>
              <w:t>).</w:t>
            </w:r>
            <w:r w:rsidR="00EB0F1E" w:rsidRPr="007D66D9">
              <w:rPr>
                <w:szCs w:val="18"/>
                <w:vertAlign w:val="superscript"/>
              </w:rPr>
              <w:t>a</w:t>
            </w:r>
            <w:proofErr w:type="gramEnd"/>
          </w:p>
        </w:tc>
        <w:tc>
          <w:tcPr>
            <w:tcW w:w="1230" w:type="pct"/>
            <w:tcBorders>
              <w:top w:val="single" w:sz="4" w:space="0" w:color="auto"/>
            </w:tcBorders>
          </w:tcPr>
          <w:p w14:paraId="35729E73" w14:textId="77777777" w:rsidR="00433DFD" w:rsidRPr="00191822" w:rsidRDefault="00433DFD" w:rsidP="00530CFC">
            <w:pPr>
              <w:pStyle w:val="TableText"/>
              <w:rPr>
                <w:i/>
                <w:iCs/>
                <w:szCs w:val="18"/>
              </w:rPr>
            </w:pPr>
            <w:r w:rsidRPr="00191822">
              <w:rPr>
                <w:i/>
                <w:iCs/>
                <w:szCs w:val="18"/>
              </w:rPr>
              <w:t xml:space="preserve">Value in Health </w:t>
            </w:r>
            <w:r w:rsidRPr="007D66D9">
              <w:rPr>
                <w:szCs w:val="18"/>
              </w:rPr>
              <w:t>2021; 24 (Supplement 1): S3-S4.</w:t>
            </w:r>
          </w:p>
        </w:tc>
      </w:tr>
    </w:tbl>
    <w:p w14:paraId="5FB25DA9" w14:textId="77777777" w:rsidR="00433DFD" w:rsidRPr="00191822" w:rsidRDefault="00433DFD" w:rsidP="00433DFD">
      <w:pPr>
        <w:pStyle w:val="TableFigureFooter"/>
      </w:pPr>
      <w:r w:rsidRPr="00191822">
        <w:t>Source: Table 2.5, p71 of the resubmission.</w:t>
      </w:r>
    </w:p>
    <w:p w14:paraId="58C00A2A" w14:textId="77777777" w:rsidR="00915722" w:rsidRPr="001228F4" w:rsidRDefault="00EB0F1E" w:rsidP="00433DFD">
      <w:pPr>
        <w:pStyle w:val="TableFigureFooter"/>
      </w:pPr>
      <w:proofErr w:type="spellStart"/>
      <w:proofErr w:type="gramStart"/>
      <w:r w:rsidRPr="001228F4">
        <w:rPr>
          <w:vertAlign w:val="superscript"/>
        </w:rPr>
        <w:t>a</w:t>
      </w:r>
      <w:proofErr w:type="spellEnd"/>
      <w:proofErr w:type="gramEnd"/>
      <w:r w:rsidRPr="001228F4">
        <w:rPr>
          <w:vertAlign w:val="superscript"/>
        </w:rPr>
        <w:t xml:space="preserve"> </w:t>
      </w:r>
      <w:r w:rsidRPr="001228F4">
        <w:t>I</w:t>
      </w:r>
      <w:r w:rsidR="00915722" w:rsidRPr="001228F4">
        <w:t>dentified during the evaluation.</w:t>
      </w:r>
    </w:p>
    <w:p w14:paraId="5A52CB11" w14:textId="77777777" w:rsidR="00032C24" w:rsidRPr="00191822" w:rsidRDefault="00032C24" w:rsidP="00032C24">
      <w:pPr>
        <w:pStyle w:val="ExecSumBodyText"/>
        <w:numPr>
          <w:ilvl w:val="1"/>
          <w:numId w:val="1"/>
        </w:numPr>
        <w:rPr>
          <w:snapToGrid/>
        </w:rPr>
      </w:pPr>
      <w:r w:rsidRPr="00191822">
        <w:rPr>
          <w:snapToGrid/>
        </w:rPr>
        <w:t xml:space="preserve">The key features of the ELEVATE-TN trial </w:t>
      </w:r>
      <w:r w:rsidR="00530CFC">
        <w:rPr>
          <w:snapToGrid/>
        </w:rPr>
        <w:t>are</w:t>
      </w:r>
      <w:r w:rsidR="00EB0F1E" w:rsidRPr="00191822">
        <w:rPr>
          <w:snapToGrid/>
        </w:rPr>
        <w:t xml:space="preserve"> </w:t>
      </w:r>
      <w:r w:rsidRPr="00191822">
        <w:rPr>
          <w:snapToGrid/>
        </w:rPr>
        <w:t>summarised in the table below.</w:t>
      </w:r>
    </w:p>
    <w:p w14:paraId="354534E7" w14:textId="77777777" w:rsidR="00032C24" w:rsidRPr="00191822" w:rsidRDefault="004026AA" w:rsidP="004026AA">
      <w:pPr>
        <w:pStyle w:val="TableFigureCaption"/>
      </w:pPr>
      <w:r>
        <w:lastRenderedPageBreak/>
        <w:t xml:space="preserve">Table </w:t>
      </w:r>
      <w:r w:rsidR="00BD60E3">
        <w:rPr>
          <w:noProof/>
        </w:rPr>
        <w:t>4</w:t>
      </w:r>
      <w:r w:rsidR="00032C24" w:rsidRPr="0019182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849"/>
        <w:gridCol w:w="330"/>
        <w:gridCol w:w="1870"/>
        <w:gridCol w:w="736"/>
        <w:gridCol w:w="1775"/>
        <w:gridCol w:w="1847"/>
        <w:gridCol w:w="1610"/>
      </w:tblGrid>
      <w:tr w:rsidR="00AC201B" w:rsidRPr="00191822" w14:paraId="29A18CDD" w14:textId="77777777" w:rsidTr="00D540A3">
        <w:trPr>
          <w:cantSplit/>
          <w:tblHeader/>
        </w:trPr>
        <w:tc>
          <w:tcPr>
            <w:tcW w:w="471" w:type="pct"/>
            <w:shd w:val="clear" w:color="auto" w:fill="auto"/>
            <w:vAlign w:val="center"/>
          </w:tcPr>
          <w:p w14:paraId="3B0B40B5" w14:textId="77777777" w:rsidR="00AC201B" w:rsidRPr="00191822" w:rsidRDefault="00AC201B" w:rsidP="004026AA">
            <w:pPr>
              <w:pStyle w:val="Tableheadingrow"/>
              <w:rPr>
                <w:lang w:val="en-AU"/>
              </w:rPr>
            </w:pPr>
            <w:r w:rsidRPr="00191822">
              <w:rPr>
                <w:lang w:val="en-AU"/>
              </w:rPr>
              <w:t>Trial</w:t>
            </w:r>
          </w:p>
        </w:tc>
        <w:tc>
          <w:tcPr>
            <w:tcW w:w="183" w:type="pct"/>
            <w:shd w:val="clear" w:color="auto" w:fill="auto"/>
            <w:vAlign w:val="center"/>
          </w:tcPr>
          <w:p w14:paraId="39BE41D6" w14:textId="77777777" w:rsidR="00AC201B" w:rsidRPr="00191822" w:rsidRDefault="00AC201B" w:rsidP="004026AA">
            <w:pPr>
              <w:pStyle w:val="Tableheadingrow"/>
              <w:jc w:val="center"/>
              <w:rPr>
                <w:lang w:val="en-AU"/>
              </w:rPr>
            </w:pPr>
            <w:r w:rsidRPr="00191822">
              <w:rPr>
                <w:lang w:val="en-AU"/>
              </w:rPr>
              <w:t>N</w:t>
            </w:r>
          </w:p>
        </w:tc>
        <w:tc>
          <w:tcPr>
            <w:tcW w:w="1037" w:type="pct"/>
            <w:shd w:val="clear" w:color="auto" w:fill="auto"/>
            <w:vAlign w:val="center"/>
          </w:tcPr>
          <w:p w14:paraId="52F07FAA" w14:textId="77777777" w:rsidR="00AC201B" w:rsidRPr="00191822" w:rsidRDefault="00AC201B" w:rsidP="004026AA">
            <w:pPr>
              <w:pStyle w:val="Tableheadingrow"/>
              <w:jc w:val="center"/>
              <w:rPr>
                <w:lang w:val="en-AU"/>
              </w:rPr>
            </w:pPr>
            <w:r w:rsidRPr="00191822">
              <w:rPr>
                <w:lang w:val="en-AU"/>
              </w:rPr>
              <w:t>Design/duration of follow-up</w:t>
            </w:r>
          </w:p>
        </w:tc>
        <w:tc>
          <w:tcPr>
            <w:tcW w:w="408" w:type="pct"/>
            <w:shd w:val="clear" w:color="auto" w:fill="auto"/>
            <w:vAlign w:val="center"/>
          </w:tcPr>
          <w:p w14:paraId="6F5E7D30" w14:textId="77777777" w:rsidR="00AC201B" w:rsidRPr="00191822" w:rsidRDefault="00AC201B" w:rsidP="004026AA">
            <w:pPr>
              <w:pStyle w:val="Tableheadingrow"/>
              <w:jc w:val="center"/>
              <w:rPr>
                <w:lang w:val="en-AU"/>
              </w:rPr>
            </w:pPr>
            <w:r w:rsidRPr="00191822">
              <w:rPr>
                <w:lang w:val="en-AU"/>
              </w:rPr>
              <w:t>Risk of bias</w:t>
            </w:r>
          </w:p>
        </w:tc>
        <w:tc>
          <w:tcPr>
            <w:tcW w:w="984" w:type="pct"/>
            <w:shd w:val="clear" w:color="auto" w:fill="auto"/>
            <w:vAlign w:val="center"/>
          </w:tcPr>
          <w:p w14:paraId="16F591E0" w14:textId="77777777" w:rsidR="00AC201B" w:rsidRPr="00191822" w:rsidRDefault="00AC201B" w:rsidP="004026AA">
            <w:pPr>
              <w:pStyle w:val="Tableheadingrow"/>
              <w:jc w:val="center"/>
              <w:rPr>
                <w:lang w:val="en-AU"/>
              </w:rPr>
            </w:pPr>
            <w:r w:rsidRPr="00191822">
              <w:rPr>
                <w:lang w:val="en-AU"/>
              </w:rPr>
              <w:t>Patient population</w:t>
            </w:r>
          </w:p>
        </w:tc>
        <w:tc>
          <w:tcPr>
            <w:tcW w:w="1024" w:type="pct"/>
            <w:shd w:val="clear" w:color="auto" w:fill="auto"/>
            <w:vAlign w:val="center"/>
          </w:tcPr>
          <w:p w14:paraId="65EA0687" w14:textId="77777777" w:rsidR="00AC201B" w:rsidRPr="00191822" w:rsidRDefault="00AC201B" w:rsidP="004026AA">
            <w:pPr>
              <w:pStyle w:val="Tableheadingrow"/>
              <w:jc w:val="center"/>
              <w:rPr>
                <w:lang w:val="en-AU"/>
              </w:rPr>
            </w:pPr>
            <w:r w:rsidRPr="00191822">
              <w:rPr>
                <w:lang w:val="en-AU"/>
              </w:rPr>
              <w:t>Outcomes</w:t>
            </w:r>
          </w:p>
        </w:tc>
        <w:tc>
          <w:tcPr>
            <w:tcW w:w="893" w:type="pct"/>
          </w:tcPr>
          <w:p w14:paraId="5E09662C" w14:textId="77777777" w:rsidR="00AC201B" w:rsidRPr="00191822" w:rsidRDefault="001228F4" w:rsidP="004026AA">
            <w:pPr>
              <w:pStyle w:val="Tableheadingrow"/>
              <w:jc w:val="center"/>
              <w:rPr>
                <w:lang w:val="en-AU"/>
              </w:rPr>
            </w:pPr>
            <w:r>
              <w:rPr>
                <w:lang w:val="en-AU"/>
              </w:rPr>
              <w:t>Use in modelled evaluation</w:t>
            </w:r>
          </w:p>
        </w:tc>
      </w:tr>
      <w:tr w:rsidR="001421D7" w:rsidRPr="00191822" w14:paraId="3249A985" w14:textId="77777777" w:rsidTr="001421D7">
        <w:trPr>
          <w:cantSplit/>
        </w:trPr>
        <w:tc>
          <w:tcPr>
            <w:tcW w:w="5000" w:type="pct"/>
            <w:gridSpan w:val="7"/>
            <w:shd w:val="clear" w:color="auto" w:fill="auto"/>
            <w:vAlign w:val="center"/>
          </w:tcPr>
          <w:p w14:paraId="35A5BCD3" w14:textId="77777777" w:rsidR="001421D7" w:rsidRPr="00191822" w:rsidRDefault="001421D7" w:rsidP="004026AA">
            <w:pPr>
              <w:pStyle w:val="Tableheadingrow"/>
              <w:rPr>
                <w:lang w:val="en-AU"/>
              </w:rPr>
            </w:pPr>
            <w:r w:rsidRPr="00191822">
              <w:rPr>
                <w:lang w:val="en-AU"/>
              </w:rPr>
              <w:t xml:space="preserve">Acalabrutinib + </w:t>
            </w:r>
            <w:proofErr w:type="spellStart"/>
            <w:r w:rsidRPr="00191822">
              <w:rPr>
                <w:lang w:val="en-AU"/>
              </w:rPr>
              <w:t>obinutuzumab</w:t>
            </w:r>
            <w:proofErr w:type="spellEnd"/>
            <w:r w:rsidRPr="00191822">
              <w:rPr>
                <w:lang w:val="en-AU"/>
              </w:rPr>
              <w:t xml:space="preserve"> vs. acalabrutinib monotherapy vs. chlorambucil + </w:t>
            </w:r>
            <w:proofErr w:type="spellStart"/>
            <w:r w:rsidRPr="00191822">
              <w:rPr>
                <w:lang w:val="en-AU"/>
              </w:rPr>
              <w:t>obinutuzumab</w:t>
            </w:r>
            <w:proofErr w:type="spellEnd"/>
          </w:p>
        </w:tc>
      </w:tr>
      <w:tr w:rsidR="00AC201B" w:rsidRPr="00DF44A0" w14:paraId="30C285F5" w14:textId="77777777" w:rsidTr="00D540A3">
        <w:trPr>
          <w:cantSplit/>
        </w:trPr>
        <w:tc>
          <w:tcPr>
            <w:tcW w:w="471" w:type="pct"/>
            <w:shd w:val="clear" w:color="auto" w:fill="auto"/>
            <w:vAlign w:val="center"/>
          </w:tcPr>
          <w:p w14:paraId="4EF91601" w14:textId="77777777" w:rsidR="00AC201B" w:rsidRPr="00DF44A0" w:rsidRDefault="00AC201B" w:rsidP="00582B19">
            <w:pPr>
              <w:pStyle w:val="TableText"/>
            </w:pPr>
            <w:r w:rsidRPr="00DF44A0">
              <w:t>ELEVATE-TN</w:t>
            </w:r>
          </w:p>
        </w:tc>
        <w:tc>
          <w:tcPr>
            <w:tcW w:w="183" w:type="pct"/>
            <w:shd w:val="clear" w:color="auto" w:fill="auto"/>
            <w:vAlign w:val="center"/>
          </w:tcPr>
          <w:p w14:paraId="44CDF12A" w14:textId="77777777" w:rsidR="00AC201B" w:rsidRPr="00DF44A0" w:rsidRDefault="00AC201B" w:rsidP="00582B19">
            <w:pPr>
              <w:pStyle w:val="TableText"/>
              <w:jc w:val="center"/>
            </w:pPr>
            <w:r w:rsidRPr="00DF44A0">
              <w:t>535</w:t>
            </w:r>
          </w:p>
        </w:tc>
        <w:tc>
          <w:tcPr>
            <w:tcW w:w="1037" w:type="pct"/>
            <w:shd w:val="clear" w:color="auto" w:fill="auto"/>
          </w:tcPr>
          <w:p w14:paraId="2BA9B911" w14:textId="77777777" w:rsidR="00AC201B" w:rsidRPr="00DF44A0" w:rsidRDefault="00AC201B" w:rsidP="00582B19">
            <w:pPr>
              <w:pStyle w:val="TableText"/>
            </w:pPr>
            <w:r w:rsidRPr="00DF44A0">
              <w:t>Phase 3, randomised, open-label trial.</w:t>
            </w:r>
          </w:p>
          <w:p w14:paraId="292D8EBA" w14:textId="77777777" w:rsidR="00AC201B" w:rsidRPr="00DF44A0" w:rsidRDefault="00AC201B" w:rsidP="00582B19">
            <w:pPr>
              <w:pStyle w:val="TableText"/>
            </w:pPr>
          </w:p>
          <w:p w14:paraId="53C94F55" w14:textId="77777777" w:rsidR="00AC201B" w:rsidRPr="00DF44A0" w:rsidRDefault="00AC201B" w:rsidP="00582B19">
            <w:pPr>
              <w:pStyle w:val="TableText"/>
            </w:pPr>
            <w:r w:rsidRPr="00DF44A0">
              <w:t xml:space="preserve">Median duration of follow-up: </w:t>
            </w:r>
          </w:p>
          <w:p w14:paraId="6CF560F1" w14:textId="77777777" w:rsidR="00AC201B" w:rsidRPr="00DF44A0" w:rsidRDefault="00AC201B" w:rsidP="00E042B7">
            <w:pPr>
              <w:pStyle w:val="TableText"/>
              <w:numPr>
                <w:ilvl w:val="0"/>
                <w:numId w:val="13"/>
              </w:numPr>
              <w:ind w:left="193" w:hanging="153"/>
            </w:pPr>
            <w:r w:rsidRPr="00DF44A0">
              <w:t>28.3 months for the February 2019 interim analysis</w:t>
            </w:r>
          </w:p>
          <w:p w14:paraId="1C95016D" w14:textId="77777777" w:rsidR="00AC201B" w:rsidRPr="00DF44A0" w:rsidRDefault="00AC201B" w:rsidP="00E042B7">
            <w:pPr>
              <w:pStyle w:val="TableText"/>
              <w:numPr>
                <w:ilvl w:val="0"/>
                <w:numId w:val="13"/>
              </w:numPr>
              <w:ind w:left="193" w:hanging="153"/>
            </w:pPr>
            <w:r w:rsidRPr="00DF44A0">
              <w:t>46.9 months for the September 2020 data cut.</w:t>
            </w:r>
          </w:p>
        </w:tc>
        <w:tc>
          <w:tcPr>
            <w:tcW w:w="408" w:type="pct"/>
            <w:shd w:val="clear" w:color="auto" w:fill="auto"/>
            <w:vAlign w:val="center"/>
          </w:tcPr>
          <w:p w14:paraId="1B648073" w14:textId="77777777" w:rsidR="00AC201B" w:rsidRPr="00DF44A0" w:rsidRDefault="00AC201B" w:rsidP="00582B19">
            <w:pPr>
              <w:pStyle w:val="TableText"/>
              <w:jc w:val="center"/>
            </w:pPr>
            <w:r w:rsidRPr="00DF44A0">
              <w:t>Unclear</w:t>
            </w:r>
          </w:p>
        </w:tc>
        <w:tc>
          <w:tcPr>
            <w:tcW w:w="984" w:type="pct"/>
            <w:shd w:val="clear" w:color="auto" w:fill="auto"/>
          </w:tcPr>
          <w:p w14:paraId="79A08B0C" w14:textId="77777777" w:rsidR="00AC201B" w:rsidRPr="00DF44A0" w:rsidRDefault="00AC201B" w:rsidP="00E042B7">
            <w:pPr>
              <w:keepNext/>
              <w:numPr>
                <w:ilvl w:val="0"/>
                <w:numId w:val="12"/>
              </w:numPr>
              <w:ind w:left="192" w:hanging="152"/>
              <w:jc w:val="left"/>
              <w:rPr>
                <w:rFonts w:ascii="Arial Narrow" w:hAnsi="Arial Narrow"/>
                <w:sz w:val="20"/>
                <w:szCs w:val="20"/>
              </w:rPr>
            </w:pPr>
            <w:r w:rsidRPr="00DF44A0">
              <w:rPr>
                <w:rFonts w:ascii="Arial Narrow" w:hAnsi="Arial Narrow"/>
                <w:sz w:val="20"/>
                <w:szCs w:val="20"/>
              </w:rPr>
              <w:t>Age ≥ 65 years or 18-65 years meeting additional criteria (</w:t>
            </w:r>
            <w:proofErr w:type="spellStart"/>
            <w:r w:rsidRPr="00DF44A0">
              <w:rPr>
                <w:rFonts w:ascii="Arial Narrow" w:hAnsi="Arial Narrow"/>
                <w:sz w:val="20"/>
                <w:szCs w:val="20"/>
              </w:rPr>
              <w:t>CrCl</w:t>
            </w:r>
            <w:proofErr w:type="spellEnd"/>
            <w:r w:rsidRPr="00DF44A0">
              <w:rPr>
                <w:rFonts w:ascii="Arial Narrow" w:hAnsi="Arial Narrow"/>
                <w:sz w:val="20"/>
                <w:szCs w:val="20"/>
              </w:rPr>
              <w:t xml:space="preserve"> of 30-69 mL/min or CIRS score &gt; 6).</w:t>
            </w:r>
          </w:p>
          <w:p w14:paraId="1F03524F" w14:textId="77777777" w:rsidR="00AC201B" w:rsidRPr="00DF44A0" w:rsidRDefault="00AC201B" w:rsidP="00E042B7">
            <w:pPr>
              <w:keepNext/>
              <w:numPr>
                <w:ilvl w:val="0"/>
                <w:numId w:val="12"/>
              </w:numPr>
              <w:ind w:left="192" w:hanging="152"/>
              <w:jc w:val="left"/>
              <w:rPr>
                <w:rFonts w:ascii="Arial Narrow" w:hAnsi="Arial Narrow"/>
                <w:sz w:val="20"/>
                <w:szCs w:val="20"/>
              </w:rPr>
            </w:pPr>
            <w:r w:rsidRPr="00DF44A0">
              <w:rPr>
                <w:rFonts w:ascii="Arial Narrow" w:hAnsi="Arial Narrow"/>
                <w:sz w:val="20"/>
                <w:szCs w:val="20"/>
              </w:rPr>
              <w:t>Active CD20+ CLL disease requiring treatment.</w:t>
            </w:r>
          </w:p>
          <w:p w14:paraId="5D79596B" w14:textId="77777777" w:rsidR="00AC201B" w:rsidRPr="00DF44A0" w:rsidRDefault="00AC201B" w:rsidP="00E042B7">
            <w:pPr>
              <w:keepNext/>
              <w:numPr>
                <w:ilvl w:val="0"/>
                <w:numId w:val="12"/>
              </w:numPr>
              <w:ind w:left="192" w:hanging="152"/>
              <w:jc w:val="left"/>
              <w:rPr>
                <w:rFonts w:ascii="Arial Narrow" w:hAnsi="Arial Narrow"/>
                <w:sz w:val="20"/>
                <w:szCs w:val="20"/>
              </w:rPr>
            </w:pPr>
            <w:r w:rsidRPr="00DF44A0">
              <w:rPr>
                <w:rFonts w:ascii="Arial Narrow" w:hAnsi="Arial Narrow"/>
                <w:sz w:val="20"/>
                <w:szCs w:val="20"/>
              </w:rPr>
              <w:t>ECOG score ≤ 2.</w:t>
            </w:r>
          </w:p>
          <w:p w14:paraId="13684AF8" w14:textId="77777777" w:rsidR="00AC201B" w:rsidRPr="00DF44A0" w:rsidRDefault="00AC201B" w:rsidP="00E042B7">
            <w:pPr>
              <w:keepNext/>
              <w:numPr>
                <w:ilvl w:val="0"/>
                <w:numId w:val="12"/>
              </w:numPr>
              <w:ind w:left="192" w:hanging="152"/>
              <w:jc w:val="left"/>
              <w:rPr>
                <w:rFonts w:ascii="Arial Narrow" w:hAnsi="Arial Narrow"/>
                <w:sz w:val="20"/>
                <w:szCs w:val="20"/>
              </w:rPr>
            </w:pPr>
            <w:r w:rsidRPr="00DF44A0">
              <w:rPr>
                <w:rFonts w:ascii="Arial Narrow" w:hAnsi="Arial Narrow"/>
                <w:sz w:val="20"/>
                <w:szCs w:val="20"/>
              </w:rPr>
              <w:t>No prior systemic treatment for CLL.</w:t>
            </w:r>
          </w:p>
        </w:tc>
        <w:tc>
          <w:tcPr>
            <w:tcW w:w="1024" w:type="pct"/>
            <w:shd w:val="clear" w:color="auto" w:fill="auto"/>
          </w:tcPr>
          <w:p w14:paraId="2310D18E"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Progression-free survival</w:t>
            </w:r>
          </w:p>
          <w:p w14:paraId="5743F6AC"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Overall response rate</w:t>
            </w:r>
          </w:p>
          <w:p w14:paraId="655B0644"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Overall survival</w:t>
            </w:r>
          </w:p>
          <w:p w14:paraId="700C3A1D"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 xml:space="preserve">Time to next </w:t>
            </w:r>
            <w:proofErr w:type="spellStart"/>
            <w:r w:rsidRPr="00DF44A0">
              <w:rPr>
                <w:rFonts w:ascii="Arial Narrow" w:hAnsi="Arial Narrow"/>
                <w:sz w:val="20"/>
                <w:szCs w:val="20"/>
              </w:rPr>
              <w:t>treatment</w:t>
            </w:r>
            <w:r w:rsidR="002D41A9" w:rsidRPr="00DF44A0">
              <w:rPr>
                <w:rFonts w:ascii="Arial Narrow" w:hAnsi="Arial Narrow"/>
                <w:sz w:val="20"/>
                <w:szCs w:val="20"/>
                <w:vertAlign w:val="superscript"/>
              </w:rPr>
              <w:t>a</w:t>
            </w:r>
            <w:proofErr w:type="spellEnd"/>
          </w:p>
          <w:p w14:paraId="201E5B74"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Adverse events</w:t>
            </w:r>
          </w:p>
          <w:p w14:paraId="47A740CA" w14:textId="77777777" w:rsidR="00AC201B" w:rsidRPr="00DF44A0" w:rsidRDefault="00AC201B"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Health-related quality of life (FACIT-Fatigue, EORTC QLQ-C30, EQ-5D-3</w:t>
            </w:r>
            <w:proofErr w:type="gramStart"/>
            <w:r w:rsidRPr="00DF44A0">
              <w:rPr>
                <w:rFonts w:ascii="Arial Narrow" w:hAnsi="Arial Narrow"/>
                <w:sz w:val="20"/>
                <w:szCs w:val="20"/>
              </w:rPr>
              <w:t>L)</w:t>
            </w:r>
            <w:r w:rsidR="00E84F81" w:rsidRPr="00DF44A0">
              <w:rPr>
                <w:rFonts w:ascii="Arial Narrow" w:hAnsi="Arial Narrow"/>
                <w:sz w:val="20"/>
                <w:szCs w:val="20"/>
                <w:vertAlign w:val="superscript"/>
              </w:rPr>
              <w:t>a</w:t>
            </w:r>
            <w:proofErr w:type="gramEnd"/>
          </w:p>
        </w:tc>
        <w:tc>
          <w:tcPr>
            <w:tcW w:w="893" w:type="pct"/>
          </w:tcPr>
          <w:p w14:paraId="766D6271" w14:textId="77777777" w:rsidR="005C570E" w:rsidRPr="00DF44A0" w:rsidRDefault="005C570E"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Progression-free survival</w:t>
            </w:r>
          </w:p>
          <w:p w14:paraId="5D6679D1" w14:textId="77777777" w:rsidR="005C570E" w:rsidRPr="00DF44A0" w:rsidRDefault="005C570E"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Overall survival</w:t>
            </w:r>
          </w:p>
          <w:p w14:paraId="3F5C2F00" w14:textId="77777777" w:rsidR="005C570E" w:rsidRPr="00DF44A0" w:rsidRDefault="005C570E"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 xml:space="preserve">Time to next </w:t>
            </w:r>
            <w:proofErr w:type="spellStart"/>
            <w:r w:rsidRPr="00DF44A0">
              <w:rPr>
                <w:rFonts w:ascii="Arial Narrow" w:hAnsi="Arial Narrow"/>
                <w:sz w:val="20"/>
                <w:szCs w:val="20"/>
              </w:rPr>
              <w:t>treatment</w:t>
            </w:r>
            <w:r w:rsidR="00D6199F" w:rsidRPr="00DF44A0">
              <w:rPr>
                <w:rFonts w:ascii="Arial Narrow" w:hAnsi="Arial Narrow"/>
                <w:sz w:val="20"/>
                <w:szCs w:val="20"/>
                <w:vertAlign w:val="superscript"/>
              </w:rPr>
              <w:t>a</w:t>
            </w:r>
            <w:proofErr w:type="spellEnd"/>
          </w:p>
          <w:p w14:paraId="4E83F84D" w14:textId="77777777" w:rsidR="005C570E" w:rsidRPr="00DF44A0" w:rsidRDefault="005C570E"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Adverse events</w:t>
            </w:r>
          </w:p>
          <w:p w14:paraId="37D991FE" w14:textId="77777777" w:rsidR="001228F4" w:rsidRPr="00DF44A0" w:rsidRDefault="005C570E" w:rsidP="00E042B7">
            <w:pPr>
              <w:keepNext/>
              <w:numPr>
                <w:ilvl w:val="0"/>
                <w:numId w:val="12"/>
              </w:numPr>
              <w:ind w:left="193" w:hanging="153"/>
              <w:jc w:val="left"/>
              <w:rPr>
                <w:rFonts w:ascii="Arial Narrow" w:hAnsi="Arial Narrow"/>
                <w:sz w:val="20"/>
                <w:szCs w:val="20"/>
              </w:rPr>
            </w:pPr>
            <w:r w:rsidRPr="00DF44A0">
              <w:rPr>
                <w:rFonts w:ascii="Arial Narrow" w:hAnsi="Arial Narrow"/>
                <w:sz w:val="20"/>
                <w:szCs w:val="20"/>
              </w:rPr>
              <w:t>EQ-5D-3L</w:t>
            </w:r>
            <w:r w:rsidR="00D6199F" w:rsidRPr="00DF44A0">
              <w:rPr>
                <w:rFonts w:ascii="Arial Narrow" w:hAnsi="Arial Narrow"/>
                <w:sz w:val="20"/>
                <w:szCs w:val="20"/>
                <w:vertAlign w:val="superscript"/>
              </w:rPr>
              <w:t>a</w:t>
            </w:r>
          </w:p>
        </w:tc>
      </w:tr>
    </w:tbl>
    <w:p w14:paraId="3199C2D3" w14:textId="77777777" w:rsidR="000E1CA5" w:rsidRPr="00191822" w:rsidRDefault="000E1CA5" w:rsidP="000E1CA5">
      <w:pPr>
        <w:pStyle w:val="TableFigureFooter"/>
      </w:pPr>
      <w:r w:rsidRPr="00191822">
        <w:t>Source: Table S1, pp2-4 and pp42-46 of the ELEVATE-TN interim clinical study report.</w:t>
      </w:r>
    </w:p>
    <w:p w14:paraId="72D3E2AE" w14:textId="77777777" w:rsidR="00045017" w:rsidRDefault="00C9178B" w:rsidP="000E1CA5">
      <w:pPr>
        <w:pStyle w:val="TableFigureFooter"/>
      </w:pPr>
      <w:r w:rsidRPr="00191822">
        <w:t xml:space="preserve">CD, cluster of differentiation; CIRS, cumulative illness rating scale; CLL, chronic lymphocytic leukaemia; </w:t>
      </w:r>
      <w:proofErr w:type="spellStart"/>
      <w:r w:rsidRPr="00191822">
        <w:t>CrCl</w:t>
      </w:r>
      <w:proofErr w:type="spellEnd"/>
      <w:r w:rsidRPr="00191822">
        <w:t xml:space="preserve">, creatinine clearance; ECOG, European Cooperative Oncology Group; </w:t>
      </w:r>
      <w:r w:rsidR="00D20CEE" w:rsidRPr="00191822">
        <w:t xml:space="preserve">EQ-5D-3L, </w:t>
      </w:r>
      <w:proofErr w:type="spellStart"/>
      <w:r w:rsidR="00D20CEE" w:rsidRPr="00191822">
        <w:t>EuroQol</w:t>
      </w:r>
      <w:proofErr w:type="spellEnd"/>
      <w:r w:rsidR="00D20CEE" w:rsidRPr="00191822">
        <w:t xml:space="preserve"> five-dimension 3-level; EORTC, European Organisation for Research and Treatment of Cancer</w:t>
      </w:r>
      <w:r w:rsidR="00EB0F1E">
        <w:t>;</w:t>
      </w:r>
      <w:r w:rsidR="00D20CEE" w:rsidRPr="00191822">
        <w:t xml:space="preserve"> </w:t>
      </w:r>
      <w:r w:rsidRPr="00191822">
        <w:t xml:space="preserve">FACIT, </w:t>
      </w:r>
      <w:r w:rsidR="00D20CEE" w:rsidRPr="00191822">
        <w:t>Functional Assessment of Chronic Illness Therapy; QLQ-C30, quality of life questionnaire Core 30.</w:t>
      </w:r>
    </w:p>
    <w:p w14:paraId="45AC18BC" w14:textId="77777777" w:rsidR="001421D7" w:rsidRPr="001421D7" w:rsidRDefault="006E79EA" w:rsidP="000E1CA5">
      <w:pPr>
        <w:pStyle w:val="TableFigureFooter"/>
        <w:rPr>
          <w:color w:val="0066FF"/>
        </w:rPr>
      </w:pPr>
      <w:r>
        <w:rPr>
          <w:vertAlign w:val="superscript"/>
        </w:rPr>
        <w:t>a</w:t>
      </w:r>
      <w:r>
        <w:t xml:space="preserve"> </w:t>
      </w:r>
      <w:r w:rsidR="002D41A9">
        <w:t>Results based on the February 2019 interim analysis (</w:t>
      </w:r>
      <w:r w:rsidR="00E84F81">
        <w:t xml:space="preserve">no additional results available for the </w:t>
      </w:r>
      <w:r w:rsidR="002D41A9">
        <w:t>September 2020 data cut</w:t>
      </w:r>
      <w:r w:rsidR="00E84F81">
        <w:t>)</w:t>
      </w:r>
      <w:r w:rsidR="001421D7">
        <w:t xml:space="preserve"> </w:t>
      </w:r>
    </w:p>
    <w:p w14:paraId="763DB0F2" w14:textId="77777777" w:rsidR="0075177E" w:rsidRPr="00A25C41" w:rsidRDefault="0075177E" w:rsidP="0075177E">
      <w:pPr>
        <w:pStyle w:val="ExecSumBodyText"/>
        <w:rPr>
          <w:iCs/>
        </w:rPr>
      </w:pPr>
      <w:r w:rsidRPr="00A25C41">
        <w:rPr>
          <w:iCs/>
        </w:rPr>
        <w:t xml:space="preserve">The ELEVATE-TN trial had an unclear risk of bias. The trial was an open-label trial, and investigators, patients, and study personnel were not blinded to treatment allocation, which may have influenced the treatment of patients in the trial. The trial included assessments by study investigators as well as blinded assessments by an independent review committee. Assessments made by the blinded independent review committee are at lower risk of assessment bias compared to assessments made by study investigators. Overall survival results were impacted by patient crossover from the chlorambucil + </w:t>
      </w:r>
      <w:proofErr w:type="spellStart"/>
      <w:r w:rsidRPr="00A25C41">
        <w:rPr>
          <w:iCs/>
        </w:rPr>
        <w:t>obinutuzumab</w:t>
      </w:r>
      <w:proofErr w:type="spellEnd"/>
      <w:r w:rsidRPr="00A25C41">
        <w:rPr>
          <w:iCs/>
        </w:rPr>
        <w:t xml:space="preserve"> arm to receive treatment with acalabrutinib monotherapy.</w:t>
      </w:r>
    </w:p>
    <w:p w14:paraId="37BA2D26" w14:textId="77777777" w:rsidR="0075177E" w:rsidRPr="00191822" w:rsidRDefault="0075177E" w:rsidP="0075177E">
      <w:pPr>
        <w:pStyle w:val="ExecSumBodyText"/>
      </w:pPr>
      <w:r w:rsidRPr="00191822">
        <w:t xml:space="preserve">The </w:t>
      </w:r>
      <w:r w:rsidR="003127F5" w:rsidRPr="00191822">
        <w:t xml:space="preserve">ELEVATE-TN trial included three treatment arms: acalabrutinib monotherapy, acalabrutinib + </w:t>
      </w:r>
      <w:proofErr w:type="spellStart"/>
      <w:r w:rsidR="003127F5" w:rsidRPr="00191822">
        <w:t>obinutuzumab</w:t>
      </w:r>
      <w:proofErr w:type="spellEnd"/>
      <w:r w:rsidR="003127F5" w:rsidRPr="00191822">
        <w:t xml:space="preserve">, and chlorambucil + </w:t>
      </w:r>
      <w:proofErr w:type="spellStart"/>
      <w:r w:rsidR="003127F5" w:rsidRPr="00191822">
        <w:t>obinutuzumab</w:t>
      </w:r>
      <w:proofErr w:type="spellEnd"/>
      <w:r w:rsidR="003127F5" w:rsidRPr="00191822">
        <w:t xml:space="preserve">. Treatment with acalabrutinib was ongoing until disease progression or patients experienced unacceptable toxicity. Treatment with </w:t>
      </w:r>
      <w:proofErr w:type="spellStart"/>
      <w:r w:rsidR="003127F5" w:rsidRPr="00191822">
        <w:t>obinutuzumab</w:t>
      </w:r>
      <w:proofErr w:type="spellEnd"/>
      <w:r w:rsidR="003127F5" w:rsidRPr="00191822">
        <w:t xml:space="preserve"> and chlorambucil was based on a fixed treatment duration of six cycles (approximately six months).</w:t>
      </w:r>
    </w:p>
    <w:p w14:paraId="7C62E0BE" w14:textId="77777777" w:rsidR="003127F5" w:rsidRPr="00191822" w:rsidRDefault="003127F5" w:rsidP="003127F5">
      <w:pPr>
        <w:pStyle w:val="ExecSumBodyText"/>
      </w:pPr>
      <w:r w:rsidRPr="00191822">
        <w:t xml:space="preserve">Patients in the chlorambucil + </w:t>
      </w:r>
      <w:proofErr w:type="spellStart"/>
      <w:r w:rsidRPr="00191822">
        <w:t>obinutuzumab</w:t>
      </w:r>
      <w:proofErr w:type="spellEnd"/>
      <w:r w:rsidRPr="00191822">
        <w:t xml:space="preserve"> arm who had independent review committee-assessed disease progression were eligible to receive crossover treatment with acalabrutinib monotherapy (100 mg twice daily) until disease progression or unacceptable toxicity. At the September 2020 data cut, 39% of patients in the chlorambucil + </w:t>
      </w:r>
      <w:proofErr w:type="spellStart"/>
      <w:r w:rsidRPr="00191822">
        <w:t>obinutuzumab</w:t>
      </w:r>
      <w:proofErr w:type="spellEnd"/>
      <w:r w:rsidRPr="00191822">
        <w:t xml:space="preserve"> arm had received crossover treatment with acalabrutinib following disease progression.</w:t>
      </w:r>
    </w:p>
    <w:p w14:paraId="7854E656" w14:textId="77777777" w:rsidR="003127F5" w:rsidRDefault="003127F5" w:rsidP="003127F5">
      <w:pPr>
        <w:pStyle w:val="ExecSumBodyText"/>
      </w:pPr>
      <w:r w:rsidRPr="00191822">
        <w:t xml:space="preserve">At the September 2020 data cut, treatment with acalabrutinib was ongoing in 134 (74.9%) patients in the acalabrutinib + </w:t>
      </w:r>
      <w:proofErr w:type="spellStart"/>
      <w:r w:rsidRPr="00191822">
        <w:t>obinutuzumab</w:t>
      </w:r>
      <w:proofErr w:type="spellEnd"/>
      <w:r w:rsidRPr="00191822">
        <w:t xml:space="preserve"> arm and 124 (69.3%) patients in the acalabrutinib arm. Eight patients (4.5%) in the acalabrutinib + </w:t>
      </w:r>
      <w:proofErr w:type="spellStart"/>
      <w:r w:rsidRPr="00191822">
        <w:t>obinutuzumab</w:t>
      </w:r>
      <w:proofErr w:type="spellEnd"/>
      <w:r w:rsidRPr="00191822">
        <w:t xml:space="preserve"> arm, 21 patients (11.7%) in the acalabrutinib arm, and 15 patients (8.5%) in the chlorambucil + </w:t>
      </w:r>
      <w:proofErr w:type="spellStart"/>
      <w:r w:rsidRPr="00191822">
        <w:t>obinutuzumab</w:t>
      </w:r>
      <w:proofErr w:type="spellEnd"/>
      <w:r w:rsidRPr="00191822">
        <w:t xml:space="preserve"> arm had received at least one subsequent anticancer </w:t>
      </w:r>
      <w:r w:rsidRPr="00191822">
        <w:lastRenderedPageBreak/>
        <w:t>treatment at the September 2020 data cut</w:t>
      </w:r>
      <w:r w:rsidR="00241C22" w:rsidRPr="00191822">
        <w:t xml:space="preserve"> (excluding chlorambucil + </w:t>
      </w:r>
      <w:proofErr w:type="spellStart"/>
      <w:r w:rsidR="00241C22" w:rsidRPr="00191822">
        <w:t>obinutuzumab</w:t>
      </w:r>
      <w:proofErr w:type="spellEnd"/>
      <w:r w:rsidR="00241C22" w:rsidRPr="00191822">
        <w:t xml:space="preserve"> patients treated with acalabrutinib)</w:t>
      </w:r>
      <w:r w:rsidRPr="00191822">
        <w:t xml:space="preserve">. Nine patients (5.0%) in the acalabrutinib monotherapy arm had received subsequent treatment with </w:t>
      </w:r>
      <w:proofErr w:type="spellStart"/>
      <w:r w:rsidRPr="00191822">
        <w:t>venetoclax</w:t>
      </w:r>
      <w:proofErr w:type="spellEnd"/>
      <w:r w:rsidRPr="00191822">
        <w:t>.</w:t>
      </w:r>
    </w:p>
    <w:p w14:paraId="6C156142" w14:textId="77777777" w:rsidR="000D3D5F" w:rsidRPr="007B0243" w:rsidRDefault="000D3D5F" w:rsidP="000D3D5F">
      <w:pPr>
        <w:pStyle w:val="ExecSumBodyText"/>
        <w:rPr>
          <w:iCs/>
        </w:rPr>
      </w:pPr>
      <w:r w:rsidRPr="00A25C41">
        <w:rPr>
          <w:iCs/>
        </w:rPr>
        <w:t xml:space="preserve">The applicability of the results to the proposed PBS population </w:t>
      </w:r>
      <w:r w:rsidR="005633D9">
        <w:rPr>
          <w:iCs/>
        </w:rPr>
        <w:t>was</w:t>
      </w:r>
      <w:r w:rsidR="005633D9" w:rsidRPr="00A25C41">
        <w:rPr>
          <w:iCs/>
        </w:rPr>
        <w:t xml:space="preserve"> </w:t>
      </w:r>
      <w:r w:rsidRPr="00A25C41">
        <w:rPr>
          <w:iCs/>
        </w:rPr>
        <w:t>unclear</w:t>
      </w:r>
      <w:r w:rsidR="00FC0220">
        <w:rPr>
          <w:iCs/>
        </w:rPr>
        <w:t xml:space="preserve"> to the evaluation</w:t>
      </w:r>
      <w:r w:rsidRPr="00A25C41">
        <w:rPr>
          <w:iCs/>
        </w:rPr>
        <w:t xml:space="preserve">, due to differences between the ELEVATE-TN trial inclusion criteria (patients aged ≥65 years and patients aged 18 to 65 years with a creatinine clearance of 30 to 69 mL/min or CIRS score &gt;6), and the proposed PBS population, which is restricted to patients considered unsuitable for treatment with fludarabine-based chemoimmunotherapy and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 xml:space="preserve">, and patients who permanently discontinue treatment with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 xml:space="preserve"> due to intolerance.</w:t>
      </w:r>
      <w:r w:rsidR="005633D9">
        <w:rPr>
          <w:iCs/>
        </w:rPr>
        <w:t xml:space="preserve"> </w:t>
      </w:r>
      <w:r w:rsidR="005633D9" w:rsidRPr="00DF44A0">
        <w:t xml:space="preserve">The PSCR argued that there </w:t>
      </w:r>
      <w:r w:rsidR="007B0243" w:rsidRPr="00DF44A0">
        <w:t>wa</w:t>
      </w:r>
      <w:r w:rsidR="005633D9" w:rsidRPr="00DF44A0">
        <w:t xml:space="preserve">s no reason to suggest that patients with characteristics that make them unsuitable for treatment with </w:t>
      </w:r>
      <w:proofErr w:type="spellStart"/>
      <w:r w:rsidR="005633D9" w:rsidRPr="00DF44A0">
        <w:t>venetoclax</w:t>
      </w:r>
      <w:proofErr w:type="spellEnd"/>
      <w:r w:rsidR="005633D9" w:rsidRPr="00DF44A0">
        <w:t xml:space="preserve"> + </w:t>
      </w:r>
      <w:proofErr w:type="spellStart"/>
      <w:r w:rsidR="005633D9" w:rsidRPr="00DF44A0">
        <w:t>obinutuzumab</w:t>
      </w:r>
      <w:proofErr w:type="spellEnd"/>
      <w:r w:rsidR="005633D9" w:rsidRPr="00DF44A0">
        <w:t xml:space="preserve"> would not have been included in the ELEVATE-TN trial. It </w:t>
      </w:r>
      <w:r w:rsidR="00FD0339" w:rsidRPr="00DF44A0">
        <w:t>also</w:t>
      </w:r>
      <w:r w:rsidR="005633D9" w:rsidRPr="00DF44A0">
        <w:t xml:space="preserve"> stated that </w:t>
      </w:r>
      <w:r w:rsidR="00FD0339" w:rsidRPr="00DF44A0">
        <w:t>since these</w:t>
      </w:r>
      <w:r w:rsidR="005633D9" w:rsidRPr="00DF44A0">
        <w:t xml:space="preserve"> patients cannot be identified with the trial inclusion criteria, no specific subgroup analysis could be presented. </w:t>
      </w:r>
      <w:r w:rsidR="00FD0339" w:rsidRPr="00DF44A0">
        <w:t xml:space="preserve">However, it did note that </w:t>
      </w:r>
      <w:r w:rsidR="0028665F" w:rsidRPr="00DF44A0">
        <w:t xml:space="preserve">the </w:t>
      </w:r>
      <w:r w:rsidR="00FD0339" w:rsidRPr="00DF44A0">
        <w:t>resubmission also included an analysis showing that key clinical variables such as creatinine clearance and bulky disease were not treatment effect modifiers. Finally, the PSCR argued that the trial inclusion criteria and study populations of the CLL</w:t>
      </w:r>
      <w:r w:rsidR="007B0243" w:rsidRPr="00DF44A0">
        <w:t>-</w:t>
      </w:r>
      <w:r w:rsidR="00FD0339" w:rsidRPr="00DF44A0">
        <w:t>14 study</w:t>
      </w:r>
      <w:r w:rsidR="007B0243" w:rsidRPr="00DF44A0">
        <w:rPr>
          <w:rStyle w:val="FootnoteReference"/>
        </w:rPr>
        <w:footnoteReference w:id="2"/>
      </w:r>
      <w:r w:rsidR="00FD0339" w:rsidRPr="00DF44A0">
        <w:t xml:space="preserve"> and ELEVATE-TN were very similar, and hence patients who qualified for </w:t>
      </w:r>
      <w:proofErr w:type="spellStart"/>
      <w:r w:rsidR="00FD0339" w:rsidRPr="00DF44A0">
        <w:t>venetoclax</w:t>
      </w:r>
      <w:proofErr w:type="spellEnd"/>
      <w:r w:rsidR="00FD0339" w:rsidRPr="00DF44A0">
        <w:t xml:space="preserve"> + </w:t>
      </w:r>
      <w:proofErr w:type="spellStart"/>
      <w:r w:rsidR="00FD0339" w:rsidRPr="00DF44A0">
        <w:t>obinutuzumab</w:t>
      </w:r>
      <w:proofErr w:type="spellEnd"/>
      <w:r w:rsidR="00FD0339" w:rsidRPr="00DF44A0">
        <w:t xml:space="preserve"> treatment but needed to discontinue due to toxicity/adverse events could also have been suitable for inclusion in the ELEVATE-TN trial. </w:t>
      </w:r>
      <w:r w:rsidR="003F52E6" w:rsidRPr="00DF44A0">
        <w:t>The ESC considered that poor renal function would be a</w:t>
      </w:r>
      <w:r w:rsidR="00AF36C9" w:rsidRPr="00DF44A0">
        <w:t xml:space="preserve">n important </w:t>
      </w:r>
      <w:r w:rsidR="003F52E6" w:rsidRPr="00DF44A0">
        <w:t xml:space="preserve">reason why patients might be unsuitable for fludarabine-based chemoimmunotherapy and </w:t>
      </w:r>
      <w:proofErr w:type="spellStart"/>
      <w:r w:rsidR="003F52E6" w:rsidRPr="00DF44A0">
        <w:t>venetoclax</w:t>
      </w:r>
      <w:proofErr w:type="spellEnd"/>
      <w:r w:rsidR="003F52E6" w:rsidRPr="00DF44A0">
        <w:t xml:space="preserve"> + </w:t>
      </w:r>
      <w:proofErr w:type="spellStart"/>
      <w:r w:rsidR="003F52E6" w:rsidRPr="00DF44A0">
        <w:t>obinutuzumab</w:t>
      </w:r>
      <w:proofErr w:type="spellEnd"/>
      <w:r w:rsidR="003F52E6" w:rsidRPr="00DF44A0">
        <w:t>, and hence it considered that ELEVATE-TN results would be reasonably applicable to the proposed PBS population.</w:t>
      </w:r>
    </w:p>
    <w:p w14:paraId="0B411019" w14:textId="77777777" w:rsidR="00B60939" w:rsidRPr="00191822" w:rsidRDefault="00B60939" w:rsidP="00EC5836">
      <w:pPr>
        <w:pStyle w:val="3-SubsectionHeading"/>
      </w:pPr>
      <w:bookmarkStart w:id="26" w:name="_Toc22897641"/>
      <w:bookmarkStart w:id="27" w:name="_Toc82613386"/>
      <w:r w:rsidRPr="00191822">
        <w:t>Comparative effectiveness</w:t>
      </w:r>
      <w:bookmarkEnd w:id="26"/>
      <w:bookmarkEnd w:id="27"/>
    </w:p>
    <w:p w14:paraId="5A1350F1" w14:textId="77777777" w:rsidR="00241C22" w:rsidRPr="00191822" w:rsidRDefault="00241C22" w:rsidP="00EC5836">
      <w:pPr>
        <w:pStyle w:val="ExecSumBodyText"/>
      </w:pPr>
      <w:r w:rsidRPr="00191822">
        <w:rPr>
          <w:snapToGrid/>
        </w:rPr>
        <w:t>The July 2020 submission was based on the results of an interim analysis</w:t>
      </w:r>
      <w:r w:rsidR="00E53E60" w:rsidRPr="00191822">
        <w:rPr>
          <w:snapToGrid/>
        </w:rPr>
        <w:t xml:space="preserve"> in February</w:t>
      </w:r>
      <w:r w:rsidR="00BD6BE8">
        <w:rPr>
          <w:snapToGrid/>
        </w:rPr>
        <w:t> </w:t>
      </w:r>
      <w:r w:rsidR="00E53E60" w:rsidRPr="00191822">
        <w:rPr>
          <w:snapToGrid/>
        </w:rPr>
        <w:t>2019</w:t>
      </w:r>
      <w:r w:rsidRPr="00191822">
        <w:rPr>
          <w:snapToGrid/>
        </w:rPr>
        <w:t>, at a median follow-up of 28.3 mont</w:t>
      </w:r>
      <w:r w:rsidR="00E53E60" w:rsidRPr="00191822">
        <w:rPr>
          <w:snapToGrid/>
        </w:rPr>
        <w:t>hs. T</w:t>
      </w:r>
      <w:r w:rsidRPr="00191822">
        <w:rPr>
          <w:snapToGrid/>
        </w:rPr>
        <w:t>he resubmission provided additional data from a September 2020 data cut, corresponding to a median duration of follow-up of 46.9 months.</w:t>
      </w:r>
      <w:r w:rsidR="00E53E60" w:rsidRPr="00191822">
        <w:rPr>
          <w:snapToGrid/>
        </w:rPr>
        <w:t xml:space="preserve"> Updated results were only available for investigator-assessed progression-free survival, overall response rate, overall survival, and selected safety outcomes.</w:t>
      </w:r>
    </w:p>
    <w:p w14:paraId="321520CB" w14:textId="77777777" w:rsidR="00241C22" w:rsidRPr="00191822" w:rsidRDefault="00BD60E3" w:rsidP="00EC5836">
      <w:pPr>
        <w:pStyle w:val="ExecSumBodyText"/>
      </w:pPr>
      <w:r>
        <w:t xml:space="preserve">Figure </w:t>
      </w:r>
      <w:r>
        <w:rPr>
          <w:noProof/>
        </w:rPr>
        <w:t>2</w:t>
      </w:r>
      <w:r w:rsidR="00F820CC" w:rsidRPr="00191822">
        <w:t xml:space="preserve"> presents the Kaplan-Meier plot of investigator-assessed progression free survival for the ELEVATE-TN trial based on a median duration of follow-up of 46.9 months.</w:t>
      </w:r>
    </w:p>
    <w:p w14:paraId="6F97CD28" w14:textId="77777777" w:rsidR="00CE0340" w:rsidRPr="00191822" w:rsidRDefault="00795E12" w:rsidP="00795E12">
      <w:pPr>
        <w:pStyle w:val="TableFigureCaption"/>
        <w:rPr>
          <w:snapToGrid w:val="0"/>
        </w:rPr>
      </w:pPr>
      <w:bookmarkStart w:id="28" w:name="_Ref80373734"/>
      <w:r>
        <w:lastRenderedPageBreak/>
        <w:t xml:space="preserve">Figure </w:t>
      </w:r>
      <w:r w:rsidR="00BD60E3">
        <w:rPr>
          <w:noProof/>
        </w:rPr>
        <w:t>2</w:t>
      </w:r>
      <w:bookmarkEnd w:id="28"/>
      <w:r w:rsidR="00CE0340" w:rsidRPr="00191822">
        <w:rPr>
          <w:snapToGrid w:val="0"/>
        </w:rPr>
        <w:t>: Kaplan-Meier plot of investigator-assessed progression-free survival for the ELEVATE-TN trial at a median follow-up of 46.9 months</w:t>
      </w:r>
    </w:p>
    <w:p w14:paraId="63D6B54A" w14:textId="1B7E1286" w:rsidR="00CE0340" w:rsidRPr="00191822" w:rsidRDefault="00330E7C" w:rsidP="00CE0340">
      <w:pPr>
        <w:pStyle w:val="TableFooter"/>
        <w:spacing w:after="120"/>
      </w:pPr>
      <w:r>
        <w:rPr>
          <w:noProof/>
        </w:rPr>
        <w:drawing>
          <wp:inline distT="0" distB="0" distL="0" distR="0" wp14:anchorId="4E9954DA" wp14:editId="34D3BB2E">
            <wp:extent cx="5688061" cy="223742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688061" cy="2237426"/>
                    </a:xfrm>
                    <a:prstGeom prst="rect">
                      <a:avLst/>
                    </a:prstGeom>
                  </pic:spPr>
                </pic:pic>
              </a:graphicData>
            </a:graphic>
          </wp:inline>
        </w:drawing>
      </w:r>
      <w:r w:rsidR="00CE0340" w:rsidRPr="00191822">
        <w:t>Source: Figure 2.3, p90 of the resubmission</w:t>
      </w:r>
      <w:r w:rsidR="006008B5">
        <w:t xml:space="preserve"> (Figure 1A of Sharman et al. 2021)</w:t>
      </w:r>
      <w:r w:rsidR="00CE0340" w:rsidRPr="00191822">
        <w:t>.</w:t>
      </w:r>
    </w:p>
    <w:p w14:paraId="3EF5C56E" w14:textId="77777777" w:rsidR="00241C22" w:rsidRPr="00191822" w:rsidRDefault="00CE0340" w:rsidP="00CE0340">
      <w:pPr>
        <w:pStyle w:val="TableFooter"/>
        <w:spacing w:after="120"/>
      </w:pPr>
      <w:r w:rsidRPr="00191822">
        <w:t xml:space="preserve">A, acalabrutinib; </w:t>
      </w:r>
      <w:proofErr w:type="spellStart"/>
      <w:r w:rsidRPr="00191822">
        <w:t>Cb</w:t>
      </w:r>
      <w:proofErr w:type="spellEnd"/>
      <w:r w:rsidRPr="00191822">
        <w:t xml:space="preserve">, chlorambucil; HR, hazard ratio; NR, not reached; O, </w:t>
      </w:r>
      <w:proofErr w:type="spellStart"/>
      <w:r w:rsidRPr="00191822">
        <w:t>obinutuzumab</w:t>
      </w:r>
      <w:proofErr w:type="spellEnd"/>
      <w:r w:rsidRPr="00191822">
        <w:t>; PFS, progression-free survival.</w:t>
      </w:r>
    </w:p>
    <w:p w14:paraId="75A3D5DD" w14:textId="19929F6E" w:rsidR="00CE0340" w:rsidRDefault="00BD60E3" w:rsidP="00EC5836">
      <w:pPr>
        <w:pStyle w:val="ExecSumBodyText"/>
      </w:pPr>
      <w:r>
        <w:t xml:space="preserve">Table </w:t>
      </w:r>
      <w:r>
        <w:rPr>
          <w:noProof/>
        </w:rPr>
        <w:t>5</w:t>
      </w:r>
      <w:r w:rsidR="00795E12">
        <w:t xml:space="preserve"> </w:t>
      </w:r>
      <w:r w:rsidR="00CE0340" w:rsidRPr="00191822">
        <w:t>summarises the results for independent review committee and investigator-assessed progression-free survival for the ELEVATE-TN trial at the interim analysis and at the September 2020 data cut.</w:t>
      </w:r>
    </w:p>
    <w:p w14:paraId="28FB0E29" w14:textId="1259DBBE" w:rsidR="00330E7C" w:rsidRPr="00191822" w:rsidRDefault="00330E7C" w:rsidP="00330E7C">
      <w:pPr>
        <w:pStyle w:val="ExecSumBodyText"/>
        <w:numPr>
          <w:ilvl w:val="0"/>
          <w:numId w:val="0"/>
        </w:numPr>
      </w:pPr>
    </w:p>
    <w:p w14:paraId="29507560" w14:textId="77777777" w:rsidR="001612CC" w:rsidRPr="004026AA" w:rsidRDefault="004026AA" w:rsidP="004026AA">
      <w:pPr>
        <w:pStyle w:val="TableFigureCaption"/>
      </w:pPr>
      <w:bookmarkStart w:id="29" w:name="_Ref80373468"/>
      <w:r>
        <w:lastRenderedPageBreak/>
        <w:t xml:space="preserve">Table </w:t>
      </w:r>
      <w:r w:rsidR="00BD60E3">
        <w:rPr>
          <w:noProof/>
        </w:rPr>
        <w:t>5</w:t>
      </w:r>
      <w:bookmarkEnd w:id="29"/>
      <w:r w:rsidR="001612CC" w:rsidRPr="004026AA">
        <w:t xml:space="preserve">: Progression-free survival results for the ELEVATE-TN trial at the </w:t>
      </w:r>
      <w:r w:rsidR="00232212" w:rsidRPr="004026AA">
        <w:t xml:space="preserve">February 2019 </w:t>
      </w:r>
      <w:r w:rsidR="001612CC" w:rsidRPr="004026AA">
        <w:t>interim analysis and for the September 2020 data 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Progression-free survival results for the ELEVATE-TN trial at the February 2019 interim analysis and for the September 2020 data cut"/>
      </w:tblPr>
      <w:tblGrid>
        <w:gridCol w:w="1981"/>
        <w:gridCol w:w="1172"/>
        <w:gridCol w:w="1172"/>
        <w:gridCol w:w="1176"/>
        <w:gridCol w:w="1172"/>
        <w:gridCol w:w="1172"/>
        <w:gridCol w:w="1172"/>
      </w:tblGrid>
      <w:tr w:rsidR="001612CC" w:rsidRPr="00191822" w14:paraId="25A61BF0" w14:textId="77777777" w:rsidTr="001F458A">
        <w:trPr>
          <w:trHeight w:val="53"/>
        </w:trPr>
        <w:tc>
          <w:tcPr>
            <w:tcW w:w="1098" w:type="pct"/>
            <w:vMerge w:val="restart"/>
            <w:shd w:val="clear" w:color="auto" w:fill="FFFFFF"/>
            <w:vAlign w:val="center"/>
          </w:tcPr>
          <w:p w14:paraId="0EB3A18B" w14:textId="77777777" w:rsidR="001612CC" w:rsidRPr="00191822" w:rsidRDefault="001612CC" w:rsidP="004026AA">
            <w:pPr>
              <w:keepNext/>
              <w:rPr>
                <w:rFonts w:ascii="Arial Narrow" w:hAnsi="Arial Narrow"/>
                <w:b/>
                <w:iCs/>
                <w:sz w:val="20"/>
                <w:szCs w:val="18"/>
              </w:rPr>
            </w:pPr>
          </w:p>
        </w:tc>
        <w:tc>
          <w:tcPr>
            <w:tcW w:w="1952" w:type="pct"/>
            <w:gridSpan w:val="3"/>
            <w:shd w:val="clear" w:color="auto" w:fill="FFFFFF"/>
          </w:tcPr>
          <w:p w14:paraId="1C4917C8"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Feb 2019 data cut</w:t>
            </w:r>
          </w:p>
        </w:tc>
        <w:tc>
          <w:tcPr>
            <w:tcW w:w="1950" w:type="pct"/>
            <w:gridSpan w:val="3"/>
            <w:shd w:val="clear" w:color="auto" w:fill="FFFFFF"/>
          </w:tcPr>
          <w:p w14:paraId="3B2215AB"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Sep 2020 data cut</w:t>
            </w:r>
          </w:p>
        </w:tc>
      </w:tr>
      <w:tr w:rsidR="001612CC" w:rsidRPr="00191822" w14:paraId="37978114" w14:textId="77777777" w:rsidTr="001F458A">
        <w:trPr>
          <w:trHeight w:val="349"/>
        </w:trPr>
        <w:tc>
          <w:tcPr>
            <w:tcW w:w="1098" w:type="pct"/>
            <w:vMerge/>
            <w:shd w:val="clear" w:color="auto" w:fill="FFFFFF"/>
            <w:vAlign w:val="center"/>
          </w:tcPr>
          <w:p w14:paraId="708A7F5B" w14:textId="77777777" w:rsidR="001612CC" w:rsidRPr="00191822" w:rsidRDefault="001612CC" w:rsidP="004026AA">
            <w:pPr>
              <w:keepNext/>
              <w:rPr>
                <w:rFonts w:ascii="Arial Narrow" w:hAnsi="Arial Narrow"/>
                <w:b/>
                <w:iCs/>
                <w:sz w:val="20"/>
                <w:szCs w:val="18"/>
              </w:rPr>
            </w:pPr>
          </w:p>
        </w:tc>
        <w:tc>
          <w:tcPr>
            <w:tcW w:w="650" w:type="pct"/>
            <w:shd w:val="clear" w:color="auto" w:fill="FFFFFF"/>
          </w:tcPr>
          <w:p w14:paraId="0C44B69B"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ACAL + OBI</w:t>
            </w:r>
          </w:p>
          <w:p w14:paraId="431E0531"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650" w:type="pct"/>
            <w:shd w:val="clear" w:color="auto" w:fill="FFFFFF"/>
            <w:vAlign w:val="center"/>
          </w:tcPr>
          <w:p w14:paraId="71B9FB12"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 xml:space="preserve">ACAL </w:t>
            </w:r>
          </w:p>
          <w:p w14:paraId="06E1CC51"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652" w:type="pct"/>
            <w:shd w:val="clear" w:color="auto" w:fill="FFFFFF"/>
            <w:vAlign w:val="center"/>
          </w:tcPr>
          <w:p w14:paraId="1F67ECC2"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CHL + OBI</w:t>
            </w:r>
          </w:p>
          <w:p w14:paraId="70F2A431"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(N=177)</w:t>
            </w:r>
          </w:p>
        </w:tc>
        <w:tc>
          <w:tcPr>
            <w:tcW w:w="650" w:type="pct"/>
            <w:shd w:val="clear" w:color="auto" w:fill="FFFFFF"/>
          </w:tcPr>
          <w:p w14:paraId="2791E436"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ACAL + OBI</w:t>
            </w:r>
          </w:p>
          <w:p w14:paraId="22ECC190"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650" w:type="pct"/>
            <w:shd w:val="clear" w:color="auto" w:fill="FFFFFF"/>
            <w:vAlign w:val="center"/>
          </w:tcPr>
          <w:p w14:paraId="6FCA71E6"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 xml:space="preserve">ACAL </w:t>
            </w:r>
          </w:p>
          <w:p w14:paraId="4480746C"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650" w:type="pct"/>
            <w:shd w:val="clear" w:color="auto" w:fill="FFFFFF"/>
            <w:vAlign w:val="center"/>
          </w:tcPr>
          <w:p w14:paraId="0EFF346B"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CHL + OBI</w:t>
            </w:r>
          </w:p>
          <w:p w14:paraId="6F8AB6E6" w14:textId="77777777" w:rsidR="001612CC" w:rsidRPr="00191822" w:rsidRDefault="001612CC" w:rsidP="004026AA">
            <w:pPr>
              <w:keepNext/>
              <w:jc w:val="center"/>
              <w:rPr>
                <w:rFonts w:ascii="Arial Narrow" w:hAnsi="Arial Narrow"/>
                <w:b/>
                <w:iCs/>
                <w:sz w:val="20"/>
                <w:szCs w:val="18"/>
              </w:rPr>
            </w:pPr>
            <w:r w:rsidRPr="00191822">
              <w:rPr>
                <w:rFonts w:ascii="Arial Narrow" w:hAnsi="Arial Narrow"/>
                <w:b/>
                <w:iCs/>
                <w:sz w:val="20"/>
                <w:szCs w:val="18"/>
              </w:rPr>
              <w:t>(N=177)</w:t>
            </w:r>
          </w:p>
        </w:tc>
      </w:tr>
      <w:tr w:rsidR="001612CC" w:rsidRPr="00191822" w14:paraId="60159027" w14:textId="77777777" w:rsidTr="001F458A">
        <w:trPr>
          <w:trHeight w:val="49"/>
        </w:trPr>
        <w:tc>
          <w:tcPr>
            <w:tcW w:w="1098" w:type="pct"/>
            <w:shd w:val="clear" w:color="auto" w:fill="FFFFFF"/>
            <w:vAlign w:val="center"/>
          </w:tcPr>
          <w:p w14:paraId="4A3FA8EB" w14:textId="77777777" w:rsidR="001612CC" w:rsidRPr="00191822" w:rsidRDefault="001612CC" w:rsidP="004026AA">
            <w:pPr>
              <w:keepNext/>
              <w:jc w:val="left"/>
              <w:rPr>
                <w:rFonts w:ascii="Arial Narrow" w:hAnsi="Arial Narrow"/>
                <w:iCs/>
                <w:sz w:val="20"/>
              </w:rPr>
            </w:pPr>
            <w:r w:rsidRPr="00191822">
              <w:rPr>
                <w:rFonts w:ascii="Arial Narrow" w:hAnsi="Arial Narrow"/>
                <w:iCs/>
                <w:sz w:val="20"/>
              </w:rPr>
              <w:t>Median duration of follow-up, months (range)</w:t>
            </w:r>
          </w:p>
        </w:tc>
        <w:tc>
          <w:tcPr>
            <w:tcW w:w="650" w:type="pct"/>
            <w:shd w:val="clear" w:color="auto" w:fill="FFFFFF"/>
            <w:vAlign w:val="center"/>
          </w:tcPr>
          <w:p w14:paraId="0740123F"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28.5 (1.7-40.3)</w:t>
            </w:r>
          </w:p>
        </w:tc>
        <w:tc>
          <w:tcPr>
            <w:tcW w:w="650" w:type="pct"/>
            <w:shd w:val="clear" w:color="auto" w:fill="FFFFFF"/>
            <w:vAlign w:val="center"/>
          </w:tcPr>
          <w:p w14:paraId="4008AA5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28.4 (0.1-40.8)</w:t>
            </w:r>
          </w:p>
        </w:tc>
        <w:tc>
          <w:tcPr>
            <w:tcW w:w="652" w:type="pct"/>
            <w:shd w:val="clear" w:color="auto" w:fill="FFFFFF"/>
            <w:vAlign w:val="center"/>
          </w:tcPr>
          <w:p w14:paraId="277ABE7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28.0 (0.0-40.4)</w:t>
            </w:r>
          </w:p>
        </w:tc>
        <w:tc>
          <w:tcPr>
            <w:tcW w:w="650" w:type="pct"/>
            <w:shd w:val="clear" w:color="auto" w:fill="FFFFFF"/>
            <w:vAlign w:val="center"/>
          </w:tcPr>
          <w:p w14:paraId="2AE8C6CD"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47.0 (1.7-59.2)</w:t>
            </w:r>
          </w:p>
        </w:tc>
        <w:tc>
          <w:tcPr>
            <w:tcW w:w="650" w:type="pct"/>
            <w:shd w:val="clear" w:color="auto" w:fill="FFFFFF"/>
            <w:vAlign w:val="center"/>
          </w:tcPr>
          <w:p w14:paraId="3F1F6078"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46.9 (0.1-59.4)</w:t>
            </w:r>
          </w:p>
        </w:tc>
        <w:tc>
          <w:tcPr>
            <w:tcW w:w="650" w:type="pct"/>
            <w:shd w:val="clear" w:color="auto" w:fill="FFFFFF"/>
            <w:vAlign w:val="center"/>
          </w:tcPr>
          <w:p w14:paraId="31C4A5B3"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46.2 (0.0-58.4)</w:t>
            </w:r>
          </w:p>
        </w:tc>
      </w:tr>
      <w:tr w:rsidR="001612CC" w:rsidRPr="00191822" w14:paraId="06A6B431" w14:textId="77777777" w:rsidTr="001F458A">
        <w:trPr>
          <w:trHeight w:val="172"/>
        </w:trPr>
        <w:tc>
          <w:tcPr>
            <w:tcW w:w="5000" w:type="pct"/>
            <w:gridSpan w:val="7"/>
            <w:shd w:val="clear" w:color="auto" w:fill="FFFFFF"/>
          </w:tcPr>
          <w:p w14:paraId="364816FD" w14:textId="77777777" w:rsidR="001612CC" w:rsidRPr="00191822" w:rsidRDefault="001612CC" w:rsidP="004026AA">
            <w:pPr>
              <w:keepNext/>
              <w:rPr>
                <w:rFonts w:ascii="Arial Narrow" w:hAnsi="Arial Narrow"/>
                <w:b/>
                <w:sz w:val="20"/>
              </w:rPr>
            </w:pPr>
            <w:r w:rsidRPr="00191822">
              <w:rPr>
                <w:rFonts w:ascii="Arial Narrow" w:hAnsi="Arial Narrow"/>
                <w:b/>
                <w:sz w:val="20"/>
              </w:rPr>
              <w:t>Independent review committee-assessed</w:t>
            </w:r>
          </w:p>
        </w:tc>
      </w:tr>
      <w:tr w:rsidR="001612CC" w:rsidRPr="00191822" w14:paraId="110B12CE" w14:textId="77777777" w:rsidTr="001F458A">
        <w:trPr>
          <w:trHeight w:val="500"/>
        </w:trPr>
        <w:tc>
          <w:tcPr>
            <w:tcW w:w="1098" w:type="pct"/>
            <w:vAlign w:val="center"/>
          </w:tcPr>
          <w:p w14:paraId="445B6BD4" w14:textId="77777777" w:rsidR="001612CC" w:rsidRPr="00191822" w:rsidRDefault="001612CC" w:rsidP="004026AA">
            <w:pPr>
              <w:keepNext/>
              <w:jc w:val="left"/>
              <w:rPr>
                <w:rFonts w:ascii="Arial Narrow" w:hAnsi="Arial Narrow"/>
                <w:sz w:val="20"/>
              </w:rPr>
            </w:pPr>
            <w:r w:rsidRPr="00191822">
              <w:rPr>
                <w:rFonts w:ascii="Arial Narrow" w:hAnsi="Arial Narrow"/>
                <w:sz w:val="20"/>
              </w:rPr>
              <w:t>Earliest event total, n (%)</w:t>
            </w:r>
          </w:p>
          <w:p w14:paraId="02448E6B" w14:textId="77777777" w:rsidR="001612CC" w:rsidRPr="00191822" w:rsidRDefault="001612CC" w:rsidP="004026AA">
            <w:pPr>
              <w:keepNext/>
              <w:jc w:val="left"/>
              <w:rPr>
                <w:rFonts w:ascii="Arial Narrow" w:hAnsi="Arial Narrow"/>
                <w:sz w:val="20"/>
              </w:rPr>
            </w:pPr>
            <w:r w:rsidRPr="00191822">
              <w:rPr>
                <w:rFonts w:ascii="Arial Narrow" w:hAnsi="Arial Narrow"/>
                <w:sz w:val="20"/>
              </w:rPr>
              <w:t>- Progression, n</w:t>
            </w:r>
            <w:r w:rsidR="00BD6BE8">
              <w:rPr>
                <w:rFonts w:ascii="Arial Narrow" w:hAnsi="Arial Narrow"/>
                <w:sz w:val="20"/>
              </w:rPr>
              <w:t xml:space="preserve"> (%)</w:t>
            </w:r>
          </w:p>
          <w:p w14:paraId="1B184FA7" w14:textId="77777777" w:rsidR="001612CC" w:rsidRPr="00191822" w:rsidRDefault="001612CC" w:rsidP="004026AA">
            <w:pPr>
              <w:keepNext/>
              <w:jc w:val="left"/>
              <w:rPr>
                <w:rFonts w:ascii="Arial Narrow" w:hAnsi="Arial Narrow"/>
                <w:sz w:val="20"/>
              </w:rPr>
            </w:pPr>
            <w:r w:rsidRPr="00191822">
              <w:rPr>
                <w:rFonts w:ascii="Arial Narrow" w:hAnsi="Arial Narrow"/>
                <w:sz w:val="20"/>
              </w:rPr>
              <w:t>- Death, n</w:t>
            </w:r>
            <w:r w:rsidR="00BD6BE8">
              <w:rPr>
                <w:rFonts w:ascii="Arial Narrow" w:hAnsi="Arial Narrow"/>
                <w:sz w:val="20"/>
              </w:rPr>
              <w:t xml:space="preserve"> (%)</w:t>
            </w:r>
          </w:p>
        </w:tc>
        <w:tc>
          <w:tcPr>
            <w:tcW w:w="650" w:type="pct"/>
            <w:shd w:val="clear" w:color="auto" w:fill="FFFFFF"/>
            <w:vAlign w:val="center"/>
          </w:tcPr>
          <w:p w14:paraId="0EB476AA"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14 (7.8)</w:t>
            </w:r>
          </w:p>
          <w:p w14:paraId="3C391CB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 (5.0)</w:t>
            </w:r>
          </w:p>
          <w:p w14:paraId="760E9055"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5 (2.8)</w:t>
            </w:r>
          </w:p>
        </w:tc>
        <w:tc>
          <w:tcPr>
            <w:tcW w:w="650" w:type="pct"/>
            <w:shd w:val="clear" w:color="auto" w:fill="FFFFFF"/>
          </w:tcPr>
          <w:p w14:paraId="27C40B82"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26 (14.5)</w:t>
            </w:r>
          </w:p>
          <w:p w14:paraId="26FA532B"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20 (11.2)</w:t>
            </w:r>
          </w:p>
          <w:p w14:paraId="6C55636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6 (3.4)</w:t>
            </w:r>
          </w:p>
        </w:tc>
        <w:tc>
          <w:tcPr>
            <w:tcW w:w="652" w:type="pct"/>
            <w:shd w:val="clear" w:color="auto" w:fill="FFFFFF"/>
            <w:vAlign w:val="center"/>
          </w:tcPr>
          <w:p w14:paraId="22D32489"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93 (52.5)</w:t>
            </w:r>
          </w:p>
          <w:p w14:paraId="192D6594"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82 (46.3)</w:t>
            </w:r>
          </w:p>
          <w:p w14:paraId="7D9E8F04"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11 (6.2)</w:t>
            </w:r>
          </w:p>
        </w:tc>
        <w:tc>
          <w:tcPr>
            <w:tcW w:w="650" w:type="pct"/>
            <w:shd w:val="clear" w:color="auto" w:fill="FFFFFF"/>
          </w:tcPr>
          <w:p w14:paraId="46E18BC2"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55BB5C54"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0FD1EDF7"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tcPr>
          <w:p w14:paraId="03A2E258"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1AD1F3A2"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037C4108"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tcPr>
          <w:p w14:paraId="50D785B4"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77313443"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p w14:paraId="35AEE16E"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r>
      <w:tr w:rsidR="001612CC" w:rsidRPr="00191822" w14:paraId="6EA76567" w14:textId="77777777" w:rsidTr="001F458A">
        <w:tc>
          <w:tcPr>
            <w:tcW w:w="1098" w:type="pct"/>
            <w:vAlign w:val="center"/>
          </w:tcPr>
          <w:p w14:paraId="70DD1424" w14:textId="77777777" w:rsidR="001612CC" w:rsidRPr="00191822" w:rsidRDefault="001612CC" w:rsidP="004026AA">
            <w:pPr>
              <w:keepNext/>
              <w:jc w:val="left"/>
              <w:rPr>
                <w:rFonts w:ascii="Arial Narrow" w:hAnsi="Arial Narrow"/>
                <w:iCs/>
                <w:sz w:val="20"/>
              </w:rPr>
            </w:pPr>
            <w:r w:rsidRPr="00191822">
              <w:rPr>
                <w:rFonts w:ascii="Arial Narrow" w:hAnsi="Arial Narrow"/>
                <w:sz w:val="20"/>
              </w:rPr>
              <w:t>Median PFS, months (95% CI)</w:t>
            </w:r>
          </w:p>
        </w:tc>
        <w:tc>
          <w:tcPr>
            <w:tcW w:w="650" w:type="pct"/>
            <w:shd w:val="clear" w:color="auto" w:fill="FFFFFF"/>
            <w:vAlign w:val="center"/>
          </w:tcPr>
          <w:p w14:paraId="6C5AA8D4"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rPr>
              <w:t>Not reached (NE)</w:t>
            </w:r>
          </w:p>
        </w:tc>
        <w:tc>
          <w:tcPr>
            <w:tcW w:w="650" w:type="pct"/>
            <w:shd w:val="clear" w:color="auto" w:fill="FFFFFF"/>
            <w:vAlign w:val="center"/>
          </w:tcPr>
          <w:p w14:paraId="6D0BC1AD" w14:textId="77777777" w:rsidR="001612CC" w:rsidRPr="00191822" w:rsidRDefault="001612CC" w:rsidP="00484F16">
            <w:pPr>
              <w:keepNext/>
              <w:jc w:val="center"/>
              <w:rPr>
                <w:rFonts w:ascii="Arial Narrow" w:hAnsi="Arial Narrow"/>
                <w:iCs/>
                <w:sz w:val="20"/>
              </w:rPr>
            </w:pPr>
            <w:r w:rsidRPr="00191822">
              <w:rPr>
                <w:rFonts w:ascii="Arial Narrow" w:hAnsi="Arial Narrow"/>
                <w:iCs/>
                <w:sz w:val="20"/>
              </w:rPr>
              <w:t>Not reached (34.2, NE)</w:t>
            </w:r>
          </w:p>
        </w:tc>
        <w:tc>
          <w:tcPr>
            <w:tcW w:w="652" w:type="pct"/>
            <w:shd w:val="clear" w:color="auto" w:fill="FFFFFF"/>
            <w:vAlign w:val="center"/>
          </w:tcPr>
          <w:p w14:paraId="7712030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22.6 </w:t>
            </w:r>
          </w:p>
          <w:p w14:paraId="090A32A1"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rPr>
              <w:t>(20.2, 27.6)</w:t>
            </w:r>
          </w:p>
        </w:tc>
        <w:tc>
          <w:tcPr>
            <w:tcW w:w="650" w:type="pct"/>
            <w:shd w:val="clear" w:color="auto" w:fill="FFFFFF"/>
            <w:vAlign w:val="center"/>
          </w:tcPr>
          <w:p w14:paraId="6745084D"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vAlign w:val="center"/>
          </w:tcPr>
          <w:p w14:paraId="5E5C6C8E"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vAlign w:val="center"/>
          </w:tcPr>
          <w:p w14:paraId="1ABD63B9"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r>
      <w:tr w:rsidR="001612CC" w:rsidRPr="00191822" w14:paraId="58CB12DD" w14:textId="77777777" w:rsidTr="001F458A">
        <w:tc>
          <w:tcPr>
            <w:tcW w:w="1098" w:type="pct"/>
          </w:tcPr>
          <w:p w14:paraId="26EA1F46" w14:textId="77777777" w:rsidR="001612CC" w:rsidRPr="00191822" w:rsidRDefault="001612CC" w:rsidP="004026AA">
            <w:pPr>
              <w:keepNext/>
              <w:jc w:val="left"/>
              <w:rPr>
                <w:rFonts w:ascii="Arial Narrow" w:hAnsi="Arial Narrow"/>
                <w:sz w:val="20"/>
              </w:rPr>
            </w:pPr>
            <w:r w:rsidRPr="00191822">
              <w:rPr>
                <w:rFonts w:ascii="Arial Narrow" w:hAnsi="Arial Narrow"/>
                <w:sz w:val="20"/>
              </w:rPr>
              <w:t>Stratified HR vs CHL + OBI (95% CI)</w:t>
            </w:r>
          </w:p>
        </w:tc>
        <w:tc>
          <w:tcPr>
            <w:tcW w:w="650" w:type="pct"/>
            <w:shd w:val="clear" w:color="auto" w:fill="FFFFFF"/>
          </w:tcPr>
          <w:p w14:paraId="7EBE87D5"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0.10 </w:t>
            </w:r>
          </w:p>
          <w:p w14:paraId="6E6DFA8D" w14:textId="77777777" w:rsidR="001612CC" w:rsidRPr="00191822" w:rsidRDefault="001612CC" w:rsidP="004026AA">
            <w:pPr>
              <w:keepNext/>
              <w:jc w:val="center"/>
              <w:rPr>
                <w:rFonts w:ascii="Arial Narrow" w:hAnsi="Arial Narrow"/>
                <w:iCs/>
                <w:sz w:val="20"/>
              </w:rPr>
            </w:pPr>
            <w:r w:rsidRPr="00D540A3">
              <w:rPr>
                <w:rFonts w:ascii="Arial Narrow" w:hAnsi="Arial Narrow"/>
                <w:b/>
                <w:bCs/>
                <w:iCs/>
                <w:sz w:val="20"/>
              </w:rPr>
              <w:t>(0.06, 0.17)</w:t>
            </w:r>
          </w:p>
        </w:tc>
        <w:tc>
          <w:tcPr>
            <w:tcW w:w="650" w:type="pct"/>
            <w:shd w:val="clear" w:color="auto" w:fill="FFFFFF"/>
            <w:vAlign w:val="center"/>
          </w:tcPr>
          <w:p w14:paraId="0C31DCF3"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0.20 </w:t>
            </w:r>
          </w:p>
          <w:p w14:paraId="6FF61524" w14:textId="77777777" w:rsidR="001612CC" w:rsidRPr="00191822" w:rsidRDefault="001612CC" w:rsidP="004026AA">
            <w:pPr>
              <w:keepNext/>
              <w:jc w:val="center"/>
              <w:rPr>
                <w:rFonts w:ascii="Arial Narrow" w:hAnsi="Arial Narrow"/>
                <w:iCs/>
                <w:sz w:val="20"/>
              </w:rPr>
            </w:pPr>
            <w:r w:rsidRPr="00D540A3">
              <w:rPr>
                <w:rFonts w:ascii="Arial Narrow" w:hAnsi="Arial Narrow"/>
                <w:b/>
                <w:bCs/>
                <w:iCs/>
                <w:sz w:val="20"/>
              </w:rPr>
              <w:t>(0.13, 0.30)</w:t>
            </w:r>
          </w:p>
        </w:tc>
        <w:tc>
          <w:tcPr>
            <w:tcW w:w="652" w:type="pct"/>
            <w:shd w:val="clear" w:color="auto" w:fill="FFFFFF"/>
            <w:vAlign w:val="center"/>
          </w:tcPr>
          <w:p w14:paraId="4E95EF2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w:t>
            </w:r>
          </w:p>
        </w:tc>
        <w:tc>
          <w:tcPr>
            <w:tcW w:w="650" w:type="pct"/>
            <w:shd w:val="clear" w:color="auto" w:fill="FFFFFF"/>
            <w:vAlign w:val="center"/>
          </w:tcPr>
          <w:p w14:paraId="690391F0"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vAlign w:val="center"/>
          </w:tcPr>
          <w:p w14:paraId="490292EE"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NR</w:t>
            </w:r>
          </w:p>
        </w:tc>
        <w:tc>
          <w:tcPr>
            <w:tcW w:w="650" w:type="pct"/>
            <w:shd w:val="clear" w:color="auto" w:fill="FFFFFF"/>
            <w:vAlign w:val="center"/>
          </w:tcPr>
          <w:p w14:paraId="02CBA023" w14:textId="77777777" w:rsidR="001612CC" w:rsidRPr="00191822" w:rsidRDefault="00F653F2" w:rsidP="004026AA">
            <w:pPr>
              <w:keepNext/>
              <w:jc w:val="center"/>
              <w:rPr>
                <w:rFonts w:ascii="Arial Narrow" w:hAnsi="Arial Narrow"/>
                <w:iCs/>
                <w:sz w:val="20"/>
              </w:rPr>
            </w:pPr>
            <w:r>
              <w:rPr>
                <w:rFonts w:ascii="Arial Narrow" w:hAnsi="Arial Narrow"/>
                <w:iCs/>
                <w:sz w:val="20"/>
              </w:rPr>
              <w:t>-</w:t>
            </w:r>
          </w:p>
        </w:tc>
      </w:tr>
      <w:tr w:rsidR="001612CC" w:rsidRPr="00191822" w14:paraId="742DD7C7" w14:textId="77777777" w:rsidTr="001F458A">
        <w:tc>
          <w:tcPr>
            <w:tcW w:w="1098" w:type="pct"/>
          </w:tcPr>
          <w:p w14:paraId="019F9251" w14:textId="77777777" w:rsidR="001612CC" w:rsidRPr="00191822" w:rsidRDefault="001612CC" w:rsidP="004026AA">
            <w:pPr>
              <w:keepNext/>
              <w:widowControl w:val="0"/>
              <w:jc w:val="left"/>
              <w:rPr>
                <w:rFonts w:ascii="Arial Narrow" w:hAnsi="Arial Narrow"/>
                <w:snapToGrid w:val="0"/>
                <w:sz w:val="20"/>
              </w:rPr>
            </w:pPr>
            <w:r w:rsidRPr="00191822">
              <w:rPr>
                <w:rFonts w:ascii="Arial Narrow" w:hAnsi="Arial Narrow"/>
                <w:snapToGrid w:val="0"/>
                <w:sz w:val="20"/>
              </w:rPr>
              <w:t>KM estimate of PFS</w:t>
            </w:r>
          </w:p>
          <w:p w14:paraId="61BCD25D" w14:textId="77777777" w:rsidR="001612CC" w:rsidRPr="00191822" w:rsidRDefault="001612CC" w:rsidP="004026AA">
            <w:pPr>
              <w:keepNext/>
              <w:widowControl w:val="0"/>
              <w:jc w:val="left"/>
              <w:rPr>
                <w:rFonts w:ascii="Arial Narrow" w:hAnsi="Arial Narrow"/>
                <w:snapToGrid w:val="0"/>
                <w:sz w:val="20"/>
              </w:rPr>
            </w:pPr>
            <w:r w:rsidRPr="00191822">
              <w:rPr>
                <w:rFonts w:ascii="Arial Narrow" w:hAnsi="Arial Narrow"/>
                <w:snapToGrid w:val="0"/>
                <w:sz w:val="20"/>
              </w:rPr>
              <w:t>- 12 months, % (95% CI)</w:t>
            </w:r>
          </w:p>
          <w:p w14:paraId="23DF28AF" w14:textId="77777777" w:rsidR="001612CC" w:rsidRPr="00191822" w:rsidRDefault="001612CC" w:rsidP="004026AA">
            <w:pPr>
              <w:keepNext/>
              <w:widowControl w:val="0"/>
              <w:jc w:val="left"/>
              <w:rPr>
                <w:rFonts w:ascii="Arial Narrow" w:hAnsi="Arial Narrow"/>
                <w:snapToGrid w:val="0"/>
                <w:sz w:val="20"/>
              </w:rPr>
            </w:pPr>
          </w:p>
          <w:p w14:paraId="432879EC" w14:textId="77777777" w:rsidR="001612CC" w:rsidRPr="00191822" w:rsidRDefault="001612CC" w:rsidP="004026AA">
            <w:pPr>
              <w:keepNext/>
              <w:jc w:val="left"/>
              <w:rPr>
                <w:rFonts w:ascii="Arial Narrow" w:hAnsi="Arial Narrow"/>
                <w:snapToGrid w:val="0"/>
                <w:sz w:val="20"/>
              </w:rPr>
            </w:pPr>
            <w:r w:rsidRPr="00191822">
              <w:rPr>
                <w:rFonts w:ascii="Arial Narrow" w:hAnsi="Arial Narrow"/>
                <w:snapToGrid w:val="0"/>
                <w:sz w:val="20"/>
              </w:rPr>
              <w:t>- 24 months, % (95% CI)</w:t>
            </w:r>
          </w:p>
          <w:p w14:paraId="02DA1CFE" w14:textId="77777777" w:rsidR="001612CC" w:rsidRPr="00191822" w:rsidRDefault="001612CC" w:rsidP="004026AA">
            <w:pPr>
              <w:keepNext/>
              <w:jc w:val="left"/>
              <w:rPr>
                <w:rFonts w:ascii="Arial Narrow" w:hAnsi="Arial Narrow"/>
                <w:snapToGrid w:val="0"/>
                <w:sz w:val="20"/>
              </w:rPr>
            </w:pPr>
          </w:p>
          <w:p w14:paraId="0496EFFA" w14:textId="77777777" w:rsidR="001612CC" w:rsidRPr="00191822" w:rsidRDefault="001612CC" w:rsidP="004026AA">
            <w:pPr>
              <w:keepNext/>
              <w:jc w:val="left"/>
              <w:rPr>
                <w:rFonts w:ascii="Arial Narrow" w:hAnsi="Arial Narrow"/>
                <w:sz w:val="20"/>
              </w:rPr>
            </w:pPr>
            <w:r w:rsidRPr="00191822">
              <w:rPr>
                <w:rFonts w:ascii="Arial Narrow" w:hAnsi="Arial Narrow"/>
                <w:snapToGrid w:val="0"/>
                <w:sz w:val="20"/>
              </w:rPr>
              <w:t>- 36 months, % (95% CI)</w:t>
            </w:r>
          </w:p>
        </w:tc>
        <w:tc>
          <w:tcPr>
            <w:tcW w:w="650" w:type="pct"/>
            <w:shd w:val="clear" w:color="auto" w:fill="FFFFFF"/>
          </w:tcPr>
          <w:p w14:paraId="2D810A0A" w14:textId="77777777" w:rsidR="001612CC" w:rsidRPr="00191822" w:rsidRDefault="001612CC" w:rsidP="004026AA">
            <w:pPr>
              <w:keepNext/>
              <w:jc w:val="center"/>
              <w:rPr>
                <w:rFonts w:ascii="Arial Narrow" w:hAnsi="Arial Narrow"/>
                <w:iCs/>
                <w:sz w:val="20"/>
              </w:rPr>
            </w:pPr>
          </w:p>
          <w:p w14:paraId="4A6ADF4A"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95.9 </w:t>
            </w:r>
          </w:p>
          <w:p w14:paraId="0104F749"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(91.7, 98.0)</w:t>
            </w:r>
          </w:p>
          <w:p w14:paraId="368F5BC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92.7 </w:t>
            </w:r>
          </w:p>
          <w:p w14:paraId="34C093DF"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(87.4, 95.8)</w:t>
            </w:r>
          </w:p>
          <w:p w14:paraId="5AF5A84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89.6 </w:t>
            </w:r>
          </w:p>
          <w:p w14:paraId="1D44A214"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(82.0, 94.1)</w:t>
            </w:r>
          </w:p>
        </w:tc>
        <w:tc>
          <w:tcPr>
            <w:tcW w:w="650" w:type="pct"/>
            <w:shd w:val="clear" w:color="auto" w:fill="FFFFFF"/>
          </w:tcPr>
          <w:p w14:paraId="6D0A9249" w14:textId="77777777" w:rsidR="001612CC" w:rsidRPr="00191822" w:rsidRDefault="001612CC" w:rsidP="004026AA">
            <w:pPr>
              <w:keepNext/>
              <w:jc w:val="center"/>
              <w:rPr>
                <w:rFonts w:ascii="Arial Narrow" w:hAnsi="Arial Narrow"/>
                <w:iCs/>
                <w:sz w:val="20"/>
                <w:szCs w:val="18"/>
              </w:rPr>
            </w:pPr>
          </w:p>
          <w:p w14:paraId="499ADD2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92.9 </w:t>
            </w:r>
          </w:p>
          <w:p w14:paraId="5521EFF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(87.8, 95.9)</w:t>
            </w:r>
          </w:p>
          <w:p w14:paraId="11FF9A52"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87.3 </w:t>
            </w:r>
          </w:p>
          <w:p w14:paraId="15CFE92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(80.9, 91.7)</w:t>
            </w:r>
          </w:p>
          <w:p w14:paraId="642F1FF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63.9 </w:t>
            </w:r>
          </w:p>
          <w:p w14:paraId="7EEAB23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(29.4, 84.9)</w:t>
            </w:r>
          </w:p>
        </w:tc>
        <w:tc>
          <w:tcPr>
            <w:tcW w:w="652" w:type="pct"/>
            <w:shd w:val="clear" w:color="auto" w:fill="FFFFFF"/>
          </w:tcPr>
          <w:p w14:paraId="0CC4574E" w14:textId="77777777" w:rsidR="001612CC" w:rsidRPr="00191822" w:rsidRDefault="001612CC" w:rsidP="004026AA">
            <w:pPr>
              <w:keepNext/>
              <w:jc w:val="center"/>
              <w:rPr>
                <w:rFonts w:ascii="Arial Narrow" w:hAnsi="Arial Narrow"/>
                <w:iCs/>
                <w:sz w:val="20"/>
                <w:szCs w:val="18"/>
              </w:rPr>
            </w:pPr>
          </w:p>
          <w:p w14:paraId="6356051B"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84.6 </w:t>
            </w:r>
          </w:p>
          <w:p w14:paraId="760EB85E"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(78.0, 89.3)</w:t>
            </w:r>
          </w:p>
          <w:p w14:paraId="2DC3ED01"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46.7 </w:t>
            </w:r>
          </w:p>
          <w:p w14:paraId="506806C5"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(38.5, 54.6)</w:t>
            </w:r>
          </w:p>
          <w:p w14:paraId="41D8916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31.3 </w:t>
            </w:r>
          </w:p>
          <w:p w14:paraId="2C4DF99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(21.8, 41.3)</w:t>
            </w:r>
          </w:p>
        </w:tc>
        <w:tc>
          <w:tcPr>
            <w:tcW w:w="650" w:type="pct"/>
            <w:shd w:val="clear" w:color="auto" w:fill="FFFFFF"/>
          </w:tcPr>
          <w:p w14:paraId="466D47BC" w14:textId="77777777" w:rsidR="001612CC" w:rsidRPr="00191822" w:rsidRDefault="001612CC" w:rsidP="004026AA">
            <w:pPr>
              <w:keepNext/>
              <w:jc w:val="center"/>
              <w:rPr>
                <w:rFonts w:ascii="Arial Narrow" w:hAnsi="Arial Narrow"/>
                <w:iCs/>
                <w:sz w:val="20"/>
                <w:szCs w:val="18"/>
              </w:rPr>
            </w:pPr>
          </w:p>
          <w:p w14:paraId="6965D96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03512F2A" w14:textId="77777777" w:rsidR="001612CC" w:rsidRPr="00191822" w:rsidRDefault="001612CC" w:rsidP="004026AA">
            <w:pPr>
              <w:keepNext/>
              <w:jc w:val="center"/>
              <w:rPr>
                <w:rFonts w:ascii="Arial Narrow" w:hAnsi="Arial Narrow"/>
                <w:iCs/>
                <w:sz w:val="20"/>
                <w:szCs w:val="18"/>
              </w:rPr>
            </w:pPr>
          </w:p>
          <w:p w14:paraId="5C8B185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5F311F97" w14:textId="77777777" w:rsidR="001612CC" w:rsidRPr="00191822" w:rsidRDefault="001612CC" w:rsidP="004026AA">
            <w:pPr>
              <w:keepNext/>
              <w:jc w:val="center"/>
              <w:rPr>
                <w:rFonts w:ascii="Arial Narrow" w:hAnsi="Arial Narrow"/>
                <w:iCs/>
                <w:sz w:val="20"/>
                <w:szCs w:val="18"/>
              </w:rPr>
            </w:pPr>
          </w:p>
          <w:p w14:paraId="7A95C2DC"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tc>
        <w:tc>
          <w:tcPr>
            <w:tcW w:w="650" w:type="pct"/>
            <w:shd w:val="clear" w:color="auto" w:fill="FFFFFF"/>
          </w:tcPr>
          <w:p w14:paraId="5E617E69" w14:textId="77777777" w:rsidR="001612CC" w:rsidRPr="00191822" w:rsidRDefault="001612CC" w:rsidP="004026AA">
            <w:pPr>
              <w:keepNext/>
              <w:jc w:val="center"/>
              <w:rPr>
                <w:rFonts w:ascii="Arial Narrow" w:hAnsi="Arial Narrow"/>
                <w:iCs/>
                <w:sz w:val="20"/>
                <w:szCs w:val="18"/>
              </w:rPr>
            </w:pPr>
          </w:p>
          <w:p w14:paraId="5D3B722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4C977DF0" w14:textId="77777777" w:rsidR="001612CC" w:rsidRPr="00191822" w:rsidRDefault="001612CC" w:rsidP="004026AA">
            <w:pPr>
              <w:keepNext/>
              <w:jc w:val="center"/>
              <w:rPr>
                <w:rFonts w:ascii="Arial Narrow" w:hAnsi="Arial Narrow"/>
                <w:iCs/>
                <w:sz w:val="20"/>
                <w:szCs w:val="18"/>
              </w:rPr>
            </w:pPr>
          </w:p>
          <w:p w14:paraId="6AC7415E"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7923A38A" w14:textId="77777777" w:rsidR="001612CC" w:rsidRPr="00191822" w:rsidRDefault="001612CC" w:rsidP="004026AA">
            <w:pPr>
              <w:keepNext/>
              <w:jc w:val="center"/>
              <w:rPr>
                <w:rFonts w:ascii="Arial Narrow" w:hAnsi="Arial Narrow"/>
                <w:iCs/>
                <w:sz w:val="20"/>
                <w:szCs w:val="18"/>
              </w:rPr>
            </w:pPr>
          </w:p>
          <w:p w14:paraId="6745D0A7"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tc>
        <w:tc>
          <w:tcPr>
            <w:tcW w:w="650" w:type="pct"/>
            <w:shd w:val="clear" w:color="auto" w:fill="FFFFFF"/>
          </w:tcPr>
          <w:p w14:paraId="7C6289AE" w14:textId="77777777" w:rsidR="001612CC" w:rsidRPr="00191822" w:rsidRDefault="001612CC" w:rsidP="004026AA">
            <w:pPr>
              <w:keepNext/>
              <w:jc w:val="center"/>
              <w:rPr>
                <w:rFonts w:ascii="Arial Narrow" w:hAnsi="Arial Narrow"/>
                <w:iCs/>
                <w:sz w:val="20"/>
                <w:szCs w:val="18"/>
              </w:rPr>
            </w:pPr>
          </w:p>
          <w:p w14:paraId="6B48D171"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6397D85B" w14:textId="77777777" w:rsidR="001612CC" w:rsidRPr="00191822" w:rsidRDefault="001612CC" w:rsidP="004026AA">
            <w:pPr>
              <w:keepNext/>
              <w:jc w:val="center"/>
              <w:rPr>
                <w:rFonts w:ascii="Arial Narrow" w:hAnsi="Arial Narrow"/>
                <w:iCs/>
                <w:sz w:val="20"/>
                <w:szCs w:val="18"/>
              </w:rPr>
            </w:pPr>
          </w:p>
          <w:p w14:paraId="5354021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p w14:paraId="58E0D677" w14:textId="77777777" w:rsidR="001612CC" w:rsidRPr="00191822" w:rsidRDefault="001612CC" w:rsidP="004026AA">
            <w:pPr>
              <w:keepNext/>
              <w:jc w:val="center"/>
              <w:rPr>
                <w:rFonts w:ascii="Arial Narrow" w:hAnsi="Arial Narrow"/>
                <w:iCs/>
                <w:sz w:val="20"/>
                <w:szCs w:val="18"/>
              </w:rPr>
            </w:pPr>
          </w:p>
          <w:p w14:paraId="44907037"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NR</w:t>
            </w:r>
          </w:p>
        </w:tc>
      </w:tr>
      <w:tr w:rsidR="001612CC" w:rsidRPr="00191822" w14:paraId="4A90958B" w14:textId="77777777" w:rsidTr="001F458A">
        <w:tc>
          <w:tcPr>
            <w:tcW w:w="5000" w:type="pct"/>
            <w:gridSpan w:val="7"/>
            <w:shd w:val="clear" w:color="auto" w:fill="FFFFFF"/>
          </w:tcPr>
          <w:p w14:paraId="1DBBD96B" w14:textId="77777777" w:rsidR="001612CC" w:rsidRPr="00191822" w:rsidRDefault="001612CC" w:rsidP="004026AA">
            <w:pPr>
              <w:keepNext/>
              <w:rPr>
                <w:rFonts w:ascii="Arial Narrow" w:hAnsi="Arial Narrow"/>
                <w:b/>
                <w:sz w:val="20"/>
              </w:rPr>
            </w:pPr>
            <w:r w:rsidRPr="00191822">
              <w:rPr>
                <w:rFonts w:ascii="Arial Narrow" w:hAnsi="Arial Narrow"/>
                <w:b/>
                <w:sz w:val="20"/>
              </w:rPr>
              <w:t>Investigator-assessed</w:t>
            </w:r>
          </w:p>
        </w:tc>
      </w:tr>
      <w:tr w:rsidR="001612CC" w:rsidRPr="00191822" w14:paraId="71BCF3F5" w14:textId="77777777" w:rsidTr="001F458A">
        <w:tc>
          <w:tcPr>
            <w:tcW w:w="1098" w:type="pct"/>
            <w:vAlign w:val="center"/>
          </w:tcPr>
          <w:p w14:paraId="27C5CDC3" w14:textId="77777777" w:rsidR="001612CC" w:rsidRPr="00191822" w:rsidRDefault="001612CC" w:rsidP="004026AA">
            <w:pPr>
              <w:keepNext/>
              <w:jc w:val="left"/>
              <w:rPr>
                <w:rFonts w:ascii="Arial Narrow" w:hAnsi="Arial Narrow"/>
                <w:sz w:val="20"/>
              </w:rPr>
            </w:pPr>
            <w:r w:rsidRPr="00191822">
              <w:rPr>
                <w:rFonts w:ascii="Arial Narrow" w:hAnsi="Arial Narrow"/>
                <w:sz w:val="20"/>
              </w:rPr>
              <w:t>Earliest event total, n (%)</w:t>
            </w:r>
          </w:p>
          <w:p w14:paraId="6A738AA1" w14:textId="77777777" w:rsidR="001612CC" w:rsidRPr="00191822" w:rsidRDefault="001612CC" w:rsidP="004026AA">
            <w:pPr>
              <w:keepNext/>
              <w:jc w:val="left"/>
              <w:rPr>
                <w:rFonts w:ascii="Arial Narrow" w:hAnsi="Arial Narrow"/>
                <w:sz w:val="20"/>
              </w:rPr>
            </w:pPr>
            <w:r w:rsidRPr="00191822">
              <w:rPr>
                <w:rFonts w:ascii="Arial Narrow" w:hAnsi="Arial Narrow"/>
                <w:sz w:val="20"/>
              </w:rPr>
              <w:t>- Progression, n</w:t>
            </w:r>
            <w:r w:rsidR="00BD6BE8">
              <w:rPr>
                <w:rFonts w:ascii="Arial Narrow" w:hAnsi="Arial Narrow"/>
                <w:sz w:val="20"/>
              </w:rPr>
              <w:t xml:space="preserve"> (%)</w:t>
            </w:r>
          </w:p>
          <w:p w14:paraId="6D9A25B1" w14:textId="77777777" w:rsidR="001612CC" w:rsidRPr="00191822" w:rsidRDefault="001612CC" w:rsidP="004026AA">
            <w:pPr>
              <w:keepNext/>
              <w:jc w:val="left"/>
              <w:rPr>
                <w:rFonts w:ascii="Arial Narrow" w:hAnsi="Arial Narrow"/>
                <w:sz w:val="20"/>
              </w:rPr>
            </w:pPr>
            <w:r w:rsidRPr="00191822">
              <w:rPr>
                <w:rFonts w:ascii="Arial Narrow" w:hAnsi="Arial Narrow"/>
                <w:sz w:val="20"/>
              </w:rPr>
              <w:t>- Death, n</w:t>
            </w:r>
            <w:r w:rsidR="00BD6BE8">
              <w:rPr>
                <w:rFonts w:ascii="Arial Narrow" w:hAnsi="Arial Narrow"/>
                <w:sz w:val="20"/>
              </w:rPr>
              <w:t xml:space="preserve"> (%)</w:t>
            </w:r>
          </w:p>
        </w:tc>
        <w:tc>
          <w:tcPr>
            <w:tcW w:w="650" w:type="pct"/>
            <w:shd w:val="clear" w:color="auto" w:fill="FFFFFF"/>
          </w:tcPr>
          <w:p w14:paraId="4DA4E405"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15 (8.4)</w:t>
            </w:r>
          </w:p>
          <w:p w14:paraId="49CC833C"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 (5.0)</w:t>
            </w:r>
          </w:p>
          <w:p w14:paraId="45D37275"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6 (3.4)</w:t>
            </w:r>
          </w:p>
        </w:tc>
        <w:tc>
          <w:tcPr>
            <w:tcW w:w="650" w:type="pct"/>
            <w:shd w:val="clear" w:color="auto" w:fill="FFFFFF"/>
          </w:tcPr>
          <w:p w14:paraId="5BDACE4A"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19 (10.6)</w:t>
            </w:r>
          </w:p>
          <w:p w14:paraId="7428DA4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12 (6.7)</w:t>
            </w:r>
          </w:p>
          <w:p w14:paraId="5E4AB720"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7 (3.9)</w:t>
            </w:r>
          </w:p>
        </w:tc>
        <w:tc>
          <w:tcPr>
            <w:tcW w:w="652" w:type="pct"/>
            <w:shd w:val="clear" w:color="auto" w:fill="FFFFFF"/>
          </w:tcPr>
          <w:p w14:paraId="73601EAA"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86 (48.6)</w:t>
            </w:r>
          </w:p>
          <w:p w14:paraId="49854A02"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75 (42.4)</w:t>
            </w:r>
          </w:p>
          <w:p w14:paraId="1974F81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11 (6.2)</w:t>
            </w:r>
          </w:p>
        </w:tc>
        <w:tc>
          <w:tcPr>
            <w:tcW w:w="650" w:type="pct"/>
            <w:shd w:val="clear" w:color="auto" w:fill="FFFFFF"/>
          </w:tcPr>
          <w:p w14:paraId="375E10CD"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21 (11.7)</w:t>
            </w:r>
          </w:p>
          <w:p w14:paraId="2EB753C7"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12 (6.7)</w:t>
            </w:r>
          </w:p>
          <w:p w14:paraId="4A15C1D3"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 (5.0)</w:t>
            </w:r>
          </w:p>
        </w:tc>
        <w:tc>
          <w:tcPr>
            <w:tcW w:w="650" w:type="pct"/>
            <w:shd w:val="clear" w:color="auto" w:fill="FFFFFF"/>
          </w:tcPr>
          <w:p w14:paraId="3FB98EE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36 (20.1)</w:t>
            </w:r>
          </w:p>
          <w:p w14:paraId="4CABDFD3"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22 (12.3)</w:t>
            </w:r>
          </w:p>
          <w:p w14:paraId="78B68C6C"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14 (7.8)</w:t>
            </w:r>
          </w:p>
        </w:tc>
        <w:tc>
          <w:tcPr>
            <w:tcW w:w="650" w:type="pct"/>
            <w:shd w:val="clear" w:color="auto" w:fill="FFFFFF"/>
          </w:tcPr>
          <w:p w14:paraId="0E360539"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115 (65.0)</w:t>
            </w:r>
          </w:p>
          <w:p w14:paraId="49730418"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103 (58.2)</w:t>
            </w:r>
          </w:p>
          <w:p w14:paraId="5C70E2E3"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12 (6.8)</w:t>
            </w:r>
          </w:p>
        </w:tc>
      </w:tr>
      <w:tr w:rsidR="001612CC" w:rsidRPr="00191822" w14:paraId="77A96FB2" w14:textId="77777777" w:rsidTr="001F458A">
        <w:tc>
          <w:tcPr>
            <w:tcW w:w="1098" w:type="pct"/>
            <w:vAlign w:val="center"/>
          </w:tcPr>
          <w:p w14:paraId="78E7E181" w14:textId="77777777" w:rsidR="001612CC" w:rsidRPr="00191822" w:rsidRDefault="001612CC" w:rsidP="004026AA">
            <w:pPr>
              <w:keepNext/>
              <w:jc w:val="left"/>
              <w:rPr>
                <w:rFonts w:ascii="Arial Narrow" w:hAnsi="Arial Narrow"/>
                <w:iCs/>
                <w:sz w:val="20"/>
              </w:rPr>
            </w:pPr>
            <w:r w:rsidRPr="00191822">
              <w:rPr>
                <w:rFonts w:ascii="Arial Narrow" w:hAnsi="Arial Narrow"/>
                <w:sz w:val="20"/>
              </w:rPr>
              <w:t>Median PFS, months (95% CI)</w:t>
            </w:r>
          </w:p>
        </w:tc>
        <w:tc>
          <w:tcPr>
            <w:tcW w:w="650" w:type="pct"/>
            <w:shd w:val="clear" w:color="auto" w:fill="FFFFFF"/>
            <w:vAlign w:val="center"/>
          </w:tcPr>
          <w:p w14:paraId="72C31A74"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Not reached (NE)</w:t>
            </w:r>
          </w:p>
        </w:tc>
        <w:tc>
          <w:tcPr>
            <w:tcW w:w="650" w:type="pct"/>
            <w:shd w:val="clear" w:color="auto" w:fill="FFFFFF"/>
            <w:vAlign w:val="center"/>
          </w:tcPr>
          <w:p w14:paraId="41DAD970" w14:textId="77777777" w:rsidR="001612CC" w:rsidRPr="00191822" w:rsidRDefault="001612CC" w:rsidP="00484F16">
            <w:pPr>
              <w:keepNext/>
              <w:jc w:val="center"/>
              <w:rPr>
                <w:rFonts w:ascii="Arial Narrow" w:hAnsi="Arial Narrow"/>
                <w:iCs/>
                <w:sz w:val="20"/>
                <w:szCs w:val="18"/>
              </w:rPr>
            </w:pPr>
            <w:r w:rsidRPr="00191822">
              <w:rPr>
                <w:rFonts w:ascii="Arial Narrow" w:hAnsi="Arial Narrow"/>
                <w:iCs/>
                <w:sz w:val="20"/>
                <w:szCs w:val="18"/>
              </w:rPr>
              <w:t>Not reached (NE)</w:t>
            </w:r>
          </w:p>
        </w:tc>
        <w:tc>
          <w:tcPr>
            <w:tcW w:w="652" w:type="pct"/>
            <w:shd w:val="clear" w:color="auto" w:fill="FFFFFF"/>
            <w:vAlign w:val="center"/>
          </w:tcPr>
          <w:p w14:paraId="03D47CED"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27.8 </w:t>
            </w:r>
          </w:p>
          <w:p w14:paraId="09C93E68"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(22.6, 28.8)</w:t>
            </w:r>
          </w:p>
        </w:tc>
        <w:tc>
          <w:tcPr>
            <w:tcW w:w="650" w:type="pct"/>
            <w:shd w:val="clear" w:color="auto" w:fill="FFFFFF"/>
            <w:vAlign w:val="center"/>
          </w:tcPr>
          <w:p w14:paraId="086BD90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Not reached (NE)</w:t>
            </w:r>
          </w:p>
        </w:tc>
        <w:tc>
          <w:tcPr>
            <w:tcW w:w="650" w:type="pct"/>
            <w:shd w:val="clear" w:color="auto" w:fill="FFFFFF"/>
            <w:vAlign w:val="center"/>
          </w:tcPr>
          <w:p w14:paraId="2C7097D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Not reached (NE)</w:t>
            </w:r>
          </w:p>
        </w:tc>
        <w:tc>
          <w:tcPr>
            <w:tcW w:w="650" w:type="pct"/>
            <w:shd w:val="clear" w:color="auto" w:fill="FFFFFF"/>
          </w:tcPr>
          <w:p w14:paraId="767DC77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27.8 </w:t>
            </w:r>
          </w:p>
          <w:p w14:paraId="525A924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(22.6, </w:t>
            </w:r>
            <w:r w:rsidR="002874FE">
              <w:rPr>
                <w:rFonts w:ascii="Arial Narrow" w:hAnsi="Arial Narrow"/>
                <w:iCs/>
                <w:sz w:val="20"/>
                <w:szCs w:val="18"/>
              </w:rPr>
              <w:t>33.2</w:t>
            </w:r>
            <w:r w:rsidRPr="00191822">
              <w:rPr>
                <w:rFonts w:ascii="Arial Narrow" w:hAnsi="Arial Narrow"/>
                <w:iCs/>
                <w:sz w:val="20"/>
                <w:szCs w:val="18"/>
              </w:rPr>
              <w:t>)</w:t>
            </w:r>
          </w:p>
        </w:tc>
      </w:tr>
      <w:tr w:rsidR="001612CC" w:rsidRPr="00191822" w14:paraId="22CAC253" w14:textId="77777777" w:rsidTr="001F458A">
        <w:tc>
          <w:tcPr>
            <w:tcW w:w="1098" w:type="pct"/>
          </w:tcPr>
          <w:p w14:paraId="3A2F06AF" w14:textId="77777777" w:rsidR="001612CC" w:rsidRPr="00191822" w:rsidRDefault="001612CC" w:rsidP="004026AA">
            <w:pPr>
              <w:keepNext/>
              <w:jc w:val="left"/>
              <w:rPr>
                <w:rFonts w:ascii="Arial Narrow" w:hAnsi="Arial Narrow"/>
                <w:sz w:val="20"/>
              </w:rPr>
            </w:pPr>
            <w:r w:rsidRPr="00191822">
              <w:rPr>
                <w:rFonts w:ascii="Arial Narrow" w:hAnsi="Arial Narrow"/>
                <w:sz w:val="20"/>
              </w:rPr>
              <w:t>Stratified HR vs CHL + OBI (95% CI)</w:t>
            </w:r>
          </w:p>
        </w:tc>
        <w:tc>
          <w:tcPr>
            <w:tcW w:w="650" w:type="pct"/>
            <w:shd w:val="clear" w:color="auto" w:fill="FFFFFF"/>
          </w:tcPr>
          <w:p w14:paraId="39204DB4"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0.12 </w:t>
            </w:r>
          </w:p>
          <w:p w14:paraId="2751BBF9"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(0.07, 0.21)</w:t>
            </w:r>
          </w:p>
        </w:tc>
        <w:tc>
          <w:tcPr>
            <w:tcW w:w="650" w:type="pct"/>
            <w:shd w:val="clear" w:color="auto" w:fill="FFFFFF"/>
            <w:vAlign w:val="center"/>
          </w:tcPr>
          <w:p w14:paraId="05A5012C"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0.16 </w:t>
            </w:r>
          </w:p>
          <w:p w14:paraId="262AB3ED"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(0.10, 0.27)</w:t>
            </w:r>
          </w:p>
        </w:tc>
        <w:tc>
          <w:tcPr>
            <w:tcW w:w="652" w:type="pct"/>
            <w:shd w:val="clear" w:color="auto" w:fill="FFFFFF"/>
            <w:vAlign w:val="center"/>
          </w:tcPr>
          <w:p w14:paraId="4F4554C0"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w:t>
            </w:r>
          </w:p>
        </w:tc>
        <w:tc>
          <w:tcPr>
            <w:tcW w:w="650" w:type="pct"/>
            <w:shd w:val="clear" w:color="auto" w:fill="FFFFFF"/>
          </w:tcPr>
          <w:p w14:paraId="31D138CB"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0.10 </w:t>
            </w:r>
          </w:p>
          <w:p w14:paraId="427CA4EE"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(0.07, 0.17)</w:t>
            </w:r>
          </w:p>
        </w:tc>
        <w:tc>
          <w:tcPr>
            <w:tcW w:w="650" w:type="pct"/>
            <w:shd w:val="clear" w:color="auto" w:fill="FFFFFF"/>
          </w:tcPr>
          <w:p w14:paraId="42D0087E"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 xml:space="preserve">0.19 </w:t>
            </w:r>
          </w:p>
          <w:p w14:paraId="41E28EEF" w14:textId="77777777" w:rsidR="001612CC" w:rsidRPr="00D540A3" w:rsidRDefault="001612CC" w:rsidP="004026AA">
            <w:pPr>
              <w:keepNext/>
              <w:jc w:val="center"/>
              <w:rPr>
                <w:rFonts w:ascii="Arial Narrow" w:hAnsi="Arial Narrow"/>
                <w:b/>
                <w:bCs/>
                <w:iCs/>
                <w:sz w:val="20"/>
              </w:rPr>
            </w:pPr>
            <w:r w:rsidRPr="00D540A3">
              <w:rPr>
                <w:rFonts w:ascii="Arial Narrow" w:hAnsi="Arial Narrow"/>
                <w:b/>
                <w:bCs/>
                <w:iCs/>
                <w:sz w:val="20"/>
              </w:rPr>
              <w:t>(0.13, 0.28)</w:t>
            </w:r>
          </w:p>
        </w:tc>
        <w:tc>
          <w:tcPr>
            <w:tcW w:w="650" w:type="pct"/>
            <w:shd w:val="clear" w:color="auto" w:fill="FFFFFF"/>
            <w:vAlign w:val="center"/>
          </w:tcPr>
          <w:p w14:paraId="2B923367"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w:t>
            </w:r>
          </w:p>
        </w:tc>
      </w:tr>
      <w:tr w:rsidR="001612CC" w:rsidRPr="00191822" w14:paraId="22275ABC" w14:textId="77777777" w:rsidTr="001F458A">
        <w:tc>
          <w:tcPr>
            <w:tcW w:w="1098" w:type="pct"/>
          </w:tcPr>
          <w:p w14:paraId="578D9DB4" w14:textId="77777777" w:rsidR="001612CC" w:rsidRPr="00191822" w:rsidRDefault="001612CC" w:rsidP="004026AA">
            <w:pPr>
              <w:keepNext/>
              <w:widowControl w:val="0"/>
              <w:jc w:val="left"/>
              <w:rPr>
                <w:rFonts w:ascii="Arial Narrow" w:hAnsi="Arial Narrow"/>
                <w:snapToGrid w:val="0"/>
                <w:sz w:val="20"/>
              </w:rPr>
            </w:pPr>
            <w:r w:rsidRPr="00191822">
              <w:rPr>
                <w:rFonts w:ascii="Arial Narrow" w:hAnsi="Arial Narrow"/>
                <w:snapToGrid w:val="0"/>
                <w:sz w:val="20"/>
              </w:rPr>
              <w:t>KM estimate of PFS</w:t>
            </w:r>
          </w:p>
          <w:p w14:paraId="6EE7DB07" w14:textId="77777777" w:rsidR="001612CC" w:rsidRPr="00191822" w:rsidRDefault="001612CC" w:rsidP="004026AA">
            <w:pPr>
              <w:keepNext/>
              <w:widowControl w:val="0"/>
              <w:jc w:val="left"/>
              <w:rPr>
                <w:rFonts w:ascii="Arial Narrow" w:hAnsi="Arial Narrow"/>
                <w:snapToGrid w:val="0"/>
                <w:sz w:val="20"/>
              </w:rPr>
            </w:pPr>
            <w:r w:rsidRPr="00191822">
              <w:rPr>
                <w:rFonts w:ascii="Arial Narrow" w:hAnsi="Arial Narrow"/>
                <w:snapToGrid w:val="0"/>
                <w:sz w:val="20"/>
              </w:rPr>
              <w:t>- 12 months, % (95% CI)</w:t>
            </w:r>
          </w:p>
          <w:p w14:paraId="4FCA972D" w14:textId="77777777" w:rsidR="001612CC" w:rsidRPr="00191822" w:rsidRDefault="001612CC" w:rsidP="004026AA">
            <w:pPr>
              <w:keepNext/>
              <w:widowControl w:val="0"/>
              <w:jc w:val="left"/>
              <w:rPr>
                <w:rFonts w:ascii="Arial Narrow" w:hAnsi="Arial Narrow"/>
                <w:snapToGrid w:val="0"/>
                <w:sz w:val="20"/>
              </w:rPr>
            </w:pPr>
          </w:p>
          <w:p w14:paraId="2A166819" w14:textId="77777777" w:rsidR="001612CC" w:rsidRPr="00191822" w:rsidRDefault="001612CC" w:rsidP="004026AA">
            <w:pPr>
              <w:keepNext/>
              <w:jc w:val="left"/>
              <w:rPr>
                <w:rFonts w:ascii="Arial Narrow" w:hAnsi="Arial Narrow"/>
                <w:snapToGrid w:val="0"/>
                <w:sz w:val="20"/>
              </w:rPr>
            </w:pPr>
            <w:r w:rsidRPr="00191822">
              <w:rPr>
                <w:rFonts w:ascii="Arial Narrow" w:hAnsi="Arial Narrow"/>
                <w:snapToGrid w:val="0"/>
                <w:sz w:val="20"/>
              </w:rPr>
              <w:t>- 24 months, % (95% CI)</w:t>
            </w:r>
          </w:p>
          <w:p w14:paraId="38A45D40" w14:textId="77777777" w:rsidR="001612CC" w:rsidRPr="00191822" w:rsidRDefault="001612CC" w:rsidP="004026AA">
            <w:pPr>
              <w:keepNext/>
              <w:jc w:val="left"/>
              <w:rPr>
                <w:rFonts w:ascii="Arial Narrow" w:hAnsi="Arial Narrow"/>
                <w:snapToGrid w:val="0"/>
                <w:sz w:val="20"/>
              </w:rPr>
            </w:pPr>
          </w:p>
          <w:p w14:paraId="149A35BF" w14:textId="77777777" w:rsidR="001612CC" w:rsidRPr="00191822" w:rsidRDefault="001612CC" w:rsidP="004026AA">
            <w:pPr>
              <w:keepNext/>
              <w:jc w:val="left"/>
              <w:rPr>
                <w:rFonts w:ascii="Arial Narrow" w:hAnsi="Arial Narrow"/>
                <w:snapToGrid w:val="0"/>
                <w:sz w:val="20"/>
              </w:rPr>
            </w:pPr>
            <w:r w:rsidRPr="00191822">
              <w:rPr>
                <w:rFonts w:ascii="Arial Narrow" w:hAnsi="Arial Narrow"/>
                <w:snapToGrid w:val="0"/>
                <w:sz w:val="20"/>
              </w:rPr>
              <w:t>- 36 months, % (95% CI)</w:t>
            </w:r>
          </w:p>
          <w:p w14:paraId="7B0C9D86" w14:textId="77777777" w:rsidR="001612CC" w:rsidRPr="00191822" w:rsidRDefault="001612CC" w:rsidP="004026AA">
            <w:pPr>
              <w:keepNext/>
              <w:jc w:val="left"/>
              <w:rPr>
                <w:rFonts w:ascii="Arial Narrow" w:hAnsi="Arial Narrow"/>
                <w:snapToGrid w:val="0"/>
                <w:sz w:val="20"/>
              </w:rPr>
            </w:pPr>
          </w:p>
          <w:p w14:paraId="2E042646" w14:textId="77777777" w:rsidR="001612CC" w:rsidRPr="00191822" w:rsidRDefault="001612CC" w:rsidP="004026AA">
            <w:pPr>
              <w:keepNext/>
              <w:jc w:val="left"/>
              <w:rPr>
                <w:rFonts w:ascii="Arial Narrow" w:hAnsi="Arial Narrow"/>
                <w:snapToGrid w:val="0"/>
                <w:sz w:val="20"/>
              </w:rPr>
            </w:pPr>
            <w:r w:rsidRPr="00191822">
              <w:rPr>
                <w:rFonts w:ascii="Arial Narrow" w:hAnsi="Arial Narrow"/>
                <w:snapToGrid w:val="0"/>
                <w:sz w:val="20"/>
              </w:rPr>
              <w:t>- 48 months, % (95% CI)</w:t>
            </w:r>
          </w:p>
          <w:p w14:paraId="703D2A5C" w14:textId="77777777" w:rsidR="001612CC" w:rsidRPr="00191822" w:rsidRDefault="001612CC" w:rsidP="004026AA">
            <w:pPr>
              <w:keepNext/>
              <w:jc w:val="left"/>
              <w:rPr>
                <w:rFonts w:ascii="Arial Narrow" w:hAnsi="Arial Narrow"/>
                <w:snapToGrid w:val="0"/>
                <w:sz w:val="20"/>
              </w:rPr>
            </w:pPr>
          </w:p>
          <w:p w14:paraId="758F10F1" w14:textId="77777777" w:rsidR="001612CC" w:rsidRPr="00191822" w:rsidRDefault="001612CC" w:rsidP="004026AA">
            <w:pPr>
              <w:keepNext/>
              <w:jc w:val="left"/>
              <w:rPr>
                <w:rFonts w:ascii="Arial Narrow" w:hAnsi="Arial Narrow"/>
                <w:snapToGrid w:val="0"/>
                <w:sz w:val="20"/>
              </w:rPr>
            </w:pPr>
            <w:r w:rsidRPr="00191822">
              <w:rPr>
                <w:rFonts w:ascii="Arial Narrow" w:hAnsi="Arial Narrow"/>
                <w:snapToGrid w:val="0"/>
                <w:sz w:val="20"/>
              </w:rPr>
              <w:t>- 54 months, % (95% CI)</w:t>
            </w:r>
          </w:p>
          <w:p w14:paraId="0C89E1C5" w14:textId="77777777" w:rsidR="001612CC" w:rsidRPr="00191822" w:rsidRDefault="001612CC" w:rsidP="004026AA">
            <w:pPr>
              <w:keepNext/>
              <w:jc w:val="left"/>
              <w:rPr>
                <w:rFonts w:ascii="Arial Narrow" w:hAnsi="Arial Narrow"/>
                <w:sz w:val="20"/>
              </w:rPr>
            </w:pPr>
          </w:p>
        </w:tc>
        <w:tc>
          <w:tcPr>
            <w:tcW w:w="650" w:type="pct"/>
            <w:shd w:val="clear" w:color="auto" w:fill="FFFFFF"/>
          </w:tcPr>
          <w:p w14:paraId="20A6EB8E" w14:textId="77777777" w:rsidR="001612CC" w:rsidRPr="00191822" w:rsidRDefault="001612CC" w:rsidP="004026AA">
            <w:pPr>
              <w:keepNext/>
              <w:jc w:val="center"/>
              <w:rPr>
                <w:rFonts w:ascii="Arial Narrow" w:hAnsi="Arial Narrow"/>
                <w:iCs/>
                <w:sz w:val="20"/>
              </w:rPr>
            </w:pPr>
          </w:p>
          <w:p w14:paraId="3EA767C6"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95.4 </w:t>
            </w:r>
          </w:p>
          <w:p w14:paraId="3744F1D2"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(91.1, 97.7)</w:t>
            </w:r>
          </w:p>
          <w:p w14:paraId="6AFDC56D"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91.9 </w:t>
            </w:r>
          </w:p>
          <w:p w14:paraId="248BD305"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(86.7, 95.1)</w:t>
            </w:r>
          </w:p>
          <w:p w14:paraId="232B3A5D"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 xml:space="preserve">90.9 </w:t>
            </w:r>
          </w:p>
          <w:p w14:paraId="4C6AC991"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(85.3, 94.5)</w:t>
            </w:r>
          </w:p>
          <w:p w14:paraId="37C399F7"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w:t>
            </w:r>
          </w:p>
          <w:p w14:paraId="65F66DD9" w14:textId="77777777" w:rsidR="001612CC" w:rsidRPr="00191822" w:rsidRDefault="001612CC" w:rsidP="004026AA">
            <w:pPr>
              <w:keepNext/>
              <w:jc w:val="center"/>
              <w:rPr>
                <w:rFonts w:ascii="Arial Narrow" w:hAnsi="Arial Narrow"/>
                <w:iCs/>
                <w:sz w:val="20"/>
              </w:rPr>
            </w:pPr>
          </w:p>
          <w:p w14:paraId="39E104DC" w14:textId="77777777" w:rsidR="001612CC" w:rsidRPr="00191822" w:rsidRDefault="001612CC" w:rsidP="004026AA">
            <w:pPr>
              <w:keepNext/>
              <w:jc w:val="center"/>
              <w:rPr>
                <w:rFonts w:ascii="Arial Narrow" w:hAnsi="Arial Narrow"/>
                <w:iCs/>
                <w:sz w:val="20"/>
              </w:rPr>
            </w:pPr>
            <w:r w:rsidRPr="00191822">
              <w:rPr>
                <w:rFonts w:ascii="Arial Narrow" w:hAnsi="Arial Narrow"/>
                <w:iCs/>
                <w:sz w:val="20"/>
              </w:rPr>
              <w:t>-</w:t>
            </w:r>
          </w:p>
        </w:tc>
        <w:tc>
          <w:tcPr>
            <w:tcW w:w="650" w:type="pct"/>
            <w:shd w:val="clear" w:color="auto" w:fill="FFFFFF"/>
          </w:tcPr>
          <w:p w14:paraId="08843C66" w14:textId="77777777" w:rsidR="001612CC" w:rsidRPr="00191822" w:rsidRDefault="001612CC" w:rsidP="004026AA">
            <w:pPr>
              <w:keepNext/>
              <w:jc w:val="center"/>
              <w:rPr>
                <w:rFonts w:ascii="Arial Narrow" w:hAnsi="Arial Narrow"/>
                <w:iCs/>
                <w:sz w:val="20"/>
                <w:szCs w:val="18"/>
              </w:rPr>
            </w:pPr>
          </w:p>
          <w:p w14:paraId="540DCBAD"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94.7 </w:t>
            </w:r>
          </w:p>
          <w:p w14:paraId="304B95A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(90.1, 97.2)</w:t>
            </w:r>
          </w:p>
          <w:p w14:paraId="5EB8C71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90.4 </w:t>
            </w:r>
          </w:p>
          <w:p w14:paraId="71B98EC5"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(84.9, 94.0)</w:t>
            </w:r>
          </w:p>
          <w:p w14:paraId="76A7133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87.6 </w:t>
            </w:r>
          </w:p>
          <w:p w14:paraId="0299750F"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(81.0, 92.1)</w:t>
            </w:r>
          </w:p>
          <w:p w14:paraId="542C83F5"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w:t>
            </w:r>
          </w:p>
          <w:p w14:paraId="4ACF4119" w14:textId="77777777" w:rsidR="001612CC" w:rsidRPr="00191822" w:rsidRDefault="001612CC" w:rsidP="004026AA">
            <w:pPr>
              <w:keepNext/>
              <w:jc w:val="center"/>
              <w:rPr>
                <w:rFonts w:ascii="Arial Narrow" w:hAnsi="Arial Narrow"/>
                <w:iCs/>
                <w:sz w:val="20"/>
                <w:szCs w:val="18"/>
              </w:rPr>
            </w:pPr>
          </w:p>
          <w:p w14:paraId="0C01269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w:t>
            </w:r>
          </w:p>
        </w:tc>
        <w:tc>
          <w:tcPr>
            <w:tcW w:w="652" w:type="pct"/>
            <w:shd w:val="clear" w:color="auto" w:fill="FFFFFF"/>
          </w:tcPr>
          <w:p w14:paraId="23312AEC" w14:textId="77777777" w:rsidR="001612CC" w:rsidRPr="00191822" w:rsidRDefault="001612CC" w:rsidP="004026AA">
            <w:pPr>
              <w:keepNext/>
              <w:jc w:val="center"/>
              <w:rPr>
                <w:rFonts w:ascii="Arial Narrow" w:hAnsi="Arial Narrow"/>
                <w:iCs/>
                <w:sz w:val="20"/>
                <w:szCs w:val="18"/>
              </w:rPr>
            </w:pPr>
          </w:p>
          <w:p w14:paraId="3048539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85.5 </w:t>
            </w:r>
          </w:p>
          <w:p w14:paraId="61BB6FA4"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(79.1, 90.0)</w:t>
            </w:r>
          </w:p>
          <w:p w14:paraId="6EB6D1B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54.7 </w:t>
            </w:r>
          </w:p>
          <w:p w14:paraId="76989CA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(46.7, 62.0)</w:t>
            </w:r>
          </w:p>
          <w:p w14:paraId="57BF2CB4"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36.9 </w:t>
            </w:r>
          </w:p>
          <w:p w14:paraId="5C22D47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(26.6, 47.1)</w:t>
            </w:r>
          </w:p>
          <w:p w14:paraId="3F3E130E"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w:t>
            </w:r>
          </w:p>
          <w:p w14:paraId="4B6DC58B" w14:textId="77777777" w:rsidR="001612CC" w:rsidRPr="00191822" w:rsidRDefault="001612CC" w:rsidP="004026AA">
            <w:pPr>
              <w:keepNext/>
              <w:jc w:val="center"/>
              <w:rPr>
                <w:rFonts w:ascii="Arial Narrow" w:hAnsi="Arial Narrow"/>
                <w:iCs/>
                <w:sz w:val="20"/>
                <w:szCs w:val="18"/>
              </w:rPr>
            </w:pPr>
          </w:p>
          <w:p w14:paraId="4D404DF2"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w:t>
            </w:r>
          </w:p>
        </w:tc>
        <w:tc>
          <w:tcPr>
            <w:tcW w:w="650" w:type="pct"/>
            <w:shd w:val="clear" w:color="auto" w:fill="FFFFFF"/>
          </w:tcPr>
          <w:p w14:paraId="36FB1EB2" w14:textId="77777777" w:rsidR="001612CC" w:rsidRPr="00191822" w:rsidRDefault="001612CC" w:rsidP="004026AA">
            <w:pPr>
              <w:keepNext/>
              <w:jc w:val="center"/>
              <w:rPr>
                <w:rFonts w:ascii="Arial Narrow" w:hAnsi="Arial Narrow"/>
                <w:iCs/>
                <w:sz w:val="20"/>
                <w:szCs w:val="18"/>
              </w:rPr>
            </w:pPr>
          </w:p>
          <w:p w14:paraId="5AD56E1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95.4 </w:t>
            </w:r>
          </w:p>
          <w:p w14:paraId="48ECBFD2"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(91.1, 97.7)</w:t>
            </w:r>
          </w:p>
          <w:p w14:paraId="3D87AADD"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92.5 </w:t>
            </w:r>
          </w:p>
          <w:p w14:paraId="18B2B661"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(87.4, 95.6)</w:t>
            </w:r>
          </w:p>
          <w:p w14:paraId="1B0B75C4"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91.3 </w:t>
            </w:r>
          </w:p>
          <w:p w14:paraId="21B1A178"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(86.0, 94.7)</w:t>
            </w:r>
          </w:p>
          <w:p w14:paraId="368C341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87.0 </w:t>
            </w:r>
          </w:p>
          <w:p w14:paraId="3BB7126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(80.6, 91.4)</w:t>
            </w:r>
          </w:p>
          <w:p w14:paraId="7948B34E"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87.0 </w:t>
            </w:r>
          </w:p>
          <w:p w14:paraId="7513ADA5"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(80.6, 91.4)</w:t>
            </w:r>
          </w:p>
        </w:tc>
        <w:tc>
          <w:tcPr>
            <w:tcW w:w="650" w:type="pct"/>
            <w:shd w:val="clear" w:color="auto" w:fill="FFFFFF"/>
          </w:tcPr>
          <w:p w14:paraId="0EF98BF4" w14:textId="77777777" w:rsidR="001612CC" w:rsidRPr="00191822" w:rsidRDefault="001612CC" w:rsidP="004026AA">
            <w:pPr>
              <w:keepNext/>
              <w:jc w:val="center"/>
              <w:rPr>
                <w:rFonts w:ascii="Arial Narrow" w:hAnsi="Arial Narrow"/>
                <w:iCs/>
                <w:sz w:val="20"/>
                <w:szCs w:val="18"/>
              </w:rPr>
            </w:pPr>
          </w:p>
          <w:p w14:paraId="167AD09B"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94.7 </w:t>
            </w:r>
          </w:p>
          <w:p w14:paraId="00A1904C"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(90.1, 97.2)</w:t>
            </w:r>
          </w:p>
          <w:p w14:paraId="512959BF"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90.5 </w:t>
            </w:r>
          </w:p>
          <w:p w14:paraId="3A64DFB0"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(84.9, 94.0)</w:t>
            </w:r>
          </w:p>
          <w:p w14:paraId="4AE6261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84.3 </w:t>
            </w:r>
          </w:p>
          <w:p w14:paraId="7A4F772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(77.8, 89.1)</w:t>
            </w:r>
          </w:p>
          <w:p w14:paraId="559ADB3F"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77.9 </w:t>
            </w:r>
          </w:p>
          <w:p w14:paraId="30D9F63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(70.2, 83.9)</w:t>
            </w:r>
          </w:p>
          <w:p w14:paraId="34C6D51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74.3 </w:t>
            </w:r>
          </w:p>
          <w:p w14:paraId="4AEA005D"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(65.1, 81.5)</w:t>
            </w:r>
          </w:p>
        </w:tc>
        <w:tc>
          <w:tcPr>
            <w:tcW w:w="650" w:type="pct"/>
            <w:shd w:val="clear" w:color="auto" w:fill="FFFFFF"/>
          </w:tcPr>
          <w:p w14:paraId="0E1CD94A" w14:textId="77777777" w:rsidR="001612CC" w:rsidRPr="00191822" w:rsidRDefault="001612CC" w:rsidP="004026AA">
            <w:pPr>
              <w:keepNext/>
              <w:jc w:val="center"/>
              <w:rPr>
                <w:rFonts w:ascii="Arial Narrow" w:hAnsi="Arial Narrow"/>
                <w:iCs/>
                <w:sz w:val="20"/>
                <w:szCs w:val="18"/>
              </w:rPr>
            </w:pPr>
          </w:p>
          <w:p w14:paraId="03C895C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84.8 </w:t>
            </w:r>
          </w:p>
          <w:p w14:paraId="41266EA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(78.4, 89.5)</w:t>
            </w:r>
          </w:p>
          <w:p w14:paraId="7A6FA61A"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55.0 </w:t>
            </w:r>
          </w:p>
          <w:p w14:paraId="28441E72"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(47.0, 62.3)</w:t>
            </w:r>
          </w:p>
          <w:p w14:paraId="5850BD9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36.7 </w:t>
            </w:r>
          </w:p>
          <w:p w14:paraId="2C859927"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(29.2, 44.2)</w:t>
            </w:r>
          </w:p>
          <w:p w14:paraId="1C514476"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25.1 </w:t>
            </w:r>
          </w:p>
          <w:p w14:paraId="74BC2DCB"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(17.9, 32.9)</w:t>
            </w:r>
          </w:p>
          <w:p w14:paraId="7235B729"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 xml:space="preserve">25.1 </w:t>
            </w:r>
          </w:p>
          <w:p w14:paraId="11C087D3" w14:textId="77777777" w:rsidR="001612CC" w:rsidRPr="00191822" w:rsidRDefault="001612CC" w:rsidP="004026AA">
            <w:pPr>
              <w:keepNext/>
              <w:jc w:val="center"/>
              <w:rPr>
                <w:rFonts w:ascii="Arial Narrow" w:hAnsi="Arial Narrow"/>
                <w:iCs/>
                <w:sz w:val="20"/>
                <w:szCs w:val="18"/>
              </w:rPr>
            </w:pPr>
            <w:r w:rsidRPr="00191822">
              <w:rPr>
                <w:rFonts w:ascii="Arial Narrow" w:hAnsi="Arial Narrow"/>
                <w:iCs/>
                <w:sz w:val="20"/>
                <w:szCs w:val="18"/>
              </w:rPr>
              <w:t>(17.9, 32.9)</w:t>
            </w:r>
          </w:p>
        </w:tc>
      </w:tr>
    </w:tbl>
    <w:p w14:paraId="5AD090CC" w14:textId="77777777" w:rsidR="001612CC" w:rsidRPr="00191822" w:rsidRDefault="001612CC" w:rsidP="001612CC">
      <w:pPr>
        <w:pStyle w:val="TableFooter"/>
        <w:keepNext/>
        <w:keepLines/>
        <w:spacing w:after="120"/>
      </w:pPr>
      <w:r w:rsidRPr="00191822">
        <w:t>Source: Table 2.15, p65 of the resubmission; Table 14.2.5.1, pp1-2 of Attachment 12 of the resubmission; Table 14, pp97-98; Table 22, p121 of the ELEVATE-TN interim clinical study report.</w:t>
      </w:r>
    </w:p>
    <w:p w14:paraId="0E4FCC49" w14:textId="77777777" w:rsidR="001612CC" w:rsidRDefault="001612CC" w:rsidP="001612CC">
      <w:pPr>
        <w:pStyle w:val="TableFooter"/>
        <w:keepNext/>
        <w:keepLines/>
        <w:spacing w:after="120"/>
      </w:pPr>
      <w:r w:rsidRPr="00191822">
        <w:t xml:space="preserve">ACAL, acalabrutinib; CHL, chlorambucil; CI, confidence interval; HR, hazard ratio; KM, Kaplan-Meier; NE, not estimable; NR, not reported; OBI, </w:t>
      </w:r>
      <w:proofErr w:type="spellStart"/>
      <w:r w:rsidRPr="00191822">
        <w:t>obinutuzumab</w:t>
      </w:r>
      <w:proofErr w:type="spellEnd"/>
      <w:r w:rsidRPr="00191822">
        <w:t>; PFS, progression-free survival.</w:t>
      </w:r>
    </w:p>
    <w:p w14:paraId="265CCEC2" w14:textId="77777777" w:rsidR="00D00F98" w:rsidRPr="00191822" w:rsidRDefault="00D00F98" w:rsidP="001612CC">
      <w:pPr>
        <w:pStyle w:val="TableFooter"/>
        <w:keepNext/>
        <w:keepLines/>
        <w:spacing w:after="120"/>
      </w:pPr>
      <w:r>
        <w:t>Bold indicates statistically significant results.</w:t>
      </w:r>
    </w:p>
    <w:p w14:paraId="5174B1D5" w14:textId="77777777" w:rsidR="001612CC" w:rsidRPr="00191822" w:rsidRDefault="001612CC" w:rsidP="001612CC">
      <w:pPr>
        <w:pStyle w:val="ExecSumBodyText"/>
      </w:pPr>
      <w:r w:rsidRPr="00191822">
        <w:t xml:space="preserve">At a median duration of follow-up of 46.9 months, investigator-assessed progression-free survival was statistically significantly longer among patients in the acalabrutinib + </w:t>
      </w:r>
      <w:proofErr w:type="spellStart"/>
      <w:r w:rsidRPr="00191822">
        <w:t>obinutuzumab</w:t>
      </w:r>
      <w:proofErr w:type="spellEnd"/>
      <w:r w:rsidRPr="00191822">
        <w:t xml:space="preserve"> and acalabrutinib monotherapy arms compared to the chlorambucil + </w:t>
      </w:r>
      <w:proofErr w:type="spellStart"/>
      <w:r w:rsidRPr="00191822">
        <w:t>obinutuzumab</w:t>
      </w:r>
      <w:proofErr w:type="spellEnd"/>
      <w:r w:rsidRPr="00191822">
        <w:t xml:space="preserve"> arm (median progression-free survival not reached in either acalabrutinib arm versus 27.8 months for chlorambucil + </w:t>
      </w:r>
      <w:proofErr w:type="spellStart"/>
      <w:r w:rsidRPr="00191822">
        <w:t>obinutuzumab</w:t>
      </w:r>
      <w:proofErr w:type="spellEnd"/>
      <w:r w:rsidRPr="00191822">
        <w:t xml:space="preserve">; HR = 0.10 [95% CI: 0.07, 0.17] for acalabrutinib + </w:t>
      </w:r>
      <w:proofErr w:type="spellStart"/>
      <w:r w:rsidRPr="00191822">
        <w:t>obinutuzumab</w:t>
      </w:r>
      <w:proofErr w:type="spellEnd"/>
      <w:r w:rsidRPr="00191822">
        <w:t xml:space="preserve"> versus chlorambucil + </w:t>
      </w:r>
      <w:proofErr w:type="spellStart"/>
      <w:r w:rsidRPr="00191822">
        <w:t>obinutuzumab</w:t>
      </w:r>
      <w:proofErr w:type="spellEnd"/>
      <w:r w:rsidRPr="00191822">
        <w:t xml:space="preserve">; HR = 0.19 [95% CI: 0.13, 0.28] for acalabrutinib monotherapy versus </w:t>
      </w:r>
      <w:r w:rsidRPr="00191822">
        <w:lastRenderedPageBreak/>
        <w:t xml:space="preserve">chlorambucil + </w:t>
      </w:r>
      <w:proofErr w:type="spellStart"/>
      <w:r w:rsidRPr="00191822">
        <w:t>obinutuzumab</w:t>
      </w:r>
      <w:proofErr w:type="spellEnd"/>
      <w:r w:rsidRPr="00191822">
        <w:t xml:space="preserve">). </w:t>
      </w:r>
      <w:r w:rsidR="00C40947" w:rsidRPr="00A25C41">
        <w:rPr>
          <w:iCs/>
        </w:rPr>
        <w:t xml:space="preserve">A </w:t>
      </w:r>
      <w:r w:rsidR="00C40947" w:rsidRPr="009E7F27">
        <w:rPr>
          <w:i/>
        </w:rPr>
        <w:t>post hoc</w:t>
      </w:r>
      <w:r w:rsidR="00C40947" w:rsidRPr="00A25C41">
        <w:rPr>
          <w:iCs/>
        </w:rPr>
        <w:t xml:space="preserve"> analysis comparing progression-free survival between the acalabrutinib + </w:t>
      </w:r>
      <w:proofErr w:type="spellStart"/>
      <w:r w:rsidR="00C40947" w:rsidRPr="00A25C41">
        <w:rPr>
          <w:iCs/>
        </w:rPr>
        <w:t>obinutuzumab</w:t>
      </w:r>
      <w:proofErr w:type="spellEnd"/>
      <w:r w:rsidR="00C40947" w:rsidRPr="00A25C41">
        <w:rPr>
          <w:iCs/>
        </w:rPr>
        <w:t xml:space="preserve"> and acalabrutinib monotherapy arms was suggestive of a statistically significant difference in favour of acalabrutinib + </w:t>
      </w:r>
      <w:proofErr w:type="spellStart"/>
      <w:r w:rsidR="00C40947" w:rsidRPr="00A25C41">
        <w:rPr>
          <w:iCs/>
        </w:rPr>
        <w:t>obinutuzumab</w:t>
      </w:r>
      <w:proofErr w:type="spellEnd"/>
      <w:r w:rsidR="00C40947" w:rsidRPr="00A25C41">
        <w:rPr>
          <w:iCs/>
        </w:rPr>
        <w:t xml:space="preserve"> compared to acalabrutinib monotherapy (Sharman et al., 2021).</w:t>
      </w:r>
    </w:p>
    <w:p w14:paraId="04D70B8E" w14:textId="77777777" w:rsidR="001612CC" w:rsidRPr="00A25C41" w:rsidRDefault="001612CC" w:rsidP="001612CC">
      <w:pPr>
        <w:pStyle w:val="ExecSumBodyText"/>
        <w:rPr>
          <w:iCs/>
        </w:rPr>
      </w:pPr>
      <w:r w:rsidRPr="00A25C41">
        <w:rPr>
          <w:iCs/>
        </w:rPr>
        <w:t>The PBAC previously noted that, due to the immaturity of the data, the magnitude of the effectiveness benefit was uncertain (</w:t>
      </w:r>
      <w:r w:rsidR="009F0137" w:rsidRPr="00A25C41">
        <w:rPr>
          <w:iCs/>
        </w:rPr>
        <w:t>p</w:t>
      </w:r>
      <w:r w:rsidRPr="00A25C41">
        <w:rPr>
          <w:iCs/>
        </w:rPr>
        <w:t xml:space="preserve">aragraph 6.48, </w:t>
      </w:r>
      <w:r w:rsidR="00F653F2" w:rsidRPr="00A25C41">
        <w:rPr>
          <w:iCs/>
        </w:rPr>
        <w:t>a</w:t>
      </w:r>
      <w:r w:rsidRPr="00A25C41">
        <w:rPr>
          <w:iCs/>
        </w:rPr>
        <w:t>calabrutinib, Public Summary Document</w:t>
      </w:r>
      <w:r w:rsidR="00F653F2" w:rsidRPr="00A25C41">
        <w:rPr>
          <w:iCs/>
        </w:rPr>
        <w:t xml:space="preserve"> (PSD)</w:t>
      </w:r>
      <w:r w:rsidRPr="00A25C41">
        <w:rPr>
          <w:iCs/>
        </w:rPr>
        <w:t xml:space="preserve">, July 2020 PBAC meeting). </w:t>
      </w:r>
      <w:r w:rsidR="00571559" w:rsidRPr="00DF44A0">
        <w:t xml:space="preserve">The ESC noted that </w:t>
      </w:r>
      <w:r w:rsidR="0042799C" w:rsidRPr="00A25C41">
        <w:rPr>
          <w:iCs/>
        </w:rPr>
        <w:t>updated</w:t>
      </w:r>
      <w:r w:rsidRPr="00A25C41">
        <w:rPr>
          <w:iCs/>
        </w:rPr>
        <w:t xml:space="preserve"> data for the ELEVATE-TN trial presented in the resubmission (median duration of follow-up 46.9 months) indicated that the progression-free survival benefit for acalabrutinib monotherapy versus chlorambucil + </w:t>
      </w:r>
      <w:proofErr w:type="spellStart"/>
      <w:r w:rsidRPr="00A25C41">
        <w:rPr>
          <w:iCs/>
        </w:rPr>
        <w:t>obinutuzumab</w:t>
      </w:r>
      <w:proofErr w:type="spellEnd"/>
      <w:r w:rsidRPr="00A25C41">
        <w:rPr>
          <w:iCs/>
        </w:rPr>
        <w:t xml:space="preserve"> observed at the interim analysis was maintained, however, median progression-free survival was not reached in the acalabrutinib monotherapy or acalabrutinib + </w:t>
      </w:r>
      <w:proofErr w:type="spellStart"/>
      <w:r w:rsidRPr="00A25C41">
        <w:rPr>
          <w:iCs/>
        </w:rPr>
        <w:t>obinutuzumab</w:t>
      </w:r>
      <w:proofErr w:type="spellEnd"/>
      <w:r w:rsidRPr="00A25C41">
        <w:rPr>
          <w:iCs/>
        </w:rPr>
        <w:t xml:space="preserve"> arms. </w:t>
      </w:r>
    </w:p>
    <w:p w14:paraId="48E2EB86" w14:textId="77777777" w:rsidR="001612CC" w:rsidRPr="00191822" w:rsidRDefault="001612CC" w:rsidP="001612CC">
      <w:pPr>
        <w:pStyle w:val="ExecSumBodyText"/>
      </w:pPr>
      <w:r w:rsidRPr="00191822">
        <w:t xml:space="preserve">Treatment with acalabrutinib + </w:t>
      </w:r>
      <w:proofErr w:type="spellStart"/>
      <w:r w:rsidRPr="00191822">
        <w:t>obinutuzumab</w:t>
      </w:r>
      <w:proofErr w:type="spellEnd"/>
      <w:r w:rsidRPr="00191822">
        <w:t xml:space="preserve"> was associated with a numerical improvement in progression-free survival at 54 months compared to acalabrutinib monotherapy (87.0% versus 74.3%). A </w:t>
      </w:r>
      <w:r w:rsidRPr="00502CA8">
        <w:rPr>
          <w:i/>
          <w:iCs/>
        </w:rPr>
        <w:t>post hoc</w:t>
      </w:r>
      <w:r w:rsidRPr="00191822">
        <w:t xml:space="preserve"> analysis published by Sharman et al. (2021) was suggestive of a statistically significant difference in favour of acalabrutinib + </w:t>
      </w:r>
      <w:proofErr w:type="spellStart"/>
      <w:r w:rsidRPr="00191822">
        <w:t>obinutuzumab</w:t>
      </w:r>
      <w:proofErr w:type="spellEnd"/>
      <w:r w:rsidRPr="00191822">
        <w:t xml:space="preserve"> (HR = 0.56 [95% CI: 0.32, 0.95]).</w:t>
      </w:r>
    </w:p>
    <w:p w14:paraId="44726293" w14:textId="77777777" w:rsidR="001D4212" w:rsidRPr="00191822" w:rsidRDefault="00BD60E3" w:rsidP="001D4212">
      <w:pPr>
        <w:pStyle w:val="ExecSumBodyText"/>
      </w:pPr>
      <w:r>
        <w:t xml:space="preserve">Figure </w:t>
      </w:r>
      <w:r>
        <w:rPr>
          <w:noProof/>
        </w:rPr>
        <w:t>3</w:t>
      </w:r>
      <w:r w:rsidR="00795E12">
        <w:t xml:space="preserve"> </w:t>
      </w:r>
      <w:r w:rsidR="001D4212" w:rsidRPr="00191822">
        <w:t xml:space="preserve">presents the </w:t>
      </w:r>
      <w:bookmarkStart w:id="30" w:name="_Hlk89429539"/>
      <w:r w:rsidR="001D4212" w:rsidRPr="00191822">
        <w:t xml:space="preserve">Kaplan-Meier </w:t>
      </w:r>
      <w:bookmarkEnd w:id="30"/>
      <w:r w:rsidR="001D4212" w:rsidRPr="00191822">
        <w:t>plot of overall survival for the ELEVATE-TN trial at a median duration of follow-up of 46.9 months.</w:t>
      </w:r>
    </w:p>
    <w:p w14:paraId="733C74A5" w14:textId="77777777" w:rsidR="001D4212" w:rsidRPr="00191822" w:rsidRDefault="00795E12" w:rsidP="00795E12">
      <w:pPr>
        <w:pStyle w:val="TableHeading"/>
      </w:pPr>
      <w:bookmarkStart w:id="31" w:name="_Ref80373725"/>
      <w:r>
        <w:t xml:space="preserve">Figure </w:t>
      </w:r>
      <w:r w:rsidR="00BD60E3">
        <w:rPr>
          <w:noProof/>
        </w:rPr>
        <w:t>3</w:t>
      </w:r>
      <w:bookmarkEnd w:id="31"/>
      <w:r w:rsidR="001D4212" w:rsidRPr="00191822">
        <w:t>: Kaplan-Meier plot of overall survival for the ELEVATE-TN trial at a median duration of follow-up of 46.9 months</w:t>
      </w:r>
    </w:p>
    <w:p w14:paraId="7153D693" w14:textId="77777777" w:rsidR="001D4212" w:rsidRPr="00191822" w:rsidRDefault="001D4212" w:rsidP="001D4212">
      <w:pPr>
        <w:rPr>
          <w:color w:val="3366FF"/>
        </w:rPr>
      </w:pPr>
      <w:r w:rsidRPr="00191822">
        <w:rPr>
          <w:noProof/>
          <w:color w:val="3366FF"/>
        </w:rPr>
        <w:drawing>
          <wp:inline distT="0" distB="0" distL="0" distR="0" wp14:anchorId="3E8C9D9C" wp14:editId="0D544369">
            <wp:extent cx="5732145" cy="2377440"/>
            <wp:effectExtent l="0" t="0" r="1905" b="3810"/>
            <wp:docPr id="12" name="Picture 12" title="Figure 3: Kaplan-Meier plot of overall survival for the ELEVATE-TN trial at a median duration of follow-up of 46.9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2377440"/>
                    </a:xfrm>
                    <a:prstGeom prst="rect">
                      <a:avLst/>
                    </a:prstGeom>
                  </pic:spPr>
                </pic:pic>
              </a:graphicData>
            </a:graphic>
          </wp:inline>
        </w:drawing>
      </w:r>
    </w:p>
    <w:p w14:paraId="385BB053" w14:textId="77777777" w:rsidR="001D4212" w:rsidRPr="008A2F88" w:rsidRDefault="001D4212" w:rsidP="008A2F88">
      <w:pPr>
        <w:pStyle w:val="TableFigureFooter"/>
      </w:pPr>
      <w:r w:rsidRPr="008A2F88">
        <w:t xml:space="preserve">Source: </w:t>
      </w:r>
      <w:r w:rsidR="006008B5">
        <w:t>Attachment 10 of the resubmission (</w:t>
      </w:r>
      <w:r w:rsidRPr="008A2F88">
        <w:t>Figure 4 of Sharman et al., 2021</w:t>
      </w:r>
      <w:r w:rsidR="006008B5">
        <w:t>)</w:t>
      </w:r>
      <w:r w:rsidR="00196F9D">
        <w:t>.</w:t>
      </w:r>
    </w:p>
    <w:p w14:paraId="308841C9" w14:textId="77777777" w:rsidR="001D4212" w:rsidRPr="008A2F88" w:rsidRDefault="001D4212" w:rsidP="008A2F88">
      <w:pPr>
        <w:pStyle w:val="TableFigureFooter"/>
      </w:pPr>
      <w:r w:rsidRPr="008A2F88">
        <w:t xml:space="preserve">A, acalabrutinib; </w:t>
      </w:r>
      <w:proofErr w:type="spellStart"/>
      <w:r w:rsidRPr="008A2F88">
        <w:t>Clb</w:t>
      </w:r>
      <w:proofErr w:type="spellEnd"/>
      <w:r w:rsidRPr="008A2F88">
        <w:t xml:space="preserve">, chlorambucil; </w:t>
      </w:r>
      <w:r w:rsidR="006008B5">
        <w:t xml:space="preserve">HR, hazard ratio; </w:t>
      </w:r>
      <w:r w:rsidRPr="008A2F88">
        <w:t xml:space="preserve">NR, not reached; O, </w:t>
      </w:r>
      <w:proofErr w:type="spellStart"/>
      <w:r w:rsidRPr="008A2F88">
        <w:t>obinutuzumab</w:t>
      </w:r>
      <w:proofErr w:type="spellEnd"/>
      <w:r w:rsidRPr="008A2F88">
        <w:t>; OS, overall survival.</w:t>
      </w:r>
    </w:p>
    <w:p w14:paraId="7650897E" w14:textId="77777777" w:rsidR="001D4212" w:rsidRPr="008A2F88" w:rsidRDefault="001D4212" w:rsidP="008A2F88">
      <w:pPr>
        <w:pStyle w:val="TableFigureFooter"/>
      </w:pPr>
      <w:r w:rsidRPr="00196F9D">
        <w:rPr>
          <w:vertAlign w:val="superscript"/>
        </w:rPr>
        <w:t>a</w:t>
      </w:r>
      <w:r w:rsidRPr="008A2F88">
        <w:t xml:space="preserve"> Hazard ratio was based on stratified Cox-Proportional-Hazards model (stratified by 17p deletion status) </w:t>
      </w:r>
    </w:p>
    <w:p w14:paraId="0AB79FF0" w14:textId="77777777" w:rsidR="001D4212" w:rsidRPr="00191822" w:rsidRDefault="00BD60E3" w:rsidP="007B23AC">
      <w:pPr>
        <w:pStyle w:val="ExecSumBodyText"/>
      </w:pPr>
      <w:r>
        <w:t xml:space="preserve">Table </w:t>
      </w:r>
      <w:r>
        <w:rPr>
          <w:noProof/>
        </w:rPr>
        <w:t>6</w:t>
      </w:r>
      <w:r w:rsidR="001D4212" w:rsidRPr="00191822">
        <w:t xml:space="preserve"> presents the results for overall survival for the ELEVATE-TN trial at the September 2020 data cut (median follow-up of 46.9 months).</w:t>
      </w:r>
    </w:p>
    <w:p w14:paraId="417F62B9" w14:textId="77777777" w:rsidR="001D4212" w:rsidRPr="00191822" w:rsidRDefault="004026AA" w:rsidP="004026AA">
      <w:pPr>
        <w:pStyle w:val="TableFigureCaption"/>
        <w:rPr>
          <w:snapToGrid w:val="0"/>
        </w:rPr>
      </w:pPr>
      <w:bookmarkStart w:id="32" w:name="_Ref80373484"/>
      <w:r>
        <w:lastRenderedPageBreak/>
        <w:t xml:space="preserve">Table </w:t>
      </w:r>
      <w:r w:rsidR="00BD60E3">
        <w:rPr>
          <w:noProof/>
        </w:rPr>
        <w:t>6</w:t>
      </w:r>
      <w:bookmarkEnd w:id="32"/>
      <w:r w:rsidR="001D4212" w:rsidRPr="00191822">
        <w:rPr>
          <w:snapToGrid w:val="0"/>
        </w:rPr>
        <w:t xml:space="preserve">: Overall survival results for the ELEVATE-TN trial at </w:t>
      </w:r>
      <w:r w:rsidR="00232212" w:rsidRPr="00191822">
        <w:rPr>
          <w:snapToGrid w:val="0"/>
        </w:rPr>
        <w:t>the September 2020 data cut (</w:t>
      </w:r>
      <w:r w:rsidR="001D4212" w:rsidRPr="00191822">
        <w:rPr>
          <w:snapToGrid w:val="0"/>
        </w:rPr>
        <w:t>median duration of follow-up of 46.9 months</w:t>
      </w:r>
      <w:r w:rsidR="00232212" w:rsidRPr="00191822">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Overall survival results for the ELEVATE-TN trial at the September 2020 data cut (median duration of follow-up of 46.9 months)"/>
      </w:tblPr>
      <w:tblGrid>
        <w:gridCol w:w="2830"/>
        <w:gridCol w:w="2061"/>
        <w:gridCol w:w="2061"/>
        <w:gridCol w:w="2065"/>
      </w:tblGrid>
      <w:tr w:rsidR="001D4212" w:rsidRPr="00191822" w14:paraId="24EF7252" w14:textId="77777777" w:rsidTr="004026AA">
        <w:trPr>
          <w:trHeight w:val="56"/>
        </w:trPr>
        <w:tc>
          <w:tcPr>
            <w:tcW w:w="1569" w:type="pct"/>
            <w:shd w:val="clear" w:color="auto" w:fill="FFFFFF"/>
            <w:vAlign w:val="center"/>
          </w:tcPr>
          <w:p w14:paraId="4EFB3750" w14:textId="77777777" w:rsidR="001D4212" w:rsidRPr="00191822" w:rsidRDefault="001D4212" w:rsidP="004026AA">
            <w:pPr>
              <w:keepNext/>
              <w:rPr>
                <w:rFonts w:ascii="Arial Narrow" w:hAnsi="Arial Narrow"/>
                <w:b/>
                <w:iCs/>
                <w:sz w:val="20"/>
                <w:szCs w:val="18"/>
              </w:rPr>
            </w:pPr>
          </w:p>
        </w:tc>
        <w:tc>
          <w:tcPr>
            <w:tcW w:w="3431" w:type="pct"/>
            <w:gridSpan w:val="3"/>
            <w:shd w:val="clear" w:color="auto" w:fill="FFFFFF"/>
          </w:tcPr>
          <w:p w14:paraId="1685C551"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Sep 2020 data cut</w:t>
            </w:r>
          </w:p>
        </w:tc>
      </w:tr>
      <w:tr w:rsidR="001D4212" w:rsidRPr="00191822" w14:paraId="01A981D8" w14:textId="77777777" w:rsidTr="004026AA">
        <w:trPr>
          <w:trHeight w:val="56"/>
        </w:trPr>
        <w:tc>
          <w:tcPr>
            <w:tcW w:w="1569" w:type="pct"/>
            <w:shd w:val="clear" w:color="auto" w:fill="FFFFFF"/>
            <w:vAlign w:val="center"/>
          </w:tcPr>
          <w:p w14:paraId="1101689E" w14:textId="77777777" w:rsidR="001D4212" w:rsidRPr="00191822" w:rsidRDefault="001D4212" w:rsidP="004026AA">
            <w:pPr>
              <w:keepNext/>
              <w:rPr>
                <w:rFonts w:ascii="Arial Narrow" w:hAnsi="Arial Narrow"/>
                <w:b/>
                <w:iCs/>
                <w:sz w:val="20"/>
                <w:szCs w:val="18"/>
              </w:rPr>
            </w:pPr>
            <w:r w:rsidRPr="00191822">
              <w:rPr>
                <w:rFonts w:ascii="Arial Narrow" w:hAnsi="Arial Narrow"/>
                <w:b/>
                <w:iCs/>
                <w:sz w:val="20"/>
                <w:szCs w:val="18"/>
              </w:rPr>
              <w:t>Cohort</w:t>
            </w:r>
          </w:p>
        </w:tc>
        <w:tc>
          <w:tcPr>
            <w:tcW w:w="1143" w:type="pct"/>
            <w:shd w:val="clear" w:color="auto" w:fill="FFFFFF"/>
          </w:tcPr>
          <w:p w14:paraId="7E172B0B"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ACAL + OBI</w:t>
            </w:r>
          </w:p>
          <w:p w14:paraId="59DB474C"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1143" w:type="pct"/>
            <w:shd w:val="clear" w:color="auto" w:fill="FFFFFF"/>
            <w:vAlign w:val="center"/>
          </w:tcPr>
          <w:p w14:paraId="4C4B03A7"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 xml:space="preserve">ACAL </w:t>
            </w:r>
          </w:p>
          <w:p w14:paraId="74D7FDB9"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(N=179)</w:t>
            </w:r>
          </w:p>
        </w:tc>
        <w:tc>
          <w:tcPr>
            <w:tcW w:w="1144" w:type="pct"/>
            <w:shd w:val="clear" w:color="auto" w:fill="FFFFFF"/>
            <w:vAlign w:val="center"/>
          </w:tcPr>
          <w:p w14:paraId="1D2D9D2B"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CHL + OBI</w:t>
            </w:r>
          </w:p>
          <w:p w14:paraId="79F330F1" w14:textId="77777777" w:rsidR="001D4212" w:rsidRPr="00191822" w:rsidRDefault="001D4212" w:rsidP="004026AA">
            <w:pPr>
              <w:keepNext/>
              <w:jc w:val="center"/>
              <w:rPr>
                <w:rFonts w:ascii="Arial Narrow" w:hAnsi="Arial Narrow"/>
                <w:b/>
                <w:iCs/>
                <w:sz w:val="20"/>
                <w:szCs w:val="18"/>
              </w:rPr>
            </w:pPr>
            <w:r w:rsidRPr="00191822">
              <w:rPr>
                <w:rFonts w:ascii="Arial Narrow" w:hAnsi="Arial Narrow"/>
                <w:b/>
                <w:iCs/>
                <w:sz w:val="20"/>
                <w:szCs w:val="18"/>
              </w:rPr>
              <w:t>(N=177)</w:t>
            </w:r>
          </w:p>
        </w:tc>
      </w:tr>
      <w:tr w:rsidR="001D4212" w:rsidRPr="00191822" w14:paraId="362DA7D4" w14:textId="77777777" w:rsidTr="004026AA">
        <w:trPr>
          <w:trHeight w:val="92"/>
        </w:trPr>
        <w:tc>
          <w:tcPr>
            <w:tcW w:w="1569" w:type="pct"/>
            <w:shd w:val="clear" w:color="auto" w:fill="FFFFFF"/>
            <w:vAlign w:val="center"/>
          </w:tcPr>
          <w:p w14:paraId="5EE6EB59" w14:textId="77777777" w:rsidR="001D4212" w:rsidRPr="00191822" w:rsidRDefault="001D4212" w:rsidP="004026AA">
            <w:pPr>
              <w:keepNext/>
              <w:jc w:val="left"/>
              <w:rPr>
                <w:rFonts w:ascii="Arial Narrow" w:hAnsi="Arial Narrow"/>
                <w:iCs/>
                <w:sz w:val="20"/>
              </w:rPr>
            </w:pPr>
            <w:r w:rsidRPr="00191822">
              <w:rPr>
                <w:rFonts w:ascii="Arial Narrow" w:hAnsi="Arial Narrow"/>
                <w:iCs/>
                <w:sz w:val="20"/>
              </w:rPr>
              <w:t>Median duration of follow-up, months (range)</w:t>
            </w:r>
          </w:p>
        </w:tc>
        <w:tc>
          <w:tcPr>
            <w:tcW w:w="1143" w:type="pct"/>
            <w:shd w:val="clear" w:color="auto" w:fill="FFFFFF"/>
            <w:vAlign w:val="center"/>
          </w:tcPr>
          <w:p w14:paraId="5BDF91CB"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47.0 (1.7-59.2)</w:t>
            </w:r>
          </w:p>
        </w:tc>
        <w:tc>
          <w:tcPr>
            <w:tcW w:w="1143" w:type="pct"/>
            <w:shd w:val="clear" w:color="auto" w:fill="FFFFFF"/>
            <w:vAlign w:val="center"/>
          </w:tcPr>
          <w:p w14:paraId="2AE90398"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46.9 (0.1-59.4)</w:t>
            </w:r>
          </w:p>
        </w:tc>
        <w:tc>
          <w:tcPr>
            <w:tcW w:w="1144" w:type="pct"/>
            <w:shd w:val="clear" w:color="auto" w:fill="FFFFFF"/>
            <w:vAlign w:val="center"/>
          </w:tcPr>
          <w:p w14:paraId="483BB8CF"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46.2 (0.0-58.4)</w:t>
            </w:r>
          </w:p>
        </w:tc>
      </w:tr>
      <w:tr w:rsidR="001D4212" w:rsidRPr="00191822" w14:paraId="21D19321" w14:textId="77777777" w:rsidTr="004026AA">
        <w:tc>
          <w:tcPr>
            <w:tcW w:w="1569" w:type="pct"/>
            <w:vAlign w:val="center"/>
          </w:tcPr>
          <w:p w14:paraId="108C4690" w14:textId="77777777" w:rsidR="001D4212" w:rsidRPr="00191822" w:rsidRDefault="001D4212" w:rsidP="004026AA">
            <w:pPr>
              <w:keepNext/>
              <w:jc w:val="left"/>
              <w:rPr>
                <w:rFonts w:ascii="Arial Narrow" w:hAnsi="Arial Narrow"/>
                <w:sz w:val="20"/>
              </w:rPr>
            </w:pPr>
            <w:r w:rsidRPr="00191822">
              <w:rPr>
                <w:rFonts w:ascii="Arial Narrow" w:hAnsi="Arial Narrow"/>
                <w:sz w:val="20"/>
              </w:rPr>
              <w:t>Death, n (%)</w:t>
            </w:r>
          </w:p>
        </w:tc>
        <w:tc>
          <w:tcPr>
            <w:tcW w:w="1143" w:type="pct"/>
            <w:shd w:val="clear" w:color="auto" w:fill="FFFFFF"/>
          </w:tcPr>
          <w:p w14:paraId="707BADEB"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12 (6.7)</w:t>
            </w:r>
          </w:p>
        </w:tc>
        <w:tc>
          <w:tcPr>
            <w:tcW w:w="1143" w:type="pct"/>
            <w:shd w:val="clear" w:color="auto" w:fill="FFFFFF"/>
          </w:tcPr>
          <w:p w14:paraId="53CC05A2"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22 (12.3)</w:t>
            </w:r>
          </w:p>
        </w:tc>
        <w:tc>
          <w:tcPr>
            <w:tcW w:w="1144" w:type="pct"/>
            <w:shd w:val="clear" w:color="auto" w:fill="FFFFFF"/>
          </w:tcPr>
          <w:p w14:paraId="5500FC08" w14:textId="77777777" w:rsidR="001D4212" w:rsidRPr="00191822" w:rsidRDefault="001D4212" w:rsidP="004026AA">
            <w:pPr>
              <w:keepNext/>
              <w:jc w:val="center"/>
              <w:rPr>
                <w:rFonts w:ascii="Arial Narrow" w:hAnsi="Arial Narrow"/>
                <w:iCs/>
                <w:sz w:val="20"/>
              </w:rPr>
            </w:pPr>
            <w:r w:rsidRPr="00191822">
              <w:rPr>
                <w:rFonts w:ascii="Arial Narrow" w:hAnsi="Arial Narrow"/>
                <w:iCs/>
                <w:sz w:val="20"/>
              </w:rPr>
              <w:t>21 (11.9)</w:t>
            </w:r>
          </w:p>
        </w:tc>
      </w:tr>
      <w:tr w:rsidR="001D4212" w:rsidRPr="00191822" w14:paraId="357AE842" w14:textId="77777777" w:rsidTr="004026AA">
        <w:tc>
          <w:tcPr>
            <w:tcW w:w="1569" w:type="pct"/>
            <w:vAlign w:val="center"/>
          </w:tcPr>
          <w:p w14:paraId="000612C3" w14:textId="77777777" w:rsidR="001D4212" w:rsidRPr="00191822" w:rsidRDefault="001D4212" w:rsidP="004026AA">
            <w:pPr>
              <w:keepNext/>
              <w:jc w:val="left"/>
              <w:rPr>
                <w:rFonts w:ascii="Arial Narrow" w:hAnsi="Arial Narrow"/>
                <w:iCs/>
                <w:sz w:val="20"/>
              </w:rPr>
            </w:pPr>
            <w:r w:rsidRPr="00191822">
              <w:rPr>
                <w:rFonts w:ascii="Arial Narrow" w:hAnsi="Arial Narrow"/>
                <w:sz w:val="20"/>
              </w:rPr>
              <w:t>Median OS, months (95% CI)</w:t>
            </w:r>
          </w:p>
        </w:tc>
        <w:tc>
          <w:tcPr>
            <w:tcW w:w="1143" w:type="pct"/>
            <w:shd w:val="clear" w:color="auto" w:fill="FFFFFF"/>
          </w:tcPr>
          <w:p w14:paraId="040A780B"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Not reached (NE)</w:t>
            </w:r>
          </w:p>
        </w:tc>
        <w:tc>
          <w:tcPr>
            <w:tcW w:w="1143" w:type="pct"/>
            <w:shd w:val="clear" w:color="auto" w:fill="FFFFFF"/>
          </w:tcPr>
          <w:p w14:paraId="20ABF020"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Not reached (NE)</w:t>
            </w:r>
          </w:p>
        </w:tc>
        <w:tc>
          <w:tcPr>
            <w:tcW w:w="1144" w:type="pct"/>
            <w:shd w:val="clear" w:color="auto" w:fill="FFFFFF"/>
          </w:tcPr>
          <w:p w14:paraId="7F27D09C"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Not reached (NE)</w:t>
            </w:r>
          </w:p>
        </w:tc>
      </w:tr>
      <w:tr w:rsidR="001D4212" w:rsidRPr="00191822" w14:paraId="3B616624" w14:textId="77777777" w:rsidTr="004026AA">
        <w:trPr>
          <w:trHeight w:val="157"/>
        </w:trPr>
        <w:tc>
          <w:tcPr>
            <w:tcW w:w="1569" w:type="pct"/>
          </w:tcPr>
          <w:p w14:paraId="472D01EB" w14:textId="77777777" w:rsidR="001D4212" w:rsidRPr="00191822" w:rsidRDefault="001D4212" w:rsidP="004026AA">
            <w:pPr>
              <w:keepNext/>
              <w:jc w:val="left"/>
              <w:rPr>
                <w:rFonts w:ascii="Arial Narrow" w:hAnsi="Arial Narrow"/>
                <w:sz w:val="20"/>
              </w:rPr>
            </w:pPr>
            <w:r w:rsidRPr="00191822">
              <w:rPr>
                <w:rFonts w:ascii="Arial Narrow" w:hAnsi="Arial Narrow"/>
                <w:sz w:val="20"/>
              </w:rPr>
              <w:t>Stratified HR vs CHL + OBI (95% CI)</w:t>
            </w:r>
          </w:p>
        </w:tc>
        <w:tc>
          <w:tcPr>
            <w:tcW w:w="1143" w:type="pct"/>
            <w:shd w:val="clear" w:color="auto" w:fill="FFFFFF"/>
          </w:tcPr>
          <w:p w14:paraId="24AF7B53"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0.50 (0.25, 1.02)</w:t>
            </w:r>
          </w:p>
        </w:tc>
        <w:tc>
          <w:tcPr>
            <w:tcW w:w="1143" w:type="pct"/>
            <w:shd w:val="clear" w:color="auto" w:fill="FFFFFF"/>
          </w:tcPr>
          <w:p w14:paraId="7B1AE8A7"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0.95 (0.52, 1.74)</w:t>
            </w:r>
          </w:p>
        </w:tc>
        <w:tc>
          <w:tcPr>
            <w:tcW w:w="1144" w:type="pct"/>
            <w:shd w:val="clear" w:color="auto" w:fill="FFFFFF"/>
          </w:tcPr>
          <w:p w14:paraId="525C5623"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w:t>
            </w:r>
          </w:p>
        </w:tc>
      </w:tr>
      <w:tr w:rsidR="001D4212" w:rsidRPr="00191822" w14:paraId="0D0DAD92" w14:textId="77777777" w:rsidTr="004026AA">
        <w:tc>
          <w:tcPr>
            <w:tcW w:w="1569" w:type="pct"/>
          </w:tcPr>
          <w:p w14:paraId="22983C5C" w14:textId="77777777" w:rsidR="001D4212" w:rsidRPr="00191822" w:rsidRDefault="001D4212" w:rsidP="004026AA">
            <w:pPr>
              <w:keepNext/>
              <w:widowControl w:val="0"/>
              <w:jc w:val="left"/>
              <w:rPr>
                <w:rFonts w:ascii="Arial Narrow" w:hAnsi="Arial Narrow"/>
                <w:snapToGrid w:val="0"/>
                <w:sz w:val="20"/>
              </w:rPr>
            </w:pPr>
            <w:r w:rsidRPr="00191822">
              <w:rPr>
                <w:rFonts w:ascii="Arial Narrow" w:hAnsi="Arial Narrow"/>
                <w:snapToGrid w:val="0"/>
                <w:sz w:val="20"/>
              </w:rPr>
              <w:t>KM estimate of OS</w:t>
            </w:r>
          </w:p>
          <w:p w14:paraId="455061A0" w14:textId="77777777" w:rsidR="001D4212" w:rsidRPr="00191822" w:rsidRDefault="001D4212" w:rsidP="004026AA">
            <w:pPr>
              <w:keepNext/>
              <w:widowControl w:val="0"/>
              <w:jc w:val="left"/>
              <w:rPr>
                <w:rFonts w:ascii="Arial Narrow" w:hAnsi="Arial Narrow"/>
                <w:snapToGrid w:val="0"/>
                <w:sz w:val="20"/>
              </w:rPr>
            </w:pPr>
            <w:r w:rsidRPr="00191822">
              <w:rPr>
                <w:rFonts w:ascii="Arial Narrow" w:hAnsi="Arial Narrow"/>
                <w:snapToGrid w:val="0"/>
                <w:sz w:val="20"/>
              </w:rPr>
              <w:t>- 12 months, % (95% CI)</w:t>
            </w:r>
          </w:p>
          <w:p w14:paraId="37BE068D" w14:textId="77777777" w:rsidR="001D4212" w:rsidRPr="00191822" w:rsidRDefault="001D4212" w:rsidP="004026AA">
            <w:pPr>
              <w:keepNext/>
              <w:jc w:val="left"/>
              <w:rPr>
                <w:rFonts w:ascii="Arial Narrow" w:hAnsi="Arial Narrow"/>
                <w:snapToGrid w:val="0"/>
                <w:sz w:val="20"/>
              </w:rPr>
            </w:pPr>
            <w:r w:rsidRPr="00191822">
              <w:rPr>
                <w:rFonts w:ascii="Arial Narrow" w:hAnsi="Arial Narrow"/>
                <w:snapToGrid w:val="0"/>
                <w:sz w:val="20"/>
              </w:rPr>
              <w:t>- 24 months, % (95% CI)</w:t>
            </w:r>
          </w:p>
          <w:p w14:paraId="100E1762" w14:textId="77777777" w:rsidR="001D4212" w:rsidRPr="00191822" w:rsidRDefault="001D4212" w:rsidP="004026AA">
            <w:pPr>
              <w:keepNext/>
              <w:jc w:val="left"/>
              <w:rPr>
                <w:rFonts w:ascii="Arial Narrow" w:hAnsi="Arial Narrow"/>
                <w:snapToGrid w:val="0"/>
                <w:sz w:val="20"/>
              </w:rPr>
            </w:pPr>
            <w:r w:rsidRPr="00191822">
              <w:rPr>
                <w:rFonts w:ascii="Arial Narrow" w:hAnsi="Arial Narrow"/>
                <w:snapToGrid w:val="0"/>
                <w:sz w:val="20"/>
              </w:rPr>
              <w:t>- 36 months, % (95% CI)</w:t>
            </w:r>
          </w:p>
          <w:p w14:paraId="07A3BB02" w14:textId="77777777" w:rsidR="001D4212" w:rsidRPr="00191822" w:rsidRDefault="001D4212" w:rsidP="004026AA">
            <w:pPr>
              <w:keepNext/>
              <w:jc w:val="left"/>
              <w:rPr>
                <w:rFonts w:ascii="Arial Narrow" w:hAnsi="Arial Narrow"/>
                <w:snapToGrid w:val="0"/>
                <w:sz w:val="20"/>
              </w:rPr>
            </w:pPr>
            <w:r w:rsidRPr="00191822">
              <w:rPr>
                <w:rFonts w:ascii="Arial Narrow" w:hAnsi="Arial Narrow"/>
                <w:snapToGrid w:val="0"/>
                <w:sz w:val="20"/>
              </w:rPr>
              <w:t>- 48 months, % (95% CI)</w:t>
            </w:r>
          </w:p>
          <w:p w14:paraId="2F49FC3E" w14:textId="77777777" w:rsidR="001D4212" w:rsidRPr="00191822" w:rsidRDefault="001D4212" w:rsidP="004026AA">
            <w:pPr>
              <w:keepNext/>
              <w:jc w:val="left"/>
              <w:rPr>
                <w:rFonts w:ascii="Arial Narrow" w:hAnsi="Arial Narrow"/>
                <w:snapToGrid w:val="0"/>
                <w:sz w:val="20"/>
              </w:rPr>
            </w:pPr>
            <w:r w:rsidRPr="00191822">
              <w:rPr>
                <w:rFonts w:ascii="Arial Narrow" w:hAnsi="Arial Narrow"/>
                <w:snapToGrid w:val="0"/>
                <w:sz w:val="20"/>
              </w:rPr>
              <w:t>- 54 months, % (95% CI)</w:t>
            </w:r>
          </w:p>
        </w:tc>
        <w:tc>
          <w:tcPr>
            <w:tcW w:w="1143" w:type="pct"/>
            <w:shd w:val="clear" w:color="auto" w:fill="FFFFFF"/>
          </w:tcPr>
          <w:p w14:paraId="445E990F" w14:textId="77777777" w:rsidR="001D4212" w:rsidRPr="00191822" w:rsidRDefault="001D4212" w:rsidP="004026AA">
            <w:pPr>
              <w:keepNext/>
              <w:jc w:val="center"/>
              <w:rPr>
                <w:rFonts w:ascii="Arial Narrow" w:hAnsi="Arial Narrow"/>
                <w:iCs/>
                <w:sz w:val="20"/>
                <w:szCs w:val="18"/>
              </w:rPr>
            </w:pPr>
          </w:p>
          <w:p w14:paraId="7C22B9AD"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96.1 (91.9, 98.1)</w:t>
            </w:r>
          </w:p>
          <w:p w14:paraId="5B3A0AE5"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94.9 (90.5, 97.3)</w:t>
            </w:r>
          </w:p>
          <w:p w14:paraId="5CC0E681"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94.3 (89.7, 96.9)</w:t>
            </w:r>
          </w:p>
          <w:p w14:paraId="6F57D19B"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92.9 (87.7, 95.9)</w:t>
            </w:r>
          </w:p>
          <w:p w14:paraId="171112FC"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92.9 (87.7, 95.9)</w:t>
            </w:r>
          </w:p>
        </w:tc>
        <w:tc>
          <w:tcPr>
            <w:tcW w:w="1143" w:type="pct"/>
            <w:shd w:val="clear" w:color="auto" w:fill="FFFFFF"/>
          </w:tcPr>
          <w:p w14:paraId="051201C7" w14:textId="77777777" w:rsidR="001D4212" w:rsidRPr="00191822" w:rsidRDefault="001D4212" w:rsidP="004026AA">
            <w:pPr>
              <w:keepNext/>
              <w:jc w:val="center"/>
              <w:rPr>
                <w:rFonts w:ascii="Arial Narrow" w:hAnsi="Arial Narrow"/>
                <w:iCs/>
                <w:sz w:val="20"/>
                <w:szCs w:val="18"/>
              </w:rPr>
            </w:pPr>
          </w:p>
          <w:p w14:paraId="1EDAD390"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98.3 (94.8, 99.4)</w:t>
            </w:r>
          </w:p>
          <w:p w14:paraId="4BF2EB7E"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94.8 (90.2, 97.2)</w:t>
            </w:r>
          </w:p>
          <w:p w14:paraId="414112BF"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91.8 (86.5, 95.1)</w:t>
            </w:r>
          </w:p>
          <w:p w14:paraId="7878F848"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87.6 (81.3, 91.9)</w:t>
            </w:r>
          </w:p>
          <w:p w14:paraId="53D9EC9F"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84.5 (76.6, 89.9)</w:t>
            </w:r>
          </w:p>
        </w:tc>
        <w:tc>
          <w:tcPr>
            <w:tcW w:w="1144" w:type="pct"/>
            <w:shd w:val="clear" w:color="auto" w:fill="FFFFFF"/>
          </w:tcPr>
          <w:p w14:paraId="6A578360" w14:textId="77777777" w:rsidR="001D4212" w:rsidRPr="00191822" w:rsidRDefault="001D4212" w:rsidP="004026AA">
            <w:pPr>
              <w:keepNext/>
              <w:jc w:val="center"/>
              <w:rPr>
                <w:rFonts w:ascii="Arial Narrow" w:hAnsi="Arial Narrow"/>
                <w:iCs/>
                <w:sz w:val="20"/>
                <w:szCs w:val="18"/>
              </w:rPr>
            </w:pPr>
          </w:p>
          <w:p w14:paraId="3A57DE21"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96.5 (92.4, 98.4)</w:t>
            </w:r>
          </w:p>
          <w:p w14:paraId="57F1732D"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91.7 (86.4, 95.0)</w:t>
            </w:r>
          </w:p>
          <w:p w14:paraId="64DC615C"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88.6 (82.7, 92.6)</w:t>
            </w:r>
          </w:p>
          <w:p w14:paraId="758FE25B"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88.0 (82.0, 92.1)</w:t>
            </w:r>
          </w:p>
          <w:p w14:paraId="2BEBB864" w14:textId="77777777" w:rsidR="001D4212" w:rsidRPr="00191822" w:rsidRDefault="001D4212" w:rsidP="004026AA">
            <w:pPr>
              <w:keepNext/>
              <w:jc w:val="center"/>
              <w:rPr>
                <w:rFonts w:ascii="Arial Narrow" w:hAnsi="Arial Narrow"/>
                <w:iCs/>
                <w:sz w:val="20"/>
                <w:szCs w:val="18"/>
              </w:rPr>
            </w:pPr>
            <w:r w:rsidRPr="00191822">
              <w:rPr>
                <w:rFonts w:ascii="Arial Narrow" w:hAnsi="Arial Narrow"/>
                <w:iCs/>
                <w:sz w:val="20"/>
                <w:szCs w:val="18"/>
              </w:rPr>
              <w:t>85.5 (77.2, 91.0)</w:t>
            </w:r>
          </w:p>
        </w:tc>
      </w:tr>
    </w:tbl>
    <w:p w14:paraId="60C87A53" w14:textId="77777777" w:rsidR="001D4212" w:rsidRPr="00191822" w:rsidRDefault="001D4212" w:rsidP="001D4212">
      <w:pPr>
        <w:pStyle w:val="TableFooter"/>
        <w:spacing w:after="120"/>
      </w:pPr>
      <w:r w:rsidRPr="00191822">
        <w:t>Source: Table 2.20, p98 of the resubmission; Table 14.2.4, pp1-2 of Attachment 11 of the resubmission.</w:t>
      </w:r>
    </w:p>
    <w:p w14:paraId="0609BC84" w14:textId="77777777" w:rsidR="001D4212" w:rsidRPr="00191822" w:rsidRDefault="001D4212" w:rsidP="001D4212">
      <w:pPr>
        <w:pStyle w:val="TableFooter"/>
        <w:keepNext/>
        <w:keepLines/>
        <w:spacing w:after="120"/>
      </w:pPr>
      <w:r w:rsidRPr="00191822">
        <w:t xml:space="preserve">ACAL, acalabrutinib; CHL, chlorambucil; CI, confidence interval; HR, hazard ratio; KM, Kaplan-Meier; NE, not estimable; OBI, </w:t>
      </w:r>
      <w:proofErr w:type="spellStart"/>
      <w:r w:rsidRPr="00191822">
        <w:t>obinutuzumab</w:t>
      </w:r>
      <w:proofErr w:type="spellEnd"/>
      <w:r w:rsidRPr="00191822">
        <w:t>; OS, overall survival.</w:t>
      </w:r>
    </w:p>
    <w:p w14:paraId="3E91B8D1" w14:textId="77777777" w:rsidR="001D4212" w:rsidRPr="00A25C41" w:rsidRDefault="001D4212" w:rsidP="0066487C">
      <w:pPr>
        <w:pStyle w:val="ExecSumBodyText"/>
      </w:pPr>
      <w:r w:rsidRPr="00191822">
        <w:t xml:space="preserve">At a median duration of follow-up of 46.9 months, median overall survival was not reached in </w:t>
      </w:r>
      <w:r w:rsidR="003E053C">
        <w:t>any treatment</w:t>
      </w:r>
      <w:r w:rsidRPr="00191822">
        <w:t xml:space="preserve"> arm. There was no statistically significant difference for acalabrutinib + </w:t>
      </w:r>
      <w:proofErr w:type="spellStart"/>
      <w:r w:rsidRPr="00191822">
        <w:t>obinutuzumab</w:t>
      </w:r>
      <w:proofErr w:type="spellEnd"/>
      <w:r w:rsidRPr="00191822">
        <w:t xml:space="preserve">, or acalabrutinib monotherapy compared to chlorambucil + </w:t>
      </w:r>
      <w:proofErr w:type="spellStart"/>
      <w:r w:rsidRPr="00191822">
        <w:t>obinutuzumab</w:t>
      </w:r>
      <w:proofErr w:type="spellEnd"/>
      <w:r w:rsidRPr="00191822">
        <w:t>.</w:t>
      </w:r>
      <w:r w:rsidRPr="00A25C41">
        <w:rPr>
          <w:iCs/>
        </w:rPr>
        <w:t xml:space="preserve"> However, the overall survival results remain</w:t>
      </w:r>
      <w:r w:rsidR="00A74D10" w:rsidRPr="00A25C41">
        <w:rPr>
          <w:iCs/>
        </w:rPr>
        <w:t>ed</w:t>
      </w:r>
      <w:r w:rsidRPr="00A25C41">
        <w:rPr>
          <w:iCs/>
        </w:rPr>
        <w:t xml:space="preserve"> immature. </w:t>
      </w:r>
    </w:p>
    <w:p w14:paraId="776C11D9" w14:textId="77777777" w:rsidR="0066487C" w:rsidRPr="00A25C41" w:rsidRDefault="0066487C" w:rsidP="0066487C">
      <w:pPr>
        <w:pStyle w:val="ExecSumBodyText"/>
      </w:pPr>
      <w:r w:rsidRPr="00A25C41">
        <w:t xml:space="preserve">The proportion of patients alive in the acalabrutinib + </w:t>
      </w:r>
      <w:proofErr w:type="spellStart"/>
      <w:r w:rsidRPr="00A25C41">
        <w:t>obinutuzumab</w:t>
      </w:r>
      <w:proofErr w:type="spellEnd"/>
      <w:r w:rsidRPr="00A25C41">
        <w:t xml:space="preserve"> arm at 54 months (92.9%; 95% CI: 87.7, 95.9) was numerically higher than the acalabrutinib monotherapy (84.5%; 95% CI: 76.6, 89.9) and chlorambucil + </w:t>
      </w:r>
      <w:proofErr w:type="spellStart"/>
      <w:r w:rsidRPr="00A25C41">
        <w:t>obinutuzumab</w:t>
      </w:r>
      <w:proofErr w:type="spellEnd"/>
      <w:r w:rsidRPr="00A25C41">
        <w:t xml:space="preserve"> arms (85.5%; 95% CI: 77.2, 91.0). Results for acalabrutinib + </w:t>
      </w:r>
      <w:proofErr w:type="spellStart"/>
      <w:r w:rsidRPr="00A25C41">
        <w:t>obinutuzumab</w:t>
      </w:r>
      <w:proofErr w:type="spellEnd"/>
      <w:r w:rsidRPr="00A25C41">
        <w:t xml:space="preserve"> versus chlorambucil + </w:t>
      </w:r>
      <w:proofErr w:type="spellStart"/>
      <w:r w:rsidRPr="00A25C41">
        <w:t>obinutuzumab</w:t>
      </w:r>
      <w:proofErr w:type="spellEnd"/>
      <w:r w:rsidRPr="00A25C41">
        <w:t xml:space="preserve"> appear</w:t>
      </w:r>
      <w:r w:rsidR="00A74D10" w:rsidRPr="00A25C41">
        <w:t>ed</w:t>
      </w:r>
      <w:r w:rsidRPr="00A25C41">
        <w:t xml:space="preserve"> to be approaching statistical significance.</w:t>
      </w:r>
    </w:p>
    <w:p w14:paraId="07F5AF91" w14:textId="77777777" w:rsidR="0066487C" w:rsidRPr="00191822" w:rsidRDefault="00BD60E3" w:rsidP="00EC5836">
      <w:pPr>
        <w:pStyle w:val="ExecSumBodyText"/>
        <w:rPr>
          <w:color w:val="0066FF"/>
        </w:rPr>
      </w:pPr>
      <w:r>
        <w:t xml:space="preserve">Table </w:t>
      </w:r>
      <w:r>
        <w:rPr>
          <w:noProof/>
        </w:rPr>
        <w:t>7</w:t>
      </w:r>
      <w:r w:rsidR="0066487C" w:rsidRPr="00191822">
        <w:rPr>
          <w:snapToGrid/>
        </w:rPr>
        <w:t xml:space="preserve"> presents the results for independent review committee- and investigator-assessed overall response for the ELEVATE-TN trial at the interim analysis and for the September 2020 data cut.</w:t>
      </w:r>
    </w:p>
    <w:p w14:paraId="775CF95B" w14:textId="77777777" w:rsidR="0066487C" w:rsidRPr="00191822" w:rsidRDefault="004026AA" w:rsidP="00AE06A8">
      <w:pPr>
        <w:pStyle w:val="TableFigureCaption"/>
        <w:rPr>
          <w:snapToGrid w:val="0"/>
        </w:rPr>
      </w:pPr>
      <w:bookmarkStart w:id="33" w:name="_Ref80373496"/>
      <w:r>
        <w:lastRenderedPageBreak/>
        <w:t xml:space="preserve">Table </w:t>
      </w:r>
      <w:r w:rsidR="00BD60E3">
        <w:rPr>
          <w:noProof/>
        </w:rPr>
        <w:t>7</w:t>
      </w:r>
      <w:bookmarkEnd w:id="33"/>
      <w:r w:rsidR="0066487C" w:rsidRPr="00191822">
        <w:rPr>
          <w:snapToGrid w:val="0"/>
        </w:rPr>
        <w:t xml:space="preserve">: Overall response results for the ELEVATE-TN trial at the </w:t>
      </w:r>
      <w:r w:rsidR="00FC0B8C" w:rsidRPr="00191822">
        <w:rPr>
          <w:snapToGrid w:val="0"/>
        </w:rPr>
        <w:t xml:space="preserve">February 2019 </w:t>
      </w:r>
      <w:r w:rsidR="0066487C" w:rsidRPr="00191822">
        <w:rPr>
          <w:snapToGrid w:val="0"/>
        </w:rPr>
        <w:t>interim analysis and for the September 2020 data 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Overall response results for the ELEVATE-TN trial at the February 2019 interim analysis and for the September 2020 data cut"/>
      </w:tblPr>
      <w:tblGrid>
        <w:gridCol w:w="2689"/>
        <w:gridCol w:w="1053"/>
        <w:gridCol w:w="1055"/>
        <w:gridCol w:w="1055"/>
        <w:gridCol w:w="1055"/>
        <w:gridCol w:w="1055"/>
        <w:gridCol w:w="1055"/>
      </w:tblGrid>
      <w:tr w:rsidR="0066487C" w:rsidRPr="00191822" w14:paraId="0A4E45F2" w14:textId="77777777" w:rsidTr="005F6EEE">
        <w:trPr>
          <w:tblHeader/>
        </w:trPr>
        <w:tc>
          <w:tcPr>
            <w:tcW w:w="1491" w:type="pct"/>
            <w:shd w:val="clear" w:color="auto" w:fill="FFFFFF"/>
            <w:vAlign w:val="center"/>
          </w:tcPr>
          <w:p w14:paraId="44D7144A" w14:textId="77777777" w:rsidR="0066487C" w:rsidRPr="00191822" w:rsidRDefault="0066487C" w:rsidP="00196F9D">
            <w:pPr>
              <w:keepNext/>
              <w:rPr>
                <w:rFonts w:ascii="Arial Narrow" w:hAnsi="Arial Narrow"/>
                <w:b/>
                <w:iCs/>
                <w:sz w:val="20"/>
              </w:rPr>
            </w:pPr>
          </w:p>
        </w:tc>
        <w:tc>
          <w:tcPr>
            <w:tcW w:w="1754" w:type="pct"/>
            <w:gridSpan w:val="3"/>
            <w:shd w:val="clear" w:color="auto" w:fill="FFFFFF"/>
            <w:vAlign w:val="center"/>
          </w:tcPr>
          <w:p w14:paraId="0A323B05"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Feb 2019 data cut</w:t>
            </w:r>
          </w:p>
        </w:tc>
        <w:tc>
          <w:tcPr>
            <w:tcW w:w="1755" w:type="pct"/>
            <w:gridSpan w:val="3"/>
            <w:shd w:val="clear" w:color="auto" w:fill="FFFFFF"/>
          </w:tcPr>
          <w:p w14:paraId="440EE404"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Sep 2020 data cut</w:t>
            </w:r>
          </w:p>
        </w:tc>
      </w:tr>
      <w:tr w:rsidR="0066487C" w:rsidRPr="00191822" w14:paraId="2C9E5E95" w14:textId="77777777" w:rsidTr="005F6EEE">
        <w:trPr>
          <w:tblHeader/>
        </w:trPr>
        <w:tc>
          <w:tcPr>
            <w:tcW w:w="1491" w:type="pct"/>
            <w:shd w:val="clear" w:color="auto" w:fill="FFFFFF"/>
            <w:vAlign w:val="center"/>
          </w:tcPr>
          <w:p w14:paraId="77DE1C3E" w14:textId="77777777" w:rsidR="0066487C" w:rsidRPr="00191822" w:rsidRDefault="0066487C" w:rsidP="00196F9D">
            <w:pPr>
              <w:keepNext/>
              <w:rPr>
                <w:rFonts w:ascii="Arial Narrow" w:hAnsi="Arial Narrow"/>
                <w:b/>
                <w:iCs/>
                <w:sz w:val="20"/>
              </w:rPr>
            </w:pPr>
            <w:r w:rsidRPr="00191822">
              <w:rPr>
                <w:rFonts w:ascii="Arial Narrow" w:hAnsi="Arial Narrow"/>
                <w:b/>
                <w:iCs/>
                <w:sz w:val="20"/>
              </w:rPr>
              <w:t>Cohort</w:t>
            </w:r>
          </w:p>
        </w:tc>
        <w:tc>
          <w:tcPr>
            <w:tcW w:w="584" w:type="pct"/>
            <w:shd w:val="clear" w:color="auto" w:fill="FFFFFF"/>
            <w:vAlign w:val="center"/>
          </w:tcPr>
          <w:p w14:paraId="1EEE73BB"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ACAL + OBI</w:t>
            </w:r>
          </w:p>
          <w:p w14:paraId="3CDA947E" w14:textId="77777777" w:rsidR="0066487C" w:rsidRPr="00191822" w:rsidRDefault="0066487C" w:rsidP="00196F9D">
            <w:pPr>
              <w:keepNext/>
              <w:jc w:val="center"/>
              <w:rPr>
                <w:rFonts w:ascii="Arial Narrow" w:hAnsi="Arial Narrow"/>
                <w:b/>
                <w:iCs/>
                <w:sz w:val="20"/>
              </w:rPr>
            </w:pPr>
            <w:r w:rsidRPr="00191822">
              <w:rPr>
                <w:rFonts w:ascii="Arial Narrow" w:hAnsi="Arial Narrow"/>
                <w:b/>
                <w:iCs/>
                <w:sz w:val="20"/>
                <w:szCs w:val="18"/>
              </w:rPr>
              <w:t>(N=179)</w:t>
            </w:r>
          </w:p>
        </w:tc>
        <w:tc>
          <w:tcPr>
            <w:tcW w:w="585" w:type="pct"/>
            <w:shd w:val="clear" w:color="auto" w:fill="FFFFFF"/>
            <w:vAlign w:val="center"/>
          </w:tcPr>
          <w:p w14:paraId="287F6B29"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 xml:space="preserve">ACAL </w:t>
            </w:r>
          </w:p>
          <w:p w14:paraId="3B3EBF03" w14:textId="77777777" w:rsidR="0066487C" w:rsidRPr="00191822" w:rsidRDefault="0066487C" w:rsidP="00196F9D">
            <w:pPr>
              <w:keepNext/>
              <w:jc w:val="center"/>
              <w:rPr>
                <w:rFonts w:ascii="Arial Narrow" w:hAnsi="Arial Narrow"/>
                <w:b/>
                <w:iCs/>
                <w:sz w:val="20"/>
              </w:rPr>
            </w:pPr>
            <w:r w:rsidRPr="00191822">
              <w:rPr>
                <w:rFonts w:ascii="Arial Narrow" w:hAnsi="Arial Narrow"/>
                <w:b/>
                <w:iCs/>
                <w:sz w:val="20"/>
                <w:szCs w:val="18"/>
              </w:rPr>
              <w:t>(N=179)</w:t>
            </w:r>
          </w:p>
        </w:tc>
        <w:tc>
          <w:tcPr>
            <w:tcW w:w="585" w:type="pct"/>
            <w:shd w:val="clear" w:color="auto" w:fill="FFFFFF"/>
            <w:vAlign w:val="center"/>
          </w:tcPr>
          <w:p w14:paraId="7132BBFD"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CHL + OBI</w:t>
            </w:r>
          </w:p>
          <w:p w14:paraId="4262DA50"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(N=177)</w:t>
            </w:r>
          </w:p>
        </w:tc>
        <w:tc>
          <w:tcPr>
            <w:tcW w:w="585" w:type="pct"/>
            <w:shd w:val="clear" w:color="auto" w:fill="FFFFFF"/>
            <w:vAlign w:val="center"/>
          </w:tcPr>
          <w:p w14:paraId="655DFD36"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ACAL + OBI</w:t>
            </w:r>
          </w:p>
          <w:p w14:paraId="61C7EBC3" w14:textId="77777777" w:rsidR="0066487C" w:rsidRPr="00191822" w:rsidRDefault="0066487C" w:rsidP="00196F9D">
            <w:pPr>
              <w:keepNext/>
              <w:jc w:val="center"/>
              <w:rPr>
                <w:rFonts w:ascii="Arial Narrow" w:hAnsi="Arial Narrow"/>
                <w:b/>
                <w:iCs/>
                <w:sz w:val="20"/>
                <w:szCs w:val="18"/>
                <w:highlight w:val="yellow"/>
              </w:rPr>
            </w:pPr>
            <w:r w:rsidRPr="00191822">
              <w:rPr>
                <w:rFonts w:ascii="Arial Narrow" w:hAnsi="Arial Narrow"/>
                <w:b/>
                <w:iCs/>
                <w:sz w:val="20"/>
                <w:szCs w:val="18"/>
              </w:rPr>
              <w:t>(N=179)</w:t>
            </w:r>
          </w:p>
        </w:tc>
        <w:tc>
          <w:tcPr>
            <w:tcW w:w="585" w:type="pct"/>
            <w:shd w:val="clear" w:color="auto" w:fill="FFFFFF"/>
            <w:vAlign w:val="center"/>
          </w:tcPr>
          <w:p w14:paraId="4DAC8E4D"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 xml:space="preserve">ACAL </w:t>
            </w:r>
          </w:p>
          <w:p w14:paraId="6FDC007A"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(N=179)</w:t>
            </w:r>
          </w:p>
        </w:tc>
        <w:tc>
          <w:tcPr>
            <w:tcW w:w="585" w:type="pct"/>
            <w:shd w:val="clear" w:color="auto" w:fill="FFFFFF"/>
            <w:vAlign w:val="center"/>
          </w:tcPr>
          <w:p w14:paraId="660B46B9"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CHL + OBI</w:t>
            </w:r>
          </w:p>
          <w:p w14:paraId="59A51187" w14:textId="77777777" w:rsidR="0066487C" w:rsidRPr="00191822" w:rsidRDefault="0066487C" w:rsidP="00196F9D">
            <w:pPr>
              <w:keepNext/>
              <w:jc w:val="center"/>
              <w:rPr>
                <w:rFonts w:ascii="Arial Narrow" w:hAnsi="Arial Narrow"/>
                <w:b/>
                <w:iCs/>
                <w:sz w:val="20"/>
                <w:szCs w:val="18"/>
              </w:rPr>
            </w:pPr>
            <w:r w:rsidRPr="00191822">
              <w:rPr>
                <w:rFonts w:ascii="Arial Narrow" w:hAnsi="Arial Narrow"/>
                <w:b/>
                <w:iCs/>
                <w:sz w:val="20"/>
                <w:szCs w:val="18"/>
              </w:rPr>
              <w:t>(N=177)</w:t>
            </w:r>
          </w:p>
        </w:tc>
      </w:tr>
      <w:tr w:rsidR="0066487C" w:rsidRPr="00191822" w14:paraId="027F4BC5" w14:textId="77777777" w:rsidTr="005F6EEE">
        <w:tc>
          <w:tcPr>
            <w:tcW w:w="1491" w:type="pct"/>
            <w:shd w:val="clear" w:color="auto" w:fill="FFFFFF"/>
            <w:vAlign w:val="center"/>
          </w:tcPr>
          <w:p w14:paraId="529F3B3E" w14:textId="77777777" w:rsidR="0066487C" w:rsidRPr="00191822" w:rsidRDefault="0066487C" w:rsidP="00196F9D">
            <w:pPr>
              <w:keepNext/>
              <w:jc w:val="left"/>
              <w:rPr>
                <w:rFonts w:ascii="Arial Narrow" w:hAnsi="Arial Narrow"/>
                <w:iCs/>
                <w:sz w:val="20"/>
              </w:rPr>
            </w:pPr>
            <w:r w:rsidRPr="00191822">
              <w:rPr>
                <w:rFonts w:ascii="Arial Narrow" w:hAnsi="Arial Narrow"/>
                <w:iCs/>
                <w:sz w:val="20"/>
              </w:rPr>
              <w:t>Median duration of follow-up, months (range)</w:t>
            </w:r>
          </w:p>
        </w:tc>
        <w:tc>
          <w:tcPr>
            <w:tcW w:w="584" w:type="pct"/>
            <w:shd w:val="clear" w:color="auto" w:fill="FFFFFF"/>
            <w:vAlign w:val="center"/>
          </w:tcPr>
          <w:p w14:paraId="41B08D71"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28.5 </w:t>
            </w:r>
          </w:p>
          <w:p w14:paraId="2D2F12AD"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(1.7-40.3)</w:t>
            </w:r>
          </w:p>
        </w:tc>
        <w:tc>
          <w:tcPr>
            <w:tcW w:w="585" w:type="pct"/>
            <w:shd w:val="clear" w:color="auto" w:fill="FFFFFF"/>
            <w:vAlign w:val="center"/>
          </w:tcPr>
          <w:p w14:paraId="01EC3C89"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28.4 </w:t>
            </w:r>
          </w:p>
          <w:p w14:paraId="5EDB0465"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(0.1-40.8)</w:t>
            </w:r>
          </w:p>
        </w:tc>
        <w:tc>
          <w:tcPr>
            <w:tcW w:w="585" w:type="pct"/>
            <w:shd w:val="clear" w:color="auto" w:fill="FFFFFF"/>
            <w:vAlign w:val="center"/>
          </w:tcPr>
          <w:p w14:paraId="1344927A"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28.0 </w:t>
            </w:r>
          </w:p>
          <w:p w14:paraId="48B41F7F"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(0.0-40.4)</w:t>
            </w:r>
          </w:p>
        </w:tc>
        <w:tc>
          <w:tcPr>
            <w:tcW w:w="585" w:type="pct"/>
            <w:shd w:val="clear" w:color="auto" w:fill="FFFFFF"/>
            <w:vAlign w:val="center"/>
          </w:tcPr>
          <w:p w14:paraId="4129286C"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47.0 </w:t>
            </w:r>
          </w:p>
          <w:p w14:paraId="6300968B"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(1.7-59.2)</w:t>
            </w:r>
          </w:p>
        </w:tc>
        <w:tc>
          <w:tcPr>
            <w:tcW w:w="585" w:type="pct"/>
            <w:shd w:val="clear" w:color="auto" w:fill="FFFFFF"/>
            <w:vAlign w:val="center"/>
          </w:tcPr>
          <w:p w14:paraId="289C2E23"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46.9 </w:t>
            </w:r>
          </w:p>
          <w:p w14:paraId="0AA2ADD0"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(0.1-59.4)</w:t>
            </w:r>
          </w:p>
        </w:tc>
        <w:tc>
          <w:tcPr>
            <w:tcW w:w="585" w:type="pct"/>
            <w:shd w:val="clear" w:color="auto" w:fill="FFFFFF"/>
            <w:vAlign w:val="center"/>
          </w:tcPr>
          <w:p w14:paraId="1DF2C7C7"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46.2 </w:t>
            </w:r>
          </w:p>
          <w:p w14:paraId="05E6CE26"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(0.0-58.4)</w:t>
            </w:r>
          </w:p>
        </w:tc>
      </w:tr>
      <w:tr w:rsidR="0066487C" w:rsidRPr="00191822" w14:paraId="21B9405B" w14:textId="77777777" w:rsidTr="005F6EEE">
        <w:tc>
          <w:tcPr>
            <w:tcW w:w="5000" w:type="pct"/>
            <w:gridSpan w:val="7"/>
            <w:shd w:val="clear" w:color="auto" w:fill="FFFFFF"/>
          </w:tcPr>
          <w:p w14:paraId="688A6E60" w14:textId="77777777" w:rsidR="0066487C" w:rsidRPr="00191822" w:rsidRDefault="0066487C" w:rsidP="00196F9D">
            <w:pPr>
              <w:keepNext/>
              <w:rPr>
                <w:rFonts w:ascii="Arial Narrow" w:hAnsi="Arial Narrow"/>
                <w:b/>
                <w:sz w:val="20"/>
              </w:rPr>
            </w:pPr>
            <w:r w:rsidRPr="00191822">
              <w:rPr>
                <w:rFonts w:ascii="Arial Narrow" w:hAnsi="Arial Narrow"/>
                <w:b/>
                <w:sz w:val="20"/>
              </w:rPr>
              <w:t>Independent review committee-assessed</w:t>
            </w:r>
          </w:p>
        </w:tc>
      </w:tr>
      <w:tr w:rsidR="0066487C" w:rsidRPr="00191822" w14:paraId="06CA8FEF" w14:textId="77777777" w:rsidTr="005F6EEE">
        <w:tc>
          <w:tcPr>
            <w:tcW w:w="1491" w:type="pct"/>
            <w:shd w:val="clear" w:color="auto" w:fill="FFFFFF" w:themeFill="background1"/>
            <w:vAlign w:val="center"/>
          </w:tcPr>
          <w:p w14:paraId="5AE6A79E" w14:textId="77777777" w:rsidR="0066487C" w:rsidRPr="00191822" w:rsidRDefault="0066487C" w:rsidP="00196F9D">
            <w:pPr>
              <w:keepNext/>
              <w:jc w:val="left"/>
              <w:rPr>
                <w:rFonts w:ascii="Arial Narrow" w:hAnsi="Arial Narrow"/>
                <w:sz w:val="20"/>
                <w:vertAlign w:val="superscript"/>
              </w:rPr>
            </w:pPr>
            <w:r w:rsidRPr="00191822">
              <w:rPr>
                <w:rFonts w:ascii="Arial Narrow" w:hAnsi="Arial Narrow"/>
                <w:sz w:val="20"/>
              </w:rPr>
              <w:t xml:space="preserve">ORR (CR + </w:t>
            </w:r>
            <w:proofErr w:type="spellStart"/>
            <w:r w:rsidRPr="00191822">
              <w:rPr>
                <w:rFonts w:ascii="Arial Narrow" w:hAnsi="Arial Narrow"/>
                <w:sz w:val="20"/>
              </w:rPr>
              <w:t>CRi</w:t>
            </w:r>
            <w:proofErr w:type="spellEnd"/>
            <w:r w:rsidRPr="00191822">
              <w:rPr>
                <w:rFonts w:ascii="Arial Narrow" w:hAnsi="Arial Narrow"/>
                <w:sz w:val="20"/>
              </w:rPr>
              <w:t xml:space="preserve"> + </w:t>
            </w:r>
            <w:proofErr w:type="spellStart"/>
            <w:r w:rsidRPr="00191822">
              <w:rPr>
                <w:rFonts w:ascii="Arial Narrow" w:hAnsi="Arial Narrow"/>
                <w:sz w:val="20"/>
              </w:rPr>
              <w:t>nPR</w:t>
            </w:r>
            <w:proofErr w:type="spellEnd"/>
            <w:r w:rsidRPr="00191822">
              <w:rPr>
                <w:rFonts w:ascii="Arial Narrow" w:hAnsi="Arial Narrow"/>
                <w:sz w:val="20"/>
              </w:rPr>
              <w:t xml:space="preserve"> + PR), n (%)</w:t>
            </w:r>
          </w:p>
        </w:tc>
        <w:tc>
          <w:tcPr>
            <w:tcW w:w="584" w:type="pct"/>
            <w:shd w:val="clear" w:color="auto" w:fill="FFFFFF"/>
          </w:tcPr>
          <w:p w14:paraId="5DB939F4"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168 (93.9)</w:t>
            </w:r>
          </w:p>
        </w:tc>
        <w:tc>
          <w:tcPr>
            <w:tcW w:w="585" w:type="pct"/>
            <w:shd w:val="clear" w:color="auto" w:fill="FFFFFF"/>
          </w:tcPr>
          <w:p w14:paraId="25F13283"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153 (85.5)</w:t>
            </w:r>
          </w:p>
        </w:tc>
        <w:tc>
          <w:tcPr>
            <w:tcW w:w="585" w:type="pct"/>
            <w:shd w:val="clear" w:color="auto" w:fill="FFFFFF"/>
          </w:tcPr>
          <w:p w14:paraId="312BA282"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139 (78.5)</w:t>
            </w:r>
          </w:p>
        </w:tc>
        <w:tc>
          <w:tcPr>
            <w:tcW w:w="585" w:type="pct"/>
            <w:shd w:val="clear" w:color="auto" w:fill="FFFFFF"/>
          </w:tcPr>
          <w:p w14:paraId="720623AC"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NR</w:t>
            </w:r>
          </w:p>
        </w:tc>
        <w:tc>
          <w:tcPr>
            <w:tcW w:w="585" w:type="pct"/>
            <w:shd w:val="clear" w:color="auto" w:fill="FFFFFF"/>
          </w:tcPr>
          <w:p w14:paraId="70938481"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NR</w:t>
            </w:r>
          </w:p>
        </w:tc>
        <w:tc>
          <w:tcPr>
            <w:tcW w:w="585" w:type="pct"/>
            <w:shd w:val="clear" w:color="auto" w:fill="FFFFFF"/>
          </w:tcPr>
          <w:p w14:paraId="664F2EFD"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NR</w:t>
            </w:r>
          </w:p>
        </w:tc>
      </w:tr>
      <w:tr w:rsidR="0066487C" w:rsidRPr="00191822" w14:paraId="349F6468" w14:textId="77777777" w:rsidTr="005F6EEE">
        <w:tc>
          <w:tcPr>
            <w:tcW w:w="1491" w:type="pct"/>
            <w:shd w:val="clear" w:color="auto" w:fill="FFFFFF" w:themeFill="background1"/>
            <w:vAlign w:val="center"/>
          </w:tcPr>
          <w:p w14:paraId="24006625" w14:textId="77777777" w:rsidR="0066487C" w:rsidRPr="00191822" w:rsidRDefault="0066487C" w:rsidP="00196F9D">
            <w:pPr>
              <w:keepNext/>
              <w:jc w:val="left"/>
              <w:rPr>
                <w:rFonts w:ascii="Arial Narrow" w:hAnsi="Arial Narrow"/>
                <w:sz w:val="20"/>
              </w:rPr>
            </w:pPr>
            <w:r w:rsidRPr="00191822">
              <w:rPr>
                <w:rFonts w:ascii="Arial Narrow" w:hAnsi="Arial Narrow"/>
                <w:sz w:val="20"/>
              </w:rPr>
              <w:t>Difference versus CHL + OBI (95%</w:t>
            </w:r>
            <w:r w:rsidR="00D46D56">
              <w:rPr>
                <w:rFonts w:ascii="Arial Narrow" w:hAnsi="Arial Narrow"/>
                <w:sz w:val="20"/>
              </w:rPr>
              <w:t> </w:t>
            </w:r>
            <w:r w:rsidRPr="00191822">
              <w:rPr>
                <w:rFonts w:ascii="Arial Narrow" w:hAnsi="Arial Narrow"/>
                <w:sz w:val="20"/>
              </w:rPr>
              <w:t>CI)</w:t>
            </w:r>
          </w:p>
        </w:tc>
        <w:tc>
          <w:tcPr>
            <w:tcW w:w="584" w:type="pct"/>
            <w:shd w:val="clear" w:color="auto" w:fill="FFFFFF"/>
            <w:vAlign w:val="center"/>
          </w:tcPr>
          <w:p w14:paraId="3E5B5443" w14:textId="77777777" w:rsidR="0066487C" w:rsidRPr="00D540A3" w:rsidRDefault="0066487C" w:rsidP="00196F9D">
            <w:pPr>
              <w:keepNext/>
              <w:jc w:val="center"/>
              <w:rPr>
                <w:rFonts w:ascii="Arial Narrow" w:hAnsi="Arial Narrow"/>
                <w:b/>
                <w:bCs/>
                <w:iCs/>
                <w:sz w:val="20"/>
              </w:rPr>
            </w:pPr>
            <w:r w:rsidRPr="00D540A3">
              <w:rPr>
                <w:rFonts w:ascii="Arial Narrow" w:hAnsi="Arial Narrow"/>
                <w:b/>
                <w:bCs/>
                <w:iCs/>
                <w:sz w:val="20"/>
              </w:rPr>
              <w:t xml:space="preserve">15.3 </w:t>
            </w:r>
          </w:p>
          <w:p w14:paraId="50BC585E" w14:textId="77777777" w:rsidR="0066487C" w:rsidRPr="00191822" w:rsidRDefault="0066487C" w:rsidP="00196F9D">
            <w:pPr>
              <w:keepNext/>
              <w:jc w:val="center"/>
              <w:rPr>
                <w:rFonts w:ascii="Arial Narrow" w:hAnsi="Arial Narrow"/>
                <w:iCs/>
                <w:sz w:val="20"/>
              </w:rPr>
            </w:pPr>
            <w:r w:rsidRPr="00D540A3">
              <w:rPr>
                <w:rFonts w:ascii="Arial Narrow" w:hAnsi="Arial Narrow"/>
                <w:b/>
                <w:bCs/>
                <w:iCs/>
                <w:sz w:val="20"/>
              </w:rPr>
              <w:t>(8.3, 22.3)</w:t>
            </w:r>
          </w:p>
        </w:tc>
        <w:tc>
          <w:tcPr>
            <w:tcW w:w="585" w:type="pct"/>
            <w:shd w:val="clear" w:color="auto" w:fill="FFFFFF"/>
            <w:vAlign w:val="center"/>
          </w:tcPr>
          <w:p w14:paraId="6496F9AB"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6.9 </w:t>
            </w:r>
          </w:p>
          <w:p w14:paraId="0EF50810"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(-1.0, 14.9)</w:t>
            </w:r>
          </w:p>
        </w:tc>
        <w:tc>
          <w:tcPr>
            <w:tcW w:w="585" w:type="pct"/>
            <w:shd w:val="clear" w:color="auto" w:fill="FFFFFF"/>
            <w:vAlign w:val="center"/>
          </w:tcPr>
          <w:p w14:paraId="694319B6"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w:t>
            </w:r>
          </w:p>
        </w:tc>
        <w:tc>
          <w:tcPr>
            <w:tcW w:w="585" w:type="pct"/>
            <w:shd w:val="clear" w:color="auto" w:fill="FFFFFF"/>
            <w:vAlign w:val="center"/>
          </w:tcPr>
          <w:p w14:paraId="4E3E5B65"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NR</w:t>
            </w:r>
          </w:p>
        </w:tc>
        <w:tc>
          <w:tcPr>
            <w:tcW w:w="585" w:type="pct"/>
            <w:shd w:val="clear" w:color="auto" w:fill="FFFFFF"/>
            <w:vAlign w:val="center"/>
          </w:tcPr>
          <w:p w14:paraId="49450A55"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NR</w:t>
            </w:r>
          </w:p>
        </w:tc>
        <w:tc>
          <w:tcPr>
            <w:tcW w:w="585" w:type="pct"/>
            <w:shd w:val="clear" w:color="auto" w:fill="FFFFFF"/>
            <w:vAlign w:val="center"/>
          </w:tcPr>
          <w:p w14:paraId="78AA3425"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w:t>
            </w:r>
          </w:p>
        </w:tc>
      </w:tr>
      <w:tr w:rsidR="0066487C" w:rsidRPr="00191822" w14:paraId="444BDAB2" w14:textId="77777777" w:rsidTr="005F6EEE">
        <w:tc>
          <w:tcPr>
            <w:tcW w:w="5000" w:type="pct"/>
            <w:gridSpan w:val="7"/>
          </w:tcPr>
          <w:p w14:paraId="61DBB216" w14:textId="77777777" w:rsidR="0066487C" w:rsidRPr="00191822" w:rsidRDefault="0066487C" w:rsidP="00AE06A8">
            <w:pPr>
              <w:keepNext/>
              <w:rPr>
                <w:rFonts w:ascii="Arial Narrow" w:hAnsi="Arial Narrow"/>
                <w:b/>
                <w:iCs/>
                <w:sz w:val="20"/>
              </w:rPr>
            </w:pPr>
            <w:r w:rsidRPr="00191822">
              <w:rPr>
                <w:rFonts w:ascii="Arial Narrow" w:hAnsi="Arial Narrow"/>
                <w:b/>
                <w:iCs/>
                <w:sz w:val="20"/>
              </w:rPr>
              <w:t>Investigator-assessed</w:t>
            </w:r>
          </w:p>
        </w:tc>
      </w:tr>
      <w:tr w:rsidR="0066487C" w:rsidRPr="00191822" w14:paraId="33789641" w14:textId="77777777" w:rsidTr="005F6EEE">
        <w:tc>
          <w:tcPr>
            <w:tcW w:w="1491" w:type="pct"/>
            <w:shd w:val="clear" w:color="auto" w:fill="FFFFFF" w:themeFill="background1"/>
            <w:vAlign w:val="center"/>
          </w:tcPr>
          <w:p w14:paraId="2D11BD4D" w14:textId="77777777" w:rsidR="0066487C" w:rsidRPr="00191822" w:rsidRDefault="0066487C" w:rsidP="00196F9D">
            <w:pPr>
              <w:keepNext/>
              <w:jc w:val="left"/>
              <w:rPr>
                <w:rFonts w:ascii="Arial Narrow" w:hAnsi="Arial Narrow"/>
                <w:sz w:val="20"/>
                <w:vertAlign w:val="superscript"/>
              </w:rPr>
            </w:pPr>
            <w:r w:rsidRPr="00191822">
              <w:rPr>
                <w:rFonts w:ascii="Arial Narrow" w:hAnsi="Arial Narrow"/>
                <w:sz w:val="20"/>
              </w:rPr>
              <w:t xml:space="preserve">ORR (CR + </w:t>
            </w:r>
            <w:proofErr w:type="spellStart"/>
            <w:r w:rsidRPr="00191822">
              <w:rPr>
                <w:rFonts w:ascii="Arial Narrow" w:hAnsi="Arial Narrow"/>
                <w:sz w:val="20"/>
              </w:rPr>
              <w:t>CRi</w:t>
            </w:r>
            <w:proofErr w:type="spellEnd"/>
            <w:r w:rsidRPr="00191822">
              <w:rPr>
                <w:rFonts w:ascii="Arial Narrow" w:hAnsi="Arial Narrow"/>
                <w:sz w:val="20"/>
              </w:rPr>
              <w:t xml:space="preserve"> + </w:t>
            </w:r>
            <w:proofErr w:type="spellStart"/>
            <w:r w:rsidRPr="00191822">
              <w:rPr>
                <w:rFonts w:ascii="Arial Narrow" w:hAnsi="Arial Narrow"/>
                <w:sz w:val="20"/>
              </w:rPr>
              <w:t>nPR</w:t>
            </w:r>
            <w:proofErr w:type="spellEnd"/>
            <w:r w:rsidRPr="00191822">
              <w:rPr>
                <w:rFonts w:ascii="Arial Narrow" w:hAnsi="Arial Narrow"/>
                <w:sz w:val="20"/>
              </w:rPr>
              <w:t xml:space="preserve"> + PR), n (%)</w:t>
            </w:r>
          </w:p>
        </w:tc>
        <w:tc>
          <w:tcPr>
            <w:tcW w:w="584" w:type="pct"/>
            <w:shd w:val="clear" w:color="auto" w:fill="FFFFFF"/>
            <w:vAlign w:val="center"/>
          </w:tcPr>
          <w:p w14:paraId="1C97F643"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172 (96.1)</w:t>
            </w:r>
          </w:p>
        </w:tc>
        <w:tc>
          <w:tcPr>
            <w:tcW w:w="585" w:type="pct"/>
            <w:shd w:val="clear" w:color="auto" w:fill="FFFFFF"/>
            <w:vAlign w:val="center"/>
          </w:tcPr>
          <w:p w14:paraId="0CCF202A"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160 (89.4)</w:t>
            </w:r>
          </w:p>
        </w:tc>
        <w:tc>
          <w:tcPr>
            <w:tcW w:w="585" w:type="pct"/>
            <w:shd w:val="clear" w:color="auto" w:fill="FFFFFF"/>
          </w:tcPr>
          <w:p w14:paraId="0111AB1A"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146 (82.5)</w:t>
            </w:r>
          </w:p>
        </w:tc>
        <w:tc>
          <w:tcPr>
            <w:tcW w:w="585" w:type="pct"/>
            <w:shd w:val="clear" w:color="auto" w:fill="FFFFFF"/>
          </w:tcPr>
          <w:p w14:paraId="1DDDAEA2" w14:textId="77777777" w:rsidR="0066487C" w:rsidRPr="00191822" w:rsidRDefault="009E3125" w:rsidP="00196F9D">
            <w:pPr>
              <w:keepNext/>
              <w:jc w:val="center"/>
              <w:rPr>
                <w:rFonts w:ascii="Arial Narrow" w:hAnsi="Arial Narrow"/>
                <w:iCs/>
                <w:sz w:val="20"/>
              </w:rPr>
            </w:pPr>
            <w:r w:rsidRPr="009E3125">
              <w:rPr>
                <w:rFonts w:ascii="Arial Narrow" w:hAnsi="Arial Narrow"/>
                <w:iCs/>
                <w:sz w:val="20"/>
              </w:rPr>
              <w:t>172 (96.1)</w:t>
            </w:r>
          </w:p>
        </w:tc>
        <w:tc>
          <w:tcPr>
            <w:tcW w:w="585" w:type="pct"/>
            <w:shd w:val="clear" w:color="auto" w:fill="FFFFFF"/>
          </w:tcPr>
          <w:p w14:paraId="5C813A71"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161 (89.9)</w:t>
            </w:r>
          </w:p>
        </w:tc>
        <w:tc>
          <w:tcPr>
            <w:tcW w:w="585" w:type="pct"/>
            <w:shd w:val="clear" w:color="auto" w:fill="FFFFFF"/>
          </w:tcPr>
          <w:p w14:paraId="64ABF23A"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146 (82.5)</w:t>
            </w:r>
          </w:p>
        </w:tc>
      </w:tr>
      <w:tr w:rsidR="0066487C" w:rsidRPr="00191822" w14:paraId="653E770A" w14:textId="77777777" w:rsidTr="005F6EEE">
        <w:tc>
          <w:tcPr>
            <w:tcW w:w="1491" w:type="pct"/>
            <w:shd w:val="clear" w:color="auto" w:fill="FFFFFF" w:themeFill="background1"/>
            <w:vAlign w:val="center"/>
          </w:tcPr>
          <w:p w14:paraId="342906C4" w14:textId="77777777" w:rsidR="0066487C" w:rsidRPr="00191822" w:rsidRDefault="0066487C" w:rsidP="00196F9D">
            <w:pPr>
              <w:keepNext/>
              <w:jc w:val="left"/>
              <w:rPr>
                <w:rFonts w:ascii="Arial Narrow" w:hAnsi="Arial Narrow"/>
                <w:sz w:val="20"/>
              </w:rPr>
            </w:pPr>
            <w:r w:rsidRPr="00191822">
              <w:rPr>
                <w:rFonts w:ascii="Arial Narrow" w:hAnsi="Arial Narrow"/>
                <w:sz w:val="20"/>
              </w:rPr>
              <w:t>Difference versus CHL + OBI (95%</w:t>
            </w:r>
            <w:r w:rsidR="00D46D56">
              <w:rPr>
                <w:rFonts w:ascii="Arial Narrow" w:hAnsi="Arial Narrow"/>
                <w:sz w:val="20"/>
              </w:rPr>
              <w:t> </w:t>
            </w:r>
            <w:r w:rsidRPr="00191822">
              <w:rPr>
                <w:rFonts w:ascii="Arial Narrow" w:hAnsi="Arial Narrow"/>
                <w:sz w:val="20"/>
              </w:rPr>
              <w:t>CI)</w:t>
            </w:r>
          </w:p>
        </w:tc>
        <w:tc>
          <w:tcPr>
            <w:tcW w:w="584" w:type="pct"/>
            <w:shd w:val="clear" w:color="auto" w:fill="FFFFFF"/>
            <w:vAlign w:val="center"/>
          </w:tcPr>
          <w:p w14:paraId="24F56E2A" w14:textId="77777777" w:rsidR="0066487C" w:rsidRPr="00D540A3" w:rsidRDefault="0066487C" w:rsidP="00196F9D">
            <w:pPr>
              <w:keepNext/>
              <w:jc w:val="center"/>
              <w:rPr>
                <w:rFonts w:ascii="Arial Narrow" w:hAnsi="Arial Narrow"/>
                <w:b/>
                <w:bCs/>
                <w:iCs/>
                <w:sz w:val="20"/>
              </w:rPr>
            </w:pPr>
            <w:r w:rsidRPr="00D540A3">
              <w:rPr>
                <w:rFonts w:ascii="Arial Narrow" w:hAnsi="Arial Narrow"/>
                <w:b/>
                <w:bCs/>
                <w:iCs/>
                <w:sz w:val="20"/>
              </w:rPr>
              <w:t xml:space="preserve">13.6 </w:t>
            </w:r>
          </w:p>
          <w:p w14:paraId="768FF661" w14:textId="77777777" w:rsidR="0066487C" w:rsidRPr="00191822" w:rsidRDefault="0066487C" w:rsidP="00196F9D">
            <w:pPr>
              <w:keepNext/>
              <w:jc w:val="center"/>
              <w:rPr>
                <w:rFonts w:ascii="Arial Narrow" w:hAnsi="Arial Narrow"/>
                <w:iCs/>
                <w:sz w:val="20"/>
              </w:rPr>
            </w:pPr>
            <w:r w:rsidRPr="00D540A3">
              <w:rPr>
                <w:rFonts w:ascii="Arial Narrow" w:hAnsi="Arial Narrow"/>
                <w:b/>
                <w:bCs/>
                <w:iCs/>
                <w:sz w:val="20"/>
              </w:rPr>
              <w:t>(7.3, 19.9)</w:t>
            </w:r>
          </w:p>
        </w:tc>
        <w:tc>
          <w:tcPr>
            <w:tcW w:w="585" w:type="pct"/>
            <w:shd w:val="clear" w:color="auto" w:fill="FFFFFF"/>
            <w:vAlign w:val="center"/>
          </w:tcPr>
          <w:p w14:paraId="0BEBDF21"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 xml:space="preserve">6.9 </w:t>
            </w:r>
          </w:p>
          <w:p w14:paraId="72DB9A13"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(-0.3, 14.1)</w:t>
            </w:r>
          </w:p>
        </w:tc>
        <w:tc>
          <w:tcPr>
            <w:tcW w:w="585" w:type="pct"/>
            <w:shd w:val="clear" w:color="auto" w:fill="FFFFFF"/>
          </w:tcPr>
          <w:p w14:paraId="6DB2C7BB"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w:t>
            </w:r>
          </w:p>
        </w:tc>
        <w:tc>
          <w:tcPr>
            <w:tcW w:w="585" w:type="pct"/>
            <w:shd w:val="clear" w:color="auto" w:fill="FFFFFF"/>
            <w:vAlign w:val="center"/>
          </w:tcPr>
          <w:p w14:paraId="7EA54272" w14:textId="77777777" w:rsidR="0066487C" w:rsidRPr="00191822" w:rsidRDefault="009E3125" w:rsidP="00196F9D">
            <w:pPr>
              <w:keepNext/>
              <w:jc w:val="center"/>
              <w:rPr>
                <w:rFonts w:ascii="Arial Narrow" w:hAnsi="Arial Narrow"/>
                <w:iCs/>
                <w:sz w:val="20"/>
              </w:rPr>
            </w:pPr>
            <w:r w:rsidRPr="009E3125">
              <w:rPr>
                <w:rFonts w:ascii="Arial Narrow" w:hAnsi="Arial Narrow"/>
                <w:iCs/>
                <w:sz w:val="20"/>
              </w:rPr>
              <w:t>13.6 (NR)</w:t>
            </w:r>
          </w:p>
        </w:tc>
        <w:tc>
          <w:tcPr>
            <w:tcW w:w="585" w:type="pct"/>
            <w:shd w:val="clear" w:color="auto" w:fill="FFFFFF"/>
          </w:tcPr>
          <w:p w14:paraId="24F316D0" w14:textId="77777777" w:rsidR="0066487C" w:rsidRPr="00D540A3" w:rsidRDefault="0066487C" w:rsidP="00196F9D">
            <w:pPr>
              <w:keepNext/>
              <w:jc w:val="center"/>
              <w:rPr>
                <w:rFonts w:ascii="Arial Narrow" w:hAnsi="Arial Narrow"/>
                <w:b/>
                <w:bCs/>
                <w:iCs/>
                <w:sz w:val="20"/>
              </w:rPr>
            </w:pPr>
            <w:r w:rsidRPr="00D540A3">
              <w:rPr>
                <w:rFonts w:ascii="Arial Narrow" w:hAnsi="Arial Narrow"/>
                <w:b/>
                <w:bCs/>
                <w:iCs/>
                <w:sz w:val="20"/>
              </w:rPr>
              <w:t xml:space="preserve">7.5 </w:t>
            </w:r>
          </w:p>
          <w:p w14:paraId="1CBEE5BB" w14:textId="77777777" w:rsidR="0066487C" w:rsidRPr="00191822" w:rsidRDefault="0066487C" w:rsidP="00196F9D">
            <w:pPr>
              <w:keepNext/>
              <w:jc w:val="center"/>
              <w:rPr>
                <w:rFonts w:ascii="Arial Narrow" w:hAnsi="Arial Narrow"/>
                <w:iCs/>
                <w:sz w:val="20"/>
              </w:rPr>
            </w:pPr>
            <w:r w:rsidRPr="00D540A3">
              <w:rPr>
                <w:rFonts w:ascii="Arial Narrow" w:hAnsi="Arial Narrow"/>
                <w:b/>
                <w:bCs/>
                <w:iCs/>
                <w:sz w:val="20"/>
              </w:rPr>
              <w:t>(0.3, 14.6)</w:t>
            </w:r>
          </w:p>
        </w:tc>
        <w:tc>
          <w:tcPr>
            <w:tcW w:w="585" w:type="pct"/>
            <w:shd w:val="clear" w:color="auto" w:fill="FFFFFF"/>
            <w:vAlign w:val="center"/>
          </w:tcPr>
          <w:p w14:paraId="62800B4D" w14:textId="77777777" w:rsidR="0066487C" w:rsidRPr="00191822" w:rsidRDefault="0066487C" w:rsidP="00196F9D">
            <w:pPr>
              <w:keepNext/>
              <w:jc w:val="center"/>
              <w:rPr>
                <w:rFonts w:ascii="Arial Narrow" w:hAnsi="Arial Narrow"/>
                <w:iCs/>
                <w:sz w:val="20"/>
              </w:rPr>
            </w:pPr>
            <w:r w:rsidRPr="00191822">
              <w:rPr>
                <w:rFonts w:ascii="Arial Narrow" w:hAnsi="Arial Narrow"/>
                <w:iCs/>
                <w:sz w:val="20"/>
              </w:rPr>
              <w:t>-</w:t>
            </w:r>
          </w:p>
        </w:tc>
      </w:tr>
    </w:tbl>
    <w:p w14:paraId="2869B451" w14:textId="77777777" w:rsidR="0066487C" w:rsidRPr="001D7C3A" w:rsidRDefault="0066487C" w:rsidP="00530CFC">
      <w:pPr>
        <w:pStyle w:val="TableFooter"/>
        <w:keepNext/>
        <w:keepLines/>
        <w:spacing w:after="120"/>
      </w:pPr>
      <w:r w:rsidRPr="00191822">
        <w:t>Source: Table 2.17, pp94-95; Table 2.18, p95 of the resubmission; Table 18, p110 of the ELEVATE-TN interim clinical study report; p10 of Attachment 8 of the resubmission</w:t>
      </w:r>
      <w:r w:rsidR="009E3125">
        <w:t xml:space="preserve">; </w:t>
      </w:r>
      <w:r w:rsidR="00561EB0">
        <w:t>Sharman et al. (2021), Attachment 10 of the submission.</w:t>
      </w:r>
    </w:p>
    <w:p w14:paraId="7A3760AA" w14:textId="77777777" w:rsidR="0066487C" w:rsidRDefault="0066487C" w:rsidP="00530CFC">
      <w:pPr>
        <w:pStyle w:val="TableFooter"/>
        <w:keepNext/>
        <w:keepLines/>
        <w:spacing w:after="120"/>
      </w:pPr>
      <w:r w:rsidRPr="00191822">
        <w:t xml:space="preserve">ACAL, acalabrutinib; CHL, chlorambucil; CI, confidence interval; CR, complete response; </w:t>
      </w:r>
      <w:proofErr w:type="spellStart"/>
      <w:r w:rsidRPr="00191822">
        <w:t>CRi</w:t>
      </w:r>
      <w:proofErr w:type="spellEnd"/>
      <w:r w:rsidRPr="00191822">
        <w:t xml:space="preserve">, complete response with incomplete bone marrow recovery; </w:t>
      </w:r>
      <w:proofErr w:type="spellStart"/>
      <w:r w:rsidRPr="00191822">
        <w:t>nPR</w:t>
      </w:r>
      <w:proofErr w:type="spellEnd"/>
      <w:r w:rsidRPr="00191822">
        <w:t xml:space="preserve">, nodular partial response; OBI, </w:t>
      </w:r>
      <w:proofErr w:type="spellStart"/>
      <w:r w:rsidRPr="00191822">
        <w:t>obinutuzumab</w:t>
      </w:r>
      <w:proofErr w:type="spellEnd"/>
      <w:r w:rsidRPr="00191822">
        <w:t>; overall response rate; ORR, overall response rate; PR, partial response.</w:t>
      </w:r>
    </w:p>
    <w:p w14:paraId="39844069" w14:textId="77777777" w:rsidR="002505E5" w:rsidRPr="00191822" w:rsidRDefault="002505E5" w:rsidP="00530CFC">
      <w:pPr>
        <w:pStyle w:val="TableFooter"/>
        <w:keepNext/>
        <w:keepLines/>
        <w:spacing w:after="120"/>
      </w:pPr>
      <w:r>
        <w:t>Bold indicates statistically significant results.</w:t>
      </w:r>
    </w:p>
    <w:p w14:paraId="21A7D04B" w14:textId="77777777" w:rsidR="001A215A" w:rsidRPr="00191822" w:rsidRDefault="001A215A" w:rsidP="001A215A">
      <w:pPr>
        <w:pStyle w:val="ExecSumBodyText"/>
      </w:pPr>
      <w:r w:rsidRPr="00191822">
        <w:rPr>
          <w:snapToGrid/>
        </w:rPr>
        <w:t>Based on the independent review committee-assessed outcomes</w:t>
      </w:r>
      <w:r w:rsidR="00EA74AD" w:rsidRPr="00191822">
        <w:rPr>
          <w:snapToGrid/>
        </w:rPr>
        <w:t xml:space="preserve"> at the February</w:t>
      </w:r>
      <w:r w:rsidR="00A74D10">
        <w:rPr>
          <w:snapToGrid/>
        </w:rPr>
        <w:t> </w:t>
      </w:r>
      <w:r w:rsidR="00EA74AD" w:rsidRPr="00191822">
        <w:rPr>
          <w:snapToGrid/>
        </w:rPr>
        <w:t>2019 interim analysis</w:t>
      </w:r>
      <w:r w:rsidRPr="00191822">
        <w:rPr>
          <w:snapToGrid/>
        </w:rPr>
        <w:t xml:space="preserve">, the overall response rate was higher in the acalabrutinib + </w:t>
      </w:r>
      <w:proofErr w:type="spellStart"/>
      <w:r w:rsidRPr="00191822">
        <w:rPr>
          <w:snapToGrid/>
        </w:rPr>
        <w:t>obinutuzumab</w:t>
      </w:r>
      <w:proofErr w:type="spellEnd"/>
      <w:r w:rsidRPr="00191822">
        <w:rPr>
          <w:snapToGrid/>
        </w:rPr>
        <w:t xml:space="preserve"> (93.9%) and acalabrutinib monotherapy (85.5%) arms compared to the chlorambucil + </w:t>
      </w:r>
      <w:proofErr w:type="spellStart"/>
      <w:r w:rsidRPr="00191822">
        <w:rPr>
          <w:snapToGrid/>
        </w:rPr>
        <w:t>obinutuzumab</w:t>
      </w:r>
      <w:proofErr w:type="spellEnd"/>
      <w:r w:rsidRPr="00191822">
        <w:rPr>
          <w:snapToGrid/>
        </w:rPr>
        <w:t xml:space="preserve"> arm (78.5%). The difference was statistically significant for the acalabrutinib + </w:t>
      </w:r>
      <w:proofErr w:type="spellStart"/>
      <w:r w:rsidRPr="00191822">
        <w:rPr>
          <w:snapToGrid/>
        </w:rPr>
        <w:t>obinutuzumab</w:t>
      </w:r>
      <w:proofErr w:type="spellEnd"/>
      <w:r w:rsidRPr="00191822">
        <w:rPr>
          <w:snapToGrid/>
        </w:rPr>
        <w:t xml:space="preserve"> comparison (difference: 15.3% [95% CI: 8.3, 22.3]), but not the acalabrutinib monotherapy comparison (difference: 6.9% [95% CI: -1.0, 14.9]). </w:t>
      </w:r>
    </w:p>
    <w:p w14:paraId="3DEE800C" w14:textId="77777777" w:rsidR="001A215A" w:rsidRPr="00191822" w:rsidRDefault="00EA74AD" w:rsidP="001A215A">
      <w:pPr>
        <w:pStyle w:val="ExecSumBodyText"/>
        <w:rPr>
          <w:snapToGrid/>
        </w:rPr>
      </w:pPr>
      <w:r w:rsidRPr="00191822">
        <w:rPr>
          <w:snapToGrid/>
        </w:rPr>
        <w:t xml:space="preserve">Based on investigator-assessed outcomes for the September 2020 data cut (median follow-up of 46.9 months), the overall response rate was higher in the acalabrutinib </w:t>
      </w:r>
      <w:r w:rsidR="00987D09">
        <w:rPr>
          <w:snapToGrid/>
        </w:rPr>
        <w:t xml:space="preserve">+ </w:t>
      </w:r>
      <w:proofErr w:type="spellStart"/>
      <w:r w:rsidR="00987D09">
        <w:rPr>
          <w:snapToGrid/>
        </w:rPr>
        <w:t>obinutuzumab</w:t>
      </w:r>
      <w:proofErr w:type="spellEnd"/>
      <w:r w:rsidR="00987D09">
        <w:rPr>
          <w:snapToGrid/>
        </w:rPr>
        <w:t xml:space="preserve"> (96.1%) and acalabrutinib </w:t>
      </w:r>
      <w:r w:rsidRPr="00191822">
        <w:rPr>
          <w:snapToGrid/>
        </w:rPr>
        <w:t>monotherapy arm</w:t>
      </w:r>
      <w:r w:rsidR="00987D09">
        <w:rPr>
          <w:snapToGrid/>
        </w:rPr>
        <w:t>s</w:t>
      </w:r>
      <w:r w:rsidRPr="00191822">
        <w:rPr>
          <w:snapToGrid/>
        </w:rPr>
        <w:t xml:space="preserve"> (89.9%)</w:t>
      </w:r>
      <w:r w:rsidR="00987D09">
        <w:rPr>
          <w:snapToGrid/>
        </w:rPr>
        <w:t>,</w:t>
      </w:r>
      <w:r w:rsidRPr="00191822">
        <w:rPr>
          <w:snapToGrid/>
        </w:rPr>
        <w:t xml:space="preserve"> compared to the chlorambucil </w:t>
      </w:r>
      <w:r w:rsidR="00987D09">
        <w:rPr>
          <w:snapToGrid/>
        </w:rPr>
        <w:t xml:space="preserve">+ </w:t>
      </w:r>
      <w:proofErr w:type="spellStart"/>
      <w:r w:rsidR="00987D09">
        <w:rPr>
          <w:snapToGrid/>
        </w:rPr>
        <w:t>obinutuzumab</w:t>
      </w:r>
      <w:proofErr w:type="spellEnd"/>
      <w:r w:rsidR="00987D09">
        <w:rPr>
          <w:snapToGrid/>
        </w:rPr>
        <w:t xml:space="preserve"> </w:t>
      </w:r>
      <w:r w:rsidRPr="00191822">
        <w:rPr>
          <w:snapToGrid/>
        </w:rPr>
        <w:t>arm (82.5%)</w:t>
      </w:r>
      <w:r w:rsidR="00987D09">
        <w:rPr>
          <w:snapToGrid/>
        </w:rPr>
        <w:t>. T</w:t>
      </w:r>
      <w:r w:rsidRPr="00191822">
        <w:rPr>
          <w:snapToGrid/>
        </w:rPr>
        <w:t xml:space="preserve">he difference was statistically significant </w:t>
      </w:r>
      <w:r w:rsidR="00987D09">
        <w:rPr>
          <w:snapToGrid/>
        </w:rPr>
        <w:t xml:space="preserve">for the comparison of acalabrutinib monotherapy versus chlorambucil + </w:t>
      </w:r>
      <w:proofErr w:type="spellStart"/>
      <w:r w:rsidR="00987D09">
        <w:rPr>
          <w:snapToGrid/>
        </w:rPr>
        <w:t>obinutuzumab</w:t>
      </w:r>
      <w:proofErr w:type="spellEnd"/>
      <w:r w:rsidR="00987D09">
        <w:rPr>
          <w:snapToGrid/>
        </w:rPr>
        <w:t xml:space="preserve"> </w:t>
      </w:r>
      <w:r w:rsidRPr="00191822">
        <w:rPr>
          <w:snapToGrid/>
        </w:rPr>
        <w:t>(difference: 7.5% [95% CI: 0.3, 14.6</w:t>
      </w:r>
      <w:r w:rsidR="00987D09">
        <w:rPr>
          <w:snapToGrid/>
        </w:rPr>
        <w:t>]</w:t>
      </w:r>
      <w:r w:rsidRPr="00191822">
        <w:rPr>
          <w:snapToGrid/>
        </w:rPr>
        <w:t xml:space="preserve">). </w:t>
      </w:r>
      <w:r w:rsidR="00987D09">
        <w:rPr>
          <w:snapToGrid/>
        </w:rPr>
        <w:t xml:space="preserve">Results of statistical testing </w:t>
      </w:r>
      <w:r w:rsidR="00971FA2">
        <w:rPr>
          <w:snapToGrid/>
        </w:rPr>
        <w:t>for</w:t>
      </w:r>
      <w:r w:rsidR="00987D09">
        <w:rPr>
          <w:snapToGrid/>
        </w:rPr>
        <w:t xml:space="preserve"> the difference between the acalabrutinib + </w:t>
      </w:r>
      <w:proofErr w:type="spellStart"/>
      <w:r w:rsidR="00987D09">
        <w:rPr>
          <w:snapToGrid/>
        </w:rPr>
        <w:t>obinutuzumab</w:t>
      </w:r>
      <w:proofErr w:type="spellEnd"/>
      <w:r w:rsidR="00987D09">
        <w:rPr>
          <w:snapToGrid/>
        </w:rPr>
        <w:t xml:space="preserve"> and chlorambucil + </w:t>
      </w:r>
      <w:proofErr w:type="spellStart"/>
      <w:r w:rsidR="00987D09">
        <w:rPr>
          <w:snapToGrid/>
        </w:rPr>
        <w:t>obinutuzumab</w:t>
      </w:r>
      <w:proofErr w:type="spellEnd"/>
      <w:r w:rsidR="00987D09">
        <w:rPr>
          <w:snapToGrid/>
        </w:rPr>
        <w:t xml:space="preserve"> arms were not available</w:t>
      </w:r>
      <w:r w:rsidRPr="00191822">
        <w:rPr>
          <w:snapToGrid/>
        </w:rPr>
        <w:t>.</w:t>
      </w:r>
    </w:p>
    <w:p w14:paraId="01B32C0C" w14:textId="77777777" w:rsidR="00EA74AD" w:rsidRPr="00A25C41" w:rsidRDefault="00BD60E3" w:rsidP="008B1874">
      <w:pPr>
        <w:pStyle w:val="ExecSumBodyText"/>
      </w:pPr>
      <w:r>
        <w:t xml:space="preserve">Table </w:t>
      </w:r>
      <w:r>
        <w:rPr>
          <w:noProof/>
        </w:rPr>
        <w:t>8</w:t>
      </w:r>
      <w:r w:rsidR="00EA74AD" w:rsidRPr="00191822">
        <w:t xml:space="preserve"> presents the results for time to next anti-CLL treatment for the ELEVATE-TN trial at the</w:t>
      </w:r>
      <w:r w:rsidR="00FC0B8C" w:rsidRPr="00191822">
        <w:t xml:space="preserve"> February 2019</w:t>
      </w:r>
      <w:r w:rsidR="00EA74AD" w:rsidRPr="00191822">
        <w:t xml:space="preserve"> interim analysis. </w:t>
      </w:r>
      <w:r w:rsidR="00EA74AD" w:rsidRPr="00A25C41">
        <w:t>No new data for time to next anti-CLL treatment were presented in the resubmission.</w:t>
      </w:r>
    </w:p>
    <w:p w14:paraId="51AD7A1C" w14:textId="77777777" w:rsidR="00EA74AD" w:rsidRPr="00191822" w:rsidRDefault="004026AA" w:rsidP="004026AA">
      <w:pPr>
        <w:pStyle w:val="TableFigureCaption"/>
        <w:rPr>
          <w:snapToGrid w:val="0"/>
        </w:rPr>
      </w:pPr>
      <w:bookmarkStart w:id="34" w:name="_Ref80373514"/>
      <w:r>
        <w:lastRenderedPageBreak/>
        <w:t xml:space="preserve">Table </w:t>
      </w:r>
      <w:r w:rsidR="00BD60E3">
        <w:rPr>
          <w:noProof/>
        </w:rPr>
        <w:t>8</w:t>
      </w:r>
      <w:bookmarkEnd w:id="34"/>
      <w:r w:rsidR="00F11632" w:rsidRPr="00191822">
        <w:rPr>
          <w:snapToGrid w:val="0"/>
        </w:rPr>
        <w:t>:</w:t>
      </w:r>
      <w:r w:rsidR="00EA74AD" w:rsidRPr="00191822">
        <w:rPr>
          <w:snapToGrid w:val="0"/>
        </w:rPr>
        <w:t xml:space="preserve"> Time to next treatment results for the ELEVATE-TN trial at the </w:t>
      </w:r>
      <w:r w:rsidR="00FC0B8C" w:rsidRPr="00191822">
        <w:rPr>
          <w:snapToGrid w:val="0"/>
        </w:rPr>
        <w:t xml:space="preserve">February 2019 </w:t>
      </w:r>
      <w:r w:rsidR="00EA74AD" w:rsidRPr="00191822">
        <w:rPr>
          <w:snapToGrid w:val="0"/>
        </w:rPr>
        <w:t>interim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Time to next treatment results for the ELEVATE-TN trial at the February 2019 interim analysis"/>
      </w:tblPr>
      <w:tblGrid>
        <w:gridCol w:w="3397"/>
        <w:gridCol w:w="1874"/>
        <w:gridCol w:w="1874"/>
        <w:gridCol w:w="1872"/>
      </w:tblGrid>
      <w:tr w:rsidR="00EA74AD" w:rsidRPr="00191822" w14:paraId="0D920015" w14:textId="77777777" w:rsidTr="003D3B1B">
        <w:trPr>
          <w:trHeight w:val="349"/>
        </w:trPr>
        <w:tc>
          <w:tcPr>
            <w:tcW w:w="1884" w:type="pct"/>
            <w:shd w:val="clear" w:color="auto" w:fill="FFFFFF"/>
            <w:vAlign w:val="center"/>
          </w:tcPr>
          <w:p w14:paraId="07327565" w14:textId="77777777" w:rsidR="00EA74AD" w:rsidRPr="00191822" w:rsidRDefault="00EA74AD" w:rsidP="00003A90">
            <w:pPr>
              <w:keepNext/>
              <w:rPr>
                <w:rFonts w:ascii="Arial Narrow" w:hAnsi="Arial Narrow"/>
                <w:b/>
                <w:iCs/>
                <w:sz w:val="20"/>
                <w:szCs w:val="18"/>
              </w:rPr>
            </w:pPr>
            <w:r w:rsidRPr="00191822">
              <w:rPr>
                <w:rFonts w:ascii="Arial Narrow" w:hAnsi="Arial Narrow"/>
                <w:b/>
                <w:iCs/>
                <w:sz w:val="20"/>
                <w:szCs w:val="18"/>
              </w:rPr>
              <w:t>Cohort</w:t>
            </w:r>
          </w:p>
        </w:tc>
        <w:tc>
          <w:tcPr>
            <w:tcW w:w="1039" w:type="pct"/>
            <w:shd w:val="clear" w:color="auto" w:fill="FFFFFF"/>
          </w:tcPr>
          <w:p w14:paraId="35CE596A"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ACAL + OBI</w:t>
            </w:r>
          </w:p>
          <w:p w14:paraId="48491A6A"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(N=179)</w:t>
            </w:r>
          </w:p>
        </w:tc>
        <w:tc>
          <w:tcPr>
            <w:tcW w:w="1039" w:type="pct"/>
            <w:shd w:val="clear" w:color="auto" w:fill="FFFFFF"/>
            <w:vAlign w:val="center"/>
          </w:tcPr>
          <w:p w14:paraId="3787255B"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 xml:space="preserve">ACAL </w:t>
            </w:r>
          </w:p>
          <w:p w14:paraId="56B0ED86"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(N=179)</w:t>
            </w:r>
          </w:p>
        </w:tc>
        <w:tc>
          <w:tcPr>
            <w:tcW w:w="1039" w:type="pct"/>
            <w:shd w:val="clear" w:color="auto" w:fill="FFFFFF"/>
            <w:vAlign w:val="center"/>
          </w:tcPr>
          <w:p w14:paraId="5C9502DF"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CHL + OBI</w:t>
            </w:r>
          </w:p>
          <w:p w14:paraId="5B9C1301" w14:textId="77777777" w:rsidR="00EA74AD" w:rsidRPr="00191822" w:rsidRDefault="00EA74AD" w:rsidP="00003A90">
            <w:pPr>
              <w:keepNext/>
              <w:jc w:val="center"/>
              <w:rPr>
                <w:rFonts w:ascii="Arial Narrow" w:hAnsi="Arial Narrow"/>
                <w:b/>
                <w:iCs/>
                <w:sz w:val="20"/>
                <w:szCs w:val="18"/>
              </w:rPr>
            </w:pPr>
            <w:r w:rsidRPr="00191822">
              <w:rPr>
                <w:rFonts w:ascii="Arial Narrow" w:hAnsi="Arial Narrow"/>
                <w:b/>
                <w:iCs/>
                <w:sz w:val="20"/>
                <w:szCs w:val="18"/>
              </w:rPr>
              <w:t>(N=177)</w:t>
            </w:r>
          </w:p>
        </w:tc>
      </w:tr>
      <w:tr w:rsidR="00EA74AD" w:rsidRPr="00191822" w14:paraId="512FF515" w14:textId="77777777" w:rsidTr="003D3B1B">
        <w:trPr>
          <w:trHeight w:val="49"/>
        </w:trPr>
        <w:tc>
          <w:tcPr>
            <w:tcW w:w="1884" w:type="pct"/>
            <w:shd w:val="clear" w:color="auto" w:fill="FFFFFF"/>
            <w:vAlign w:val="center"/>
          </w:tcPr>
          <w:p w14:paraId="3519DCA1" w14:textId="77777777" w:rsidR="00EA74AD" w:rsidRPr="00191822" w:rsidRDefault="00EA74AD" w:rsidP="00003A90">
            <w:pPr>
              <w:keepNext/>
              <w:jc w:val="left"/>
              <w:rPr>
                <w:rFonts w:ascii="Arial Narrow" w:hAnsi="Arial Narrow"/>
                <w:iCs/>
                <w:sz w:val="20"/>
              </w:rPr>
            </w:pPr>
            <w:r w:rsidRPr="00191822">
              <w:rPr>
                <w:rFonts w:ascii="Arial Narrow" w:hAnsi="Arial Narrow"/>
                <w:iCs/>
                <w:sz w:val="20"/>
              </w:rPr>
              <w:t>Median duration of follow-up, months (range)</w:t>
            </w:r>
          </w:p>
        </w:tc>
        <w:tc>
          <w:tcPr>
            <w:tcW w:w="1039" w:type="pct"/>
            <w:shd w:val="clear" w:color="auto" w:fill="FFFFFF"/>
            <w:vAlign w:val="center"/>
          </w:tcPr>
          <w:p w14:paraId="3C31CC67"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28.5 (1.7-40.3)</w:t>
            </w:r>
          </w:p>
        </w:tc>
        <w:tc>
          <w:tcPr>
            <w:tcW w:w="1039" w:type="pct"/>
            <w:shd w:val="clear" w:color="auto" w:fill="FFFFFF"/>
            <w:vAlign w:val="center"/>
          </w:tcPr>
          <w:p w14:paraId="5D7B62EF"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28.4 (0.1-40.8)</w:t>
            </w:r>
          </w:p>
        </w:tc>
        <w:tc>
          <w:tcPr>
            <w:tcW w:w="1039" w:type="pct"/>
            <w:shd w:val="clear" w:color="auto" w:fill="FFFFFF"/>
            <w:vAlign w:val="center"/>
          </w:tcPr>
          <w:p w14:paraId="618F4AA8"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28.0 (0.0-40.4)</w:t>
            </w:r>
          </w:p>
        </w:tc>
      </w:tr>
      <w:tr w:rsidR="00EA74AD" w:rsidRPr="00191822" w14:paraId="43957324" w14:textId="77777777" w:rsidTr="004026AA">
        <w:trPr>
          <w:trHeight w:val="172"/>
        </w:trPr>
        <w:tc>
          <w:tcPr>
            <w:tcW w:w="5000" w:type="pct"/>
            <w:gridSpan w:val="4"/>
            <w:shd w:val="clear" w:color="auto" w:fill="FFFFFF"/>
          </w:tcPr>
          <w:p w14:paraId="37DA0F9B" w14:textId="77777777" w:rsidR="00EA74AD" w:rsidRPr="00191822" w:rsidRDefault="00EA74AD" w:rsidP="00003A90">
            <w:pPr>
              <w:keepNext/>
              <w:rPr>
                <w:rFonts w:ascii="Arial Narrow" w:hAnsi="Arial Narrow"/>
                <w:b/>
                <w:iCs/>
                <w:sz w:val="20"/>
              </w:rPr>
            </w:pPr>
            <w:r w:rsidRPr="00191822">
              <w:rPr>
                <w:rFonts w:ascii="Arial Narrow" w:hAnsi="Arial Narrow"/>
                <w:b/>
                <w:sz w:val="20"/>
              </w:rPr>
              <w:t>Independent review committee-assessed</w:t>
            </w:r>
          </w:p>
        </w:tc>
      </w:tr>
      <w:tr w:rsidR="00EA74AD" w:rsidRPr="00191822" w14:paraId="0CB9648B" w14:textId="77777777" w:rsidTr="003D3B1B">
        <w:trPr>
          <w:trHeight w:val="500"/>
        </w:trPr>
        <w:tc>
          <w:tcPr>
            <w:tcW w:w="1884" w:type="pct"/>
            <w:vAlign w:val="center"/>
          </w:tcPr>
          <w:p w14:paraId="576F1101" w14:textId="77777777" w:rsidR="00EA74AD" w:rsidRPr="00191822" w:rsidRDefault="00EA74AD" w:rsidP="00003A90">
            <w:pPr>
              <w:keepNext/>
              <w:jc w:val="left"/>
              <w:rPr>
                <w:rFonts w:ascii="Arial Narrow" w:hAnsi="Arial Narrow"/>
                <w:sz w:val="20"/>
              </w:rPr>
            </w:pPr>
            <w:r w:rsidRPr="00191822">
              <w:rPr>
                <w:rFonts w:ascii="Arial Narrow" w:hAnsi="Arial Narrow"/>
                <w:sz w:val="20"/>
              </w:rPr>
              <w:t>Total events, n (%)</w:t>
            </w:r>
          </w:p>
          <w:p w14:paraId="5AEC46E7" w14:textId="77777777" w:rsidR="00EA74AD" w:rsidRPr="00191822" w:rsidRDefault="00EA74AD" w:rsidP="00003A90">
            <w:pPr>
              <w:keepNext/>
              <w:jc w:val="left"/>
              <w:rPr>
                <w:rFonts w:ascii="Arial Narrow" w:hAnsi="Arial Narrow"/>
                <w:sz w:val="20"/>
              </w:rPr>
            </w:pPr>
            <w:r w:rsidRPr="00191822">
              <w:rPr>
                <w:rFonts w:ascii="Arial Narrow" w:hAnsi="Arial Narrow"/>
                <w:sz w:val="20"/>
              </w:rPr>
              <w:t>- Death, n (%)</w:t>
            </w:r>
          </w:p>
          <w:p w14:paraId="3568E934" w14:textId="77777777" w:rsidR="00EA74AD" w:rsidRPr="00191822" w:rsidRDefault="00EA74AD" w:rsidP="00003A90">
            <w:pPr>
              <w:keepNext/>
              <w:jc w:val="left"/>
              <w:rPr>
                <w:rFonts w:ascii="Arial Narrow" w:hAnsi="Arial Narrow"/>
                <w:sz w:val="20"/>
              </w:rPr>
            </w:pPr>
            <w:r w:rsidRPr="00191822">
              <w:rPr>
                <w:rFonts w:ascii="Arial Narrow" w:hAnsi="Arial Narrow"/>
                <w:sz w:val="20"/>
              </w:rPr>
              <w:t>- Crossover treatment, n (%)</w:t>
            </w:r>
          </w:p>
          <w:p w14:paraId="14C74F34" w14:textId="77777777" w:rsidR="00EA74AD" w:rsidRPr="00191822" w:rsidRDefault="00EA74AD" w:rsidP="00003A90">
            <w:pPr>
              <w:keepNext/>
              <w:jc w:val="left"/>
              <w:rPr>
                <w:rFonts w:ascii="Arial Narrow" w:hAnsi="Arial Narrow"/>
                <w:sz w:val="20"/>
              </w:rPr>
            </w:pPr>
            <w:r w:rsidRPr="00191822">
              <w:rPr>
                <w:rFonts w:ascii="Arial Narrow" w:hAnsi="Arial Narrow"/>
                <w:sz w:val="20"/>
              </w:rPr>
              <w:t>- Subsequent anti-cancer therapy, n (%)</w:t>
            </w:r>
          </w:p>
        </w:tc>
        <w:tc>
          <w:tcPr>
            <w:tcW w:w="1039" w:type="pct"/>
            <w:shd w:val="clear" w:color="auto" w:fill="FFFFFF"/>
          </w:tcPr>
          <w:p w14:paraId="3D36332A"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13 (7.3)</w:t>
            </w:r>
          </w:p>
          <w:p w14:paraId="6355B1B7"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8 (4.5)</w:t>
            </w:r>
          </w:p>
          <w:p w14:paraId="698FA30D"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0</w:t>
            </w:r>
          </w:p>
          <w:p w14:paraId="466F274D"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5 (2.8)</w:t>
            </w:r>
          </w:p>
        </w:tc>
        <w:tc>
          <w:tcPr>
            <w:tcW w:w="1039" w:type="pct"/>
            <w:shd w:val="clear" w:color="auto" w:fill="FFFFFF"/>
          </w:tcPr>
          <w:p w14:paraId="31439F4C"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21 (11.7)</w:t>
            </w:r>
          </w:p>
          <w:p w14:paraId="0A42F6C9"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10 (5.6)</w:t>
            </w:r>
          </w:p>
          <w:p w14:paraId="46023E22"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0</w:t>
            </w:r>
          </w:p>
          <w:p w14:paraId="5F167245"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11 (6.1)</w:t>
            </w:r>
          </w:p>
        </w:tc>
        <w:tc>
          <w:tcPr>
            <w:tcW w:w="1039" w:type="pct"/>
            <w:shd w:val="clear" w:color="auto" w:fill="FFFFFF"/>
          </w:tcPr>
          <w:p w14:paraId="7B2AABB0"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70 (39.5)</w:t>
            </w:r>
          </w:p>
          <w:p w14:paraId="2F096AFC"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15 (8.5)</w:t>
            </w:r>
          </w:p>
          <w:p w14:paraId="175A1CB1"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45 (25.4)</w:t>
            </w:r>
          </w:p>
          <w:p w14:paraId="770B6F4A"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10 (5.6)</w:t>
            </w:r>
          </w:p>
        </w:tc>
      </w:tr>
      <w:tr w:rsidR="00EA74AD" w:rsidRPr="00191822" w14:paraId="18F3B38A" w14:textId="77777777" w:rsidTr="003D3B1B">
        <w:tc>
          <w:tcPr>
            <w:tcW w:w="1884" w:type="pct"/>
            <w:vAlign w:val="center"/>
          </w:tcPr>
          <w:p w14:paraId="3F52E94F" w14:textId="77777777" w:rsidR="00EA74AD" w:rsidRPr="00191822" w:rsidRDefault="00EA74AD" w:rsidP="00003A90">
            <w:pPr>
              <w:keepNext/>
              <w:jc w:val="left"/>
              <w:rPr>
                <w:rFonts w:ascii="Arial Narrow" w:hAnsi="Arial Narrow"/>
                <w:iCs/>
                <w:sz w:val="20"/>
              </w:rPr>
            </w:pPr>
            <w:r w:rsidRPr="00191822">
              <w:rPr>
                <w:rFonts w:ascii="Arial Narrow" w:hAnsi="Arial Narrow"/>
                <w:sz w:val="20"/>
              </w:rPr>
              <w:t>Median TTNT, months (95% CI)</w:t>
            </w:r>
          </w:p>
        </w:tc>
        <w:tc>
          <w:tcPr>
            <w:tcW w:w="1039" w:type="pct"/>
            <w:shd w:val="clear" w:color="auto" w:fill="FFFFFF"/>
            <w:vAlign w:val="center"/>
          </w:tcPr>
          <w:p w14:paraId="6ACD5A1B"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rPr>
              <w:t>Not reached (NE)</w:t>
            </w:r>
          </w:p>
        </w:tc>
        <w:tc>
          <w:tcPr>
            <w:tcW w:w="1039" w:type="pct"/>
            <w:shd w:val="clear" w:color="auto" w:fill="FFFFFF"/>
          </w:tcPr>
          <w:p w14:paraId="6306B8EA"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Not reached (NE)</w:t>
            </w:r>
          </w:p>
        </w:tc>
        <w:tc>
          <w:tcPr>
            <w:tcW w:w="1039" w:type="pct"/>
            <w:shd w:val="clear" w:color="auto" w:fill="FFFFFF"/>
            <w:vAlign w:val="center"/>
          </w:tcPr>
          <w:p w14:paraId="13F0D3A2"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rPr>
              <w:t>Not reached (28.9, NE)</w:t>
            </w:r>
          </w:p>
        </w:tc>
      </w:tr>
      <w:tr w:rsidR="00EA74AD" w:rsidRPr="00191822" w14:paraId="158E61E9" w14:textId="77777777" w:rsidTr="003D3B1B">
        <w:tc>
          <w:tcPr>
            <w:tcW w:w="1884" w:type="pct"/>
          </w:tcPr>
          <w:p w14:paraId="583B65C3" w14:textId="77777777" w:rsidR="00EA74AD" w:rsidRPr="00191822" w:rsidRDefault="00EA74AD" w:rsidP="00003A90">
            <w:pPr>
              <w:keepNext/>
              <w:jc w:val="left"/>
              <w:rPr>
                <w:rFonts w:ascii="Arial Narrow" w:hAnsi="Arial Narrow"/>
                <w:sz w:val="20"/>
              </w:rPr>
            </w:pPr>
            <w:r w:rsidRPr="00191822">
              <w:rPr>
                <w:rFonts w:ascii="Arial Narrow" w:hAnsi="Arial Narrow"/>
                <w:sz w:val="20"/>
              </w:rPr>
              <w:t>Stratified HR vs CHL + OBI (95% CI)</w:t>
            </w:r>
          </w:p>
        </w:tc>
        <w:tc>
          <w:tcPr>
            <w:tcW w:w="1039" w:type="pct"/>
            <w:shd w:val="clear" w:color="auto" w:fill="FFFFFF"/>
          </w:tcPr>
          <w:p w14:paraId="79BBBF41" w14:textId="77777777" w:rsidR="00EA74AD" w:rsidRPr="00D540A3" w:rsidRDefault="00EA74AD" w:rsidP="00003A90">
            <w:pPr>
              <w:keepNext/>
              <w:jc w:val="center"/>
              <w:rPr>
                <w:rFonts w:ascii="Arial Narrow" w:hAnsi="Arial Narrow"/>
                <w:b/>
                <w:bCs/>
                <w:iCs/>
                <w:sz w:val="20"/>
              </w:rPr>
            </w:pPr>
            <w:r w:rsidRPr="00D540A3">
              <w:rPr>
                <w:rFonts w:ascii="Arial Narrow" w:hAnsi="Arial Narrow"/>
                <w:b/>
                <w:bCs/>
                <w:iCs/>
                <w:sz w:val="20"/>
              </w:rPr>
              <w:t>0.14 (0.08, 0.26)</w:t>
            </w:r>
          </w:p>
        </w:tc>
        <w:tc>
          <w:tcPr>
            <w:tcW w:w="1039" w:type="pct"/>
            <w:shd w:val="clear" w:color="auto" w:fill="FFFFFF"/>
            <w:vAlign w:val="center"/>
          </w:tcPr>
          <w:p w14:paraId="32A52384" w14:textId="77777777" w:rsidR="00EA74AD" w:rsidRPr="00D540A3" w:rsidRDefault="00EA74AD" w:rsidP="00003A90">
            <w:pPr>
              <w:keepNext/>
              <w:jc w:val="center"/>
              <w:rPr>
                <w:rFonts w:ascii="Arial Narrow" w:hAnsi="Arial Narrow"/>
                <w:b/>
                <w:bCs/>
                <w:iCs/>
                <w:sz w:val="20"/>
              </w:rPr>
            </w:pPr>
            <w:r w:rsidRPr="00D540A3">
              <w:rPr>
                <w:rFonts w:ascii="Arial Narrow" w:hAnsi="Arial Narrow"/>
                <w:b/>
                <w:bCs/>
                <w:iCs/>
                <w:sz w:val="20"/>
              </w:rPr>
              <w:t>0.24 (0.15, 0.40)</w:t>
            </w:r>
          </w:p>
        </w:tc>
        <w:tc>
          <w:tcPr>
            <w:tcW w:w="1039" w:type="pct"/>
            <w:shd w:val="clear" w:color="auto" w:fill="FFFFFF"/>
            <w:vAlign w:val="center"/>
          </w:tcPr>
          <w:p w14:paraId="04503F05"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w:t>
            </w:r>
          </w:p>
        </w:tc>
      </w:tr>
      <w:tr w:rsidR="00EA74AD" w:rsidRPr="00191822" w14:paraId="67078353" w14:textId="77777777" w:rsidTr="003D3B1B">
        <w:tc>
          <w:tcPr>
            <w:tcW w:w="1884" w:type="pct"/>
          </w:tcPr>
          <w:p w14:paraId="124ED8E0" w14:textId="77777777" w:rsidR="00EA74AD" w:rsidRPr="00191822" w:rsidRDefault="00EA74AD" w:rsidP="00003A90">
            <w:pPr>
              <w:keepNext/>
              <w:widowControl w:val="0"/>
              <w:jc w:val="left"/>
              <w:rPr>
                <w:rFonts w:ascii="Arial Narrow" w:hAnsi="Arial Narrow"/>
                <w:snapToGrid w:val="0"/>
                <w:sz w:val="20"/>
              </w:rPr>
            </w:pPr>
            <w:r w:rsidRPr="00191822">
              <w:rPr>
                <w:rFonts w:ascii="Arial Narrow" w:hAnsi="Arial Narrow"/>
                <w:snapToGrid w:val="0"/>
                <w:sz w:val="20"/>
              </w:rPr>
              <w:t>KM estimate of TTNT</w:t>
            </w:r>
          </w:p>
          <w:p w14:paraId="75E2C9CF" w14:textId="77777777" w:rsidR="00EA74AD" w:rsidRPr="00191822" w:rsidRDefault="00EA74AD" w:rsidP="00003A90">
            <w:pPr>
              <w:keepNext/>
              <w:widowControl w:val="0"/>
              <w:jc w:val="left"/>
              <w:rPr>
                <w:rFonts w:ascii="Arial Narrow" w:hAnsi="Arial Narrow"/>
                <w:snapToGrid w:val="0"/>
                <w:sz w:val="20"/>
              </w:rPr>
            </w:pPr>
            <w:r w:rsidRPr="00191822">
              <w:rPr>
                <w:rFonts w:ascii="Arial Narrow" w:hAnsi="Arial Narrow"/>
                <w:snapToGrid w:val="0"/>
                <w:sz w:val="20"/>
              </w:rPr>
              <w:t>- 6 months, % (95% CI)</w:t>
            </w:r>
          </w:p>
          <w:p w14:paraId="1865127F" w14:textId="77777777" w:rsidR="00EA74AD" w:rsidRPr="00191822" w:rsidRDefault="00EA74AD" w:rsidP="00003A90">
            <w:pPr>
              <w:keepNext/>
              <w:widowControl w:val="0"/>
              <w:jc w:val="left"/>
              <w:rPr>
                <w:rFonts w:ascii="Arial Narrow" w:hAnsi="Arial Narrow"/>
                <w:snapToGrid w:val="0"/>
                <w:sz w:val="20"/>
              </w:rPr>
            </w:pPr>
            <w:r w:rsidRPr="00191822">
              <w:rPr>
                <w:rFonts w:ascii="Arial Narrow" w:hAnsi="Arial Narrow"/>
                <w:snapToGrid w:val="0"/>
                <w:sz w:val="20"/>
              </w:rPr>
              <w:t>- 12 months, % (95% CI)</w:t>
            </w:r>
          </w:p>
          <w:p w14:paraId="78835532" w14:textId="77777777" w:rsidR="00EA74AD" w:rsidRPr="00191822" w:rsidRDefault="00EA74AD" w:rsidP="00003A90">
            <w:pPr>
              <w:keepNext/>
              <w:jc w:val="left"/>
              <w:rPr>
                <w:rFonts w:ascii="Arial Narrow" w:hAnsi="Arial Narrow"/>
                <w:snapToGrid w:val="0"/>
                <w:sz w:val="20"/>
              </w:rPr>
            </w:pPr>
            <w:r w:rsidRPr="00191822">
              <w:rPr>
                <w:rFonts w:ascii="Arial Narrow" w:hAnsi="Arial Narrow"/>
                <w:snapToGrid w:val="0"/>
                <w:sz w:val="20"/>
              </w:rPr>
              <w:t>- 18 months, % (95% CI)</w:t>
            </w:r>
          </w:p>
          <w:p w14:paraId="61684ECE" w14:textId="77777777" w:rsidR="00EA74AD" w:rsidRPr="00191822" w:rsidRDefault="00EA74AD" w:rsidP="00003A90">
            <w:pPr>
              <w:keepNext/>
              <w:jc w:val="left"/>
              <w:rPr>
                <w:rFonts w:ascii="Arial Narrow" w:hAnsi="Arial Narrow"/>
                <w:snapToGrid w:val="0"/>
                <w:sz w:val="20"/>
              </w:rPr>
            </w:pPr>
            <w:r w:rsidRPr="00191822">
              <w:rPr>
                <w:rFonts w:ascii="Arial Narrow" w:hAnsi="Arial Narrow"/>
                <w:snapToGrid w:val="0"/>
                <w:sz w:val="20"/>
              </w:rPr>
              <w:t>- 24 months, % (95% CI)</w:t>
            </w:r>
          </w:p>
          <w:p w14:paraId="79A4278C" w14:textId="77777777" w:rsidR="00EA74AD" w:rsidRPr="00191822" w:rsidRDefault="00EA74AD" w:rsidP="00003A90">
            <w:pPr>
              <w:keepNext/>
              <w:jc w:val="left"/>
              <w:rPr>
                <w:rFonts w:ascii="Arial Narrow" w:hAnsi="Arial Narrow"/>
                <w:snapToGrid w:val="0"/>
                <w:sz w:val="20"/>
              </w:rPr>
            </w:pPr>
            <w:r w:rsidRPr="00191822">
              <w:rPr>
                <w:rFonts w:ascii="Arial Narrow" w:hAnsi="Arial Narrow"/>
                <w:snapToGrid w:val="0"/>
                <w:sz w:val="20"/>
              </w:rPr>
              <w:t>- 30 months, % (95% CI)</w:t>
            </w:r>
          </w:p>
          <w:p w14:paraId="298E2996" w14:textId="77777777" w:rsidR="00EA74AD" w:rsidRPr="00191822" w:rsidRDefault="00EA74AD" w:rsidP="00003A90">
            <w:pPr>
              <w:keepNext/>
              <w:jc w:val="left"/>
              <w:rPr>
                <w:rFonts w:ascii="Arial Narrow" w:hAnsi="Arial Narrow"/>
                <w:sz w:val="20"/>
              </w:rPr>
            </w:pPr>
            <w:r w:rsidRPr="00191822">
              <w:rPr>
                <w:rFonts w:ascii="Arial Narrow" w:hAnsi="Arial Narrow"/>
                <w:snapToGrid w:val="0"/>
                <w:sz w:val="20"/>
              </w:rPr>
              <w:t>- 36 months, % (95% CI)</w:t>
            </w:r>
          </w:p>
        </w:tc>
        <w:tc>
          <w:tcPr>
            <w:tcW w:w="1039" w:type="pct"/>
            <w:shd w:val="clear" w:color="auto" w:fill="FFFFFF"/>
          </w:tcPr>
          <w:p w14:paraId="4DDE1F8E" w14:textId="77777777" w:rsidR="00EA74AD" w:rsidRPr="00191822" w:rsidRDefault="00EA74AD" w:rsidP="00003A90">
            <w:pPr>
              <w:keepNext/>
              <w:jc w:val="center"/>
              <w:rPr>
                <w:rFonts w:ascii="Arial Narrow" w:hAnsi="Arial Narrow"/>
                <w:iCs/>
                <w:sz w:val="20"/>
              </w:rPr>
            </w:pPr>
          </w:p>
          <w:p w14:paraId="5D6D700A"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97.8 (94.2, 99.2)</w:t>
            </w:r>
          </w:p>
          <w:p w14:paraId="4A700739"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94.9 (90.5, 97.3)</w:t>
            </w:r>
          </w:p>
          <w:p w14:paraId="46D1FC82"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93.2 (88.4, 96.1)</w:t>
            </w:r>
          </w:p>
          <w:p w14:paraId="00D0E929"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93.2 (88.4, 96.1)</w:t>
            </w:r>
          </w:p>
          <w:p w14:paraId="698D8CE1"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93.2 (88.4, 96.1)</w:t>
            </w:r>
          </w:p>
          <w:p w14:paraId="76627C69" w14:textId="77777777" w:rsidR="00EA74AD" w:rsidRPr="00191822" w:rsidRDefault="00EA74AD" w:rsidP="00003A90">
            <w:pPr>
              <w:keepNext/>
              <w:jc w:val="center"/>
              <w:rPr>
                <w:rFonts w:ascii="Arial Narrow" w:hAnsi="Arial Narrow"/>
                <w:iCs/>
                <w:sz w:val="20"/>
              </w:rPr>
            </w:pPr>
            <w:r w:rsidRPr="00191822">
              <w:rPr>
                <w:rFonts w:ascii="Arial Narrow" w:hAnsi="Arial Narrow"/>
                <w:iCs/>
                <w:sz w:val="20"/>
              </w:rPr>
              <w:t>90.0 (80.0, 95.2)</w:t>
            </w:r>
          </w:p>
        </w:tc>
        <w:tc>
          <w:tcPr>
            <w:tcW w:w="1039" w:type="pct"/>
            <w:shd w:val="clear" w:color="auto" w:fill="FFFFFF"/>
          </w:tcPr>
          <w:p w14:paraId="3B4BCA4C" w14:textId="77777777" w:rsidR="00EA74AD" w:rsidRPr="00191822" w:rsidRDefault="00EA74AD" w:rsidP="00003A90">
            <w:pPr>
              <w:keepNext/>
              <w:jc w:val="center"/>
              <w:rPr>
                <w:rFonts w:ascii="Arial Narrow" w:hAnsi="Arial Narrow"/>
                <w:iCs/>
                <w:sz w:val="20"/>
                <w:szCs w:val="18"/>
              </w:rPr>
            </w:pPr>
          </w:p>
          <w:p w14:paraId="659C8CB7"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96.6 (92.6, 98.5)</w:t>
            </w:r>
          </w:p>
          <w:p w14:paraId="41CF30C8"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94.3 (89.7, 96.9)</w:t>
            </w:r>
          </w:p>
          <w:p w14:paraId="448F3C80"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92.6 (87.5, 95.6)</w:t>
            </w:r>
          </w:p>
          <w:p w14:paraId="4610DE28"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90.2 (84.7, 93.8)</w:t>
            </w:r>
          </w:p>
          <w:p w14:paraId="10276E57"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87.9 (81.8, 92.1)</w:t>
            </w:r>
          </w:p>
          <w:p w14:paraId="53C0AFDC"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86.3 (79.2, 91.1)</w:t>
            </w:r>
          </w:p>
        </w:tc>
        <w:tc>
          <w:tcPr>
            <w:tcW w:w="1039" w:type="pct"/>
            <w:shd w:val="clear" w:color="auto" w:fill="FFFFFF"/>
          </w:tcPr>
          <w:p w14:paraId="222763DD" w14:textId="77777777" w:rsidR="00EA74AD" w:rsidRPr="00191822" w:rsidRDefault="00EA74AD" w:rsidP="00003A90">
            <w:pPr>
              <w:keepNext/>
              <w:jc w:val="center"/>
              <w:rPr>
                <w:rFonts w:ascii="Arial Narrow" w:hAnsi="Arial Narrow"/>
                <w:iCs/>
                <w:sz w:val="20"/>
                <w:szCs w:val="18"/>
              </w:rPr>
            </w:pPr>
          </w:p>
          <w:p w14:paraId="5C2EE010"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95.3 (90.9, 97.6)</w:t>
            </w:r>
          </w:p>
          <w:p w14:paraId="0D56AA4B"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92.9 (87.9, 95.9)</w:t>
            </w:r>
          </w:p>
          <w:p w14:paraId="50CFC8FA"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78.5 (71.5, 84.0)</w:t>
            </w:r>
          </w:p>
          <w:p w14:paraId="4E5DEE78"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67.0 (59.2, 73.6)</w:t>
            </w:r>
          </w:p>
          <w:p w14:paraId="04924EA9"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55.5 (46.5, 63.5)</w:t>
            </w:r>
          </w:p>
          <w:p w14:paraId="7BE04D6F" w14:textId="77777777" w:rsidR="00EA74AD" w:rsidRPr="00191822" w:rsidRDefault="00EA74AD" w:rsidP="00003A90">
            <w:pPr>
              <w:keepNext/>
              <w:jc w:val="center"/>
              <w:rPr>
                <w:rFonts w:ascii="Arial Narrow" w:hAnsi="Arial Narrow"/>
                <w:iCs/>
                <w:sz w:val="20"/>
                <w:szCs w:val="18"/>
              </w:rPr>
            </w:pPr>
            <w:r w:rsidRPr="00191822">
              <w:rPr>
                <w:rFonts w:ascii="Arial Narrow" w:hAnsi="Arial Narrow"/>
                <w:iCs/>
                <w:sz w:val="20"/>
                <w:szCs w:val="18"/>
              </w:rPr>
              <w:t>50.2 (40.3, 59.3)</w:t>
            </w:r>
          </w:p>
        </w:tc>
      </w:tr>
    </w:tbl>
    <w:p w14:paraId="2645E57D" w14:textId="77777777" w:rsidR="00EA74AD" w:rsidRPr="00191822" w:rsidRDefault="00EA74AD" w:rsidP="00EA74AD">
      <w:pPr>
        <w:pStyle w:val="TableFooter"/>
      </w:pPr>
      <w:r w:rsidRPr="00191822">
        <w:t>Source: Table 2.19, p96 of the resubmission; Table 20, p118 of the ELEVATE-TN interim clinical study report.</w:t>
      </w:r>
    </w:p>
    <w:p w14:paraId="6281BA2F" w14:textId="77777777" w:rsidR="00EA74AD" w:rsidRDefault="00EA74AD" w:rsidP="00EA74AD">
      <w:pPr>
        <w:pStyle w:val="TableFooter"/>
        <w:spacing w:after="120"/>
      </w:pPr>
      <w:r w:rsidRPr="00191822">
        <w:t xml:space="preserve">ACAL, acalabrutinib; CHL, chlorambucil; CI, confidence interval; HR, hazard ratio; KM, Kaplan-Meier; NE, not estimable; OBI, </w:t>
      </w:r>
      <w:proofErr w:type="spellStart"/>
      <w:r w:rsidRPr="00191822">
        <w:t>obinutuzumab</w:t>
      </w:r>
      <w:proofErr w:type="spellEnd"/>
      <w:r w:rsidRPr="00191822">
        <w:t>; TTNT, time to next treatment.</w:t>
      </w:r>
    </w:p>
    <w:p w14:paraId="25D08BBF" w14:textId="77777777" w:rsidR="002505E5" w:rsidRPr="00191822" w:rsidRDefault="002505E5" w:rsidP="00EA74AD">
      <w:pPr>
        <w:pStyle w:val="TableFooter"/>
        <w:spacing w:after="120"/>
      </w:pPr>
      <w:r>
        <w:t>Bold indicates statistically significant results.</w:t>
      </w:r>
    </w:p>
    <w:p w14:paraId="4C8DDCBA" w14:textId="77777777" w:rsidR="00B7209A" w:rsidRPr="00191822" w:rsidRDefault="00EA74AD" w:rsidP="00EE4D9B">
      <w:pPr>
        <w:pStyle w:val="ExecSumBodyText"/>
      </w:pPr>
      <w:r w:rsidRPr="00191822">
        <w:t xml:space="preserve">At a median duration of follow-up of 28.3 months, time to next treatment was statistically significantly longer among patients in the acalabrutinib + </w:t>
      </w:r>
      <w:proofErr w:type="spellStart"/>
      <w:r w:rsidRPr="00191822">
        <w:t>obinutuzumab</w:t>
      </w:r>
      <w:proofErr w:type="spellEnd"/>
      <w:r w:rsidRPr="00191822">
        <w:t xml:space="preserve"> and acalabrutinib monotherapy arms compared to the chlorambucil + </w:t>
      </w:r>
      <w:proofErr w:type="spellStart"/>
      <w:r w:rsidRPr="00191822">
        <w:t>obinutuzumab</w:t>
      </w:r>
      <w:proofErr w:type="spellEnd"/>
      <w:r w:rsidRPr="00191822">
        <w:t xml:space="preserve"> arm (median not reached in any arm; HR = 0.14 [95% CI: 0.08, 0.26] for acalabrutinib + </w:t>
      </w:r>
      <w:proofErr w:type="spellStart"/>
      <w:r w:rsidRPr="00191822">
        <w:t>obinutuzumab</w:t>
      </w:r>
      <w:proofErr w:type="spellEnd"/>
      <w:r w:rsidRPr="00191822">
        <w:t xml:space="preserve"> versus chlorambucil + </w:t>
      </w:r>
      <w:proofErr w:type="spellStart"/>
      <w:r w:rsidRPr="00191822">
        <w:t>obinutuzumab</w:t>
      </w:r>
      <w:proofErr w:type="spellEnd"/>
      <w:r w:rsidRPr="00191822">
        <w:t xml:space="preserve">; HR = 0.24 [95% CI: 0.15, 0.40] for acalabrutinib monotherapy versus chlorambucil + </w:t>
      </w:r>
      <w:proofErr w:type="spellStart"/>
      <w:r w:rsidRPr="00191822">
        <w:t>obinutuzumab</w:t>
      </w:r>
      <w:proofErr w:type="spellEnd"/>
      <w:r w:rsidRPr="00191822">
        <w:t>).</w:t>
      </w:r>
      <w:r w:rsidRPr="00DF44A0">
        <w:t xml:space="preserve"> </w:t>
      </w:r>
      <w:r w:rsidRPr="00191822">
        <w:t xml:space="preserve">At the interim analysis, 25% of patients in the chlorambucil + </w:t>
      </w:r>
      <w:proofErr w:type="spellStart"/>
      <w:r w:rsidRPr="00191822">
        <w:t>obinutuzumab</w:t>
      </w:r>
      <w:proofErr w:type="spellEnd"/>
      <w:r w:rsidRPr="00191822">
        <w:t xml:space="preserve"> treatment arm had crossed over to receive acalabrutinib treatment</w:t>
      </w:r>
      <w:r w:rsidR="007B0243">
        <w:t xml:space="preserve"> </w:t>
      </w:r>
      <w:r w:rsidR="007B0243" w:rsidRPr="00DF44A0">
        <w:rPr>
          <w:iCs/>
        </w:rPr>
        <w:t>(39% at the September 2020 data cut)</w:t>
      </w:r>
      <w:r w:rsidRPr="00DF44A0">
        <w:rPr>
          <w:iCs/>
        </w:rPr>
        <w:t>.</w:t>
      </w:r>
      <w:r w:rsidRPr="00A25C41">
        <w:t xml:space="preserve"> The availability of crossover treatment with acalabrutinib monotherapy for patients with confirmed disease progression in the chlorambucil + </w:t>
      </w:r>
      <w:proofErr w:type="spellStart"/>
      <w:r w:rsidRPr="00A25C41">
        <w:t>obinutuzumab</w:t>
      </w:r>
      <w:proofErr w:type="spellEnd"/>
      <w:r w:rsidRPr="00A25C41">
        <w:t xml:space="preserve"> arm may have influenced the time to next treatment in the chlorambucil + </w:t>
      </w:r>
      <w:proofErr w:type="spellStart"/>
      <w:r w:rsidRPr="00A25C41">
        <w:t>obinutuzumab</w:t>
      </w:r>
      <w:proofErr w:type="spellEnd"/>
      <w:r w:rsidRPr="00A25C41">
        <w:t xml:space="preserve"> arm.</w:t>
      </w:r>
    </w:p>
    <w:p w14:paraId="7959AA34" w14:textId="77777777" w:rsidR="00B7209A" w:rsidRPr="00191822" w:rsidRDefault="00FC0B8C" w:rsidP="00EE4D9B">
      <w:pPr>
        <w:pStyle w:val="ExecSumBodyText"/>
      </w:pPr>
      <w:r w:rsidRPr="00191822">
        <w:t>No new data for health-related quality of life outcomes were presented in resubmission.</w:t>
      </w:r>
      <w:r w:rsidR="00EE4D9B" w:rsidRPr="00191822">
        <w:t xml:space="preserve"> Patients across all three arms showed improvements in the FACIT-Fatigue Global Fatigue Score that exceeded the nominated clinically important difference of 3 points. There were no statistically significant differences between groups for any of the FACIT-Fatigue domains. </w:t>
      </w:r>
    </w:p>
    <w:p w14:paraId="7FE37689" w14:textId="77777777" w:rsidR="00B7209A" w:rsidRPr="00191822" w:rsidRDefault="00EE4D9B" w:rsidP="00EE4D9B">
      <w:pPr>
        <w:pStyle w:val="ExecSumBodyText"/>
      </w:pPr>
      <w:r w:rsidRPr="00191822">
        <w:t xml:space="preserve">For the EORTC QLQ-C30, statistically significant differences favouring chlorambucil + </w:t>
      </w:r>
      <w:proofErr w:type="spellStart"/>
      <w:r w:rsidRPr="00191822">
        <w:t>obinutuzumab</w:t>
      </w:r>
      <w:proofErr w:type="spellEnd"/>
      <w:r w:rsidRPr="00191822">
        <w:t xml:space="preserve"> were noted for role functioning at Week 96, fatigue at Week 24 and diarrhoea at Week 24 compared to acalabrutinib + </w:t>
      </w:r>
      <w:proofErr w:type="spellStart"/>
      <w:r w:rsidRPr="00191822">
        <w:t>obinutuzumab</w:t>
      </w:r>
      <w:proofErr w:type="spellEnd"/>
      <w:r w:rsidRPr="00191822">
        <w:t>, and for role functioning at Week 96 and diarrhoea at Week 24 compared to acalabrutinib monotherapy.</w:t>
      </w:r>
    </w:p>
    <w:p w14:paraId="54476A77" w14:textId="77777777" w:rsidR="00EA74AD" w:rsidRPr="00C732EB" w:rsidRDefault="00EE4D9B" w:rsidP="00EE4D9B">
      <w:pPr>
        <w:pStyle w:val="ExecSumBodyText"/>
      </w:pPr>
      <w:r w:rsidRPr="00191822">
        <w:t xml:space="preserve">There were no statistically significant differences between groups for the EQ-5D visual analogue scale scores at Week 24 or Week 96. Results for the change from baseline in </w:t>
      </w:r>
      <w:r w:rsidRPr="00191822">
        <w:lastRenderedPageBreak/>
        <w:t>EQ-5D-5L overall scores were not provided.</w:t>
      </w:r>
      <w:r w:rsidR="00AA628D">
        <w:t xml:space="preserve"> </w:t>
      </w:r>
      <w:r w:rsidR="00AA628D" w:rsidRPr="00DF44A0">
        <w:rPr>
          <w:iCs/>
        </w:rPr>
        <w:t xml:space="preserve">The ESC considered that it would be </w:t>
      </w:r>
      <w:r w:rsidR="00AA628D" w:rsidRPr="00C732EB">
        <w:rPr>
          <w:iCs/>
        </w:rPr>
        <w:t xml:space="preserve">informative for the PBAC to know when updated QoL results would be available. </w:t>
      </w:r>
      <w:r w:rsidR="001E40A9" w:rsidRPr="00C732EB">
        <w:rPr>
          <w:iCs/>
        </w:rPr>
        <w:t xml:space="preserve">No </w:t>
      </w:r>
      <w:r w:rsidR="00993469">
        <w:rPr>
          <w:iCs/>
        </w:rPr>
        <w:t>further information</w:t>
      </w:r>
      <w:r w:rsidR="001E40A9" w:rsidRPr="00C732EB">
        <w:rPr>
          <w:iCs/>
        </w:rPr>
        <w:t xml:space="preserve"> was provided in the pre-PBAC response.</w:t>
      </w:r>
    </w:p>
    <w:p w14:paraId="52CC4B72" w14:textId="77777777" w:rsidR="00B60939" w:rsidRPr="00C732EB" w:rsidRDefault="00B60939" w:rsidP="00D86231">
      <w:pPr>
        <w:pStyle w:val="3-SubsectionHeading"/>
      </w:pPr>
      <w:bookmarkStart w:id="35" w:name="_Toc22897642"/>
      <w:bookmarkStart w:id="36" w:name="_Toc82613387"/>
      <w:r w:rsidRPr="00C732EB">
        <w:t>Comparative harms</w:t>
      </w:r>
      <w:bookmarkEnd w:id="35"/>
      <w:bookmarkEnd w:id="36"/>
    </w:p>
    <w:p w14:paraId="027723B1" w14:textId="77777777" w:rsidR="00A06FC6" w:rsidRPr="00191822" w:rsidRDefault="00BD60E3" w:rsidP="00A06FC6">
      <w:pPr>
        <w:pStyle w:val="ExecSumBodyText"/>
      </w:pPr>
      <w:r w:rsidRPr="004026AA">
        <w:t xml:space="preserve">Table </w:t>
      </w:r>
      <w:r>
        <w:rPr>
          <w:noProof/>
        </w:rPr>
        <w:t>9</w:t>
      </w:r>
      <w:r w:rsidR="00A06FC6" w:rsidRPr="00C732EB">
        <w:t xml:space="preserve"> summarises</w:t>
      </w:r>
      <w:r w:rsidR="00A06FC6" w:rsidRPr="00191822">
        <w:t xml:space="preserve"> the results of safety outcomes for the ELEVATE-TN trial. </w:t>
      </w:r>
    </w:p>
    <w:p w14:paraId="2FA0F785" w14:textId="77777777" w:rsidR="00A06FC6" w:rsidRPr="004026AA" w:rsidRDefault="004026AA" w:rsidP="004026AA">
      <w:pPr>
        <w:pStyle w:val="TableFigureCaption"/>
      </w:pPr>
      <w:bookmarkStart w:id="37" w:name="_Ref80373529"/>
      <w:r w:rsidRPr="004026AA">
        <w:t xml:space="preserve">Table </w:t>
      </w:r>
      <w:r w:rsidR="00BD60E3">
        <w:rPr>
          <w:noProof/>
        </w:rPr>
        <w:t>9</w:t>
      </w:r>
      <w:bookmarkEnd w:id="37"/>
      <w:r w:rsidR="00A06FC6" w:rsidRPr="004026AA">
        <w:t>: Summary of adverse events for the ELEVATE-TN trial at the February 2019 interim analysis and for the September 2020 data cut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adverse events for the ELEVATE-TN trial at the February 2019 interim analysis and for the September 2020 data cut"/>
      </w:tblPr>
      <w:tblGrid>
        <w:gridCol w:w="2829"/>
        <w:gridCol w:w="1031"/>
        <w:gridCol w:w="1031"/>
        <w:gridCol w:w="1032"/>
        <w:gridCol w:w="1032"/>
        <w:gridCol w:w="1032"/>
        <w:gridCol w:w="1030"/>
      </w:tblGrid>
      <w:tr w:rsidR="00DA623E" w:rsidRPr="00191822" w14:paraId="7AF5A5CD" w14:textId="77777777" w:rsidTr="00DA623E">
        <w:trPr>
          <w:tblHeader/>
        </w:trPr>
        <w:tc>
          <w:tcPr>
            <w:tcW w:w="1569" w:type="pct"/>
            <w:vMerge w:val="restart"/>
          </w:tcPr>
          <w:p w14:paraId="4D448854" w14:textId="77777777" w:rsidR="00DA623E" w:rsidRPr="00191822" w:rsidRDefault="00DA623E" w:rsidP="004026AA">
            <w:pPr>
              <w:keepNext/>
              <w:rPr>
                <w:rFonts w:ascii="Arial Narrow" w:hAnsi="Arial Narrow"/>
                <w:sz w:val="20"/>
              </w:rPr>
            </w:pPr>
          </w:p>
        </w:tc>
        <w:tc>
          <w:tcPr>
            <w:tcW w:w="1716" w:type="pct"/>
            <w:gridSpan w:val="3"/>
          </w:tcPr>
          <w:p w14:paraId="592ED548"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Feb 2019 data cut</w:t>
            </w:r>
          </w:p>
        </w:tc>
        <w:tc>
          <w:tcPr>
            <w:tcW w:w="1716" w:type="pct"/>
            <w:gridSpan w:val="3"/>
          </w:tcPr>
          <w:p w14:paraId="74B91208"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Sep 2020 data cut</w:t>
            </w:r>
          </w:p>
        </w:tc>
      </w:tr>
      <w:tr w:rsidR="00DA623E" w:rsidRPr="00191822" w14:paraId="337DB795" w14:textId="77777777" w:rsidTr="00DA623E">
        <w:trPr>
          <w:tblHeader/>
        </w:trPr>
        <w:tc>
          <w:tcPr>
            <w:tcW w:w="1569" w:type="pct"/>
            <w:vMerge/>
          </w:tcPr>
          <w:p w14:paraId="3CE6B511" w14:textId="77777777" w:rsidR="00DA623E" w:rsidRPr="00191822" w:rsidRDefault="00DA623E" w:rsidP="004026AA">
            <w:pPr>
              <w:keepNext/>
              <w:rPr>
                <w:rFonts w:ascii="Arial Narrow" w:hAnsi="Arial Narrow"/>
                <w:sz w:val="20"/>
              </w:rPr>
            </w:pPr>
          </w:p>
        </w:tc>
        <w:tc>
          <w:tcPr>
            <w:tcW w:w="572" w:type="pct"/>
          </w:tcPr>
          <w:p w14:paraId="79BD0FEF"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ACAL + OBI</w:t>
            </w:r>
          </w:p>
          <w:p w14:paraId="65193DF5"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(N=178)</w:t>
            </w:r>
          </w:p>
        </w:tc>
        <w:tc>
          <w:tcPr>
            <w:tcW w:w="572" w:type="pct"/>
            <w:vAlign w:val="center"/>
          </w:tcPr>
          <w:p w14:paraId="146ABCD8"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 xml:space="preserve">ACAL </w:t>
            </w:r>
          </w:p>
          <w:p w14:paraId="5DDB5FF7"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(N=179)</w:t>
            </w:r>
          </w:p>
        </w:tc>
        <w:tc>
          <w:tcPr>
            <w:tcW w:w="572" w:type="pct"/>
            <w:vAlign w:val="center"/>
          </w:tcPr>
          <w:p w14:paraId="43FD7B18"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CHL + OBI</w:t>
            </w:r>
          </w:p>
          <w:p w14:paraId="6E6824ED"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(N=169)</w:t>
            </w:r>
          </w:p>
        </w:tc>
        <w:tc>
          <w:tcPr>
            <w:tcW w:w="572" w:type="pct"/>
          </w:tcPr>
          <w:p w14:paraId="2C5D96CE"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ACAL + OBI</w:t>
            </w:r>
          </w:p>
          <w:p w14:paraId="1D6F164F"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(N=178)</w:t>
            </w:r>
          </w:p>
        </w:tc>
        <w:tc>
          <w:tcPr>
            <w:tcW w:w="572" w:type="pct"/>
            <w:vAlign w:val="center"/>
          </w:tcPr>
          <w:p w14:paraId="49B79463"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 xml:space="preserve">ACAL </w:t>
            </w:r>
          </w:p>
          <w:p w14:paraId="22C482F1"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(N=179)</w:t>
            </w:r>
          </w:p>
        </w:tc>
        <w:tc>
          <w:tcPr>
            <w:tcW w:w="571" w:type="pct"/>
            <w:vAlign w:val="center"/>
          </w:tcPr>
          <w:p w14:paraId="67E01D62" w14:textId="77777777" w:rsidR="00DA623E" w:rsidRPr="00191822" w:rsidRDefault="00DA623E" w:rsidP="004026AA">
            <w:pPr>
              <w:keepNext/>
              <w:jc w:val="center"/>
              <w:rPr>
                <w:rFonts w:ascii="Arial Narrow" w:hAnsi="Arial Narrow"/>
                <w:b/>
                <w:iCs/>
                <w:sz w:val="20"/>
                <w:szCs w:val="18"/>
              </w:rPr>
            </w:pPr>
            <w:r w:rsidRPr="00191822">
              <w:rPr>
                <w:rFonts w:ascii="Arial Narrow" w:hAnsi="Arial Narrow"/>
                <w:b/>
                <w:iCs/>
                <w:sz w:val="20"/>
                <w:szCs w:val="18"/>
              </w:rPr>
              <w:t>CHL + OBI</w:t>
            </w:r>
          </w:p>
          <w:p w14:paraId="1BD41D88" w14:textId="77777777" w:rsidR="00DA623E" w:rsidRPr="00191822" w:rsidRDefault="00DA623E" w:rsidP="004026AA">
            <w:pPr>
              <w:keepNext/>
              <w:jc w:val="center"/>
              <w:rPr>
                <w:rFonts w:ascii="Arial Narrow" w:hAnsi="Arial Narrow"/>
                <w:b/>
                <w:sz w:val="20"/>
              </w:rPr>
            </w:pPr>
            <w:r w:rsidRPr="00191822">
              <w:rPr>
                <w:rFonts w:ascii="Arial Narrow" w:hAnsi="Arial Narrow"/>
                <w:b/>
                <w:iCs/>
                <w:sz w:val="20"/>
                <w:szCs w:val="18"/>
              </w:rPr>
              <w:t>(N=169)</w:t>
            </w:r>
          </w:p>
        </w:tc>
      </w:tr>
      <w:tr w:rsidR="00A06FC6" w:rsidRPr="00191822" w14:paraId="6AEAD0D1" w14:textId="77777777" w:rsidTr="004026AA">
        <w:trPr>
          <w:trHeight w:val="70"/>
        </w:trPr>
        <w:tc>
          <w:tcPr>
            <w:tcW w:w="1569" w:type="pct"/>
          </w:tcPr>
          <w:p w14:paraId="78F8AC69" w14:textId="77777777" w:rsidR="00A06FC6" w:rsidRPr="00191822" w:rsidRDefault="00A06FC6" w:rsidP="004026AA">
            <w:pPr>
              <w:keepNext/>
              <w:jc w:val="left"/>
              <w:rPr>
                <w:rFonts w:ascii="Arial Narrow" w:hAnsi="Arial Narrow"/>
                <w:sz w:val="20"/>
              </w:rPr>
            </w:pPr>
            <w:r w:rsidRPr="00191822">
              <w:rPr>
                <w:rFonts w:ascii="Arial Narrow" w:hAnsi="Arial Narrow"/>
                <w:sz w:val="20"/>
              </w:rPr>
              <w:t>Median duration of follow-up, months (range)</w:t>
            </w:r>
          </w:p>
        </w:tc>
        <w:tc>
          <w:tcPr>
            <w:tcW w:w="572" w:type="pct"/>
            <w:vAlign w:val="center"/>
          </w:tcPr>
          <w:p w14:paraId="76FB3DD0"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28.5 </w:t>
            </w:r>
          </w:p>
          <w:p w14:paraId="1F7F5691" w14:textId="77777777" w:rsidR="00A06FC6" w:rsidRPr="00191822" w:rsidRDefault="00A06FC6" w:rsidP="004026AA">
            <w:pPr>
              <w:keepNext/>
              <w:jc w:val="center"/>
              <w:rPr>
                <w:rFonts w:ascii="Arial Narrow" w:hAnsi="Arial Narrow"/>
                <w:sz w:val="20"/>
                <w:szCs w:val="20"/>
              </w:rPr>
            </w:pPr>
            <w:r w:rsidRPr="00191822">
              <w:rPr>
                <w:rFonts w:ascii="Arial Narrow" w:hAnsi="Arial Narrow"/>
                <w:iCs/>
                <w:sz w:val="20"/>
              </w:rPr>
              <w:t>(1.7-40.3)</w:t>
            </w:r>
          </w:p>
        </w:tc>
        <w:tc>
          <w:tcPr>
            <w:tcW w:w="572" w:type="pct"/>
            <w:vAlign w:val="center"/>
          </w:tcPr>
          <w:p w14:paraId="7328B1D8"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28.4 </w:t>
            </w:r>
          </w:p>
          <w:p w14:paraId="7B3B9C02" w14:textId="77777777" w:rsidR="00A06FC6" w:rsidRPr="00191822" w:rsidRDefault="00A06FC6" w:rsidP="004026AA">
            <w:pPr>
              <w:keepNext/>
              <w:jc w:val="center"/>
              <w:rPr>
                <w:rFonts w:ascii="Arial Narrow" w:hAnsi="Arial Narrow"/>
                <w:sz w:val="20"/>
                <w:szCs w:val="20"/>
              </w:rPr>
            </w:pPr>
            <w:r w:rsidRPr="00191822">
              <w:rPr>
                <w:rFonts w:ascii="Arial Narrow" w:hAnsi="Arial Narrow"/>
                <w:iCs/>
                <w:sz w:val="20"/>
              </w:rPr>
              <w:t>(0.1-40.8)</w:t>
            </w:r>
          </w:p>
        </w:tc>
        <w:tc>
          <w:tcPr>
            <w:tcW w:w="572" w:type="pct"/>
            <w:vAlign w:val="center"/>
          </w:tcPr>
          <w:p w14:paraId="38DCF256"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28.0 </w:t>
            </w:r>
          </w:p>
          <w:p w14:paraId="0F499F97" w14:textId="77777777" w:rsidR="00A06FC6" w:rsidRPr="00191822" w:rsidRDefault="00A06FC6" w:rsidP="004026AA">
            <w:pPr>
              <w:keepNext/>
              <w:jc w:val="center"/>
              <w:rPr>
                <w:rFonts w:ascii="Arial Narrow" w:hAnsi="Arial Narrow"/>
                <w:sz w:val="20"/>
                <w:szCs w:val="20"/>
              </w:rPr>
            </w:pPr>
            <w:r w:rsidRPr="00191822">
              <w:rPr>
                <w:rFonts w:ascii="Arial Narrow" w:hAnsi="Arial Narrow"/>
                <w:iCs/>
                <w:sz w:val="20"/>
              </w:rPr>
              <w:t>(0.0-40.4)</w:t>
            </w:r>
          </w:p>
        </w:tc>
        <w:tc>
          <w:tcPr>
            <w:tcW w:w="572" w:type="pct"/>
            <w:vAlign w:val="center"/>
          </w:tcPr>
          <w:p w14:paraId="167C2F3C"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47.0 </w:t>
            </w:r>
          </w:p>
          <w:p w14:paraId="352CE04C"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(1.7-59.2)</w:t>
            </w:r>
          </w:p>
        </w:tc>
        <w:tc>
          <w:tcPr>
            <w:tcW w:w="572" w:type="pct"/>
            <w:vAlign w:val="center"/>
          </w:tcPr>
          <w:p w14:paraId="15A592BD"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46.9 </w:t>
            </w:r>
          </w:p>
          <w:p w14:paraId="0BFB08F2"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(0.1-59.4)</w:t>
            </w:r>
          </w:p>
        </w:tc>
        <w:tc>
          <w:tcPr>
            <w:tcW w:w="571" w:type="pct"/>
            <w:vAlign w:val="center"/>
          </w:tcPr>
          <w:p w14:paraId="3892ECCE"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 xml:space="preserve">46.2 </w:t>
            </w:r>
          </w:p>
          <w:p w14:paraId="779359D9" w14:textId="77777777" w:rsidR="00A06FC6" w:rsidRPr="00191822" w:rsidRDefault="00A06FC6" w:rsidP="004026AA">
            <w:pPr>
              <w:keepNext/>
              <w:jc w:val="center"/>
              <w:rPr>
                <w:rFonts w:ascii="Arial Narrow" w:hAnsi="Arial Narrow"/>
                <w:iCs/>
                <w:sz w:val="20"/>
              </w:rPr>
            </w:pPr>
            <w:r w:rsidRPr="00191822">
              <w:rPr>
                <w:rFonts w:ascii="Arial Narrow" w:hAnsi="Arial Narrow"/>
                <w:iCs/>
                <w:sz w:val="20"/>
              </w:rPr>
              <w:t>(0.0-58.4)</w:t>
            </w:r>
          </w:p>
        </w:tc>
      </w:tr>
      <w:tr w:rsidR="00A06FC6" w:rsidRPr="00191822" w14:paraId="01952350" w14:textId="77777777" w:rsidTr="004026AA">
        <w:tc>
          <w:tcPr>
            <w:tcW w:w="1569" w:type="pct"/>
          </w:tcPr>
          <w:p w14:paraId="4D59CCD9" w14:textId="77777777" w:rsidR="00A06FC6" w:rsidRPr="00191822" w:rsidRDefault="00A06FC6" w:rsidP="004026AA">
            <w:pPr>
              <w:keepNext/>
              <w:jc w:val="left"/>
              <w:rPr>
                <w:rFonts w:ascii="Arial Narrow" w:hAnsi="Arial Narrow"/>
                <w:sz w:val="20"/>
              </w:rPr>
            </w:pPr>
            <w:r w:rsidRPr="00191822">
              <w:rPr>
                <w:rFonts w:ascii="Arial Narrow" w:hAnsi="Arial Narrow"/>
                <w:sz w:val="20"/>
              </w:rPr>
              <w:t>Grade ≥3 AE, n (%)</w:t>
            </w:r>
          </w:p>
        </w:tc>
        <w:tc>
          <w:tcPr>
            <w:tcW w:w="572" w:type="pct"/>
          </w:tcPr>
          <w:p w14:paraId="09148278"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125 (70.2)</w:t>
            </w:r>
          </w:p>
        </w:tc>
        <w:tc>
          <w:tcPr>
            <w:tcW w:w="572" w:type="pct"/>
          </w:tcPr>
          <w:p w14:paraId="72DDDCB4"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89 (49.7)</w:t>
            </w:r>
          </w:p>
        </w:tc>
        <w:tc>
          <w:tcPr>
            <w:tcW w:w="572" w:type="pct"/>
          </w:tcPr>
          <w:p w14:paraId="4468DE8D"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118 (69.8)</w:t>
            </w:r>
          </w:p>
        </w:tc>
        <w:tc>
          <w:tcPr>
            <w:tcW w:w="572" w:type="pct"/>
          </w:tcPr>
          <w:p w14:paraId="062E9620"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132 (74.2)</w:t>
            </w:r>
          </w:p>
        </w:tc>
        <w:tc>
          <w:tcPr>
            <w:tcW w:w="572" w:type="pct"/>
          </w:tcPr>
          <w:p w14:paraId="4442075E"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93 (51.9)</w:t>
            </w:r>
          </w:p>
        </w:tc>
        <w:tc>
          <w:tcPr>
            <w:tcW w:w="571" w:type="pct"/>
          </w:tcPr>
          <w:p w14:paraId="34216E67" w14:textId="77777777" w:rsidR="00A06FC6" w:rsidRPr="00191822" w:rsidRDefault="00A06FC6" w:rsidP="004026AA">
            <w:pPr>
              <w:keepNext/>
              <w:jc w:val="center"/>
              <w:rPr>
                <w:rFonts w:ascii="Arial Narrow" w:hAnsi="Arial Narrow"/>
                <w:sz w:val="20"/>
                <w:szCs w:val="20"/>
                <w:vertAlign w:val="superscript"/>
              </w:rPr>
            </w:pPr>
            <w:r w:rsidRPr="00191822">
              <w:rPr>
                <w:rFonts w:ascii="Arial Narrow" w:hAnsi="Arial Narrow"/>
                <w:sz w:val="20"/>
                <w:szCs w:val="20"/>
              </w:rPr>
              <w:t>116 (</w:t>
            </w:r>
            <w:proofErr w:type="gramStart"/>
            <w:r w:rsidRPr="00191822">
              <w:rPr>
                <w:rFonts w:ascii="Arial Narrow" w:hAnsi="Arial Narrow"/>
                <w:sz w:val="20"/>
                <w:szCs w:val="20"/>
              </w:rPr>
              <w:t>68.6)</w:t>
            </w:r>
            <w:r w:rsidR="00270A56">
              <w:rPr>
                <w:rFonts w:ascii="Arial Narrow" w:hAnsi="Arial Narrow"/>
                <w:sz w:val="20"/>
                <w:szCs w:val="20"/>
                <w:vertAlign w:val="superscript"/>
              </w:rPr>
              <w:t>a</w:t>
            </w:r>
            <w:proofErr w:type="gramEnd"/>
          </w:p>
        </w:tc>
      </w:tr>
      <w:tr w:rsidR="00A06FC6" w:rsidRPr="00191822" w14:paraId="1BFC6708" w14:textId="77777777" w:rsidTr="004026AA">
        <w:tc>
          <w:tcPr>
            <w:tcW w:w="1569" w:type="pct"/>
          </w:tcPr>
          <w:p w14:paraId="517868E3" w14:textId="77777777" w:rsidR="00A06FC6" w:rsidRPr="00191822" w:rsidRDefault="00A06FC6" w:rsidP="004026AA">
            <w:pPr>
              <w:keepNext/>
              <w:jc w:val="left"/>
              <w:rPr>
                <w:rFonts w:ascii="Arial Narrow" w:hAnsi="Arial Narrow"/>
                <w:sz w:val="20"/>
              </w:rPr>
            </w:pPr>
            <w:r w:rsidRPr="00191822">
              <w:rPr>
                <w:rFonts w:ascii="Arial Narrow" w:hAnsi="Arial Narrow"/>
                <w:sz w:val="20"/>
              </w:rPr>
              <w:t>Serious AE, n (%)</w:t>
            </w:r>
          </w:p>
        </w:tc>
        <w:tc>
          <w:tcPr>
            <w:tcW w:w="572" w:type="pct"/>
          </w:tcPr>
          <w:p w14:paraId="135CA87B"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69 (38.8)</w:t>
            </w:r>
          </w:p>
        </w:tc>
        <w:tc>
          <w:tcPr>
            <w:tcW w:w="572" w:type="pct"/>
          </w:tcPr>
          <w:p w14:paraId="64B837B8"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57 (31.8)</w:t>
            </w:r>
          </w:p>
        </w:tc>
        <w:tc>
          <w:tcPr>
            <w:tcW w:w="572" w:type="pct"/>
          </w:tcPr>
          <w:p w14:paraId="0A3E8129"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37 (21.9)</w:t>
            </w:r>
          </w:p>
        </w:tc>
        <w:tc>
          <w:tcPr>
            <w:tcW w:w="572" w:type="pct"/>
          </w:tcPr>
          <w:p w14:paraId="1AEDCA47"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85 (47.8)</w:t>
            </w:r>
          </w:p>
        </w:tc>
        <w:tc>
          <w:tcPr>
            <w:tcW w:w="572" w:type="pct"/>
          </w:tcPr>
          <w:p w14:paraId="2F75CB1A"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70 (39.1)</w:t>
            </w:r>
          </w:p>
        </w:tc>
        <w:tc>
          <w:tcPr>
            <w:tcW w:w="571" w:type="pct"/>
          </w:tcPr>
          <w:p w14:paraId="54FD7EF5"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37 (21.9)</w:t>
            </w:r>
          </w:p>
        </w:tc>
      </w:tr>
      <w:tr w:rsidR="00A06FC6" w:rsidRPr="00191822" w14:paraId="5CC9D149" w14:textId="77777777" w:rsidTr="004026AA">
        <w:tc>
          <w:tcPr>
            <w:tcW w:w="1569" w:type="pct"/>
          </w:tcPr>
          <w:p w14:paraId="3D095235" w14:textId="77777777" w:rsidR="00A06FC6" w:rsidRPr="00191822" w:rsidRDefault="00A06FC6" w:rsidP="004026AA">
            <w:pPr>
              <w:keepNext/>
              <w:jc w:val="left"/>
              <w:rPr>
                <w:rFonts w:ascii="Arial Narrow" w:hAnsi="Arial Narrow"/>
                <w:sz w:val="20"/>
              </w:rPr>
            </w:pPr>
            <w:r w:rsidRPr="00191822">
              <w:rPr>
                <w:rFonts w:ascii="Arial Narrow" w:hAnsi="Arial Narrow"/>
                <w:sz w:val="20"/>
              </w:rPr>
              <w:t>Discontinuation due to AE, n (%)</w:t>
            </w:r>
          </w:p>
          <w:p w14:paraId="29A38CDA" w14:textId="77777777" w:rsidR="00A06FC6" w:rsidRPr="00191822" w:rsidRDefault="00A06FC6" w:rsidP="00E042B7">
            <w:pPr>
              <w:pStyle w:val="ListParagraph"/>
              <w:keepNext/>
              <w:numPr>
                <w:ilvl w:val="0"/>
                <w:numId w:val="7"/>
              </w:numPr>
              <w:ind w:left="170" w:hanging="170"/>
              <w:jc w:val="left"/>
              <w:rPr>
                <w:rFonts w:ascii="Arial Narrow" w:hAnsi="Arial Narrow"/>
                <w:sz w:val="20"/>
              </w:rPr>
            </w:pPr>
            <w:r w:rsidRPr="00191822">
              <w:rPr>
                <w:rFonts w:ascii="Arial Narrow" w:hAnsi="Arial Narrow"/>
                <w:sz w:val="20"/>
              </w:rPr>
              <w:t>Acalabrutinib</w:t>
            </w:r>
          </w:p>
          <w:p w14:paraId="025F599F" w14:textId="77777777" w:rsidR="00A06FC6" w:rsidRPr="00191822" w:rsidRDefault="00A06FC6" w:rsidP="00E042B7">
            <w:pPr>
              <w:pStyle w:val="ListParagraph"/>
              <w:keepNext/>
              <w:numPr>
                <w:ilvl w:val="0"/>
                <w:numId w:val="7"/>
              </w:numPr>
              <w:ind w:left="170" w:hanging="170"/>
              <w:jc w:val="left"/>
              <w:rPr>
                <w:rFonts w:ascii="Arial Narrow" w:hAnsi="Arial Narrow"/>
                <w:sz w:val="20"/>
              </w:rPr>
            </w:pPr>
            <w:r w:rsidRPr="00191822">
              <w:rPr>
                <w:rFonts w:ascii="Arial Narrow" w:hAnsi="Arial Narrow"/>
                <w:sz w:val="20"/>
              </w:rPr>
              <w:t>Obinutuzumab</w:t>
            </w:r>
          </w:p>
          <w:p w14:paraId="1EFDD4BF" w14:textId="77777777" w:rsidR="00A06FC6" w:rsidRPr="00191822" w:rsidRDefault="00A06FC6" w:rsidP="00E042B7">
            <w:pPr>
              <w:pStyle w:val="ListParagraph"/>
              <w:keepNext/>
              <w:numPr>
                <w:ilvl w:val="0"/>
                <w:numId w:val="7"/>
              </w:numPr>
              <w:ind w:left="170" w:hanging="170"/>
              <w:jc w:val="left"/>
              <w:rPr>
                <w:rFonts w:ascii="Arial Narrow" w:hAnsi="Arial Narrow"/>
                <w:sz w:val="20"/>
              </w:rPr>
            </w:pPr>
            <w:r w:rsidRPr="00191822">
              <w:rPr>
                <w:rFonts w:ascii="Arial Narrow" w:hAnsi="Arial Narrow"/>
                <w:sz w:val="20"/>
              </w:rPr>
              <w:t>Chlorambucil</w:t>
            </w:r>
          </w:p>
        </w:tc>
        <w:tc>
          <w:tcPr>
            <w:tcW w:w="572" w:type="pct"/>
          </w:tcPr>
          <w:p w14:paraId="0AD76EC5" w14:textId="77777777" w:rsidR="00A06FC6" w:rsidRPr="00191822" w:rsidRDefault="00A06FC6" w:rsidP="004026AA">
            <w:pPr>
              <w:keepNext/>
              <w:jc w:val="center"/>
              <w:rPr>
                <w:rFonts w:ascii="Arial Narrow" w:hAnsi="Arial Narrow"/>
                <w:sz w:val="20"/>
                <w:szCs w:val="20"/>
              </w:rPr>
            </w:pPr>
          </w:p>
          <w:p w14:paraId="05C13BB5"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19 (10.7)</w:t>
            </w:r>
          </w:p>
          <w:p w14:paraId="611C54CF"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11 (6.2)</w:t>
            </w:r>
          </w:p>
          <w:p w14:paraId="16EE8309"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w:t>
            </w:r>
          </w:p>
        </w:tc>
        <w:tc>
          <w:tcPr>
            <w:tcW w:w="572" w:type="pct"/>
          </w:tcPr>
          <w:p w14:paraId="5725B115" w14:textId="77777777" w:rsidR="00A06FC6" w:rsidRPr="00191822" w:rsidRDefault="00A06FC6" w:rsidP="004026AA">
            <w:pPr>
              <w:keepNext/>
              <w:jc w:val="center"/>
              <w:rPr>
                <w:rFonts w:ascii="Arial Narrow" w:hAnsi="Arial Narrow"/>
                <w:sz w:val="20"/>
                <w:szCs w:val="20"/>
              </w:rPr>
            </w:pPr>
          </w:p>
          <w:p w14:paraId="5C07510A"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17 (9.5)</w:t>
            </w:r>
          </w:p>
          <w:p w14:paraId="1FBCC161"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w:t>
            </w:r>
          </w:p>
          <w:p w14:paraId="27536A6D"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w:t>
            </w:r>
          </w:p>
        </w:tc>
        <w:tc>
          <w:tcPr>
            <w:tcW w:w="572" w:type="pct"/>
          </w:tcPr>
          <w:p w14:paraId="46269650" w14:textId="77777777" w:rsidR="00A06FC6" w:rsidRPr="00191822" w:rsidRDefault="00A06FC6" w:rsidP="004026AA">
            <w:pPr>
              <w:keepNext/>
              <w:jc w:val="center"/>
              <w:rPr>
                <w:rFonts w:ascii="Arial Narrow" w:hAnsi="Arial Narrow"/>
                <w:sz w:val="20"/>
                <w:szCs w:val="20"/>
              </w:rPr>
            </w:pPr>
          </w:p>
          <w:p w14:paraId="5161562D"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w:t>
            </w:r>
          </w:p>
          <w:p w14:paraId="1E33D165"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10 (5.9)</w:t>
            </w:r>
          </w:p>
          <w:p w14:paraId="44F4C963"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24 (14.2)</w:t>
            </w:r>
          </w:p>
        </w:tc>
        <w:tc>
          <w:tcPr>
            <w:tcW w:w="572" w:type="pct"/>
          </w:tcPr>
          <w:p w14:paraId="7DDEAF8E" w14:textId="77777777" w:rsidR="00A06FC6" w:rsidRPr="00191822" w:rsidRDefault="00A06FC6" w:rsidP="004026AA">
            <w:pPr>
              <w:keepNext/>
              <w:jc w:val="center"/>
              <w:rPr>
                <w:rFonts w:ascii="Arial Narrow" w:hAnsi="Arial Narrow"/>
                <w:sz w:val="20"/>
                <w:szCs w:val="20"/>
              </w:rPr>
            </w:pPr>
          </w:p>
          <w:p w14:paraId="6301DD8F"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599DA445"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0FB3C56F"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tc>
        <w:tc>
          <w:tcPr>
            <w:tcW w:w="572" w:type="pct"/>
          </w:tcPr>
          <w:p w14:paraId="7EA9E90B" w14:textId="77777777" w:rsidR="00A06FC6" w:rsidRPr="00191822" w:rsidRDefault="00A06FC6" w:rsidP="004026AA">
            <w:pPr>
              <w:keepNext/>
              <w:jc w:val="center"/>
              <w:rPr>
                <w:rFonts w:ascii="Arial Narrow" w:hAnsi="Arial Narrow"/>
                <w:sz w:val="20"/>
                <w:szCs w:val="20"/>
              </w:rPr>
            </w:pPr>
          </w:p>
          <w:p w14:paraId="575E5443"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58D3858D"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45B74BB0"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tc>
        <w:tc>
          <w:tcPr>
            <w:tcW w:w="571" w:type="pct"/>
          </w:tcPr>
          <w:p w14:paraId="23DF7422" w14:textId="77777777" w:rsidR="00A06FC6" w:rsidRPr="00191822" w:rsidRDefault="00A06FC6" w:rsidP="004026AA">
            <w:pPr>
              <w:keepNext/>
              <w:jc w:val="center"/>
              <w:rPr>
                <w:rFonts w:ascii="Arial Narrow" w:hAnsi="Arial Narrow"/>
                <w:sz w:val="20"/>
                <w:szCs w:val="20"/>
              </w:rPr>
            </w:pPr>
          </w:p>
          <w:p w14:paraId="4E7703FC"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46E0A6E6"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p w14:paraId="336FA2EB" w14:textId="77777777" w:rsidR="00A06FC6" w:rsidRPr="00191822" w:rsidRDefault="00A06FC6" w:rsidP="004026AA">
            <w:pPr>
              <w:keepNext/>
              <w:jc w:val="center"/>
              <w:rPr>
                <w:rFonts w:ascii="Arial Narrow" w:hAnsi="Arial Narrow"/>
                <w:sz w:val="20"/>
                <w:szCs w:val="20"/>
              </w:rPr>
            </w:pPr>
            <w:r w:rsidRPr="00191822">
              <w:rPr>
                <w:rFonts w:ascii="Arial Narrow" w:hAnsi="Arial Narrow"/>
                <w:sz w:val="20"/>
                <w:szCs w:val="20"/>
              </w:rPr>
              <w:t>NR</w:t>
            </w:r>
          </w:p>
        </w:tc>
      </w:tr>
      <w:tr w:rsidR="00A06FC6" w:rsidRPr="00191822" w14:paraId="09B4AB57" w14:textId="77777777" w:rsidTr="004026AA">
        <w:tc>
          <w:tcPr>
            <w:tcW w:w="1569" w:type="pct"/>
          </w:tcPr>
          <w:p w14:paraId="456EB509" w14:textId="77777777" w:rsidR="00A06FC6" w:rsidRPr="00191822" w:rsidRDefault="00A06FC6" w:rsidP="004026AA">
            <w:pPr>
              <w:jc w:val="left"/>
              <w:rPr>
                <w:rFonts w:ascii="Arial Narrow" w:hAnsi="Arial Narrow"/>
                <w:sz w:val="20"/>
                <w:vertAlign w:val="superscript"/>
              </w:rPr>
            </w:pPr>
            <w:r w:rsidRPr="00191822">
              <w:rPr>
                <w:rFonts w:ascii="Arial Narrow" w:hAnsi="Arial Narrow"/>
                <w:sz w:val="20"/>
              </w:rPr>
              <w:t>AE leading to death, n (%)</w:t>
            </w:r>
          </w:p>
        </w:tc>
        <w:tc>
          <w:tcPr>
            <w:tcW w:w="572" w:type="pct"/>
          </w:tcPr>
          <w:p w14:paraId="4323FA1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(2.8)</w:t>
            </w:r>
          </w:p>
        </w:tc>
        <w:tc>
          <w:tcPr>
            <w:tcW w:w="572" w:type="pct"/>
          </w:tcPr>
          <w:p w14:paraId="563E9D7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 (3.4)</w:t>
            </w:r>
          </w:p>
        </w:tc>
        <w:tc>
          <w:tcPr>
            <w:tcW w:w="572" w:type="pct"/>
          </w:tcPr>
          <w:p w14:paraId="3B2CFA1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(2.4)</w:t>
            </w:r>
          </w:p>
        </w:tc>
        <w:tc>
          <w:tcPr>
            <w:tcW w:w="572" w:type="pct"/>
          </w:tcPr>
          <w:p w14:paraId="4783F05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(2.8)</w:t>
            </w:r>
          </w:p>
        </w:tc>
        <w:tc>
          <w:tcPr>
            <w:tcW w:w="572" w:type="pct"/>
          </w:tcPr>
          <w:p w14:paraId="2BA92B1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11 (6.1)</w:t>
            </w:r>
          </w:p>
        </w:tc>
        <w:tc>
          <w:tcPr>
            <w:tcW w:w="571" w:type="pct"/>
          </w:tcPr>
          <w:p w14:paraId="13E66B7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(2.4)</w:t>
            </w:r>
          </w:p>
        </w:tc>
      </w:tr>
      <w:tr w:rsidR="00A06FC6" w:rsidRPr="00191822" w14:paraId="19AC4880" w14:textId="77777777" w:rsidTr="004026AA">
        <w:tc>
          <w:tcPr>
            <w:tcW w:w="1569" w:type="pct"/>
          </w:tcPr>
          <w:p w14:paraId="731DE18C" w14:textId="77777777" w:rsidR="00A06FC6" w:rsidRPr="00191822" w:rsidRDefault="00A06FC6" w:rsidP="004026AA">
            <w:pPr>
              <w:jc w:val="left"/>
              <w:rPr>
                <w:rFonts w:ascii="Arial Narrow" w:hAnsi="Arial Narrow"/>
                <w:sz w:val="20"/>
              </w:rPr>
            </w:pPr>
            <w:r w:rsidRPr="00191822">
              <w:rPr>
                <w:rFonts w:ascii="Arial Narrow" w:hAnsi="Arial Narrow"/>
                <w:sz w:val="20"/>
              </w:rPr>
              <w:t>Treatment-related AE, n (%)</w:t>
            </w:r>
          </w:p>
        </w:tc>
        <w:tc>
          <w:tcPr>
            <w:tcW w:w="572" w:type="pct"/>
          </w:tcPr>
          <w:p w14:paraId="5C62B9D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144 (80.9)</w:t>
            </w:r>
          </w:p>
        </w:tc>
        <w:tc>
          <w:tcPr>
            <w:tcW w:w="572" w:type="pct"/>
          </w:tcPr>
          <w:p w14:paraId="52810C7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118 (65.9)</w:t>
            </w:r>
          </w:p>
        </w:tc>
        <w:tc>
          <w:tcPr>
            <w:tcW w:w="572" w:type="pct"/>
          </w:tcPr>
          <w:p w14:paraId="3BC7AEA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154 (91.1)</w:t>
            </w:r>
          </w:p>
        </w:tc>
        <w:tc>
          <w:tcPr>
            <w:tcW w:w="572" w:type="pct"/>
          </w:tcPr>
          <w:p w14:paraId="768542A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c>
          <w:tcPr>
            <w:tcW w:w="572" w:type="pct"/>
          </w:tcPr>
          <w:p w14:paraId="715B84D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c>
          <w:tcPr>
            <w:tcW w:w="571" w:type="pct"/>
          </w:tcPr>
          <w:p w14:paraId="5F0338F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r>
      <w:tr w:rsidR="00A06FC6" w:rsidRPr="00191822" w14:paraId="60E74B5F" w14:textId="77777777" w:rsidTr="004026AA">
        <w:trPr>
          <w:trHeight w:val="64"/>
        </w:trPr>
        <w:tc>
          <w:tcPr>
            <w:tcW w:w="1569" w:type="pct"/>
          </w:tcPr>
          <w:p w14:paraId="01660CE7" w14:textId="77777777" w:rsidR="00A06FC6" w:rsidRPr="00191822" w:rsidRDefault="00A06FC6" w:rsidP="004026AA">
            <w:pPr>
              <w:jc w:val="left"/>
              <w:rPr>
                <w:rFonts w:ascii="Arial Narrow" w:hAnsi="Arial Narrow"/>
                <w:sz w:val="20"/>
              </w:rPr>
            </w:pPr>
            <w:r w:rsidRPr="00191822">
              <w:rPr>
                <w:rFonts w:ascii="Arial Narrow" w:hAnsi="Arial Narrow"/>
                <w:sz w:val="20"/>
              </w:rPr>
              <w:t>Any AE, n (%)</w:t>
            </w:r>
          </w:p>
        </w:tc>
        <w:tc>
          <w:tcPr>
            <w:tcW w:w="572" w:type="pct"/>
          </w:tcPr>
          <w:p w14:paraId="4309A87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171 (96.1)</w:t>
            </w:r>
          </w:p>
        </w:tc>
        <w:tc>
          <w:tcPr>
            <w:tcW w:w="572" w:type="pct"/>
          </w:tcPr>
          <w:p w14:paraId="649015E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170 (95.0)</w:t>
            </w:r>
          </w:p>
        </w:tc>
        <w:tc>
          <w:tcPr>
            <w:tcW w:w="572" w:type="pct"/>
          </w:tcPr>
          <w:p w14:paraId="06A500D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167 (98.8)</w:t>
            </w:r>
          </w:p>
        </w:tc>
        <w:tc>
          <w:tcPr>
            <w:tcW w:w="572" w:type="pct"/>
          </w:tcPr>
          <w:p w14:paraId="031EA56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176 (98.8)</w:t>
            </w:r>
          </w:p>
        </w:tc>
        <w:tc>
          <w:tcPr>
            <w:tcW w:w="572" w:type="pct"/>
          </w:tcPr>
          <w:p w14:paraId="49BC441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173 (96.6)</w:t>
            </w:r>
          </w:p>
        </w:tc>
        <w:tc>
          <w:tcPr>
            <w:tcW w:w="571" w:type="pct"/>
          </w:tcPr>
          <w:p w14:paraId="568C56B5"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167 (98.8)</w:t>
            </w:r>
          </w:p>
        </w:tc>
      </w:tr>
      <w:tr w:rsidR="00A06FC6" w:rsidRPr="00191822" w14:paraId="293AD609" w14:textId="77777777" w:rsidTr="004026AA">
        <w:trPr>
          <w:trHeight w:val="1945"/>
        </w:trPr>
        <w:tc>
          <w:tcPr>
            <w:tcW w:w="1569" w:type="pct"/>
          </w:tcPr>
          <w:p w14:paraId="244371C0" w14:textId="77777777" w:rsidR="00A06FC6" w:rsidRPr="00191822" w:rsidRDefault="00A06FC6" w:rsidP="004026AA">
            <w:pPr>
              <w:jc w:val="left"/>
              <w:rPr>
                <w:rFonts w:ascii="Arial Narrow" w:hAnsi="Arial Narrow"/>
                <w:sz w:val="20"/>
              </w:rPr>
            </w:pPr>
            <w:r w:rsidRPr="00191822">
              <w:rPr>
                <w:rFonts w:ascii="Arial Narrow" w:hAnsi="Arial Narrow"/>
                <w:sz w:val="20"/>
              </w:rPr>
              <w:t>Any AE incidence 25%, n (%)</w:t>
            </w:r>
          </w:p>
          <w:p w14:paraId="4A6F9E5A"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Diarrhoea</w:t>
            </w:r>
          </w:p>
          <w:p w14:paraId="371AC71A"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Headache</w:t>
            </w:r>
          </w:p>
          <w:p w14:paraId="1954F336"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Neutropenia</w:t>
            </w:r>
          </w:p>
          <w:p w14:paraId="6B030C05"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Fatigue</w:t>
            </w:r>
          </w:p>
          <w:p w14:paraId="6EF11EDD"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Arthralgia</w:t>
            </w:r>
          </w:p>
          <w:p w14:paraId="3339F8A6"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Cough</w:t>
            </w:r>
          </w:p>
          <w:p w14:paraId="5204D597"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Upper respiratory tract infection</w:t>
            </w:r>
          </w:p>
          <w:p w14:paraId="1E82E12B"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Nausea</w:t>
            </w:r>
          </w:p>
          <w:p w14:paraId="1E04E3E6" w14:textId="77777777" w:rsidR="00A06FC6" w:rsidRPr="00191822" w:rsidRDefault="00A06FC6" w:rsidP="00E042B7">
            <w:pPr>
              <w:pStyle w:val="ListParagraph"/>
              <w:numPr>
                <w:ilvl w:val="0"/>
                <w:numId w:val="8"/>
              </w:numPr>
              <w:ind w:left="170" w:hanging="170"/>
              <w:jc w:val="left"/>
              <w:rPr>
                <w:rFonts w:ascii="Arial Narrow" w:hAnsi="Arial Narrow"/>
                <w:sz w:val="20"/>
              </w:rPr>
            </w:pPr>
            <w:r w:rsidRPr="00191822">
              <w:rPr>
                <w:rFonts w:ascii="Arial Narrow" w:hAnsi="Arial Narrow"/>
                <w:sz w:val="20"/>
              </w:rPr>
              <w:t>Infusion-related reaction</w:t>
            </w:r>
          </w:p>
        </w:tc>
        <w:tc>
          <w:tcPr>
            <w:tcW w:w="572" w:type="pct"/>
          </w:tcPr>
          <w:p w14:paraId="3CA7A7A7" w14:textId="77777777" w:rsidR="00A06FC6" w:rsidRPr="00191822" w:rsidRDefault="00A06FC6" w:rsidP="004026AA">
            <w:pPr>
              <w:jc w:val="center"/>
              <w:rPr>
                <w:rFonts w:ascii="Arial Narrow" w:hAnsi="Arial Narrow"/>
                <w:sz w:val="20"/>
                <w:szCs w:val="20"/>
              </w:rPr>
            </w:pPr>
          </w:p>
          <w:p w14:paraId="06D774E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69 (38.8)</w:t>
            </w:r>
          </w:p>
          <w:p w14:paraId="12ABB2F5"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71 (39.9)</w:t>
            </w:r>
          </w:p>
          <w:p w14:paraId="5FFD24F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56 (31.5)</w:t>
            </w:r>
          </w:p>
          <w:p w14:paraId="0D7FE7E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50 (28.1)</w:t>
            </w:r>
          </w:p>
          <w:p w14:paraId="7EF0706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39 (21.9)</w:t>
            </w:r>
          </w:p>
          <w:p w14:paraId="6914A69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39 (21.9)</w:t>
            </w:r>
          </w:p>
          <w:p w14:paraId="5848994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38 (21.3)</w:t>
            </w:r>
          </w:p>
          <w:p w14:paraId="742DBE4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36 (20.2)</w:t>
            </w:r>
          </w:p>
          <w:p w14:paraId="19EA1A3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24 (13.5)</w:t>
            </w:r>
          </w:p>
        </w:tc>
        <w:tc>
          <w:tcPr>
            <w:tcW w:w="572" w:type="pct"/>
          </w:tcPr>
          <w:p w14:paraId="44FD6BA7" w14:textId="77777777" w:rsidR="00A06FC6" w:rsidRPr="00191822" w:rsidRDefault="00A06FC6" w:rsidP="004026AA">
            <w:pPr>
              <w:jc w:val="center"/>
              <w:rPr>
                <w:rFonts w:ascii="Arial Narrow" w:hAnsi="Arial Narrow"/>
                <w:sz w:val="20"/>
                <w:szCs w:val="20"/>
              </w:rPr>
            </w:pPr>
          </w:p>
          <w:p w14:paraId="4917C92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62 (34.6)</w:t>
            </w:r>
          </w:p>
          <w:p w14:paraId="308D7F3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66 (36.9)</w:t>
            </w:r>
          </w:p>
          <w:p w14:paraId="3F563FD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19 (10.6)</w:t>
            </w:r>
          </w:p>
          <w:p w14:paraId="6ADBF34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33 (18.4)</w:t>
            </w:r>
          </w:p>
          <w:p w14:paraId="13117C6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28 (15.6)</w:t>
            </w:r>
          </w:p>
          <w:p w14:paraId="20DF6F4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33 (18.4)</w:t>
            </w:r>
          </w:p>
          <w:p w14:paraId="36BD2FD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33 (18.4)</w:t>
            </w:r>
          </w:p>
          <w:p w14:paraId="12E2242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40 (22.3)</w:t>
            </w:r>
          </w:p>
          <w:p w14:paraId="0891B11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tc>
        <w:tc>
          <w:tcPr>
            <w:tcW w:w="572" w:type="pct"/>
          </w:tcPr>
          <w:p w14:paraId="5844107B" w14:textId="77777777" w:rsidR="00A06FC6" w:rsidRPr="00191822" w:rsidRDefault="00A06FC6" w:rsidP="004026AA">
            <w:pPr>
              <w:jc w:val="center"/>
              <w:rPr>
                <w:rFonts w:ascii="Arial Narrow" w:hAnsi="Arial Narrow"/>
                <w:sz w:val="20"/>
                <w:szCs w:val="20"/>
              </w:rPr>
            </w:pPr>
          </w:p>
          <w:p w14:paraId="463916F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36 (21.3)</w:t>
            </w:r>
          </w:p>
          <w:p w14:paraId="1732411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20 (11.8)</w:t>
            </w:r>
          </w:p>
          <w:p w14:paraId="7DF70C6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76 (45.0)</w:t>
            </w:r>
          </w:p>
          <w:p w14:paraId="09A2D1F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29 (17.2)</w:t>
            </w:r>
          </w:p>
          <w:p w14:paraId="465D936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8 (4.7)</w:t>
            </w:r>
          </w:p>
          <w:p w14:paraId="0EED73E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15 (8.9)</w:t>
            </w:r>
          </w:p>
          <w:p w14:paraId="4683F3F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14 (8.3)</w:t>
            </w:r>
          </w:p>
          <w:p w14:paraId="4F33AB3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53 (31.4)</w:t>
            </w:r>
          </w:p>
          <w:p w14:paraId="0C3C3E5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67 (39.6)</w:t>
            </w:r>
          </w:p>
        </w:tc>
        <w:tc>
          <w:tcPr>
            <w:tcW w:w="572" w:type="pct"/>
          </w:tcPr>
          <w:p w14:paraId="7E2F5B06" w14:textId="77777777" w:rsidR="00A06FC6" w:rsidRPr="00191822" w:rsidRDefault="00A06FC6" w:rsidP="004026AA">
            <w:pPr>
              <w:jc w:val="center"/>
              <w:rPr>
                <w:rFonts w:ascii="Arial Narrow" w:hAnsi="Arial Narrow"/>
                <w:sz w:val="20"/>
                <w:szCs w:val="20"/>
              </w:rPr>
            </w:pPr>
          </w:p>
          <w:p w14:paraId="79C3FED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73 (41.0)</w:t>
            </w:r>
          </w:p>
          <w:p w14:paraId="6F13B20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71 (39.9)</w:t>
            </w:r>
          </w:p>
          <w:p w14:paraId="61A28EF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60 (33.7)</w:t>
            </w:r>
          </w:p>
          <w:p w14:paraId="345459E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50 (28.1)</w:t>
            </w:r>
          </w:p>
          <w:p w14:paraId="2309AC2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47 (26.4)</w:t>
            </w:r>
          </w:p>
          <w:p w14:paraId="451E986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46 (25.8)</w:t>
            </w:r>
          </w:p>
          <w:p w14:paraId="41C99CC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44 (24.7)</w:t>
            </w:r>
          </w:p>
          <w:p w14:paraId="6E8F832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41 (23.0)</w:t>
            </w:r>
          </w:p>
          <w:p w14:paraId="12A8919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25 (14.0)</w:t>
            </w:r>
          </w:p>
        </w:tc>
        <w:tc>
          <w:tcPr>
            <w:tcW w:w="572" w:type="pct"/>
          </w:tcPr>
          <w:p w14:paraId="67E54C4D" w14:textId="77777777" w:rsidR="00A06FC6" w:rsidRPr="00191822" w:rsidRDefault="00A06FC6" w:rsidP="004026AA">
            <w:pPr>
              <w:jc w:val="center"/>
              <w:rPr>
                <w:rFonts w:ascii="Arial Narrow" w:hAnsi="Arial Narrow"/>
                <w:sz w:val="20"/>
                <w:szCs w:val="20"/>
              </w:rPr>
            </w:pPr>
          </w:p>
          <w:p w14:paraId="62AD240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72 (40.2)</w:t>
            </w:r>
          </w:p>
          <w:p w14:paraId="274B01C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68 (38.0)</w:t>
            </w:r>
          </w:p>
          <w:p w14:paraId="038FC06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22 (12.3)</w:t>
            </w:r>
          </w:p>
          <w:p w14:paraId="3CD40C9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39 (21.8)</w:t>
            </w:r>
          </w:p>
          <w:p w14:paraId="2DF42EB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35 (19.6)</w:t>
            </w:r>
          </w:p>
          <w:p w14:paraId="0BB1C46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40 (22.3)</w:t>
            </w:r>
          </w:p>
          <w:p w14:paraId="3DC78E2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46 (25.7)</w:t>
            </w:r>
          </w:p>
          <w:p w14:paraId="2BA59B5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41 (22.9)</w:t>
            </w:r>
          </w:p>
          <w:p w14:paraId="0B44B69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tc>
        <w:tc>
          <w:tcPr>
            <w:tcW w:w="571" w:type="pct"/>
          </w:tcPr>
          <w:p w14:paraId="661D86DC" w14:textId="77777777" w:rsidR="00A06FC6" w:rsidRPr="00191822" w:rsidRDefault="00A06FC6" w:rsidP="004026AA">
            <w:pPr>
              <w:jc w:val="center"/>
              <w:rPr>
                <w:rFonts w:ascii="Arial Narrow" w:hAnsi="Arial Narrow"/>
                <w:sz w:val="20"/>
                <w:szCs w:val="20"/>
              </w:rPr>
            </w:pPr>
          </w:p>
          <w:p w14:paraId="15CB951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36 (21.3)</w:t>
            </w:r>
          </w:p>
          <w:p w14:paraId="3E2468A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20 (11.8)</w:t>
            </w:r>
          </w:p>
          <w:p w14:paraId="15CFB6D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76 (45.0)</w:t>
            </w:r>
          </w:p>
          <w:p w14:paraId="5CA55C3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30 (17.8)</w:t>
            </w:r>
          </w:p>
          <w:p w14:paraId="4ECED60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8 (4.7)</w:t>
            </w:r>
          </w:p>
          <w:p w14:paraId="6FF6ECD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15 (8.9)</w:t>
            </w:r>
          </w:p>
          <w:p w14:paraId="6EE9DE4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16 (9.5)</w:t>
            </w:r>
          </w:p>
          <w:p w14:paraId="1D0258A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53 (31.4)</w:t>
            </w:r>
          </w:p>
          <w:p w14:paraId="7E0F3A4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68 (40.2)</w:t>
            </w:r>
          </w:p>
        </w:tc>
      </w:tr>
      <w:tr w:rsidR="00A06FC6" w:rsidRPr="00191822" w14:paraId="58361613" w14:textId="77777777" w:rsidTr="004026AA">
        <w:tc>
          <w:tcPr>
            <w:tcW w:w="1569" w:type="pct"/>
          </w:tcPr>
          <w:p w14:paraId="5131EC03" w14:textId="77777777" w:rsidR="00A06FC6" w:rsidRPr="00191822" w:rsidRDefault="00A06FC6" w:rsidP="004026AA">
            <w:pPr>
              <w:jc w:val="left"/>
              <w:rPr>
                <w:rFonts w:ascii="Arial Narrow" w:hAnsi="Arial Narrow"/>
                <w:sz w:val="20"/>
                <w:szCs w:val="20"/>
              </w:rPr>
            </w:pPr>
            <w:r w:rsidRPr="00191822">
              <w:rPr>
                <w:rFonts w:ascii="Arial Narrow" w:hAnsi="Arial Narrow"/>
                <w:sz w:val="20"/>
                <w:szCs w:val="20"/>
              </w:rPr>
              <w:t>Grade ≥3 AE incidence &gt;2%, n (%)</w:t>
            </w:r>
          </w:p>
          <w:p w14:paraId="033819A4"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Neutropenia</w:t>
            </w:r>
          </w:p>
          <w:p w14:paraId="1A3C674C"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Thrombocytopenia</w:t>
            </w:r>
          </w:p>
          <w:p w14:paraId="1A53835D"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Anaemia</w:t>
            </w:r>
          </w:p>
          <w:p w14:paraId="10E34C79"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Febrile neutropenia</w:t>
            </w:r>
          </w:p>
          <w:p w14:paraId="7AF96E95"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Diarrhoea</w:t>
            </w:r>
          </w:p>
          <w:p w14:paraId="4E1445E9"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Upper respiratory tract infection</w:t>
            </w:r>
          </w:p>
          <w:p w14:paraId="7ACAD82D"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Pneumonia</w:t>
            </w:r>
          </w:p>
          <w:p w14:paraId="52D44310"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Infusion-related reaction</w:t>
            </w:r>
          </w:p>
          <w:p w14:paraId="341D9B73"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ALT increased</w:t>
            </w:r>
          </w:p>
          <w:p w14:paraId="6EE14E0F"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Neutrophil count decreased</w:t>
            </w:r>
          </w:p>
          <w:p w14:paraId="547C99FF"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Tumour lysis syndrome</w:t>
            </w:r>
          </w:p>
          <w:p w14:paraId="4B2CB1EA"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Syncope</w:t>
            </w:r>
          </w:p>
          <w:p w14:paraId="0CB23587" w14:textId="77777777" w:rsidR="00A06FC6" w:rsidRPr="00191822" w:rsidRDefault="00A06FC6" w:rsidP="00E042B7">
            <w:pPr>
              <w:pStyle w:val="ListParagraph"/>
              <w:numPr>
                <w:ilvl w:val="0"/>
                <w:numId w:val="9"/>
              </w:numPr>
              <w:ind w:left="170" w:hanging="170"/>
              <w:jc w:val="left"/>
              <w:rPr>
                <w:rFonts w:ascii="Arial Narrow" w:hAnsi="Arial Narrow"/>
                <w:sz w:val="20"/>
                <w:szCs w:val="20"/>
              </w:rPr>
            </w:pPr>
            <w:r w:rsidRPr="00191822">
              <w:rPr>
                <w:rFonts w:ascii="Arial Narrow" w:hAnsi="Arial Narrow"/>
                <w:sz w:val="20"/>
                <w:szCs w:val="20"/>
              </w:rPr>
              <w:t>Hypertension</w:t>
            </w:r>
          </w:p>
        </w:tc>
        <w:tc>
          <w:tcPr>
            <w:tcW w:w="572" w:type="pct"/>
          </w:tcPr>
          <w:p w14:paraId="2BBC3584" w14:textId="77777777" w:rsidR="00A06FC6" w:rsidRPr="00191822" w:rsidRDefault="00A06FC6" w:rsidP="004026AA">
            <w:pPr>
              <w:jc w:val="center"/>
              <w:rPr>
                <w:rFonts w:ascii="Arial Narrow" w:hAnsi="Arial Narrow"/>
                <w:sz w:val="20"/>
                <w:szCs w:val="20"/>
              </w:rPr>
            </w:pPr>
          </w:p>
          <w:p w14:paraId="6E5DC8A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53 (29.8)</w:t>
            </w:r>
          </w:p>
          <w:p w14:paraId="1EE7248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15 (8.4)</w:t>
            </w:r>
          </w:p>
          <w:p w14:paraId="2472217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10 (5.6)</w:t>
            </w:r>
          </w:p>
          <w:p w14:paraId="497BCAA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 (1.7)</w:t>
            </w:r>
          </w:p>
          <w:p w14:paraId="2D1AF18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8 (4.5)</w:t>
            </w:r>
          </w:p>
          <w:p w14:paraId="7DB118C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p w14:paraId="0E10FF8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10 (5.6)</w:t>
            </w:r>
          </w:p>
          <w:p w14:paraId="3D27F1E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p w14:paraId="407706A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(2.8)</w:t>
            </w:r>
          </w:p>
          <w:p w14:paraId="3147EEB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 (1.1)</w:t>
            </w:r>
          </w:p>
          <w:p w14:paraId="2F9CDFF5"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 (1.1)</w:t>
            </w:r>
          </w:p>
          <w:p w14:paraId="304883C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p w14:paraId="68F572D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(2.8)</w:t>
            </w:r>
          </w:p>
        </w:tc>
        <w:tc>
          <w:tcPr>
            <w:tcW w:w="572" w:type="pct"/>
          </w:tcPr>
          <w:p w14:paraId="2B4294DE" w14:textId="77777777" w:rsidR="00A06FC6" w:rsidRPr="00191822" w:rsidRDefault="00A06FC6" w:rsidP="004026AA">
            <w:pPr>
              <w:jc w:val="center"/>
              <w:rPr>
                <w:rFonts w:ascii="Arial Narrow" w:hAnsi="Arial Narrow"/>
                <w:sz w:val="20"/>
                <w:szCs w:val="20"/>
              </w:rPr>
            </w:pPr>
          </w:p>
          <w:p w14:paraId="3455D36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17 (9.5)</w:t>
            </w:r>
          </w:p>
          <w:p w14:paraId="5B9CE11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(2.8)</w:t>
            </w:r>
          </w:p>
          <w:p w14:paraId="2C7385F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12 (6.7)</w:t>
            </w:r>
          </w:p>
          <w:p w14:paraId="66E8574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 (1.1)</w:t>
            </w:r>
          </w:p>
          <w:p w14:paraId="7A69689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38DDE68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33E1D77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p w14:paraId="7A146EF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7CF2A99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045FE86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6E64AC2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272E7A5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 (1.1)</w:t>
            </w:r>
          </w:p>
          <w:p w14:paraId="3D1736F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tc>
        <w:tc>
          <w:tcPr>
            <w:tcW w:w="572" w:type="pct"/>
          </w:tcPr>
          <w:p w14:paraId="3EA55F47" w14:textId="77777777" w:rsidR="00A06FC6" w:rsidRPr="00191822" w:rsidRDefault="00A06FC6" w:rsidP="004026AA">
            <w:pPr>
              <w:jc w:val="center"/>
              <w:rPr>
                <w:rFonts w:ascii="Arial Narrow" w:hAnsi="Arial Narrow"/>
                <w:sz w:val="20"/>
                <w:szCs w:val="20"/>
              </w:rPr>
            </w:pPr>
          </w:p>
          <w:p w14:paraId="6944F8B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70 (41.4)</w:t>
            </w:r>
          </w:p>
          <w:p w14:paraId="1605663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20 (11.8)</w:t>
            </w:r>
          </w:p>
          <w:p w14:paraId="682FCDA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12 (7.1)</w:t>
            </w:r>
          </w:p>
          <w:p w14:paraId="0CF1994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9 (5.3)</w:t>
            </w:r>
          </w:p>
          <w:p w14:paraId="2B91D3D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 (1.8)</w:t>
            </w:r>
          </w:p>
          <w:p w14:paraId="1478CEE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79A627B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 (1.8)</w:t>
            </w:r>
          </w:p>
          <w:p w14:paraId="764D9ED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9 (5.3)</w:t>
            </w:r>
          </w:p>
          <w:p w14:paraId="1AD3B3E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 (1.8)</w:t>
            </w:r>
          </w:p>
          <w:p w14:paraId="46A8E93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(3.0)</w:t>
            </w:r>
          </w:p>
          <w:p w14:paraId="59072C4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13 (7.7)</w:t>
            </w:r>
          </w:p>
          <w:p w14:paraId="033AAF6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7D68F0A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(3.0)</w:t>
            </w:r>
          </w:p>
        </w:tc>
        <w:tc>
          <w:tcPr>
            <w:tcW w:w="572" w:type="pct"/>
          </w:tcPr>
          <w:p w14:paraId="3DE5A491" w14:textId="77777777" w:rsidR="00A06FC6" w:rsidRPr="00191822" w:rsidRDefault="00A06FC6" w:rsidP="004026AA">
            <w:pPr>
              <w:jc w:val="center"/>
              <w:rPr>
                <w:rFonts w:ascii="Arial Narrow" w:hAnsi="Arial Narrow"/>
                <w:sz w:val="20"/>
                <w:szCs w:val="20"/>
              </w:rPr>
            </w:pPr>
          </w:p>
          <w:p w14:paraId="2DE7345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55 (30.9)</w:t>
            </w:r>
          </w:p>
          <w:p w14:paraId="19D04D3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672E2B3D"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713DA636"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651E6AC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9 (5.1)</w:t>
            </w:r>
          </w:p>
          <w:p w14:paraId="5AF2B280"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4 (2.2)</w:t>
            </w:r>
          </w:p>
          <w:p w14:paraId="2BB6B56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1B5A5FF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5 (2.8)</w:t>
            </w:r>
          </w:p>
          <w:p w14:paraId="7520C3B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0500879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005F66E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66FC8A95"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015D52F8"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c>
          <w:tcPr>
            <w:tcW w:w="572" w:type="pct"/>
          </w:tcPr>
          <w:p w14:paraId="7444B7FA" w14:textId="77777777" w:rsidR="00A06FC6" w:rsidRPr="00191822" w:rsidRDefault="00A06FC6" w:rsidP="004026AA">
            <w:pPr>
              <w:jc w:val="center"/>
              <w:rPr>
                <w:rFonts w:ascii="Arial Narrow" w:hAnsi="Arial Narrow"/>
                <w:sz w:val="20"/>
                <w:szCs w:val="20"/>
              </w:rPr>
            </w:pPr>
          </w:p>
          <w:p w14:paraId="0B52E165"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20 (11.2)</w:t>
            </w:r>
          </w:p>
          <w:p w14:paraId="059D8A2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07CAB9D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074735C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51E61B1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03AACD8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4A9B6B0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476644E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0</w:t>
            </w:r>
          </w:p>
          <w:p w14:paraId="396E762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5DB7E2BA"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7281DF9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7B6CBFBC"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16047B92"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c>
          <w:tcPr>
            <w:tcW w:w="571" w:type="pct"/>
          </w:tcPr>
          <w:p w14:paraId="450555A6" w14:textId="77777777" w:rsidR="00A06FC6" w:rsidRPr="00191822" w:rsidRDefault="00A06FC6" w:rsidP="004026AA">
            <w:pPr>
              <w:jc w:val="center"/>
              <w:rPr>
                <w:rFonts w:ascii="Arial Narrow" w:hAnsi="Arial Narrow"/>
                <w:sz w:val="20"/>
                <w:szCs w:val="20"/>
              </w:rPr>
            </w:pPr>
          </w:p>
          <w:p w14:paraId="78B3915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70 (41.4)</w:t>
            </w:r>
          </w:p>
          <w:p w14:paraId="1BDB1D0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3FF67E5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6E5900A1"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677A0F74"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3 (1.8)</w:t>
            </w:r>
          </w:p>
          <w:p w14:paraId="50AFD5CB"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 (0.6)</w:t>
            </w:r>
          </w:p>
          <w:p w14:paraId="04A9A1DE"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7AB3824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10 (5.9)</w:t>
            </w:r>
          </w:p>
          <w:p w14:paraId="539B0789"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7D7CEFE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3D0C68A7"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2017B2B3"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p w14:paraId="482F434F" w14:textId="77777777" w:rsidR="00A06FC6" w:rsidRPr="00191822" w:rsidRDefault="00A06FC6" w:rsidP="004026AA">
            <w:pPr>
              <w:jc w:val="center"/>
              <w:rPr>
                <w:rFonts w:ascii="Arial Narrow" w:hAnsi="Arial Narrow"/>
                <w:sz w:val="20"/>
                <w:szCs w:val="20"/>
              </w:rPr>
            </w:pPr>
            <w:r w:rsidRPr="00191822">
              <w:rPr>
                <w:rFonts w:ascii="Arial Narrow" w:hAnsi="Arial Narrow"/>
                <w:sz w:val="20"/>
                <w:szCs w:val="20"/>
              </w:rPr>
              <w:t>NR</w:t>
            </w:r>
          </w:p>
        </w:tc>
      </w:tr>
    </w:tbl>
    <w:p w14:paraId="2DF9B1B8" w14:textId="77777777" w:rsidR="00A06FC6" w:rsidRPr="00191822" w:rsidRDefault="00A06FC6" w:rsidP="00A06FC6">
      <w:pPr>
        <w:pStyle w:val="TableFooter"/>
        <w:spacing w:after="120"/>
      </w:pPr>
      <w:r w:rsidRPr="00191822">
        <w:t>Source: Table 2.24, pp106-107; Table 2.25, p108; Table 2.26, pp108-109; Table 2.27, p109 of the resubmission; Supplemental Table 3 of Attachment 10 of the resubmission.</w:t>
      </w:r>
    </w:p>
    <w:p w14:paraId="5F239903" w14:textId="77777777" w:rsidR="00A06FC6" w:rsidRPr="00191822" w:rsidRDefault="00A06FC6" w:rsidP="00A06FC6">
      <w:pPr>
        <w:pStyle w:val="TableFooter"/>
        <w:spacing w:after="120"/>
      </w:pPr>
      <w:r w:rsidRPr="00191822">
        <w:t xml:space="preserve">ACAL, acalabrutinib; AE, adverse event; ALT, alanine aminotransferase; CHL, chlorambucil; OBI, </w:t>
      </w:r>
      <w:proofErr w:type="spellStart"/>
      <w:r w:rsidRPr="00191822">
        <w:t>obinutuzumab</w:t>
      </w:r>
      <w:proofErr w:type="spellEnd"/>
      <w:r w:rsidRPr="00191822">
        <w:t>.</w:t>
      </w:r>
    </w:p>
    <w:p w14:paraId="73B1F8A1" w14:textId="77777777" w:rsidR="00A06FC6" w:rsidRPr="00191822" w:rsidRDefault="00270A56" w:rsidP="00A06FC6">
      <w:pPr>
        <w:pStyle w:val="TableFooter"/>
        <w:spacing w:after="120"/>
      </w:pPr>
      <w:proofErr w:type="spellStart"/>
      <w:r>
        <w:rPr>
          <w:vertAlign w:val="superscript"/>
        </w:rPr>
        <w:t>a</w:t>
      </w:r>
      <w:proofErr w:type="spellEnd"/>
      <w:r w:rsidRPr="00191822">
        <w:t xml:space="preserve"> </w:t>
      </w:r>
      <w:proofErr w:type="gramStart"/>
      <w:r w:rsidR="00A06FC6" w:rsidRPr="00191822">
        <w:t>The</w:t>
      </w:r>
      <w:proofErr w:type="gramEnd"/>
      <w:r w:rsidR="00A06FC6" w:rsidRPr="00191822">
        <w:t xml:space="preserve"> number reported for the September 2020 data cut was smaller than the number reported for the February 2019 data cut.</w:t>
      </w:r>
    </w:p>
    <w:p w14:paraId="0D9C31F3" w14:textId="77777777" w:rsidR="00A06FC6" w:rsidRPr="00A25C41" w:rsidRDefault="00A06FC6" w:rsidP="00A06FC6">
      <w:pPr>
        <w:pStyle w:val="ExecSumBodyText"/>
      </w:pPr>
      <w:r w:rsidRPr="00191822">
        <w:lastRenderedPageBreak/>
        <w:t xml:space="preserve">Almost all patients in each treatment arm experienced at least one treatment-emergent adverse event. At the September 2020 data cut, serious adverse events were higher in the acalabrutinib + </w:t>
      </w:r>
      <w:proofErr w:type="spellStart"/>
      <w:r w:rsidRPr="00191822">
        <w:t>obinutuzumab</w:t>
      </w:r>
      <w:proofErr w:type="spellEnd"/>
      <w:r w:rsidRPr="00191822">
        <w:t xml:space="preserve"> (48%) and acalabrutinib monotherapy (39%) arms, compared to the chlorambucil + </w:t>
      </w:r>
      <w:proofErr w:type="spellStart"/>
      <w:r w:rsidRPr="00191822">
        <w:t>obinutuzumab</w:t>
      </w:r>
      <w:proofErr w:type="spellEnd"/>
      <w:r w:rsidRPr="00191822">
        <w:t xml:space="preserve"> arm (22%). </w:t>
      </w:r>
      <w:bookmarkStart w:id="38" w:name="_Hlk89435193"/>
      <w:r w:rsidRPr="00191822">
        <w:t xml:space="preserve">Grade </w:t>
      </w:r>
      <w:r w:rsidRPr="00191822">
        <w:rPr>
          <w:rFonts w:cs="Calibri"/>
        </w:rPr>
        <w:t>≥</w:t>
      </w:r>
      <w:r w:rsidRPr="00191822">
        <w:t xml:space="preserve">3 adverse events </w:t>
      </w:r>
      <w:bookmarkEnd w:id="38"/>
      <w:r w:rsidRPr="00191822">
        <w:t xml:space="preserve">were higher in the acalabrutinib + </w:t>
      </w:r>
      <w:proofErr w:type="spellStart"/>
      <w:r w:rsidRPr="00191822">
        <w:t>obinutuzumab</w:t>
      </w:r>
      <w:proofErr w:type="spellEnd"/>
      <w:r w:rsidRPr="00191822">
        <w:t xml:space="preserve"> (74%) and chlorambucil + </w:t>
      </w:r>
      <w:proofErr w:type="spellStart"/>
      <w:r w:rsidRPr="00191822">
        <w:t>obinutuzumab</w:t>
      </w:r>
      <w:proofErr w:type="spellEnd"/>
      <w:r w:rsidRPr="00191822">
        <w:t xml:space="preserve"> arms (69%) compared to the acalabrutinib monotherapy arm (52%). Results for treatment-related adverse events were not available for the September 2020 data cut. </w:t>
      </w:r>
    </w:p>
    <w:p w14:paraId="3C34FBB0" w14:textId="77777777" w:rsidR="00A06FC6" w:rsidRPr="00191822" w:rsidRDefault="00A06FC6" w:rsidP="00A06FC6">
      <w:pPr>
        <w:pStyle w:val="ExecSumBodyText"/>
      </w:pPr>
      <w:r w:rsidRPr="00191822">
        <w:t xml:space="preserve">The </w:t>
      </w:r>
      <w:proofErr w:type="gramStart"/>
      <w:r w:rsidRPr="00191822">
        <w:t>most commonly reported</w:t>
      </w:r>
      <w:proofErr w:type="gramEnd"/>
      <w:r w:rsidRPr="00191822">
        <w:t xml:space="preserve"> adverse events in the acalabrutinib + </w:t>
      </w:r>
      <w:proofErr w:type="spellStart"/>
      <w:r w:rsidRPr="00191822">
        <w:t>obinutuzumab</w:t>
      </w:r>
      <w:proofErr w:type="spellEnd"/>
      <w:r w:rsidRPr="00191822">
        <w:t xml:space="preserve"> arm (&gt;25%) were diarrhoea (41%), headache (40%), neutropenia (34%), fatigue (28%), arthralgia (26%) and cough (26%). The </w:t>
      </w:r>
      <w:proofErr w:type="gramStart"/>
      <w:r w:rsidRPr="00191822">
        <w:t>most commonly reported</w:t>
      </w:r>
      <w:proofErr w:type="gramEnd"/>
      <w:r w:rsidRPr="00191822">
        <w:t xml:space="preserve"> adverse events in the acalabrutinib monotherapy arm (&gt;25%) were diarrhoea (40%), headache (38%) and upper respiratory tract infection (26%). </w:t>
      </w:r>
    </w:p>
    <w:p w14:paraId="57A8628E" w14:textId="77777777" w:rsidR="00A06FC6" w:rsidRPr="00191822" w:rsidRDefault="00A06FC6" w:rsidP="00A06FC6">
      <w:pPr>
        <w:pStyle w:val="ExecSumBodyText"/>
      </w:pPr>
      <w:r w:rsidRPr="00A25C41">
        <w:rPr>
          <w:iCs/>
        </w:rPr>
        <w:t>The PBAC previously noted that the difference in treatment duration (acalabrutinib is given until disease progression; chlorambucil is given for 24 weeks) likely impacted the overall numbers of adverse events (</w:t>
      </w:r>
      <w:r w:rsidR="00270A56" w:rsidRPr="00A25C41">
        <w:rPr>
          <w:iCs/>
        </w:rPr>
        <w:t>p</w:t>
      </w:r>
      <w:r w:rsidRPr="00A25C41">
        <w:rPr>
          <w:iCs/>
        </w:rPr>
        <w:t xml:space="preserve">aragraph 7.8, </w:t>
      </w:r>
      <w:r w:rsidR="00270A56" w:rsidRPr="00A25C41">
        <w:rPr>
          <w:iCs/>
        </w:rPr>
        <w:t>a</w:t>
      </w:r>
      <w:r w:rsidRPr="00A25C41">
        <w:rPr>
          <w:iCs/>
        </w:rPr>
        <w:t xml:space="preserve">calabrutinib, </w:t>
      </w:r>
      <w:r w:rsidR="00270A56" w:rsidRPr="00A25C41">
        <w:rPr>
          <w:iCs/>
        </w:rPr>
        <w:t>PSD</w:t>
      </w:r>
      <w:r w:rsidRPr="00A25C41">
        <w:rPr>
          <w:iCs/>
        </w:rPr>
        <w:t>, July 2020 PBAC meeting).</w:t>
      </w:r>
    </w:p>
    <w:p w14:paraId="71D9D6B2" w14:textId="77777777" w:rsidR="00A06FC6" w:rsidRPr="00A25C41" w:rsidRDefault="00247584" w:rsidP="0048548C">
      <w:pPr>
        <w:pStyle w:val="ExecSumBodyText"/>
        <w:rPr>
          <w:iCs/>
        </w:rPr>
      </w:pPr>
      <w:r w:rsidRPr="00A25C41">
        <w:rPr>
          <w:iCs/>
        </w:rPr>
        <w:t>Overall, in terms of safety, t</w:t>
      </w:r>
      <w:r w:rsidR="00A06FC6" w:rsidRPr="00A25C41">
        <w:rPr>
          <w:iCs/>
        </w:rPr>
        <w:t xml:space="preserve">he PBAC </w:t>
      </w:r>
      <w:r w:rsidR="00705CB6">
        <w:rPr>
          <w:iCs/>
        </w:rPr>
        <w:t xml:space="preserve">had </w:t>
      </w:r>
      <w:r w:rsidR="00A06FC6" w:rsidRPr="00A25C41">
        <w:rPr>
          <w:iCs/>
        </w:rPr>
        <w:t xml:space="preserve">previously considered that acalabrutinib monotherapy was likely to be superior compared to chlorambucil + </w:t>
      </w:r>
      <w:proofErr w:type="spellStart"/>
      <w:r w:rsidR="00A06FC6" w:rsidRPr="00A25C41">
        <w:rPr>
          <w:iCs/>
        </w:rPr>
        <w:t>obinutuzumab</w:t>
      </w:r>
      <w:proofErr w:type="spellEnd"/>
      <w:r w:rsidR="00A06FC6" w:rsidRPr="00A25C41">
        <w:rPr>
          <w:iCs/>
        </w:rPr>
        <w:t xml:space="preserve">, and acalabrutinib + </w:t>
      </w:r>
      <w:proofErr w:type="spellStart"/>
      <w:r w:rsidR="00A06FC6" w:rsidRPr="00A25C41">
        <w:rPr>
          <w:iCs/>
        </w:rPr>
        <w:t>obinutuzumab</w:t>
      </w:r>
      <w:proofErr w:type="spellEnd"/>
      <w:r w:rsidR="00A06FC6" w:rsidRPr="00A25C41">
        <w:rPr>
          <w:iCs/>
        </w:rPr>
        <w:t xml:space="preserve"> was likely to result in similar safety outcomes compared to chlorambucil + </w:t>
      </w:r>
      <w:proofErr w:type="spellStart"/>
      <w:r w:rsidR="00A06FC6" w:rsidRPr="00A25C41">
        <w:rPr>
          <w:iCs/>
        </w:rPr>
        <w:t>obinutuzumab</w:t>
      </w:r>
      <w:proofErr w:type="spellEnd"/>
      <w:r w:rsidR="00A06FC6" w:rsidRPr="00A25C41">
        <w:rPr>
          <w:iCs/>
        </w:rPr>
        <w:t xml:space="preserve">. However, the PBAC </w:t>
      </w:r>
      <w:r w:rsidR="00705CB6">
        <w:rPr>
          <w:iCs/>
        </w:rPr>
        <w:t xml:space="preserve">had </w:t>
      </w:r>
      <w:r w:rsidRPr="00A25C41">
        <w:rPr>
          <w:iCs/>
        </w:rPr>
        <w:t xml:space="preserve">also </w:t>
      </w:r>
      <w:r w:rsidR="00A06FC6" w:rsidRPr="00A25C41">
        <w:rPr>
          <w:iCs/>
        </w:rPr>
        <w:t xml:space="preserve">noted that both acalabrutinib monotherapy and acalabrutinib + </w:t>
      </w:r>
      <w:proofErr w:type="spellStart"/>
      <w:r w:rsidR="00A06FC6" w:rsidRPr="00A25C41">
        <w:rPr>
          <w:iCs/>
        </w:rPr>
        <w:t>obinutuzumab</w:t>
      </w:r>
      <w:proofErr w:type="spellEnd"/>
      <w:r w:rsidR="00A06FC6" w:rsidRPr="00A25C41">
        <w:rPr>
          <w:iCs/>
        </w:rPr>
        <w:t xml:space="preserve"> were associated with a higher incidence of serious adverse events compared to chlorambucil + </w:t>
      </w:r>
      <w:proofErr w:type="spellStart"/>
      <w:r w:rsidR="00A06FC6" w:rsidRPr="00A25C41">
        <w:rPr>
          <w:iCs/>
        </w:rPr>
        <w:t>obinutuzumab</w:t>
      </w:r>
      <w:proofErr w:type="spellEnd"/>
      <w:r w:rsidR="00A06FC6" w:rsidRPr="00A25C41">
        <w:rPr>
          <w:iCs/>
        </w:rPr>
        <w:t xml:space="preserve"> (</w:t>
      </w:r>
      <w:r w:rsidR="00270A56" w:rsidRPr="00A25C41">
        <w:rPr>
          <w:iCs/>
        </w:rPr>
        <w:t>p</w:t>
      </w:r>
      <w:r w:rsidR="00A06FC6" w:rsidRPr="00A25C41">
        <w:rPr>
          <w:iCs/>
        </w:rPr>
        <w:t xml:space="preserve">aragraph 7.8, </w:t>
      </w:r>
      <w:r w:rsidR="00270A56" w:rsidRPr="00A25C41">
        <w:rPr>
          <w:iCs/>
        </w:rPr>
        <w:t>a</w:t>
      </w:r>
      <w:r w:rsidR="00A06FC6" w:rsidRPr="00A25C41">
        <w:rPr>
          <w:iCs/>
        </w:rPr>
        <w:t xml:space="preserve">calabrutinib, </w:t>
      </w:r>
      <w:r w:rsidR="00270A56" w:rsidRPr="00A25C41">
        <w:rPr>
          <w:iCs/>
        </w:rPr>
        <w:t>PSD</w:t>
      </w:r>
      <w:r w:rsidR="00A06FC6" w:rsidRPr="00A25C41">
        <w:rPr>
          <w:iCs/>
        </w:rPr>
        <w:t>, July 2020 PBAC meeting).</w:t>
      </w:r>
    </w:p>
    <w:p w14:paraId="4D0E6732" w14:textId="77777777" w:rsidR="007F1017" w:rsidRPr="00191822" w:rsidRDefault="007F1017" w:rsidP="00D86231">
      <w:pPr>
        <w:pStyle w:val="3-SubsectionHeading"/>
      </w:pPr>
      <w:bookmarkStart w:id="39" w:name="_Toc22897643"/>
      <w:bookmarkStart w:id="40" w:name="_Toc82613388"/>
      <w:r w:rsidRPr="00191822">
        <w:t>Benefits/harms</w:t>
      </w:r>
      <w:bookmarkEnd w:id="39"/>
      <w:bookmarkEnd w:id="40"/>
    </w:p>
    <w:p w14:paraId="3C99BECF" w14:textId="77777777" w:rsidR="0048548C" w:rsidRPr="00191822" w:rsidRDefault="0048548C" w:rsidP="0048548C">
      <w:pPr>
        <w:pStyle w:val="ExecSumBodyText"/>
        <w:numPr>
          <w:ilvl w:val="1"/>
          <w:numId w:val="1"/>
        </w:numPr>
      </w:pPr>
      <w:proofErr w:type="gramStart"/>
      <w:r w:rsidRPr="00191822">
        <w:t>On the basis of</w:t>
      </w:r>
      <w:proofErr w:type="gramEnd"/>
      <w:r w:rsidRPr="00191822">
        <w:t xml:space="preserve"> the direct evidence presented in the </w:t>
      </w:r>
      <w:r w:rsidR="003D448B">
        <w:t>re</w:t>
      </w:r>
      <w:r w:rsidRPr="00191822">
        <w:t xml:space="preserve">submission, for every 100 patients treated with acalabrutinib monotherapy in comparison with chlorambucil + </w:t>
      </w:r>
      <w:proofErr w:type="spellStart"/>
      <w:r w:rsidRPr="00191822">
        <w:t>obinutuzumab</w:t>
      </w:r>
      <w:proofErr w:type="spellEnd"/>
      <w:r w:rsidRPr="00191822">
        <w:t xml:space="preserve">: </w:t>
      </w:r>
    </w:p>
    <w:p w14:paraId="7139D646" w14:textId="77777777" w:rsidR="0048548C" w:rsidRPr="00191822" w:rsidRDefault="0048548C" w:rsidP="00E042B7">
      <w:pPr>
        <w:pStyle w:val="ExecSumBodyText"/>
        <w:numPr>
          <w:ilvl w:val="0"/>
          <w:numId w:val="14"/>
        </w:numPr>
        <w:spacing w:after="0"/>
        <w:ind w:left="1077" w:hanging="357"/>
      </w:pPr>
      <w:r w:rsidRPr="00191822">
        <w:t xml:space="preserve">Approximately </w:t>
      </w:r>
      <w:r w:rsidR="008F78FF" w:rsidRPr="00191822">
        <w:t>53</w:t>
      </w:r>
      <w:r w:rsidRPr="00191822">
        <w:t xml:space="preserve"> additional patients will remain progression free at </w:t>
      </w:r>
      <w:r w:rsidR="008F78FF" w:rsidRPr="00191822">
        <w:t>four</w:t>
      </w:r>
      <w:r w:rsidRPr="00191822">
        <w:t xml:space="preserve"> years.</w:t>
      </w:r>
    </w:p>
    <w:p w14:paraId="52DE3BC8" w14:textId="77777777" w:rsidR="0023425F" w:rsidRPr="00191822" w:rsidRDefault="0023425F" w:rsidP="00E042B7">
      <w:pPr>
        <w:pStyle w:val="ExecSumBodyText"/>
        <w:numPr>
          <w:ilvl w:val="0"/>
          <w:numId w:val="14"/>
        </w:numPr>
        <w:spacing w:after="0"/>
        <w:ind w:left="1077" w:hanging="357"/>
      </w:pPr>
      <w:r w:rsidRPr="00191822">
        <w:t>At a median follow-up of 46.9 months, a</w:t>
      </w:r>
      <w:r w:rsidR="0048548C" w:rsidRPr="00191822">
        <w:t>pproximately 3</w:t>
      </w:r>
      <w:r w:rsidR="0014453E" w:rsidRPr="00191822">
        <w:t>0</w:t>
      </w:r>
      <w:r w:rsidR="0048548C" w:rsidRPr="00191822">
        <w:t xml:space="preserve"> fewer patients will experience life-threatening or severe neutropenia</w:t>
      </w:r>
      <w:r w:rsidR="00DA65CC" w:rsidRPr="00191822">
        <w:t xml:space="preserve"> </w:t>
      </w:r>
      <w:r w:rsidR="0052416F" w:rsidRPr="00191822">
        <w:t>and a</w:t>
      </w:r>
      <w:r w:rsidRPr="00191822">
        <w:t>pproximately 6 fewer patients will experience a life-threatening or severe infusion-related reaction</w:t>
      </w:r>
      <w:r w:rsidR="0052416F" w:rsidRPr="00191822">
        <w:t>.</w:t>
      </w:r>
    </w:p>
    <w:p w14:paraId="32A84757" w14:textId="77777777" w:rsidR="0048548C" w:rsidRPr="00191822" w:rsidRDefault="0052416F" w:rsidP="00E042B7">
      <w:pPr>
        <w:pStyle w:val="ExecSumBodyText"/>
        <w:numPr>
          <w:ilvl w:val="0"/>
          <w:numId w:val="14"/>
        </w:numPr>
        <w:spacing w:after="0"/>
        <w:ind w:left="1077" w:hanging="357"/>
      </w:pPr>
      <w:r w:rsidRPr="00191822">
        <w:t>At a median follow of 28.3 months, a</w:t>
      </w:r>
      <w:r w:rsidR="0048548C" w:rsidRPr="00191822">
        <w:t>pproximately 9 fewer patients will experience life-threatening or severe thrombocytopenia</w:t>
      </w:r>
      <w:r w:rsidRPr="00191822">
        <w:t xml:space="preserve"> and a</w:t>
      </w:r>
      <w:r w:rsidR="0048548C" w:rsidRPr="00191822">
        <w:t>pproximately 8 fewer patients will experience life-threatening or severe tumour lysis syndrome</w:t>
      </w:r>
      <w:r w:rsidRPr="00191822">
        <w:t>.</w:t>
      </w:r>
    </w:p>
    <w:p w14:paraId="7CC5ACB8" w14:textId="77777777" w:rsidR="00B60939" w:rsidRPr="00191822" w:rsidRDefault="00B60939" w:rsidP="00E9094A">
      <w:pPr>
        <w:pStyle w:val="3-SubsectionHeading"/>
      </w:pPr>
      <w:bookmarkStart w:id="41" w:name="_Toc22897644"/>
      <w:bookmarkStart w:id="42" w:name="_Toc82613389"/>
      <w:r w:rsidRPr="00191822">
        <w:t>Clinical claim</w:t>
      </w:r>
      <w:bookmarkEnd w:id="41"/>
      <w:bookmarkEnd w:id="42"/>
    </w:p>
    <w:p w14:paraId="4680000F" w14:textId="77777777" w:rsidR="006C6E5E" w:rsidRPr="00191822" w:rsidRDefault="006C6E5E" w:rsidP="006C6E5E">
      <w:pPr>
        <w:pStyle w:val="ExecSumBodyText"/>
      </w:pPr>
      <w:r w:rsidRPr="00191822">
        <w:t xml:space="preserve">The resubmission described acalabrutinib as superior in terms of effectiveness and safety compared to chlorambucil + </w:t>
      </w:r>
      <w:proofErr w:type="spellStart"/>
      <w:r w:rsidRPr="00191822">
        <w:t>obinutuzumab</w:t>
      </w:r>
      <w:proofErr w:type="spellEnd"/>
      <w:r w:rsidRPr="00191822">
        <w:t xml:space="preserve">, in patients with previously untreated CLL/SLL who are unsuitable for fludarabine-based chemoimmunotherapy </w:t>
      </w:r>
      <w:r w:rsidRPr="00191822">
        <w:lastRenderedPageBreak/>
        <w:t xml:space="preserve">and </w:t>
      </w:r>
      <w:proofErr w:type="spellStart"/>
      <w:r w:rsidRPr="00191822">
        <w:t>venetoclax</w:t>
      </w:r>
      <w:proofErr w:type="spellEnd"/>
      <w:r w:rsidRPr="00191822">
        <w:t xml:space="preserve"> + </w:t>
      </w:r>
      <w:proofErr w:type="spellStart"/>
      <w:r w:rsidRPr="00191822">
        <w:t>obinutuzumab</w:t>
      </w:r>
      <w:proofErr w:type="spellEnd"/>
      <w:r w:rsidRPr="00191822">
        <w:t xml:space="preserve">, or patients who become intolerant to </w:t>
      </w:r>
      <w:proofErr w:type="spellStart"/>
      <w:r w:rsidRPr="00191822">
        <w:t>venetoclax</w:t>
      </w:r>
      <w:proofErr w:type="spellEnd"/>
      <w:r w:rsidRPr="00191822">
        <w:t xml:space="preserve"> + </w:t>
      </w:r>
      <w:proofErr w:type="spellStart"/>
      <w:r w:rsidRPr="00191822">
        <w:t>obinutuzumab</w:t>
      </w:r>
      <w:proofErr w:type="spellEnd"/>
      <w:r w:rsidRPr="00191822">
        <w:t>.</w:t>
      </w:r>
    </w:p>
    <w:p w14:paraId="378F2AF9" w14:textId="77777777" w:rsidR="006C6E5E" w:rsidRDefault="006C6E5E" w:rsidP="00E57491">
      <w:pPr>
        <w:pStyle w:val="ExecSumBodyText"/>
        <w:rPr>
          <w:iCs/>
        </w:rPr>
      </w:pPr>
      <w:r w:rsidRPr="00A25C41">
        <w:rPr>
          <w:iCs/>
        </w:rPr>
        <w:t xml:space="preserve">The PBAC </w:t>
      </w:r>
      <w:r w:rsidR="00CD34B8">
        <w:rPr>
          <w:iCs/>
        </w:rPr>
        <w:t xml:space="preserve">had </w:t>
      </w:r>
      <w:r w:rsidRPr="00A25C41">
        <w:rPr>
          <w:iCs/>
        </w:rPr>
        <w:t>previously considered that this claim was reasonable</w:t>
      </w:r>
      <w:r w:rsidR="0046296F" w:rsidRPr="00A25C41">
        <w:rPr>
          <w:iCs/>
        </w:rPr>
        <w:t xml:space="preserve"> for the broader population of patients with previously untreated CLL/SLL who are unsuitable for fludarabine-based chemoimmunotherapy</w:t>
      </w:r>
      <w:r w:rsidR="00212486" w:rsidRPr="00A25C41">
        <w:rPr>
          <w:iCs/>
        </w:rPr>
        <w:t xml:space="preserve">, but the magnitude of the benefit was uncertain due to the immaturity of the data. </w:t>
      </w:r>
    </w:p>
    <w:p w14:paraId="0A705F0A" w14:textId="77777777" w:rsidR="00CD34B8" w:rsidRPr="00CD34B8" w:rsidRDefault="00CD34B8" w:rsidP="00CD34B8">
      <w:pPr>
        <w:pStyle w:val="ExecSumBodyText"/>
      </w:pPr>
      <w:bookmarkStart w:id="43" w:name="_Hlk76376200"/>
      <w:bookmarkStart w:id="44" w:name="_Toc22897645"/>
      <w:bookmarkStart w:id="45" w:name="_Toc82613390"/>
      <w:r w:rsidRPr="00CD34B8">
        <w:rPr>
          <w:iCs/>
        </w:rPr>
        <w:t>The</w:t>
      </w:r>
      <w:r w:rsidRPr="00CD34B8">
        <w:t xml:space="preserve"> PBAC considered that the </w:t>
      </w:r>
      <w:r w:rsidR="00572D06">
        <w:t xml:space="preserve">overall </w:t>
      </w:r>
      <w:r w:rsidRPr="00CD34B8">
        <w:t>claim of superior comparative effectiveness was reasonable overall</w:t>
      </w:r>
      <w:r w:rsidR="009F0202">
        <w:t xml:space="preserve"> for the narrower population proposed in the resubmission</w:t>
      </w:r>
      <w:r w:rsidR="00160436">
        <w:t xml:space="preserve">. </w:t>
      </w:r>
      <w:r w:rsidR="00160436" w:rsidRPr="00160436">
        <w:t xml:space="preserve">The PBAC was </w:t>
      </w:r>
      <w:r w:rsidR="00EE024F">
        <w:t xml:space="preserve">now </w:t>
      </w:r>
      <w:r w:rsidR="00160436" w:rsidRPr="00160436">
        <w:t>more confident this claim was reasonable in relation to PFS, noting that the more mature data in the resubmission with follow-up over approximately four years showed consistency of effect. At the same time, it remained of the view that it would be inappropriate to model an overall survival gain in the economic evaluation as this data remained immature and</w:t>
      </w:r>
      <w:r w:rsidR="00692D76">
        <w:t xml:space="preserve"> there may not be a difference over the longer term</w:t>
      </w:r>
      <w:r w:rsidR="00160436" w:rsidRPr="00160436">
        <w:t xml:space="preserve"> given subsequent lines of effective therapy are available.</w:t>
      </w:r>
    </w:p>
    <w:p w14:paraId="13FAA82D" w14:textId="77777777" w:rsidR="00CD34B8" w:rsidRPr="00CD34B8" w:rsidRDefault="00CD34B8" w:rsidP="00CD34B8">
      <w:pPr>
        <w:pStyle w:val="ExecSumBodyText"/>
      </w:pPr>
      <w:r w:rsidRPr="00CD34B8">
        <w:t xml:space="preserve">The PBAC remained of the view that the claim of superior comparative safety was likely reasonable, noting that although acalabrutinib was associated with a higher incidence of serious adverse events, Grade ≥3 adverse events were lower, and the longer duration of treatment </w:t>
      </w:r>
      <w:r w:rsidR="00C732EB">
        <w:t>with acal</w:t>
      </w:r>
      <w:r w:rsidR="00160436">
        <w:t>a</w:t>
      </w:r>
      <w:r w:rsidR="00C732EB">
        <w:t xml:space="preserve">brutinib </w:t>
      </w:r>
      <w:r w:rsidRPr="00CD34B8">
        <w:t>would be expected to have impacted the overall number of adverse events.</w:t>
      </w:r>
      <w:bookmarkEnd w:id="43"/>
    </w:p>
    <w:p w14:paraId="121279E7" w14:textId="77777777" w:rsidR="00B60939" w:rsidRPr="00191822" w:rsidRDefault="00B60939" w:rsidP="00E9094A">
      <w:pPr>
        <w:pStyle w:val="3-SubsectionHeading"/>
      </w:pPr>
      <w:r w:rsidRPr="00191822">
        <w:t>Economic analysis</w:t>
      </w:r>
      <w:bookmarkEnd w:id="44"/>
      <w:bookmarkEnd w:id="45"/>
      <w:r w:rsidR="00491B3A" w:rsidRPr="00191822">
        <w:t xml:space="preserve"> </w:t>
      </w:r>
    </w:p>
    <w:p w14:paraId="69DB4531" w14:textId="77777777" w:rsidR="007E5A05" w:rsidRPr="00191822" w:rsidRDefault="00D608D0" w:rsidP="00BC4586">
      <w:pPr>
        <w:pStyle w:val="ExecSumBodyText"/>
        <w:rPr>
          <w:b/>
          <w:bCs/>
        </w:rPr>
      </w:pPr>
      <w:r w:rsidRPr="00191822">
        <w:t xml:space="preserve">The resubmission presented a modelled economic evaluation of acalabrutinib monotherapy versus chlorambucil + </w:t>
      </w:r>
      <w:proofErr w:type="spellStart"/>
      <w:r w:rsidRPr="00191822">
        <w:t>obinutuzumab</w:t>
      </w:r>
      <w:proofErr w:type="spellEnd"/>
      <w:r w:rsidRPr="00191822">
        <w:t>, in patients with previously untreated CLL</w:t>
      </w:r>
      <w:r w:rsidR="00160CC1">
        <w:t>/SLL</w:t>
      </w:r>
      <w:r w:rsidRPr="00191822">
        <w:t xml:space="preserve"> who are unsuitable for treatment with fludarabine-based chemoimmunotherapy and </w:t>
      </w:r>
      <w:proofErr w:type="spellStart"/>
      <w:r w:rsidRPr="00191822">
        <w:t>venetoclax</w:t>
      </w:r>
      <w:proofErr w:type="spellEnd"/>
      <w:r w:rsidRPr="00191822">
        <w:t xml:space="preserve"> + </w:t>
      </w:r>
      <w:proofErr w:type="spellStart"/>
      <w:r w:rsidRPr="00191822">
        <w:t>obinutuzumab</w:t>
      </w:r>
      <w:proofErr w:type="spellEnd"/>
      <w:r w:rsidRPr="00191822">
        <w:t xml:space="preserve">, or who permanently discontinue treatment with </w:t>
      </w:r>
      <w:proofErr w:type="spellStart"/>
      <w:r w:rsidRPr="00191822">
        <w:t>venetoclax</w:t>
      </w:r>
      <w:proofErr w:type="spellEnd"/>
      <w:r w:rsidRPr="00191822">
        <w:t xml:space="preserve"> + </w:t>
      </w:r>
      <w:proofErr w:type="spellStart"/>
      <w:r w:rsidRPr="00191822">
        <w:t>obinutuzumab</w:t>
      </w:r>
      <w:proofErr w:type="spellEnd"/>
      <w:r w:rsidRPr="00191822">
        <w:t xml:space="preserve"> due to intolerance. The economic evaluation was presented as a stepped cost-effectiveness/cost-utility analysis.</w:t>
      </w:r>
      <w:r w:rsidR="007E5A05" w:rsidRPr="00191822">
        <w:t xml:space="preserve"> </w:t>
      </w:r>
    </w:p>
    <w:p w14:paraId="1BFA646F" w14:textId="77777777" w:rsidR="00D608D0" w:rsidRPr="00191822" w:rsidRDefault="007E5A05" w:rsidP="004026AA">
      <w:pPr>
        <w:pStyle w:val="ExecSumBodyText"/>
      </w:pPr>
      <w:r w:rsidRPr="00191822">
        <w:t xml:space="preserve">A partitioned survival design, using the overall survival and progression-free survival curves from the ELEVATE-TN trial, was implemented to distribute patients between model health states. </w:t>
      </w:r>
      <w:r w:rsidR="0088504C" w:rsidRPr="00A25C41">
        <w:rPr>
          <w:iCs/>
        </w:rPr>
        <w:t>The economic model included in the July 2020 submission was a Markov model with six health states (progression-free on-treatment, progression-free off-treatment, drug holiday, second-line treatment, best supportive care and dead), and explicitly modelled outcomes for second-line therapies using data from published relapsed/refractory CLL trials.</w:t>
      </w:r>
      <w:r w:rsidR="00EF15C8" w:rsidRPr="00A25C41">
        <w:rPr>
          <w:iCs/>
        </w:rPr>
        <w:t xml:space="preserve"> </w:t>
      </w:r>
      <w:r w:rsidR="00AB4DC6" w:rsidRPr="00A25C41">
        <w:rPr>
          <w:iCs/>
        </w:rPr>
        <w:t xml:space="preserve">The PBAC </w:t>
      </w:r>
      <w:r w:rsidR="009F0202">
        <w:rPr>
          <w:iCs/>
        </w:rPr>
        <w:t xml:space="preserve">had </w:t>
      </w:r>
      <w:r w:rsidR="00AB4DC6" w:rsidRPr="00A25C41">
        <w:rPr>
          <w:iCs/>
        </w:rPr>
        <w:t xml:space="preserve">previously considered a partitioned survival model for </w:t>
      </w:r>
      <w:proofErr w:type="spellStart"/>
      <w:r w:rsidR="00AB4DC6" w:rsidRPr="00A25C41">
        <w:rPr>
          <w:iCs/>
        </w:rPr>
        <w:t>venetoclax</w:t>
      </w:r>
      <w:proofErr w:type="spellEnd"/>
      <w:r w:rsidR="00C3564E" w:rsidRPr="00A25C41">
        <w:rPr>
          <w:iCs/>
        </w:rPr>
        <w:t xml:space="preserve"> + </w:t>
      </w:r>
      <w:proofErr w:type="spellStart"/>
      <w:r w:rsidR="00C3564E" w:rsidRPr="00A25C41">
        <w:rPr>
          <w:iCs/>
        </w:rPr>
        <w:t>obinutuzumab</w:t>
      </w:r>
      <w:proofErr w:type="spellEnd"/>
      <w:r w:rsidR="00AB4DC6" w:rsidRPr="00A25C41">
        <w:rPr>
          <w:iCs/>
        </w:rPr>
        <w:t>, which contained an additional health state and additional utility states (</w:t>
      </w:r>
      <w:r w:rsidR="00C3564E" w:rsidRPr="00A25C41">
        <w:rPr>
          <w:iCs/>
        </w:rPr>
        <w:t>March and July 2020 PBAC meetings)</w:t>
      </w:r>
      <w:r w:rsidR="00AB4DC6" w:rsidRPr="00A25C41">
        <w:rPr>
          <w:iCs/>
        </w:rPr>
        <w:t xml:space="preserve">. </w:t>
      </w:r>
    </w:p>
    <w:p w14:paraId="6FEBC4EC" w14:textId="77777777" w:rsidR="00BE0CB4" w:rsidRDefault="00BE0CB4">
      <w:pPr>
        <w:jc w:val="left"/>
        <w:rPr>
          <w:rFonts w:ascii="Arial Narrow" w:eastAsiaTheme="majorEastAsia" w:hAnsi="Arial Narrow" w:cstheme="majorBidi"/>
          <w:b/>
          <w:bCs/>
          <w:sz w:val="20"/>
        </w:rPr>
      </w:pPr>
      <w:r>
        <w:br w:type="page"/>
      </w:r>
    </w:p>
    <w:p w14:paraId="42EE8054" w14:textId="77777777" w:rsidR="007E5A05" w:rsidRPr="00191822" w:rsidRDefault="004026AA" w:rsidP="004026AA">
      <w:pPr>
        <w:pStyle w:val="TableFigureCaption"/>
      </w:pPr>
      <w:r>
        <w:lastRenderedPageBreak/>
        <w:t xml:space="preserve">Table </w:t>
      </w:r>
      <w:r w:rsidR="00BD60E3">
        <w:rPr>
          <w:noProof/>
        </w:rPr>
        <w:t>10</w:t>
      </w:r>
      <w:r w:rsidR="007E5A05" w:rsidRPr="00191822">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Key components of the economic evaluation"/>
      </w:tblPr>
      <w:tblGrid>
        <w:gridCol w:w="1555"/>
        <w:gridCol w:w="7462"/>
      </w:tblGrid>
      <w:tr w:rsidR="007E5A05" w:rsidRPr="00191822" w14:paraId="089BF5A4" w14:textId="77777777" w:rsidTr="00EB63B2">
        <w:trPr>
          <w:cantSplit/>
          <w:tblHeader/>
        </w:trPr>
        <w:tc>
          <w:tcPr>
            <w:tcW w:w="862" w:type="pct"/>
            <w:vAlign w:val="center"/>
          </w:tcPr>
          <w:p w14:paraId="52BDF440" w14:textId="77777777" w:rsidR="007E5A05" w:rsidRPr="00191822" w:rsidRDefault="007E5A05" w:rsidP="004A193D">
            <w:pPr>
              <w:pStyle w:val="Tableheadingrow"/>
              <w:rPr>
                <w:lang w:val="en-AU"/>
              </w:rPr>
            </w:pPr>
            <w:r w:rsidRPr="00191822">
              <w:rPr>
                <w:lang w:val="en-AU"/>
              </w:rPr>
              <w:t>Component</w:t>
            </w:r>
          </w:p>
        </w:tc>
        <w:tc>
          <w:tcPr>
            <w:tcW w:w="4138" w:type="pct"/>
          </w:tcPr>
          <w:p w14:paraId="5C501E01" w14:textId="77777777" w:rsidR="007E5A05" w:rsidRPr="00191822" w:rsidRDefault="007E5A05" w:rsidP="004A193D">
            <w:pPr>
              <w:pStyle w:val="Tableheadingrow"/>
              <w:jc w:val="center"/>
              <w:rPr>
                <w:lang w:val="en-AU"/>
              </w:rPr>
            </w:pPr>
            <w:r w:rsidRPr="00191822">
              <w:rPr>
                <w:lang w:val="en-AU"/>
              </w:rPr>
              <w:t>Description</w:t>
            </w:r>
          </w:p>
        </w:tc>
      </w:tr>
      <w:tr w:rsidR="007E5A05" w:rsidRPr="00191822" w14:paraId="2155E463" w14:textId="77777777" w:rsidTr="00EB63B2">
        <w:trPr>
          <w:cantSplit/>
        </w:trPr>
        <w:tc>
          <w:tcPr>
            <w:tcW w:w="862" w:type="pct"/>
            <w:vAlign w:val="center"/>
          </w:tcPr>
          <w:p w14:paraId="622B4FEB" w14:textId="77777777" w:rsidR="007E5A05" w:rsidRPr="00191822" w:rsidRDefault="007E5A05" w:rsidP="004A193D">
            <w:pPr>
              <w:pStyle w:val="TableText"/>
            </w:pPr>
            <w:r w:rsidRPr="00191822">
              <w:t>Type of analysis</w:t>
            </w:r>
          </w:p>
        </w:tc>
        <w:tc>
          <w:tcPr>
            <w:tcW w:w="4138" w:type="pct"/>
          </w:tcPr>
          <w:p w14:paraId="32A5E52E" w14:textId="77777777" w:rsidR="007E5A05" w:rsidRPr="00191822" w:rsidRDefault="007E5A05" w:rsidP="004A193D">
            <w:pPr>
              <w:pStyle w:val="TableText"/>
            </w:pPr>
            <w:r w:rsidRPr="00191822">
              <w:t>Cost-effectiveness analysis and cost-utility analysis</w:t>
            </w:r>
          </w:p>
        </w:tc>
      </w:tr>
      <w:tr w:rsidR="007E5A05" w:rsidRPr="00191822" w14:paraId="41CD6324" w14:textId="77777777" w:rsidTr="00EB63B2">
        <w:trPr>
          <w:cantSplit/>
        </w:trPr>
        <w:tc>
          <w:tcPr>
            <w:tcW w:w="862" w:type="pct"/>
            <w:vAlign w:val="center"/>
          </w:tcPr>
          <w:p w14:paraId="77277929" w14:textId="77777777" w:rsidR="007E5A05" w:rsidRPr="00191822" w:rsidRDefault="007E5A05" w:rsidP="004021CE">
            <w:pPr>
              <w:pStyle w:val="TableText"/>
              <w:keepNext w:val="0"/>
            </w:pPr>
            <w:r w:rsidRPr="00191822">
              <w:t>Outcomes</w:t>
            </w:r>
          </w:p>
        </w:tc>
        <w:tc>
          <w:tcPr>
            <w:tcW w:w="4138" w:type="pct"/>
          </w:tcPr>
          <w:p w14:paraId="406019DF" w14:textId="77777777" w:rsidR="007E5A05" w:rsidRPr="00191822" w:rsidRDefault="007E5A05" w:rsidP="004021CE">
            <w:pPr>
              <w:pStyle w:val="TableText"/>
              <w:keepNext w:val="0"/>
            </w:pPr>
            <w:r w:rsidRPr="00191822">
              <w:t xml:space="preserve">Quality-adjusted life years; progression-free life years; life years gained. </w:t>
            </w:r>
          </w:p>
        </w:tc>
      </w:tr>
      <w:tr w:rsidR="007E5A05" w:rsidRPr="00191822" w14:paraId="6D072613" w14:textId="77777777" w:rsidTr="00EB63B2">
        <w:trPr>
          <w:cantSplit/>
        </w:trPr>
        <w:tc>
          <w:tcPr>
            <w:tcW w:w="862" w:type="pct"/>
            <w:vAlign w:val="center"/>
          </w:tcPr>
          <w:p w14:paraId="7F6141D4" w14:textId="77777777" w:rsidR="007E5A05" w:rsidRPr="00191822" w:rsidRDefault="007E5A05" w:rsidP="004021CE">
            <w:pPr>
              <w:pStyle w:val="TableText"/>
              <w:keepNext w:val="0"/>
            </w:pPr>
            <w:r w:rsidRPr="00191822">
              <w:t>Time horizon</w:t>
            </w:r>
          </w:p>
        </w:tc>
        <w:tc>
          <w:tcPr>
            <w:tcW w:w="4138" w:type="pct"/>
          </w:tcPr>
          <w:p w14:paraId="5127557B" w14:textId="77777777" w:rsidR="007E5A05" w:rsidRPr="00191822" w:rsidRDefault="007E5A05" w:rsidP="004021CE">
            <w:pPr>
              <w:pStyle w:val="TableText"/>
              <w:keepNext w:val="0"/>
            </w:pPr>
            <w:r w:rsidRPr="00191822">
              <w:t>15 years in the model base case versus a median follow-up of 46.9 months in the ELEVATE-TN trial.</w:t>
            </w:r>
          </w:p>
        </w:tc>
      </w:tr>
      <w:tr w:rsidR="007E5A05" w:rsidRPr="00191822" w14:paraId="797D51E3" w14:textId="77777777" w:rsidTr="00EB63B2">
        <w:trPr>
          <w:cantSplit/>
        </w:trPr>
        <w:tc>
          <w:tcPr>
            <w:tcW w:w="862" w:type="pct"/>
            <w:vAlign w:val="center"/>
          </w:tcPr>
          <w:p w14:paraId="464C914D" w14:textId="77777777" w:rsidR="007E5A05" w:rsidRPr="00191822" w:rsidRDefault="007E5A05" w:rsidP="004021CE">
            <w:pPr>
              <w:pStyle w:val="TableText"/>
              <w:keepNext w:val="0"/>
            </w:pPr>
            <w:r w:rsidRPr="00191822">
              <w:t>Methods used to generate results</w:t>
            </w:r>
          </w:p>
        </w:tc>
        <w:tc>
          <w:tcPr>
            <w:tcW w:w="4138" w:type="pct"/>
          </w:tcPr>
          <w:p w14:paraId="026F0E1E" w14:textId="77777777" w:rsidR="007E5A05" w:rsidRPr="00191822" w:rsidRDefault="007E5A05" w:rsidP="004021CE">
            <w:pPr>
              <w:pStyle w:val="TableText"/>
              <w:keepNext w:val="0"/>
            </w:pPr>
            <w:r w:rsidRPr="00191822">
              <w:t>Partitioned survival analysis</w:t>
            </w:r>
          </w:p>
        </w:tc>
      </w:tr>
      <w:tr w:rsidR="007E5A05" w:rsidRPr="00191822" w14:paraId="47FDD53F" w14:textId="77777777" w:rsidTr="00EB63B2">
        <w:trPr>
          <w:cantSplit/>
        </w:trPr>
        <w:tc>
          <w:tcPr>
            <w:tcW w:w="862" w:type="pct"/>
            <w:vAlign w:val="center"/>
          </w:tcPr>
          <w:p w14:paraId="57BB6C20" w14:textId="77777777" w:rsidR="007E5A05" w:rsidRPr="00191822" w:rsidRDefault="007E5A05" w:rsidP="004021CE">
            <w:pPr>
              <w:pStyle w:val="TableText"/>
              <w:keepNext w:val="0"/>
            </w:pPr>
            <w:r w:rsidRPr="00191822">
              <w:t>Treatments</w:t>
            </w:r>
          </w:p>
        </w:tc>
        <w:tc>
          <w:tcPr>
            <w:tcW w:w="4138" w:type="pct"/>
          </w:tcPr>
          <w:p w14:paraId="4C2FDF5E" w14:textId="77777777" w:rsidR="007E5A05" w:rsidRPr="00191822" w:rsidRDefault="00F25ABA" w:rsidP="004021CE">
            <w:pPr>
              <w:pStyle w:val="TableText"/>
              <w:keepNext w:val="0"/>
            </w:pPr>
            <w:r w:rsidRPr="00191822">
              <w:t xml:space="preserve">First-line treatments used in the model were based on the regimens used in the ELEVATE-TN trial (acalabrutinib monotherapy, chlorambucil + </w:t>
            </w:r>
            <w:proofErr w:type="spellStart"/>
            <w:r w:rsidRPr="00191822">
              <w:t>obinutuzumab</w:t>
            </w:r>
            <w:proofErr w:type="spellEnd"/>
            <w:r w:rsidRPr="00191822">
              <w:t xml:space="preserve">). Duration of use for acalabrutinib was based on drug exposure data from the ELEVATE-TN trial (derived from extrapolated time to treatment discontinuation data). Duration of use for chlorambucil + </w:t>
            </w:r>
            <w:proofErr w:type="spellStart"/>
            <w:r w:rsidRPr="00191822">
              <w:t>obinutuzumab</w:t>
            </w:r>
            <w:proofErr w:type="spellEnd"/>
            <w:r w:rsidRPr="00191822">
              <w:t xml:space="preserve"> was based on an assumed six cycles of treatment, adjusted for progression-free survival.</w:t>
            </w:r>
          </w:p>
          <w:p w14:paraId="6398E786" w14:textId="77777777" w:rsidR="00F25ABA" w:rsidRPr="00191822" w:rsidRDefault="00F25ABA" w:rsidP="004021CE">
            <w:pPr>
              <w:pStyle w:val="TableText"/>
              <w:keepNext w:val="0"/>
            </w:pPr>
          </w:p>
          <w:p w14:paraId="7BF6D95E" w14:textId="77777777" w:rsidR="00F25ABA" w:rsidRPr="00191822" w:rsidRDefault="00F25ABA" w:rsidP="004021CE">
            <w:pPr>
              <w:pStyle w:val="TableText"/>
              <w:keepNext w:val="0"/>
            </w:pPr>
            <w:r w:rsidRPr="00191822">
              <w:t xml:space="preserve">The resubmission assumed that second-line therapy for acalabrutinib patients would consist of </w:t>
            </w:r>
            <w:proofErr w:type="spellStart"/>
            <w:r w:rsidRPr="00191822">
              <w:t>idelalisib</w:t>
            </w:r>
            <w:proofErr w:type="spellEnd"/>
            <w:r w:rsidRPr="00191822">
              <w:t xml:space="preserve"> + rituximab and second-line therapy for chlorambucil + </w:t>
            </w:r>
            <w:proofErr w:type="spellStart"/>
            <w:r w:rsidRPr="00191822">
              <w:t>obinutuzumab</w:t>
            </w:r>
            <w:proofErr w:type="spellEnd"/>
            <w:r w:rsidRPr="00191822">
              <w:t xml:space="preserve"> patients would consist of ibrutinib monotherapy.</w:t>
            </w:r>
            <w:r w:rsidR="004021CE" w:rsidRPr="00191822">
              <w:t xml:space="preserve"> Treatment duration for ibrutinib and </w:t>
            </w:r>
            <w:proofErr w:type="spellStart"/>
            <w:r w:rsidR="004021CE" w:rsidRPr="00191822">
              <w:t>idelalisib</w:t>
            </w:r>
            <w:proofErr w:type="spellEnd"/>
            <w:r w:rsidR="004021CE" w:rsidRPr="00191822">
              <w:t xml:space="preserve"> + rituximab </w:t>
            </w:r>
            <w:r w:rsidR="00422FF6">
              <w:t xml:space="preserve">was </w:t>
            </w:r>
            <w:r w:rsidR="004021CE" w:rsidRPr="00191822">
              <w:t>estimated from time to progression data for the RESONATE and ASCEND trials.</w:t>
            </w:r>
          </w:p>
        </w:tc>
      </w:tr>
      <w:tr w:rsidR="007E5A05" w:rsidRPr="00191822" w14:paraId="043EB8B2" w14:textId="77777777" w:rsidTr="00EB63B2">
        <w:trPr>
          <w:cantSplit/>
        </w:trPr>
        <w:tc>
          <w:tcPr>
            <w:tcW w:w="862" w:type="pct"/>
            <w:vAlign w:val="center"/>
          </w:tcPr>
          <w:p w14:paraId="6FEAB384" w14:textId="77777777" w:rsidR="007E5A05" w:rsidRPr="00191822" w:rsidRDefault="007E5A05" w:rsidP="004021CE">
            <w:pPr>
              <w:pStyle w:val="TableText"/>
              <w:keepNext w:val="0"/>
            </w:pPr>
            <w:r w:rsidRPr="00191822">
              <w:t>Health states</w:t>
            </w:r>
          </w:p>
        </w:tc>
        <w:tc>
          <w:tcPr>
            <w:tcW w:w="4138" w:type="pct"/>
          </w:tcPr>
          <w:p w14:paraId="19F5C2CC" w14:textId="77777777" w:rsidR="007E5A05" w:rsidRPr="00191822" w:rsidRDefault="007E5A05" w:rsidP="004021CE">
            <w:pPr>
              <w:pStyle w:val="TableText"/>
              <w:keepNext w:val="0"/>
            </w:pPr>
            <w:r w:rsidRPr="00191822">
              <w:t>Progression-free; progressed disease; dead.</w:t>
            </w:r>
          </w:p>
        </w:tc>
      </w:tr>
      <w:tr w:rsidR="007E5A05" w:rsidRPr="00191822" w14:paraId="324956F4" w14:textId="77777777" w:rsidTr="00EB63B2">
        <w:trPr>
          <w:cantSplit/>
        </w:trPr>
        <w:tc>
          <w:tcPr>
            <w:tcW w:w="862" w:type="pct"/>
            <w:vAlign w:val="center"/>
          </w:tcPr>
          <w:p w14:paraId="75403B0F" w14:textId="77777777" w:rsidR="007E5A05" w:rsidRPr="00191822" w:rsidRDefault="007E5A05" w:rsidP="004021CE">
            <w:pPr>
              <w:pStyle w:val="TableText"/>
              <w:keepNext w:val="0"/>
            </w:pPr>
            <w:r w:rsidRPr="00191822">
              <w:t>Cycle length</w:t>
            </w:r>
          </w:p>
        </w:tc>
        <w:tc>
          <w:tcPr>
            <w:tcW w:w="4138" w:type="pct"/>
          </w:tcPr>
          <w:p w14:paraId="3C26A9B5" w14:textId="77777777" w:rsidR="007E5A05" w:rsidRPr="00191822" w:rsidRDefault="007E5A05" w:rsidP="004021CE">
            <w:pPr>
              <w:pStyle w:val="TableText"/>
              <w:keepNext w:val="0"/>
            </w:pPr>
            <w:r w:rsidRPr="00191822">
              <w:t>1 month</w:t>
            </w:r>
          </w:p>
        </w:tc>
      </w:tr>
      <w:tr w:rsidR="007E5A05" w:rsidRPr="00191822" w14:paraId="59E6F1B8" w14:textId="77777777" w:rsidTr="00EB63B2">
        <w:trPr>
          <w:cantSplit/>
        </w:trPr>
        <w:tc>
          <w:tcPr>
            <w:tcW w:w="862" w:type="pct"/>
            <w:vAlign w:val="center"/>
          </w:tcPr>
          <w:p w14:paraId="42998C15" w14:textId="77777777" w:rsidR="007E5A05" w:rsidRPr="00191822" w:rsidRDefault="007E5A05" w:rsidP="004021CE">
            <w:pPr>
              <w:pStyle w:val="TableText"/>
              <w:keepNext w:val="0"/>
            </w:pPr>
            <w:r w:rsidRPr="00191822">
              <w:t>Allocation to health states</w:t>
            </w:r>
          </w:p>
        </w:tc>
        <w:tc>
          <w:tcPr>
            <w:tcW w:w="4138" w:type="pct"/>
          </w:tcPr>
          <w:p w14:paraId="179FD95F" w14:textId="77777777" w:rsidR="00E47F13" w:rsidRPr="00191822" w:rsidRDefault="007E5A05" w:rsidP="004021CE">
            <w:pPr>
              <w:pStyle w:val="TableText"/>
              <w:keepNext w:val="0"/>
            </w:pPr>
            <w:r w:rsidRPr="00191822">
              <w:t>Kaplan-Meier estimates of progression-free survival</w:t>
            </w:r>
            <w:r w:rsidR="00771FE6">
              <w:t xml:space="preserve"> and</w:t>
            </w:r>
            <w:r w:rsidRPr="00191822">
              <w:t xml:space="preserve"> overall survival </w:t>
            </w:r>
            <w:r w:rsidR="00771FE6">
              <w:t xml:space="preserve">were </w:t>
            </w:r>
            <w:r w:rsidRPr="00191822">
              <w:t>sourced from the ELEVATE-TN trial and extrapolated using parametric functions.</w:t>
            </w:r>
            <w:r w:rsidR="00F25ABA" w:rsidRPr="00191822">
              <w:t xml:space="preserve"> </w:t>
            </w:r>
          </w:p>
          <w:p w14:paraId="6A62DFE2" w14:textId="77777777" w:rsidR="00E47F13" w:rsidRPr="00191822" w:rsidRDefault="00E47F13" w:rsidP="004021CE">
            <w:pPr>
              <w:pStyle w:val="TableText"/>
              <w:keepNext w:val="0"/>
            </w:pPr>
          </w:p>
          <w:p w14:paraId="6E33E127" w14:textId="77777777" w:rsidR="00047D52" w:rsidRPr="00191822" w:rsidRDefault="00047D52" w:rsidP="004021CE">
            <w:pPr>
              <w:pStyle w:val="TableText"/>
              <w:keepNext w:val="0"/>
            </w:pPr>
            <w:r w:rsidRPr="00191822">
              <w:t xml:space="preserve">Progression-free survival was extrapolated using an exponential function for the acalabrutinib arm, and a log-logistic function for the chlorambucil + </w:t>
            </w:r>
            <w:proofErr w:type="spellStart"/>
            <w:r w:rsidRPr="00191822">
              <w:t>obinutuzumab</w:t>
            </w:r>
            <w:proofErr w:type="spellEnd"/>
            <w:r w:rsidRPr="00191822">
              <w:t xml:space="preserve"> arm.</w:t>
            </w:r>
          </w:p>
          <w:p w14:paraId="57517F44" w14:textId="77777777" w:rsidR="00E47F13" w:rsidRPr="00191822" w:rsidRDefault="00E47F13" w:rsidP="004021CE">
            <w:pPr>
              <w:pStyle w:val="TableText"/>
              <w:keepNext w:val="0"/>
            </w:pPr>
          </w:p>
          <w:p w14:paraId="6C8C3555" w14:textId="77777777" w:rsidR="007E5A05" w:rsidRPr="00191822" w:rsidRDefault="00F25ABA" w:rsidP="004021CE">
            <w:pPr>
              <w:pStyle w:val="TableText"/>
              <w:keepNext w:val="0"/>
            </w:pPr>
            <w:r w:rsidRPr="00191822">
              <w:t>No difference in overall survival was assumed between treatment arms</w:t>
            </w:r>
            <w:r w:rsidR="00047D52" w:rsidRPr="00191822">
              <w:t xml:space="preserve"> and was based on the overall survival results for the chlorambucil + </w:t>
            </w:r>
            <w:proofErr w:type="spellStart"/>
            <w:r w:rsidR="00047D52" w:rsidRPr="00191822">
              <w:t>obinutuzumab</w:t>
            </w:r>
            <w:proofErr w:type="spellEnd"/>
            <w:r w:rsidR="00047D52" w:rsidRPr="00191822">
              <w:t xml:space="preserve"> arm, extrapolated using an exponential function.</w:t>
            </w:r>
          </w:p>
        </w:tc>
      </w:tr>
      <w:tr w:rsidR="009B70FA" w:rsidRPr="00191822" w14:paraId="7EDD6BFE" w14:textId="77777777" w:rsidTr="00EB63B2">
        <w:trPr>
          <w:cantSplit/>
        </w:trPr>
        <w:tc>
          <w:tcPr>
            <w:tcW w:w="862" w:type="pct"/>
            <w:vAlign w:val="center"/>
          </w:tcPr>
          <w:p w14:paraId="0BD3F2CB" w14:textId="77777777" w:rsidR="009B70FA" w:rsidRPr="00191822" w:rsidRDefault="001814A8" w:rsidP="004021CE">
            <w:pPr>
              <w:pStyle w:val="TableText"/>
              <w:keepNext w:val="0"/>
            </w:pPr>
            <w:r w:rsidRPr="00191822">
              <w:t>Health state utilities</w:t>
            </w:r>
          </w:p>
        </w:tc>
        <w:tc>
          <w:tcPr>
            <w:tcW w:w="4138" w:type="pct"/>
          </w:tcPr>
          <w:p w14:paraId="5D160C25" w14:textId="77777777" w:rsidR="003778C7" w:rsidRPr="00191822" w:rsidRDefault="003778C7" w:rsidP="004021CE">
            <w:pPr>
              <w:pStyle w:val="TableText"/>
              <w:keepNext w:val="0"/>
            </w:pPr>
            <w:r w:rsidRPr="00191822">
              <w:t xml:space="preserve">Pre-progression utility values </w:t>
            </w:r>
            <w:r w:rsidR="00411898" w:rsidRPr="00DF44A0">
              <w:rPr>
                <w:iCs/>
              </w:rPr>
              <w:t>(0.817)</w:t>
            </w:r>
            <w:r w:rsidR="00411898">
              <w:t xml:space="preserve"> </w:t>
            </w:r>
            <w:r w:rsidRPr="00191822">
              <w:t>based on mean utility value across all treatment arms in the ELEVATE-TN trial</w:t>
            </w:r>
            <w:r w:rsidR="00D45089">
              <w:t xml:space="preserve"> </w:t>
            </w:r>
            <w:r w:rsidR="00D45089" w:rsidRPr="00DF44A0">
              <w:rPr>
                <w:iCs/>
              </w:rPr>
              <w:t>(at the interim analysis)</w:t>
            </w:r>
            <w:r w:rsidRPr="00191822">
              <w:t>.</w:t>
            </w:r>
          </w:p>
          <w:p w14:paraId="31DCBC56" w14:textId="77777777" w:rsidR="003778C7" w:rsidRPr="00191822" w:rsidRDefault="003778C7" w:rsidP="004021CE">
            <w:pPr>
              <w:pStyle w:val="TableText"/>
              <w:keepNext w:val="0"/>
            </w:pPr>
          </w:p>
          <w:p w14:paraId="7C32015C" w14:textId="77777777" w:rsidR="009B70FA" w:rsidRPr="00DF44A0" w:rsidRDefault="003778C7" w:rsidP="004021CE">
            <w:pPr>
              <w:pStyle w:val="TableText"/>
              <w:keepNext w:val="0"/>
              <w:rPr>
                <w:iCs/>
              </w:rPr>
            </w:pPr>
            <w:r w:rsidRPr="00191822">
              <w:t xml:space="preserve">Post-progression utility </w:t>
            </w:r>
            <w:r w:rsidR="00411898" w:rsidRPr="00DF44A0">
              <w:rPr>
                <w:iCs/>
              </w:rPr>
              <w:t>(0.657)</w:t>
            </w:r>
            <w:r w:rsidR="00411898">
              <w:t xml:space="preserve"> </w:t>
            </w:r>
            <w:r w:rsidRPr="00191822">
              <w:t xml:space="preserve">derived from a published utility study of CLL from the perspective of the UK </w:t>
            </w:r>
            <w:proofErr w:type="gramStart"/>
            <w:r w:rsidRPr="00191822">
              <w:t>general public</w:t>
            </w:r>
            <w:proofErr w:type="gramEnd"/>
            <w:r w:rsidRPr="00191822">
              <w:t xml:space="preserve"> (Kosmas 2015), re-anchored to the oral initial therapy state.</w:t>
            </w:r>
            <w:r w:rsidR="005361A1">
              <w:t xml:space="preserve"> </w:t>
            </w:r>
            <w:r w:rsidR="005361A1" w:rsidRPr="00DF44A0">
              <w:rPr>
                <w:iCs/>
              </w:rPr>
              <w:t xml:space="preserve">The ESC noted that updated utilities were not available from ELEVATE-TN. </w:t>
            </w:r>
            <w:r w:rsidR="00B86B4C" w:rsidRPr="00DF44A0">
              <w:rPr>
                <w:iCs/>
              </w:rPr>
              <w:t>F</w:t>
            </w:r>
            <w:r w:rsidR="005361A1" w:rsidRPr="00DF44A0">
              <w:rPr>
                <w:iCs/>
              </w:rPr>
              <w:t>or the progressed disease state</w:t>
            </w:r>
            <w:r w:rsidR="00B86B4C" w:rsidRPr="00DF44A0">
              <w:rPr>
                <w:iCs/>
              </w:rPr>
              <w:t>, a mean utility across all treatment arms was reported as 0.804 (n=45) at</w:t>
            </w:r>
            <w:r w:rsidR="005361A1" w:rsidRPr="00DF44A0">
              <w:rPr>
                <w:iCs/>
              </w:rPr>
              <w:t xml:space="preserve"> the interim analysis. </w:t>
            </w:r>
          </w:p>
          <w:p w14:paraId="256B29A0" w14:textId="77777777" w:rsidR="003778C7" w:rsidRPr="00191822" w:rsidRDefault="003778C7" w:rsidP="004021CE">
            <w:pPr>
              <w:pStyle w:val="TableText"/>
              <w:keepNext w:val="0"/>
            </w:pPr>
          </w:p>
          <w:p w14:paraId="1B2894B4" w14:textId="77777777" w:rsidR="003778C7" w:rsidRPr="00191822" w:rsidRDefault="003778C7" w:rsidP="004021CE">
            <w:pPr>
              <w:pStyle w:val="TableText"/>
              <w:keepNext w:val="0"/>
            </w:pPr>
            <w:r w:rsidRPr="00191822">
              <w:t xml:space="preserve">Adverse event disutility values were estimated from </w:t>
            </w:r>
            <w:proofErr w:type="spellStart"/>
            <w:r w:rsidRPr="00191822">
              <w:t>venetoclax</w:t>
            </w:r>
            <w:proofErr w:type="spellEnd"/>
            <w:r w:rsidRPr="00191822">
              <w:t xml:space="preserve"> + rituximab NICE submission [ID1097], Nafees et al. (2008), and </w:t>
            </w:r>
            <w:proofErr w:type="spellStart"/>
            <w:r w:rsidRPr="00191822">
              <w:t>Wehler</w:t>
            </w:r>
            <w:proofErr w:type="spellEnd"/>
            <w:r w:rsidRPr="00191822">
              <w:t xml:space="preserve"> et al. (2018).</w:t>
            </w:r>
          </w:p>
        </w:tc>
      </w:tr>
      <w:tr w:rsidR="003778C7" w:rsidRPr="00191822" w14:paraId="2E55564F" w14:textId="77777777" w:rsidTr="00EB63B2">
        <w:trPr>
          <w:cantSplit/>
        </w:trPr>
        <w:tc>
          <w:tcPr>
            <w:tcW w:w="862" w:type="pct"/>
            <w:vAlign w:val="center"/>
          </w:tcPr>
          <w:p w14:paraId="0F84EEBB" w14:textId="77777777" w:rsidR="003778C7" w:rsidRPr="00191822" w:rsidRDefault="003778C7" w:rsidP="004021CE">
            <w:pPr>
              <w:pStyle w:val="TableText"/>
              <w:keepNext w:val="0"/>
            </w:pPr>
            <w:r w:rsidRPr="00191822">
              <w:lastRenderedPageBreak/>
              <w:t>Costs</w:t>
            </w:r>
          </w:p>
        </w:tc>
        <w:tc>
          <w:tcPr>
            <w:tcW w:w="4138" w:type="pct"/>
            <w:vAlign w:val="center"/>
          </w:tcPr>
          <w:p w14:paraId="79C72E5B" w14:textId="77777777" w:rsidR="003778C7" w:rsidRPr="00191822" w:rsidRDefault="003778C7" w:rsidP="004021CE">
            <w:pPr>
              <w:jc w:val="left"/>
              <w:rPr>
                <w:rFonts w:ascii="Arial Narrow" w:eastAsiaTheme="majorEastAsia" w:hAnsi="Arial Narrow" w:cstheme="majorBidi"/>
                <w:bCs/>
                <w:sz w:val="20"/>
              </w:rPr>
            </w:pPr>
            <w:bookmarkStart w:id="46" w:name="_Hlk81325152"/>
            <w:r w:rsidRPr="00191822">
              <w:rPr>
                <w:rFonts w:ascii="Arial Narrow" w:eastAsiaTheme="majorEastAsia" w:hAnsi="Arial Narrow" w:cstheme="majorBidi"/>
                <w:bCs/>
                <w:sz w:val="20"/>
              </w:rPr>
              <w:t xml:space="preserve">Acalabrutinib drug cost based on the proposed effective price including the effects of both an SPA rebate and an RSA treatment cap. Drug cost for </w:t>
            </w:r>
            <w:proofErr w:type="spellStart"/>
            <w:r w:rsidRPr="00191822">
              <w:rPr>
                <w:rFonts w:ascii="Arial Narrow" w:eastAsiaTheme="majorEastAsia" w:hAnsi="Arial Narrow" w:cstheme="majorBidi"/>
                <w:bCs/>
                <w:sz w:val="20"/>
              </w:rPr>
              <w:t>obinutuzumab</w:t>
            </w:r>
            <w:proofErr w:type="spellEnd"/>
            <w:r w:rsidRPr="00191822">
              <w:rPr>
                <w:rFonts w:ascii="Arial Narrow" w:eastAsiaTheme="majorEastAsia" w:hAnsi="Arial Narrow" w:cstheme="majorBidi"/>
                <w:bCs/>
                <w:sz w:val="20"/>
              </w:rPr>
              <w:t xml:space="preserve"> estimated from published DPMA assuming an SPA rebate. Drug cost for </w:t>
            </w:r>
            <w:proofErr w:type="spellStart"/>
            <w:r w:rsidRPr="00191822">
              <w:rPr>
                <w:rFonts w:ascii="Arial Narrow" w:eastAsiaTheme="majorEastAsia" w:hAnsi="Arial Narrow" w:cstheme="majorBidi"/>
                <w:bCs/>
                <w:sz w:val="20"/>
              </w:rPr>
              <w:t>idelalisib</w:t>
            </w:r>
            <w:proofErr w:type="spellEnd"/>
            <w:r w:rsidRPr="00191822">
              <w:rPr>
                <w:rFonts w:ascii="Arial Narrow" w:eastAsiaTheme="majorEastAsia" w:hAnsi="Arial Narrow" w:cstheme="majorBidi"/>
                <w:bCs/>
                <w:sz w:val="20"/>
              </w:rPr>
              <w:t xml:space="preserve"> estimated from published DPMQ assuming both an SPA rebate and an RSA treatment cap. Drug cost for ibrutinib </w:t>
            </w:r>
            <w:r w:rsidR="009007AF" w:rsidRPr="00191822">
              <w:rPr>
                <w:rFonts w:ascii="Arial Narrow" w:eastAsiaTheme="majorEastAsia" w:hAnsi="Arial Narrow" w:cstheme="majorBidi"/>
                <w:bCs/>
                <w:sz w:val="20"/>
              </w:rPr>
              <w:t xml:space="preserve">based on effective </w:t>
            </w:r>
            <w:r w:rsidRPr="00191822">
              <w:rPr>
                <w:rFonts w:ascii="Arial Narrow" w:eastAsiaTheme="majorEastAsia" w:hAnsi="Arial Narrow" w:cstheme="majorBidi"/>
                <w:bCs/>
                <w:sz w:val="20"/>
              </w:rPr>
              <w:t>AEMP recorded in relapsed/refractory CLL deed</w:t>
            </w:r>
            <w:r w:rsidR="0077583B">
              <w:rPr>
                <w:rFonts w:ascii="Arial Narrow" w:eastAsiaTheme="majorEastAsia" w:hAnsi="Arial Narrow" w:cstheme="majorBidi"/>
                <w:bCs/>
                <w:sz w:val="20"/>
              </w:rPr>
              <w:t xml:space="preserve"> and assuming an RSA treatment cap.</w:t>
            </w:r>
            <w:r w:rsidRPr="00191822">
              <w:rPr>
                <w:rFonts w:ascii="Arial Narrow" w:eastAsiaTheme="majorEastAsia" w:hAnsi="Arial Narrow" w:cstheme="majorBidi"/>
                <w:bCs/>
                <w:sz w:val="20"/>
              </w:rPr>
              <w:t xml:space="preserve"> </w:t>
            </w:r>
            <w:bookmarkEnd w:id="46"/>
            <w:r w:rsidRPr="00191822">
              <w:rPr>
                <w:rFonts w:ascii="Arial Narrow" w:eastAsiaTheme="majorEastAsia" w:hAnsi="Arial Narrow" w:cstheme="majorBidi"/>
                <w:bCs/>
                <w:sz w:val="20"/>
              </w:rPr>
              <w:t>Drug costs for rituximab and chlorambucil based on published DPMQs.</w:t>
            </w:r>
          </w:p>
          <w:p w14:paraId="694A62A0" w14:textId="77777777" w:rsidR="003778C7" w:rsidRPr="00191822" w:rsidRDefault="003778C7" w:rsidP="004021CE">
            <w:pPr>
              <w:jc w:val="left"/>
              <w:rPr>
                <w:rFonts w:ascii="Arial Narrow" w:eastAsiaTheme="majorEastAsia" w:hAnsi="Arial Narrow" w:cstheme="majorBidi"/>
                <w:bCs/>
                <w:sz w:val="20"/>
              </w:rPr>
            </w:pPr>
          </w:p>
          <w:p w14:paraId="65B680D8" w14:textId="77777777" w:rsidR="003778C7" w:rsidRPr="00191822" w:rsidRDefault="003778C7" w:rsidP="004021CE">
            <w:pPr>
              <w:jc w:val="left"/>
              <w:rPr>
                <w:rFonts w:ascii="Arial Narrow" w:eastAsiaTheme="majorEastAsia" w:hAnsi="Arial Narrow" w:cstheme="majorBidi"/>
                <w:bCs/>
                <w:sz w:val="20"/>
              </w:rPr>
            </w:pPr>
            <w:r w:rsidRPr="00191822">
              <w:rPr>
                <w:rFonts w:ascii="Arial Narrow" w:eastAsiaTheme="majorEastAsia" w:hAnsi="Arial Narrow" w:cstheme="majorBidi"/>
                <w:bCs/>
                <w:sz w:val="20"/>
              </w:rPr>
              <w:t xml:space="preserve">Premedication costs for chlorambucil + </w:t>
            </w:r>
            <w:proofErr w:type="spellStart"/>
            <w:r w:rsidRPr="00191822">
              <w:rPr>
                <w:rFonts w:ascii="Arial Narrow" w:eastAsiaTheme="majorEastAsia" w:hAnsi="Arial Narrow" w:cstheme="majorBidi"/>
                <w:bCs/>
                <w:sz w:val="20"/>
              </w:rPr>
              <w:t>obinutuzumab</w:t>
            </w:r>
            <w:proofErr w:type="spellEnd"/>
            <w:r w:rsidRPr="00191822">
              <w:rPr>
                <w:rFonts w:ascii="Arial Narrow" w:eastAsiaTheme="majorEastAsia" w:hAnsi="Arial Narrow" w:cstheme="majorBidi"/>
                <w:bCs/>
                <w:sz w:val="20"/>
              </w:rPr>
              <w:t xml:space="preserve"> (paracetamol, loratadine, dexamethasone) based on </w:t>
            </w:r>
            <w:proofErr w:type="spellStart"/>
            <w:r w:rsidRPr="00191822">
              <w:rPr>
                <w:rFonts w:ascii="Arial Narrow" w:eastAsiaTheme="majorEastAsia" w:hAnsi="Arial Narrow" w:cstheme="majorBidi"/>
                <w:bCs/>
                <w:sz w:val="20"/>
              </w:rPr>
              <w:t>EviQ</w:t>
            </w:r>
            <w:proofErr w:type="spellEnd"/>
            <w:r w:rsidRPr="00191822">
              <w:rPr>
                <w:rFonts w:ascii="Arial Narrow" w:eastAsiaTheme="majorEastAsia" w:hAnsi="Arial Narrow" w:cstheme="majorBidi"/>
                <w:bCs/>
                <w:sz w:val="20"/>
              </w:rPr>
              <w:t xml:space="preserve"> treatment protocol.</w:t>
            </w:r>
            <w:r w:rsidR="004021CE" w:rsidRPr="00191822">
              <w:rPr>
                <w:rFonts w:ascii="Arial Narrow" w:eastAsiaTheme="majorEastAsia" w:hAnsi="Arial Narrow" w:cstheme="majorBidi"/>
                <w:bCs/>
                <w:sz w:val="20"/>
              </w:rPr>
              <w:t xml:space="preserve"> </w:t>
            </w:r>
            <w:r w:rsidRPr="00191822">
              <w:rPr>
                <w:rFonts w:ascii="Arial Narrow" w:eastAsiaTheme="majorEastAsia" w:hAnsi="Arial Narrow" w:cstheme="majorBidi"/>
                <w:bCs/>
                <w:sz w:val="20"/>
              </w:rPr>
              <w:t xml:space="preserve">Tumour lysis syndrome prophylaxis cost for </w:t>
            </w:r>
            <w:proofErr w:type="spellStart"/>
            <w:r w:rsidRPr="00191822">
              <w:rPr>
                <w:rFonts w:ascii="Arial Narrow" w:eastAsiaTheme="majorEastAsia" w:hAnsi="Arial Narrow" w:cstheme="majorBidi"/>
                <w:bCs/>
                <w:sz w:val="20"/>
              </w:rPr>
              <w:t>obinutuzumab</w:t>
            </w:r>
            <w:proofErr w:type="spellEnd"/>
            <w:r w:rsidRPr="00191822">
              <w:rPr>
                <w:rFonts w:ascii="Arial Narrow" w:eastAsiaTheme="majorEastAsia" w:hAnsi="Arial Narrow" w:cstheme="majorBidi"/>
                <w:bCs/>
                <w:sz w:val="20"/>
              </w:rPr>
              <w:t xml:space="preserve"> based on cost per patient reported in the </w:t>
            </w:r>
            <w:proofErr w:type="spellStart"/>
            <w:r w:rsidRPr="00191822">
              <w:rPr>
                <w:rFonts w:ascii="Arial Narrow" w:eastAsiaTheme="majorEastAsia" w:hAnsi="Arial Narrow" w:cstheme="majorBidi"/>
                <w:bCs/>
                <w:sz w:val="20"/>
              </w:rPr>
              <w:t>venetoclax</w:t>
            </w:r>
            <w:proofErr w:type="spellEnd"/>
            <w:r w:rsidRPr="00191822">
              <w:rPr>
                <w:rFonts w:ascii="Arial Narrow" w:eastAsiaTheme="majorEastAsia" w:hAnsi="Arial Narrow" w:cstheme="majorBidi"/>
                <w:bCs/>
                <w:sz w:val="20"/>
              </w:rPr>
              <w:t xml:space="preserve"> July 2020 resubmission</w:t>
            </w:r>
            <w:r w:rsidR="00771FE6">
              <w:rPr>
                <w:rFonts w:ascii="Arial Narrow" w:eastAsiaTheme="majorEastAsia" w:hAnsi="Arial Narrow" w:cstheme="majorBidi"/>
                <w:bCs/>
                <w:sz w:val="20"/>
              </w:rPr>
              <w:t xml:space="preserve"> Public Summary Document</w:t>
            </w:r>
            <w:r w:rsidRPr="00191822">
              <w:rPr>
                <w:rFonts w:ascii="Arial Narrow" w:eastAsiaTheme="majorEastAsia" w:hAnsi="Arial Narrow" w:cstheme="majorBidi"/>
                <w:bCs/>
                <w:sz w:val="20"/>
              </w:rPr>
              <w:t>.</w:t>
            </w:r>
          </w:p>
          <w:p w14:paraId="2579CDD0" w14:textId="77777777" w:rsidR="003778C7" w:rsidRPr="00191822" w:rsidRDefault="003778C7" w:rsidP="004021CE">
            <w:pPr>
              <w:jc w:val="left"/>
              <w:rPr>
                <w:rFonts w:ascii="Arial Narrow" w:eastAsiaTheme="majorEastAsia" w:hAnsi="Arial Narrow" w:cstheme="majorBidi"/>
                <w:bCs/>
                <w:sz w:val="20"/>
              </w:rPr>
            </w:pPr>
          </w:p>
          <w:p w14:paraId="4CD97B41" w14:textId="77777777" w:rsidR="003778C7" w:rsidRPr="00191822" w:rsidRDefault="003778C7" w:rsidP="004021CE">
            <w:pPr>
              <w:jc w:val="left"/>
              <w:rPr>
                <w:rFonts w:ascii="Arial Narrow" w:eastAsiaTheme="majorEastAsia" w:hAnsi="Arial Narrow" w:cstheme="majorBidi"/>
                <w:bCs/>
                <w:sz w:val="20"/>
              </w:rPr>
            </w:pPr>
            <w:r w:rsidRPr="00191822">
              <w:rPr>
                <w:rFonts w:ascii="Arial Narrow" w:eastAsiaTheme="majorEastAsia" w:hAnsi="Arial Narrow" w:cstheme="majorBidi"/>
                <w:bCs/>
                <w:sz w:val="20"/>
              </w:rPr>
              <w:t xml:space="preserve">Administration costs for </w:t>
            </w:r>
            <w:proofErr w:type="spellStart"/>
            <w:r w:rsidRPr="00191822">
              <w:rPr>
                <w:rFonts w:ascii="Arial Narrow" w:eastAsiaTheme="majorEastAsia" w:hAnsi="Arial Narrow" w:cstheme="majorBidi"/>
                <w:bCs/>
                <w:sz w:val="20"/>
              </w:rPr>
              <w:t>obinutuzumab</w:t>
            </w:r>
            <w:proofErr w:type="spellEnd"/>
            <w:r w:rsidRPr="00191822">
              <w:rPr>
                <w:rFonts w:ascii="Arial Narrow" w:eastAsiaTheme="majorEastAsia" w:hAnsi="Arial Narrow" w:cstheme="majorBidi"/>
                <w:bCs/>
                <w:sz w:val="20"/>
              </w:rPr>
              <w:t xml:space="preserve"> and rituximab based on MBS Item 13950 for private hospital use and AR-DRG Round 23 (2018-19) for public hospital use, weighted based on PBS dispensing data.</w:t>
            </w:r>
            <w:r w:rsidR="002A288C">
              <w:rPr>
                <w:rFonts w:ascii="Arial Narrow" w:eastAsiaTheme="majorEastAsia" w:hAnsi="Arial Narrow" w:cstheme="majorBidi"/>
                <w:bCs/>
                <w:sz w:val="20"/>
              </w:rPr>
              <w:t xml:space="preserve"> </w:t>
            </w:r>
            <w:r w:rsidR="002A288C" w:rsidRPr="00A25C41">
              <w:rPr>
                <w:rFonts w:ascii="Arial Narrow" w:eastAsiaTheme="majorEastAsia" w:hAnsi="Arial Narrow" w:cstheme="majorBidi"/>
                <w:bCs/>
                <w:iCs/>
                <w:sz w:val="20"/>
              </w:rPr>
              <w:t>The cost assumed in the model for public hospital chemotherapy administration were substantially higher than the private hospital chemotherapy administration costs ($546.28 versus $111.40) but did not have a substantial impact on the modelled results.</w:t>
            </w:r>
          </w:p>
          <w:p w14:paraId="4E5A4C85" w14:textId="77777777" w:rsidR="003778C7" w:rsidRPr="00191822" w:rsidRDefault="003778C7" w:rsidP="004021CE">
            <w:pPr>
              <w:jc w:val="left"/>
              <w:rPr>
                <w:rFonts w:ascii="Arial Narrow" w:eastAsiaTheme="majorEastAsia" w:hAnsi="Arial Narrow" w:cstheme="majorBidi"/>
                <w:bCs/>
                <w:sz w:val="20"/>
              </w:rPr>
            </w:pPr>
          </w:p>
          <w:p w14:paraId="79367755" w14:textId="77777777" w:rsidR="003778C7" w:rsidRPr="00191822" w:rsidRDefault="003778C7" w:rsidP="004021CE">
            <w:pPr>
              <w:jc w:val="left"/>
              <w:rPr>
                <w:rFonts w:ascii="Arial Narrow" w:eastAsiaTheme="majorEastAsia" w:hAnsi="Arial Narrow" w:cstheme="majorBidi"/>
                <w:bCs/>
                <w:sz w:val="20"/>
              </w:rPr>
            </w:pPr>
            <w:r w:rsidRPr="00191822">
              <w:rPr>
                <w:rFonts w:ascii="Arial Narrow" w:eastAsiaTheme="majorEastAsia" w:hAnsi="Arial Narrow" w:cstheme="majorBidi"/>
                <w:bCs/>
                <w:sz w:val="20"/>
              </w:rPr>
              <w:t xml:space="preserve">Adverse event costs estimated by mapping adverse events reported in the ELEVATE-TN trial to AR-DRG items. </w:t>
            </w:r>
          </w:p>
          <w:p w14:paraId="398D0319" w14:textId="77777777" w:rsidR="003778C7" w:rsidRPr="00191822" w:rsidRDefault="003778C7" w:rsidP="004021CE">
            <w:pPr>
              <w:jc w:val="left"/>
              <w:rPr>
                <w:rFonts w:ascii="Arial Narrow" w:eastAsiaTheme="majorEastAsia" w:hAnsi="Arial Narrow" w:cstheme="majorBidi"/>
                <w:bCs/>
                <w:sz w:val="20"/>
              </w:rPr>
            </w:pPr>
          </w:p>
          <w:p w14:paraId="71BC9C70" w14:textId="77777777" w:rsidR="003778C7" w:rsidRPr="00191822" w:rsidRDefault="003778C7" w:rsidP="004021CE">
            <w:pPr>
              <w:jc w:val="left"/>
              <w:rPr>
                <w:rFonts w:ascii="Arial Narrow" w:eastAsiaTheme="majorEastAsia" w:hAnsi="Arial Narrow" w:cstheme="majorBidi"/>
                <w:bCs/>
                <w:sz w:val="20"/>
              </w:rPr>
            </w:pPr>
            <w:r w:rsidRPr="00191822">
              <w:rPr>
                <w:rFonts w:ascii="Arial Narrow" w:eastAsiaTheme="majorEastAsia" w:hAnsi="Arial Narrow" w:cstheme="majorBidi"/>
                <w:bCs/>
                <w:sz w:val="20"/>
              </w:rPr>
              <w:t xml:space="preserve">Disease management costs based on costs for progression-free and progressed states included in the July 2020 </w:t>
            </w:r>
            <w:proofErr w:type="spellStart"/>
            <w:r w:rsidRPr="00191822">
              <w:rPr>
                <w:rFonts w:ascii="Arial Narrow" w:eastAsiaTheme="majorEastAsia" w:hAnsi="Arial Narrow" w:cstheme="majorBidi"/>
                <w:bCs/>
                <w:sz w:val="20"/>
              </w:rPr>
              <w:t>venetoclax</w:t>
            </w:r>
            <w:proofErr w:type="spellEnd"/>
            <w:r w:rsidRPr="00191822">
              <w:rPr>
                <w:rFonts w:ascii="Arial Narrow" w:eastAsiaTheme="majorEastAsia" w:hAnsi="Arial Narrow" w:cstheme="majorBidi"/>
                <w:bCs/>
                <w:sz w:val="20"/>
              </w:rPr>
              <w:t xml:space="preserve"> resubmission</w:t>
            </w:r>
            <w:r w:rsidR="007C1B78">
              <w:rPr>
                <w:rFonts w:ascii="Arial Narrow" w:eastAsiaTheme="majorEastAsia" w:hAnsi="Arial Narrow" w:cstheme="majorBidi"/>
                <w:bCs/>
                <w:sz w:val="20"/>
              </w:rPr>
              <w:t xml:space="preserve"> Public Summary Document</w:t>
            </w:r>
            <w:r w:rsidRPr="00191822">
              <w:rPr>
                <w:rFonts w:ascii="Arial Narrow" w:eastAsiaTheme="majorEastAsia" w:hAnsi="Arial Narrow" w:cstheme="majorBidi"/>
                <w:bCs/>
                <w:sz w:val="20"/>
              </w:rPr>
              <w:t>.</w:t>
            </w:r>
          </w:p>
          <w:p w14:paraId="6BCA6407" w14:textId="77777777" w:rsidR="003778C7" w:rsidRPr="00191822" w:rsidRDefault="003778C7" w:rsidP="004021CE">
            <w:pPr>
              <w:jc w:val="left"/>
              <w:rPr>
                <w:rFonts w:ascii="Arial Narrow" w:eastAsiaTheme="majorEastAsia" w:hAnsi="Arial Narrow" w:cstheme="majorBidi"/>
                <w:bCs/>
                <w:sz w:val="20"/>
              </w:rPr>
            </w:pPr>
          </w:p>
          <w:p w14:paraId="4E6C5DBF" w14:textId="77777777" w:rsidR="003778C7" w:rsidRPr="00191822" w:rsidRDefault="003778C7" w:rsidP="004021CE">
            <w:pPr>
              <w:pStyle w:val="TableText"/>
              <w:keepNext w:val="0"/>
            </w:pPr>
            <w:r w:rsidRPr="00191822">
              <w:rPr>
                <w:bCs w:val="0"/>
              </w:rPr>
              <w:t xml:space="preserve">Terminal care costs derived from Langton et al. (2016), based on health service use and costs in the last </w:t>
            </w:r>
            <w:r w:rsidR="007C1B78">
              <w:rPr>
                <w:bCs w:val="0"/>
              </w:rPr>
              <w:t>six</w:t>
            </w:r>
            <w:r w:rsidRPr="00191822">
              <w:rPr>
                <w:bCs w:val="0"/>
              </w:rPr>
              <w:t xml:space="preserve"> months of life in NSW elderly Australian Government Department of Veterans’ Affairs veterans with a history of cancer.</w:t>
            </w:r>
          </w:p>
        </w:tc>
      </w:tr>
    </w:tbl>
    <w:p w14:paraId="1ADCDA16" w14:textId="77777777" w:rsidR="004021CE" w:rsidRPr="00191822" w:rsidRDefault="004021CE" w:rsidP="004021CE">
      <w:pPr>
        <w:pStyle w:val="ExecSumBodyText"/>
        <w:numPr>
          <w:ilvl w:val="0"/>
          <w:numId w:val="0"/>
        </w:numPr>
        <w:contextualSpacing/>
        <w:rPr>
          <w:rFonts w:ascii="Arial Narrow" w:hAnsi="Arial Narrow"/>
          <w:sz w:val="18"/>
          <w:szCs w:val="22"/>
        </w:rPr>
      </w:pPr>
      <w:r w:rsidRPr="00191822">
        <w:rPr>
          <w:rFonts w:ascii="Arial Narrow" w:hAnsi="Arial Narrow"/>
          <w:sz w:val="18"/>
          <w:szCs w:val="22"/>
        </w:rPr>
        <w:t>Source: Section 3, pp145-175 of the resubmission.</w:t>
      </w:r>
    </w:p>
    <w:p w14:paraId="25A7391D" w14:textId="77777777" w:rsidR="00490B17" w:rsidRPr="00191822" w:rsidRDefault="00E47F13" w:rsidP="002D6E9D">
      <w:pPr>
        <w:pStyle w:val="ExecSumBodyText"/>
        <w:numPr>
          <w:ilvl w:val="0"/>
          <w:numId w:val="0"/>
        </w:numPr>
        <w:rPr>
          <w:rFonts w:ascii="Arial Narrow" w:hAnsi="Arial Narrow"/>
          <w:sz w:val="18"/>
          <w:szCs w:val="22"/>
        </w:rPr>
      </w:pPr>
      <w:r w:rsidRPr="00191822">
        <w:rPr>
          <w:rFonts w:ascii="Arial Narrow" w:hAnsi="Arial Narrow"/>
          <w:sz w:val="18"/>
          <w:szCs w:val="22"/>
        </w:rPr>
        <w:t xml:space="preserve">AEMP, approved ex-manufacture price; </w:t>
      </w:r>
      <w:r w:rsidR="00EA702F" w:rsidRPr="00191822">
        <w:rPr>
          <w:rFonts w:ascii="Arial Narrow" w:hAnsi="Arial Narrow"/>
          <w:sz w:val="18"/>
          <w:szCs w:val="22"/>
        </w:rPr>
        <w:t xml:space="preserve">AR-DRG, Australian Refined Diagnosis Related Group; </w:t>
      </w:r>
      <w:r w:rsidRPr="00191822">
        <w:rPr>
          <w:rFonts w:ascii="Arial Narrow" w:hAnsi="Arial Narrow"/>
          <w:sz w:val="18"/>
          <w:szCs w:val="22"/>
        </w:rPr>
        <w:t xml:space="preserve">CLL, chronic lymphocytic leukaemia; DPMA, dispensed price for maximum amount; </w:t>
      </w:r>
      <w:r w:rsidR="00EA702F" w:rsidRPr="00191822">
        <w:rPr>
          <w:rFonts w:ascii="Arial Narrow" w:hAnsi="Arial Narrow"/>
          <w:sz w:val="18"/>
          <w:szCs w:val="22"/>
        </w:rPr>
        <w:t xml:space="preserve">DPMQ, dispensed price for maximum </w:t>
      </w:r>
      <w:r w:rsidR="007C1B78">
        <w:rPr>
          <w:rFonts w:ascii="Arial Narrow" w:hAnsi="Arial Narrow"/>
          <w:sz w:val="18"/>
          <w:szCs w:val="22"/>
        </w:rPr>
        <w:t>quantity</w:t>
      </w:r>
      <w:r w:rsidR="00EA702F" w:rsidRPr="00191822">
        <w:rPr>
          <w:rFonts w:ascii="Arial Narrow" w:hAnsi="Arial Narrow"/>
          <w:sz w:val="18"/>
          <w:szCs w:val="22"/>
        </w:rPr>
        <w:t xml:space="preserve">; </w:t>
      </w:r>
      <w:r w:rsidRPr="00191822">
        <w:rPr>
          <w:rFonts w:ascii="Arial Narrow" w:hAnsi="Arial Narrow"/>
          <w:sz w:val="18"/>
          <w:szCs w:val="22"/>
        </w:rPr>
        <w:t>RSA, risk-sharing agreement; SPA, special pricing arrangement; UK, United Kingdom.</w:t>
      </w:r>
    </w:p>
    <w:p w14:paraId="1B46CD14" w14:textId="77777777" w:rsidR="000B0176" w:rsidRPr="00191822" w:rsidRDefault="000B0176" w:rsidP="00EB63B2">
      <w:pPr>
        <w:pStyle w:val="ExecSumBodyText"/>
      </w:pPr>
      <w:r w:rsidRPr="00191822">
        <w:t xml:space="preserve">The model was based on the full trial population results for the ELEVATE-TN trial. As the model was based on a partitioned survival approach, treatment effectiveness reflected the first- and subsequent-line treatments used by patients in the ELEVATE-TN. </w:t>
      </w:r>
      <w:r w:rsidRPr="00EB63B2">
        <w:rPr>
          <w:iCs/>
        </w:rPr>
        <w:t xml:space="preserve">Results for the ELEVATE-TN trial </w:t>
      </w:r>
      <w:r w:rsidR="00B86B3F" w:rsidRPr="00EB63B2">
        <w:rPr>
          <w:iCs/>
        </w:rPr>
        <w:t xml:space="preserve">were </w:t>
      </w:r>
      <w:r w:rsidRPr="00EB63B2">
        <w:rPr>
          <w:iCs/>
        </w:rPr>
        <w:t xml:space="preserve">relatively immature, with median progression-free survival and overall survival not reached in the acalabrutinib arm. </w:t>
      </w:r>
    </w:p>
    <w:p w14:paraId="06362CF2" w14:textId="77777777" w:rsidR="000B0176" w:rsidRPr="00191822" w:rsidRDefault="000B0176" w:rsidP="000B0176">
      <w:pPr>
        <w:pStyle w:val="ExecSumBodyText"/>
      </w:pPr>
      <w:r w:rsidRPr="00191822">
        <w:t>The resubmission applied costs associated with subsequent treatments based on subsequent treatments assumed to be used in the proposed PBS population (</w:t>
      </w:r>
      <w:proofErr w:type="gramStart"/>
      <w:r w:rsidRPr="00191822">
        <w:t>i.e.</w:t>
      </w:r>
      <w:proofErr w:type="gramEnd"/>
      <w:r w:rsidRPr="00191822">
        <w:t xml:space="preserve"> </w:t>
      </w:r>
      <w:proofErr w:type="spellStart"/>
      <w:r w:rsidRPr="00191822">
        <w:t>idelalisib</w:t>
      </w:r>
      <w:proofErr w:type="spellEnd"/>
      <w:r w:rsidRPr="00191822">
        <w:t xml:space="preserve"> + rituximab for the acalabrutinib arm, and </w:t>
      </w:r>
      <w:r w:rsidR="007C1B78">
        <w:t>ibrutinib monotherapy</w:t>
      </w:r>
      <w:r w:rsidRPr="00191822">
        <w:t xml:space="preserve"> for the chlorambucil + </w:t>
      </w:r>
      <w:proofErr w:type="spellStart"/>
      <w:r w:rsidRPr="00191822">
        <w:t>obinutuzumab</w:t>
      </w:r>
      <w:proofErr w:type="spellEnd"/>
      <w:r w:rsidRPr="00191822">
        <w:t xml:space="preserve"> arm). </w:t>
      </w:r>
    </w:p>
    <w:p w14:paraId="6766E7A0" w14:textId="77777777" w:rsidR="00F848B8" w:rsidRPr="00191822" w:rsidRDefault="00806E3F" w:rsidP="00F076EF">
      <w:pPr>
        <w:pStyle w:val="ExecSumBodyText"/>
      </w:pPr>
      <w:r w:rsidRPr="00191822">
        <w:t xml:space="preserve">The model included costs and </w:t>
      </w:r>
      <w:proofErr w:type="spellStart"/>
      <w:r w:rsidRPr="00191822">
        <w:t>disutilities</w:t>
      </w:r>
      <w:proofErr w:type="spellEnd"/>
      <w:r w:rsidRPr="00191822">
        <w:t xml:space="preserve"> associated with Grade 3 and 4 adverse events which occurred in ≥2% of patients in either the acalabrutinib or chlorambucil + </w:t>
      </w:r>
      <w:proofErr w:type="spellStart"/>
      <w:r w:rsidRPr="00191822">
        <w:t>obinutuzumab</w:t>
      </w:r>
      <w:proofErr w:type="spellEnd"/>
      <w:r w:rsidRPr="00191822">
        <w:t xml:space="preserve"> arm</w:t>
      </w:r>
      <w:r w:rsidR="000B0176" w:rsidRPr="00191822">
        <w:t>s</w:t>
      </w:r>
      <w:r w:rsidR="003436BB" w:rsidRPr="00191822">
        <w:t xml:space="preserve"> of the ELEVATE-TN trial</w:t>
      </w:r>
      <w:r w:rsidRPr="00A25C41">
        <w:rPr>
          <w:iCs/>
        </w:rPr>
        <w:t xml:space="preserve">. </w:t>
      </w:r>
      <w:r w:rsidR="003436BB" w:rsidRPr="00A25C41">
        <w:rPr>
          <w:iCs/>
        </w:rPr>
        <w:t xml:space="preserve">Costs and </w:t>
      </w:r>
      <w:proofErr w:type="spellStart"/>
      <w:r w:rsidR="003436BB" w:rsidRPr="00A25C41">
        <w:rPr>
          <w:iCs/>
        </w:rPr>
        <w:t>disutilities</w:t>
      </w:r>
      <w:proofErr w:type="spellEnd"/>
      <w:r w:rsidR="003436BB" w:rsidRPr="00A25C41">
        <w:rPr>
          <w:iCs/>
        </w:rPr>
        <w:t xml:space="preserve"> were derived based on reported adverse event incidences. However,</w:t>
      </w:r>
      <w:r w:rsidR="00444EB5">
        <w:rPr>
          <w:iCs/>
        </w:rPr>
        <w:t xml:space="preserve"> the evaluation considered</w:t>
      </w:r>
      <w:r w:rsidR="003436BB" w:rsidRPr="00A25C41">
        <w:rPr>
          <w:iCs/>
        </w:rPr>
        <w:t xml:space="preserve"> it would be </w:t>
      </w:r>
      <w:r w:rsidR="00F848B8" w:rsidRPr="00A25C41">
        <w:rPr>
          <w:iCs/>
        </w:rPr>
        <w:t xml:space="preserve">more appropriate to derive adverse event </w:t>
      </w:r>
      <w:r w:rsidR="003436BB" w:rsidRPr="00A25C41">
        <w:rPr>
          <w:iCs/>
        </w:rPr>
        <w:t xml:space="preserve">costs and </w:t>
      </w:r>
      <w:proofErr w:type="spellStart"/>
      <w:r w:rsidR="00F848B8" w:rsidRPr="00A25C41">
        <w:rPr>
          <w:iCs/>
        </w:rPr>
        <w:t>disutilities</w:t>
      </w:r>
      <w:proofErr w:type="spellEnd"/>
      <w:r w:rsidR="00F848B8" w:rsidRPr="00A25C41">
        <w:rPr>
          <w:iCs/>
        </w:rPr>
        <w:t xml:space="preserve"> using adverse event rates, given that individuals may experience a single adverse event </w:t>
      </w:r>
      <w:proofErr w:type="gramStart"/>
      <w:r w:rsidR="00F848B8" w:rsidRPr="00A25C41">
        <w:rPr>
          <w:iCs/>
        </w:rPr>
        <w:t>multiple times</w:t>
      </w:r>
      <w:proofErr w:type="gramEnd"/>
      <w:r w:rsidR="00F848B8" w:rsidRPr="00A25C41">
        <w:rPr>
          <w:iCs/>
        </w:rPr>
        <w:t>.</w:t>
      </w:r>
      <w:r w:rsidR="00F848B8" w:rsidRPr="00191822">
        <w:t xml:space="preserve"> </w:t>
      </w:r>
      <w:r w:rsidR="00F848B8" w:rsidRPr="00A25C41">
        <w:rPr>
          <w:iCs/>
        </w:rPr>
        <w:t xml:space="preserve">There </w:t>
      </w:r>
      <w:r w:rsidR="009F4770" w:rsidRPr="00A25C41">
        <w:rPr>
          <w:iCs/>
        </w:rPr>
        <w:t>are</w:t>
      </w:r>
      <w:r w:rsidR="00F848B8" w:rsidRPr="00A25C41">
        <w:rPr>
          <w:iCs/>
        </w:rPr>
        <w:t xml:space="preserve"> differences in adverse event profiles between the included subsequent therapies (</w:t>
      </w:r>
      <w:proofErr w:type="gramStart"/>
      <w:r w:rsidR="00F848B8" w:rsidRPr="00A25C41">
        <w:rPr>
          <w:iCs/>
        </w:rPr>
        <w:t>i.e.</w:t>
      </w:r>
      <w:proofErr w:type="gramEnd"/>
      <w:r w:rsidR="00F848B8" w:rsidRPr="00A25C41">
        <w:rPr>
          <w:iCs/>
        </w:rPr>
        <w:t xml:space="preserve"> </w:t>
      </w:r>
      <w:proofErr w:type="spellStart"/>
      <w:r w:rsidR="00F848B8" w:rsidRPr="00A25C41">
        <w:rPr>
          <w:iCs/>
        </w:rPr>
        <w:t>idelalisib</w:t>
      </w:r>
      <w:proofErr w:type="spellEnd"/>
      <w:r w:rsidR="00F848B8" w:rsidRPr="00A25C41">
        <w:rPr>
          <w:iCs/>
        </w:rPr>
        <w:t xml:space="preserve"> + rituximab and ibrutinib) that </w:t>
      </w:r>
      <w:r w:rsidR="000B0176" w:rsidRPr="00A25C41">
        <w:rPr>
          <w:iCs/>
        </w:rPr>
        <w:t>were not</w:t>
      </w:r>
      <w:r w:rsidR="009F4770" w:rsidRPr="00A25C41">
        <w:rPr>
          <w:iCs/>
        </w:rPr>
        <w:t xml:space="preserve"> </w:t>
      </w:r>
      <w:r w:rsidR="00F848B8" w:rsidRPr="00A25C41">
        <w:rPr>
          <w:iCs/>
        </w:rPr>
        <w:t>captured in the model.</w:t>
      </w:r>
    </w:p>
    <w:p w14:paraId="71D0C94D" w14:textId="77777777" w:rsidR="000D5FF1" w:rsidRPr="00191822" w:rsidRDefault="00E06569" w:rsidP="00E06569">
      <w:pPr>
        <w:pStyle w:val="ExecSumBodyText"/>
      </w:pPr>
      <w:r w:rsidRPr="00191822">
        <w:lastRenderedPageBreak/>
        <w:t>Key drivers of the economic model are summarised in the table below.</w:t>
      </w:r>
    </w:p>
    <w:p w14:paraId="71C7898D" w14:textId="77777777" w:rsidR="00E06569" w:rsidRPr="00191822" w:rsidRDefault="004026AA" w:rsidP="00444EB5">
      <w:pPr>
        <w:pStyle w:val="TableFigureCaption"/>
        <w:keepNext w:val="0"/>
        <w:rPr>
          <w:rFonts w:cstheme="minorBidi"/>
          <w:szCs w:val="22"/>
        </w:rPr>
      </w:pPr>
      <w:r>
        <w:t xml:space="preserve">Table </w:t>
      </w:r>
      <w:r w:rsidR="00BD60E3">
        <w:rPr>
          <w:noProof/>
        </w:rPr>
        <w:t>11</w:t>
      </w:r>
      <w:r w:rsidR="00E06569" w:rsidRPr="00191822">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271"/>
        <w:gridCol w:w="6521"/>
        <w:gridCol w:w="1225"/>
      </w:tblGrid>
      <w:tr w:rsidR="00E06569" w:rsidRPr="00191822" w14:paraId="00229EA8" w14:textId="77777777" w:rsidTr="00FB0B77">
        <w:trPr>
          <w:cantSplit/>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0EF4ECB9" w14:textId="77777777" w:rsidR="00E06569" w:rsidRPr="00191822" w:rsidRDefault="00E06569" w:rsidP="00444EB5">
            <w:pPr>
              <w:pStyle w:val="Tableheadingrow"/>
              <w:keepNext w:val="0"/>
              <w:rPr>
                <w:szCs w:val="20"/>
                <w:lang w:val="en-AU"/>
              </w:rPr>
            </w:pPr>
            <w:r w:rsidRPr="00191822">
              <w:rPr>
                <w:szCs w:val="20"/>
                <w:lang w:val="en-AU"/>
              </w:rPr>
              <w:t>Description</w:t>
            </w:r>
          </w:p>
        </w:tc>
        <w:tc>
          <w:tcPr>
            <w:tcW w:w="3616" w:type="pct"/>
            <w:tcBorders>
              <w:top w:val="single" w:sz="4" w:space="0" w:color="auto"/>
              <w:left w:val="single" w:sz="4" w:space="0" w:color="auto"/>
              <w:bottom w:val="single" w:sz="4" w:space="0" w:color="auto"/>
              <w:right w:val="single" w:sz="4" w:space="0" w:color="auto"/>
            </w:tcBorders>
            <w:vAlign w:val="center"/>
            <w:hideMark/>
          </w:tcPr>
          <w:p w14:paraId="652A2A7B" w14:textId="77777777" w:rsidR="00E06569" w:rsidRPr="00191822" w:rsidRDefault="00E06569" w:rsidP="00444EB5">
            <w:pPr>
              <w:pStyle w:val="Tableheadingrow"/>
              <w:keepNext w:val="0"/>
              <w:jc w:val="center"/>
              <w:rPr>
                <w:szCs w:val="20"/>
                <w:lang w:val="en-AU"/>
              </w:rPr>
            </w:pPr>
            <w:r w:rsidRPr="00191822">
              <w:rPr>
                <w:szCs w:val="20"/>
                <w:lang w:val="en-AU"/>
              </w:rPr>
              <w:t>Method/Value</w:t>
            </w:r>
          </w:p>
        </w:tc>
        <w:tc>
          <w:tcPr>
            <w:tcW w:w="679" w:type="pct"/>
            <w:tcBorders>
              <w:top w:val="single" w:sz="4" w:space="0" w:color="auto"/>
              <w:left w:val="single" w:sz="4" w:space="0" w:color="auto"/>
              <w:bottom w:val="single" w:sz="4" w:space="0" w:color="auto"/>
              <w:right w:val="single" w:sz="4" w:space="0" w:color="auto"/>
            </w:tcBorders>
            <w:vAlign w:val="center"/>
            <w:hideMark/>
          </w:tcPr>
          <w:p w14:paraId="1DAC9025" w14:textId="77777777" w:rsidR="00E06569" w:rsidRPr="00191822" w:rsidRDefault="00E06569" w:rsidP="00444EB5">
            <w:pPr>
              <w:pStyle w:val="Tableheadingrow"/>
              <w:keepNext w:val="0"/>
              <w:jc w:val="center"/>
              <w:rPr>
                <w:szCs w:val="20"/>
                <w:lang w:val="en-AU"/>
              </w:rPr>
            </w:pPr>
            <w:r w:rsidRPr="00191822">
              <w:rPr>
                <w:szCs w:val="20"/>
                <w:lang w:val="en-AU"/>
              </w:rPr>
              <w:t>Impact</w:t>
            </w:r>
          </w:p>
        </w:tc>
      </w:tr>
      <w:tr w:rsidR="004B2446" w:rsidRPr="00A25C41" w14:paraId="71041C36" w14:textId="77777777" w:rsidTr="00FB0B77">
        <w:trPr>
          <w:cantSplit/>
        </w:trPr>
        <w:tc>
          <w:tcPr>
            <w:tcW w:w="705" w:type="pct"/>
            <w:tcBorders>
              <w:top w:val="single" w:sz="4" w:space="0" w:color="auto"/>
              <w:left w:val="single" w:sz="4" w:space="0" w:color="auto"/>
              <w:bottom w:val="single" w:sz="4" w:space="0" w:color="auto"/>
              <w:right w:val="single" w:sz="4" w:space="0" w:color="auto"/>
            </w:tcBorders>
            <w:vAlign w:val="center"/>
          </w:tcPr>
          <w:p w14:paraId="4B2D43E2" w14:textId="77777777" w:rsidR="004B2446" w:rsidRPr="00A25C41" w:rsidRDefault="004B2446" w:rsidP="00444EB5">
            <w:pPr>
              <w:pStyle w:val="TableText"/>
              <w:keepNext w:val="0"/>
              <w:rPr>
                <w:szCs w:val="20"/>
              </w:rPr>
            </w:pPr>
            <w:r w:rsidRPr="00A25C41">
              <w:rPr>
                <w:szCs w:val="20"/>
              </w:rPr>
              <w:t>Time horizon</w:t>
            </w:r>
          </w:p>
        </w:tc>
        <w:tc>
          <w:tcPr>
            <w:tcW w:w="3616" w:type="pct"/>
            <w:tcBorders>
              <w:top w:val="single" w:sz="4" w:space="0" w:color="auto"/>
              <w:left w:val="single" w:sz="4" w:space="0" w:color="auto"/>
              <w:bottom w:val="single" w:sz="4" w:space="0" w:color="auto"/>
              <w:right w:val="single" w:sz="4" w:space="0" w:color="auto"/>
            </w:tcBorders>
            <w:vAlign w:val="center"/>
          </w:tcPr>
          <w:p w14:paraId="22921F6E" w14:textId="77777777" w:rsidR="004B2446" w:rsidRPr="009E7F27" w:rsidRDefault="0096455E" w:rsidP="00444EB5">
            <w:pPr>
              <w:pStyle w:val="TableText"/>
              <w:keepNext w:val="0"/>
              <w:rPr>
                <w:i/>
                <w:iCs/>
                <w:szCs w:val="20"/>
              </w:rPr>
            </w:pPr>
            <w:r w:rsidRPr="00A25C41">
              <w:rPr>
                <w:iCs/>
                <w:szCs w:val="20"/>
              </w:rPr>
              <w:t>The base case analysis employed a 15-year time horizon</w:t>
            </w:r>
            <w:r w:rsidR="008005BB" w:rsidRPr="00A25C41">
              <w:rPr>
                <w:iCs/>
                <w:szCs w:val="20"/>
              </w:rPr>
              <w:t xml:space="preserve">. </w:t>
            </w:r>
            <w:r w:rsidRPr="00A25C41">
              <w:rPr>
                <w:iCs/>
                <w:szCs w:val="20"/>
              </w:rPr>
              <w:t>The resubmission</w:t>
            </w:r>
            <w:r w:rsidR="008005BB" w:rsidRPr="00A25C41">
              <w:rPr>
                <w:iCs/>
                <w:szCs w:val="20"/>
              </w:rPr>
              <w:t xml:space="preserve"> noted that a 15-year time horizon was included in the November 2010 fludarabine + cyclophosphamide + rituximab submission (</w:t>
            </w:r>
            <w:r w:rsidR="00C475AC" w:rsidRPr="00A25C41">
              <w:rPr>
                <w:iCs/>
                <w:szCs w:val="20"/>
              </w:rPr>
              <w:t>p</w:t>
            </w:r>
            <w:r w:rsidR="008005BB" w:rsidRPr="00A25C41">
              <w:rPr>
                <w:iCs/>
                <w:szCs w:val="20"/>
              </w:rPr>
              <w:t xml:space="preserve">aragraph 10, </w:t>
            </w:r>
            <w:r w:rsidR="00A45FE2" w:rsidRPr="00A25C41">
              <w:rPr>
                <w:iCs/>
                <w:szCs w:val="20"/>
              </w:rPr>
              <w:t>r</w:t>
            </w:r>
            <w:r w:rsidR="008005BB" w:rsidRPr="00A25C41">
              <w:rPr>
                <w:iCs/>
                <w:szCs w:val="20"/>
              </w:rPr>
              <w:t xml:space="preserve">ituximab, Public Summary Document, November 2010 PBAC meeting), and argued that </w:t>
            </w:r>
            <w:r w:rsidRPr="00A25C41">
              <w:rPr>
                <w:iCs/>
                <w:szCs w:val="20"/>
              </w:rPr>
              <w:t xml:space="preserve">a time horizon longer than 10 years is required to capture </w:t>
            </w:r>
            <w:proofErr w:type="gramStart"/>
            <w:r w:rsidRPr="00A25C41">
              <w:rPr>
                <w:iCs/>
                <w:szCs w:val="20"/>
              </w:rPr>
              <w:t>all of</w:t>
            </w:r>
            <w:proofErr w:type="gramEnd"/>
            <w:r w:rsidRPr="00A25C41">
              <w:rPr>
                <w:iCs/>
                <w:szCs w:val="20"/>
              </w:rPr>
              <w:t xml:space="preserve"> the benefits from treatment with acalabrutinib</w:t>
            </w:r>
            <w:r w:rsidR="008005BB" w:rsidRPr="00A25C41">
              <w:rPr>
                <w:iCs/>
                <w:szCs w:val="20"/>
              </w:rPr>
              <w:t xml:space="preserve">. </w:t>
            </w:r>
            <w:r w:rsidR="008005BB" w:rsidRPr="00A25C41">
              <w:rPr>
                <w:szCs w:val="20"/>
              </w:rPr>
              <w:t>T</w:t>
            </w:r>
            <w:r w:rsidRPr="00A25C41">
              <w:rPr>
                <w:szCs w:val="20"/>
              </w:rPr>
              <w:t xml:space="preserve">he PBAC </w:t>
            </w:r>
            <w:r w:rsidR="00444EB5">
              <w:rPr>
                <w:szCs w:val="20"/>
              </w:rPr>
              <w:t xml:space="preserve">had </w:t>
            </w:r>
            <w:r w:rsidRPr="00A25C41">
              <w:rPr>
                <w:szCs w:val="20"/>
              </w:rPr>
              <w:t xml:space="preserve">previously considered a time horizon of 10 years to be appropriate when considering </w:t>
            </w:r>
            <w:r w:rsidR="00891004" w:rsidRPr="00A25C41">
              <w:rPr>
                <w:szCs w:val="20"/>
              </w:rPr>
              <w:t xml:space="preserve">submissions for </w:t>
            </w:r>
            <w:proofErr w:type="spellStart"/>
            <w:r w:rsidRPr="00A25C41">
              <w:rPr>
                <w:szCs w:val="20"/>
              </w:rPr>
              <w:t>venetoclax</w:t>
            </w:r>
            <w:proofErr w:type="spellEnd"/>
            <w:r w:rsidRPr="00A25C41">
              <w:rPr>
                <w:szCs w:val="20"/>
              </w:rPr>
              <w:t xml:space="preserve"> + </w:t>
            </w:r>
            <w:proofErr w:type="spellStart"/>
            <w:r w:rsidRPr="00A25C41">
              <w:rPr>
                <w:szCs w:val="20"/>
              </w:rPr>
              <w:t>obinutuzumab</w:t>
            </w:r>
            <w:proofErr w:type="spellEnd"/>
            <w:r w:rsidR="00891004" w:rsidRPr="00A25C41">
              <w:rPr>
                <w:szCs w:val="20"/>
              </w:rPr>
              <w:t xml:space="preserve"> (March 2020)</w:t>
            </w:r>
            <w:r w:rsidRPr="00A25C41">
              <w:rPr>
                <w:szCs w:val="20"/>
              </w:rPr>
              <w:t xml:space="preserve">, chlorambucil + </w:t>
            </w:r>
            <w:proofErr w:type="spellStart"/>
            <w:r w:rsidRPr="00A25C41">
              <w:rPr>
                <w:szCs w:val="20"/>
              </w:rPr>
              <w:t>obinutuzumab</w:t>
            </w:r>
            <w:proofErr w:type="spellEnd"/>
            <w:r w:rsidRPr="00A25C41">
              <w:rPr>
                <w:szCs w:val="20"/>
              </w:rPr>
              <w:t xml:space="preserve"> </w:t>
            </w:r>
            <w:r w:rsidR="00891004" w:rsidRPr="00A25C41">
              <w:rPr>
                <w:szCs w:val="20"/>
              </w:rPr>
              <w:t>(July 2014) and ibrutinib (November 2017).</w:t>
            </w:r>
            <w:r w:rsidR="003D513D">
              <w:rPr>
                <w:szCs w:val="20"/>
              </w:rPr>
              <w:t xml:space="preserve"> </w:t>
            </w:r>
            <w:r w:rsidR="003D513D" w:rsidRPr="00DF44A0">
              <w:rPr>
                <w:iCs/>
                <w:szCs w:val="20"/>
              </w:rPr>
              <w:t>The PSCR maintained that a 15-year time horizon was appropriate</w:t>
            </w:r>
            <w:r w:rsidR="00E848D5" w:rsidRPr="00DF44A0">
              <w:rPr>
                <w:iCs/>
                <w:szCs w:val="20"/>
              </w:rPr>
              <w:t xml:space="preserve"> as previously considered by ESC (ESC had “considered that a time horizon of 15 years [rather than 20 years in the base case] would mitigate some of the uncertainty in the model…” (para 6.63, acalabrutinib PSD, July 2020 meeting). </w:t>
            </w:r>
            <w:r w:rsidR="0074342C" w:rsidRPr="00DF44A0">
              <w:rPr>
                <w:iCs/>
                <w:szCs w:val="20"/>
              </w:rPr>
              <w:t xml:space="preserve">The </w:t>
            </w:r>
            <w:r w:rsidR="00E848D5" w:rsidRPr="00DF44A0">
              <w:rPr>
                <w:iCs/>
                <w:szCs w:val="20"/>
              </w:rPr>
              <w:t xml:space="preserve">PSCR argued that a 15-year time horizon was needed to capture </w:t>
            </w:r>
            <w:proofErr w:type="gramStart"/>
            <w:r w:rsidR="00E848D5" w:rsidRPr="00DF44A0">
              <w:rPr>
                <w:iCs/>
                <w:szCs w:val="20"/>
              </w:rPr>
              <w:t>all of</w:t>
            </w:r>
            <w:proofErr w:type="gramEnd"/>
            <w:r w:rsidR="00E848D5" w:rsidRPr="00DF44A0">
              <w:rPr>
                <w:iCs/>
                <w:szCs w:val="20"/>
              </w:rPr>
              <w:t xml:space="preserve"> the benefits from the longer duration of treatment with acalabrutinib, compared to the fixed shorter duration treatment of chlorambucil + </w:t>
            </w:r>
            <w:proofErr w:type="spellStart"/>
            <w:r w:rsidR="00E848D5" w:rsidRPr="00DF44A0">
              <w:rPr>
                <w:iCs/>
                <w:szCs w:val="20"/>
              </w:rPr>
              <w:t>obinutuzumab</w:t>
            </w:r>
            <w:proofErr w:type="spellEnd"/>
            <w:r w:rsidR="00E848D5" w:rsidRPr="00DF44A0">
              <w:rPr>
                <w:iCs/>
                <w:szCs w:val="20"/>
              </w:rPr>
              <w:t xml:space="preserve">. </w:t>
            </w:r>
          </w:p>
        </w:tc>
        <w:tc>
          <w:tcPr>
            <w:tcW w:w="679" w:type="pct"/>
            <w:tcBorders>
              <w:top w:val="single" w:sz="4" w:space="0" w:color="auto"/>
              <w:left w:val="single" w:sz="4" w:space="0" w:color="auto"/>
              <w:bottom w:val="single" w:sz="4" w:space="0" w:color="auto"/>
              <w:right w:val="single" w:sz="4" w:space="0" w:color="auto"/>
            </w:tcBorders>
            <w:vAlign w:val="center"/>
          </w:tcPr>
          <w:p w14:paraId="5ACC7728" w14:textId="77777777" w:rsidR="004B2446" w:rsidRPr="00A25C41" w:rsidRDefault="004B2446" w:rsidP="00444EB5">
            <w:pPr>
              <w:pStyle w:val="TableText"/>
              <w:keepNext w:val="0"/>
              <w:jc w:val="center"/>
              <w:rPr>
                <w:szCs w:val="20"/>
              </w:rPr>
            </w:pPr>
            <w:r w:rsidRPr="00A25C41">
              <w:rPr>
                <w:szCs w:val="20"/>
              </w:rPr>
              <w:t>Moderate, favours acalabrutinib</w:t>
            </w:r>
          </w:p>
        </w:tc>
      </w:tr>
      <w:tr w:rsidR="00E06569" w:rsidRPr="00A25C41" w14:paraId="19F69DCD" w14:textId="77777777" w:rsidTr="00FB0B77">
        <w:trPr>
          <w:cantSplit/>
        </w:trPr>
        <w:tc>
          <w:tcPr>
            <w:tcW w:w="705" w:type="pct"/>
            <w:tcBorders>
              <w:top w:val="single" w:sz="4" w:space="0" w:color="auto"/>
              <w:left w:val="single" w:sz="4" w:space="0" w:color="auto"/>
              <w:bottom w:val="single" w:sz="4" w:space="0" w:color="auto"/>
              <w:right w:val="single" w:sz="4" w:space="0" w:color="auto"/>
            </w:tcBorders>
            <w:vAlign w:val="center"/>
            <w:hideMark/>
          </w:tcPr>
          <w:p w14:paraId="45BB25EC" w14:textId="77777777" w:rsidR="00E06569" w:rsidRPr="00A25C41" w:rsidRDefault="004520E6" w:rsidP="00444EB5">
            <w:pPr>
              <w:pStyle w:val="TableText"/>
              <w:keepNext w:val="0"/>
              <w:rPr>
                <w:szCs w:val="20"/>
              </w:rPr>
            </w:pPr>
            <w:bookmarkStart w:id="47" w:name="_Hlk80029903"/>
            <w:r w:rsidRPr="00A25C41">
              <w:rPr>
                <w:szCs w:val="20"/>
              </w:rPr>
              <w:t>Progression-free survival extrapolation</w:t>
            </w:r>
          </w:p>
        </w:tc>
        <w:tc>
          <w:tcPr>
            <w:tcW w:w="3616" w:type="pct"/>
            <w:tcBorders>
              <w:top w:val="single" w:sz="4" w:space="0" w:color="auto"/>
              <w:left w:val="single" w:sz="4" w:space="0" w:color="auto"/>
              <w:bottom w:val="single" w:sz="4" w:space="0" w:color="auto"/>
              <w:right w:val="single" w:sz="4" w:space="0" w:color="auto"/>
            </w:tcBorders>
            <w:vAlign w:val="center"/>
          </w:tcPr>
          <w:p w14:paraId="37AAB490" w14:textId="77777777" w:rsidR="00E06569" w:rsidRPr="00A25C41" w:rsidRDefault="008005BB" w:rsidP="00444EB5">
            <w:pPr>
              <w:pStyle w:val="TableText"/>
              <w:keepNext w:val="0"/>
              <w:rPr>
                <w:iCs/>
                <w:szCs w:val="20"/>
              </w:rPr>
            </w:pPr>
            <w:r w:rsidRPr="00A25C41">
              <w:rPr>
                <w:iCs/>
                <w:szCs w:val="20"/>
              </w:rPr>
              <w:t xml:space="preserve">Progression-free survival </w:t>
            </w:r>
            <w:r w:rsidR="003C5CA0" w:rsidRPr="00A25C41">
              <w:rPr>
                <w:iCs/>
                <w:szCs w:val="20"/>
              </w:rPr>
              <w:t xml:space="preserve">data </w:t>
            </w:r>
            <w:r w:rsidRPr="00A25C41">
              <w:rPr>
                <w:iCs/>
                <w:szCs w:val="20"/>
              </w:rPr>
              <w:t xml:space="preserve">for </w:t>
            </w:r>
            <w:r w:rsidR="003C5CA0" w:rsidRPr="00A25C41">
              <w:rPr>
                <w:iCs/>
                <w:szCs w:val="20"/>
              </w:rPr>
              <w:t xml:space="preserve">acalabrutinib and chlorambucil + </w:t>
            </w:r>
            <w:proofErr w:type="spellStart"/>
            <w:r w:rsidR="003C5CA0" w:rsidRPr="00A25C41">
              <w:rPr>
                <w:iCs/>
                <w:szCs w:val="20"/>
              </w:rPr>
              <w:t>obinutuzumab</w:t>
            </w:r>
            <w:proofErr w:type="spellEnd"/>
            <w:r w:rsidR="003C5CA0" w:rsidRPr="00A25C41">
              <w:rPr>
                <w:iCs/>
                <w:szCs w:val="20"/>
              </w:rPr>
              <w:t xml:space="preserve"> corresponding to a median duration of follow-up of 46.9 months was </w:t>
            </w:r>
            <w:r w:rsidRPr="00A25C41">
              <w:rPr>
                <w:iCs/>
                <w:szCs w:val="20"/>
              </w:rPr>
              <w:t xml:space="preserve">extrapolated </w:t>
            </w:r>
            <w:r w:rsidR="003C5CA0" w:rsidRPr="00A25C41">
              <w:rPr>
                <w:iCs/>
                <w:szCs w:val="20"/>
              </w:rPr>
              <w:t>to 15</w:t>
            </w:r>
            <w:r w:rsidR="004519AA" w:rsidRPr="00A25C41">
              <w:rPr>
                <w:iCs/>
                <w:szCs w:val="20"/>
              </w:rPr>
              <w:t> </w:t>
            </w:r>
            <w:r w:rsidR="003C5CA0" w:rsidRPr="00A25C41">
              <w:rPr>
                <w:iCs/>
                <w:szCs w:val="20"/>
              </w:rPr>
              <w:t>years using parametric functions.</w:t>
            </w:r>
            <w:r w:rsidR="00953F84" w:rsidRPr="00A25C41">
              <w:rPr>
                <w:iCs/>
                <w:szCs w:val="20"/>
              </w:rPr>
              <w:t xml:space="preserve"> I</w:t>
            </w:r>
            <w:r w:rsidR="003C5CA0" w:rsidRPr="00A25C41">
              <w:rPr>
                <w:iCs/>
                <w:szCs w:val="20"/>
              </w:rPr>
              <w:t xml:space="preserve">t </w:t>
            </w:r>
            <w:r w:rsidR="004519AA" w:rsidRPr="00A25C41">
              <w:rPr>
                <w:iCs/>
                <w:szCs w:val="20"/>
              </w:rPr>
              <w:t>was</w:t>
            </w:r>
            <w:r w:rsidR="003C5CA0" w:rsidRPr="00A25C41">
              <w:rPr>
                <w:iCs/>
                <w:szCs w:val="20"/>
              </w:rPr>
              <w:t xml:space="preserve"> unclear whether the assumed progression-free survival</w:t>
            </w:r>
            <w:r w:rsidR="00891004" w:rsidRPr="00A25C41">
              <w:rPr>
                <w:iCs/>
                <w:szCs w:val="20"/>
              </w:rPr>
              <w:t xml:space="preserve"> function for acalabrutinib </w:t>
            </w:r>
            <w:r w:rsidR="004519AA" w:rsidRPr="00A25C41">
              <w:rPr>
                <w:iCs/>
                <w:szCs w:val="20"/>
              </w:rPr>
              <w:t xml:space="preserve">would </w:t>
            </w:r>
            <w:r w:rsidR="00891004" w:rsidRPr="00A25C41">
              <w:rPr>
                <w:iCs/>
                <w:szCs w:val="20"/>
              </w:rPr>
              <w:t xml:space="preserve">reflect </w:t>
            </w:r>
            <w:r w:rsidR="00953F84" w:rsidRPr="00A25C41">
              <w:rPr>
                <w:iCs/>
                <w:szCs w:val="20"/>
              </w:rPr>
              <w:t>progression-free survival in clinical practice</w:t>
            </w:r>
            <w:r w:rsidR="008D1DDE" w:rsidRPr="00A25C41">
              <w:rPr>
                <w:iCs/>
                <w:szCs w:val="20"/>
              </w:rPr>
              <w:t xml:space="preserve">. </w:t>
            </w:r>
            <w:r w:rsidR="008D1DDE" w:rsidRPr="00A25C41">
              <w:rPr>
                <w:szCs w:val="20"/>
              </w:rPr>
              <w:t>The PBAC</w:t>
            </w:r>
            <w:r w:rsidR="00444EB5">
              <w:rPr>
                <w:szCs w:val="20"/>
              </w:rPr>
              <w:t xml:space="preserve"> had</w:t>
            </w:r>
            <w:r w:rsidR="008D1DDE" w:rsidRPr="00A25C41">
              <w:rPr>
                <w:szCs w:val="20"/>
              </w:rPr>
              <w:t xml:space="preserve"> previously noted that longer time horizons in patients unsuitable for a purine analogue may be unreliable due to the immaturity of available clinical trial data and the fragility of patient populations (patients &gt;70 years of age who will likely have comorbidities; </w:t>
            </w:r>
            <w:r w:rsidR="00C475AC" w:rsidRPr="00A25C41">
              <w:rPr>
                <w:szCs w:val="20"/>
              </w:rPr>
              <w:t>p</w:t>
            </w:r>
            <w:r w:rsidR="008D1DDE" w:rsidRPr="00A25C41">
              <w:rPr>
                <w:szCs w:val="20"/>
              </w:rPr>
              <w:t xml:space="preserve">aragraph 7.9, </w:t>
            </w:r>
            <w:r w:rsidR="004519AA" w:rsidRPr="00A25C41">
              <w:rPr>
                <w:szCs w:val="20"/>
              </w:rPr>
              <w:t>i</w:t>
            </w:r>
            <w:r w:rsidR="008D1DDE" w:rsidRPr="00A25C41">
              <w:rPr>
                <w:szCs w:val="20"/>
              </w:rPr>
              <w:t>brutinib, Public Summary Document, November 2017 PBAC meeting).</w:t>
            </w:r>
          </w:p>
        </w:tc>
        <w:tc>
          <w:tcPr>
            <w:tcW w:w="679" w:type="pct"/>
            <w:tcBorders>
              <w:top w:val="single" w:sz="4" w:space="0" w:color="auto"/>
              <w:left w:val="single" w:sz="4" w:space="0" w:color="auto"/>
              <w:bottom w:val="single" w:sz="4" w:space="0" w:color="auto"/>
              <w:right w:val="single" w:sz="4" w:space="0" w:color="auto"/>
            </w:tcBorders>
            <w:vAlign w:val="center"/>
          </w:tcPr>
          <w:p w14:paraId="2ADDCC62" w14:textId="77777777" w:rsidR="00E06569" w:rsidRPr="00A25C41" w:rsidRDefault="008D1DDE" w:rsidP="00444EB5">
            <w:pPr>
              <w:pStyle w:val="TableText"/>
              <w:keepNext w:val="0"/>
              <w:jc w:val="center"/>
              <w:rPr>
                <w:szCs w:val="20"/>
              </w:rPr>
            </w:pPr>
            <w:r w:rsidRPr="00A25C41">
              <w:rPr>
                <w:szCs w:val="20"/>
              </w:rPr>
              <w:t>Moderate, favours acalabrutinib</w:t>
            </w:r>
          </w:p>
        </w:tc>
      </w:tr>
      <w:tr w:rsidR="00E06569" w:rsidRPr="00DF44A0" w14:paraId="69CC0750" w14:textId="77777777" w:rsidTr="00FB0B77">
        <w:trPr>
          <w:cantSplit/>
        </w:trPr>
        <w:tc>
          <w:tcPr>
            <w:tcW w:w="705" w:type="pct"/>
            <w:tcBorders>
              <w:top w:val="single" w:sz="4" w:space="0" w:color="auto"/>
              <w:left w:val="single" w:sz="4" w:space="0" w:color="auto"/>
              <w:bottom w:val="single" w:sz="4" w:space="0" w:color="auto"/>
              <w:right w:val="single" w:sz="4" w:space="0" w:color="auto"/>
            </w:tcBorders>
            <w:vAlign w:val="center"/>
          </w:tcPr>
          <w:p w14:paraId="25107EEA" w14:textId="77777777" w:rsidR="00E06569" w:rsidRPr="00DF44A0" w:rsidRDefault="00BD71BC" w:rsidP="00444EB5">
            <w:pPr>
              <w:pStyle w:val="TableText"/>
              <w:keepNext w:val="0"/>
              <w:rPr>
                <w:szCs w:val="20"/>
              </w:rPr>
            </w:pPr>
            <w:r w:rsidRPr="00DF44A0">
              <w:rPr>
                <w:szCs w:val="20"/>
              </w:rPr>
              <w:t xml:space="preserve">Partitioned survival </w:t>
            </w:r>
            <w:r w:rsidR="00953F84" w:rsidRPr="00DF44A0">
              <w:rPr>
                <w:szCs w:val="20"/>
              </w:rPr>
              <w:t>analysis</w:t>
            </w:r>
          </w:p>
        </w:tc>
        <w:tc>
          <w:tcPr>
            <w:tcW w:w="3616" w:type="pct"/>
            <w:tcBorders>
              <w:top w:val="single" w:sz="4" w:space="0" w:color="auto"/>
              <w:left w:val="single" w:sz="4" w:space="0" w:color="auto"/>
              <w:bottom w:val="single" w:sz="4" w:space="0" w:color="auto"/>
              <w:right w:val="single" w:sz="4" w:space="0" w:color="auto"/>
            </w:tcBorders>
            <w:vAlign w:val="center"/>
          </w:tcPr>
          <w:p w14:paraId="04E1AEC1" w14:textId="77777777" w:rsidR="00E06569" w:rsidRPr="00DF44A0" w:rsidRDefault="00026686" w:rsidP="00444EB5">
            <w:pPr>
              <w:pStyle w:val="TableText"/>
              <w:keepNext w:val="0"/>
              <w:rPr>
                <w:iCs/>
                <w:szCs w:val="20"/>
              </w:rPr>
            </w:pPr>
            <w:r w:rsidRPr="00DF44A0">
              <w:rPr>
                <w:iCs/>
                <w:szCs w:val="20"/>
              </w:rPr>
              <w:t xml:space="preserve">A partitioned survival design, </w:t>
            </w:r>
            <w:r w:rsidR="007F14B3" w:rsidRPr="00DF44A0">
              <w:rPr>
                <w:iCs/>
                <w:szCs w:val="20"/>
              </w:rPr>
              <w:t>using</w:t>
            </w:r>
            <w:r w:rsidR="00953F84" w:rsidRPr="00DF44A0">
              <w:rPr>
                <w:iCs/>
                <w:szCs w:val="20"/>
              </w:rPr>
              <w:t xml:space="preserve"> </w:t>
            </w:r>
            <w:r w:rsidRPr="00DF44A0">
              <w:rPr>
                <w:iCs/>
                <w:szCs w:val="20"/>
              </w:rPr>
              <w:t xml:space="preserve">the overall survival and progression-free survival </w:t>
            </w:r>
            <w:r w:rsidR="00C62102" w:rsidRPr="00DF44A0">
              <w:rPr>
                <w:iCs/>
                <w:szCs w:val="20"/>
              </w:rPr>
              <w:t xml:space="preserve">results </w:t>
            </w:r>
            <w:r w:rsidR="00953F84" w:rsidRPr="00DF44A0">
              <w:rPr>
                <w:iCs/>
                <w:szCs w:val="20"/>
              </w:rPr>
              <w:t>f</w:t>
            </w:r>
            <w:r w:rsidR="00C62102" w:rsidRPr="00DF44A0">
              <w:rPr>
                <w:iCs/>
                <w:szCs w:val="20"/>
              </w:rPr>
              <w:t>r</w:t>
            </w:r>
            <w:r w:rsidR="00953F84" w:rsidRPr="00DF44A0">
              <w:rPr>
                <w:iCs/>
                <w:szCs w:val="20"/>
              </w:rPr>
              <w:t>o</w:t>
            </w:r>
            <w:r w:rsidR="00C62102" w:rsidRPr="00DF44A0">
              <w:rPr>
                <w:iCs/>
                <w:szCs w:val="20"/>
              </w:rPr>
              <w:t>m</w:t>
            </w:r>
            <w:r w:rsidR="00953F84" w:rsidRPr="00DF44A0">
              <w:rPr>
                <w:iCs/>
                <w:szCs w:val="20"/>
              </w:rPr>
              <w:t xml:space="preserve"> </w:t>
            </w:r>
            <w:r w:rsidRPr="00DF44A0">
              <w:rPr>
                <w:iCs/>
                <w:szCs w:val="20"/>
              </w:rPr>
              <w:t xml:space="preserve">the ELEVATE-TN trial, was </w:t>
            </w:r>
            <w:r w:rsidR="00C62102" w:rsidRPr="00DF44A0">
              <w:rPr>
                <w:iCs/>
                <w:szCs w:val="20"/>
              </w:rPr>
              <w:t>implemented</w:t>
            </w:r>
            <w:r w:rsidRPr="00DF44A0">
              <w:rPr>
                <w:iCs/>
                <w:szCs w:val="20"/>
              </w:rPr>
              <w:t xml:space="preserve"> to distribute patients between model health states. </w:t>
            </w:r>
            <w:r w:rsidR="00A34A86" w:rsidRPr="00DF44A0">
              <w:rPr>
                <w:szCs w:val="20"/>
              </w:rPr>
              <w:t>The</w:t>
            </w:r>
            <w:r w:rsidR="006F6AE4" w:rsidRPr="00DF44A0">
              <w:rPr>
                <w:szCs w:val="20"/>
              </w:rPr>
              <w:t xml:space="preserve"> </w:t>
            </w:r>
            <w:r w:rsidR="006F6AE4" w:rsidRPr="00DF44A0">
              <w:rPr>
                <w:iCs/>
                <w:szCs w:val="20"/>
              </w:rPr>
              <w:t>evaluation considered that the</w:t>
            </w:r>
            <w:r w:rsidR="00A34A86" w:rsidRPr="00DF44A0">
              <w:rPr>
                <w:szCs w:val="20"/>
              </w:rPr>
              <w:t xml:space="preserve"> assumed progressed disease </w:t>
            </w:r>
            <w:r w:rsidR="00FB0B77" w:rsidRPr="00DF44A0">
              <w:rPr>
                <w:szCs w:val="20"/>
              </w:rPr>
              <w:t xml:space="preserve">health state </w:t>
            </w:r>
            <w:r w:rsidR="003765DD" w:rsidRPr="00DF44A0">
              <w:rPr>
                <w:szCs w:val="20"/>
              </w:rPr>
              <w:t xml:space="preserve">cost and </w:t>
            </w:r>
            <w:r w:rsidR="00A34A86" w:rsidRPr="00DF44A0">
              <w:rPr>
                <w:szCs w:val="20"/>
              </w:rPr>
              <w:t>utility may not adequately reflect the</w:t>
            </w:r>
            <w:r w:rsidR="003765DD" w:rsidRPr="00DF44A0">
              <w:rPr>
                <w:szCs w:val="20"/>
              </w:rPr>
              <w:t xml:space="preserve"> cost and</w:t>
            </w:r>
            <w:r w:rsidR="00A34A86" w:rsidRPr="00DF44A0">
              <w:rPr>
                <w:szCs w:val="20"/>
              </w:rPr>
              <w:t xml:space="preserve"> quality of life </w:t>
            </w:r>
            <w:r w:rsidR="003765DD" w:rsidRPr="00DF44A0">
              <w:rPr>
                <w:szCs w:val="20"/>
              </w:rPr>
              <w:t xml:space="preserve">experienced by patients </w:t>
            </w:r>
            <w:r w:rsidR="00A34A86" w:rsidRPr="00DF44A0">
              <w:rPr>
                <w:szCs w:val="20"/>
              </w:rPr>
              <w:t>with CLL over time, given multiple lines of subsequent therapy, and periods of disease remission.</w:t>
            </w:r>
            <w:r w:rsidR="006F6AE4" w:rsidRPr="00DF44A0">
              <w:rPr>
                <w:szCs w:val="20"/>
              </w:rPr>
              <w:t xml:space="preserve"> </w:t>
            </w:r>
            <w:r w:rsidR="006F6AE4" w:rsidRPr="00DF44A0">
              <w:rPr>
                <w:iCs/>
                <w:szCs w:val="20"/>
              </w:rPr>
              <w:t xml:space="preserve">The PSCR reiterated that the simplified 3 health state partitioned survival model (with survival outcomes modelled directly from the ELEVATE-TN trial) was implemented in response to feedback from ESC and PBAC relating to the </w:t>
            </w:r>
            <w:r w:rsidR="0074342C" w:rsidRPr="00DF44A0">
              <w:rPr>
                <w:iCs/>
                <w:szCs w:val="20"/>
              </w:rPr>
              <w:t xml:space="preserve">previous </w:t>
            </w:r>
            <w:r w:rsidR="006F6AE4" w:rsidRPr="00DF44A0">
              <w:rPr>
                <w:iCs/>
                <w:szCs w:val="20"/>
              </w:rPr>
              <w:t xml:space="preserve">6 health state Markov transition model. Moreover, </w:t>
            </w:r>
            <w:r w:rsidR="0074342C" w:rsidRPr="00DF44A0">
              <w:rPr>
                <w:iCs/>
                <w:szCs w:val="20"/>
              </w:rPr>
              <w:t xml:space="preserve">in the current model, </w:t>
            </w:r>
            <w:r w:rsidR="006F6AE4" w:rsidRPr="00DF44A0">
              <w:rPr>
                <w:iCs/>
                <w:szCs w:val="20"/>
              </w:rPr>
              <w:t xml:space="preserve">“it was conservatively assumed that acalabrutinib patients would receive no overall survival gain relative to chlorambucil + </w:t>
            </w:r>
            <w:proofErr w:type="spellStart"/>
            <w:r w:rsidR="006F6AE4" w:rsidRPr="00DF44A0">
              <w:rPr>
                <w:iCs/>
                <w:szCs w:val="20"/>
              </w:rPr>
              <w:t>obinutuzumab</w:t>
            </w:r>
            <w:proofErr w:type="spellEnd"/>
            <w:r w:rsidR="006F6AE4" w:rsidRPr="00DF44A0">
              <w:rPr>
                <w:iCs/>
                <w:szCs w:val="20"/>
              </w:rPr>
              <w:t xml:space="preserve"> despite some divergence in ELEVATE-TN”.</w:t>
            </w:r>
          </w:p>
        </w:tc>
        <w:tc>
          <w:tcPr>
            <w:tcW w:w="679" w:type="pct"/>
            <w:tcBorders>
              <w:top w:val="single" w:sz="4" w:space="0" w:color="auto"/>
              <w:left w:val="single" w:sz="4" w:space="0" w:color="auto"/>
              <w:bottom w:val="single" w:sz="4" w:space="0" w:color="auto"/>
              <w:right w:val="single" w:sz="4" w:space="0" w:color="auto"/>
            </w:tcBorders>
            <w:vAlign w:val="center"/>
          </w:tcPr>
          <w:p w14:paraId="60F9CA20" w14:textId="77777777" w:rsidR="00E06569" w:rsidRPr="00DF44A0" w:rsidRDefault="002E43D0" w:rsidP="00444EB5">
            <w:pPr>
              <w:pStyle w:val="TableText"/>
              <w:keepNext w:val="0"/>
              <w:jc w:val="center"/>
              <w:rPr>
                <w:iCs/>
                <w:szCs w:val="20"/>
              </w:rPr>
            </w:pPr>
            <w:r w:rsidRPr="00DF44A0">
              <w:rPr>
                <w:iCs/>
                <w:szCs w:val="20"/>
              </w:rPr>
              <w:t>Unclear impact</w:t>
            </w:r>
          </w:p>
        </w:tc>
      </w:tr>
      <w:tr w:rsidR="00020C3D" w:rsidRPr="00A25C41" w14:paraId="0579FE07" w14:textId="77777777" w:rsidTr="00FB0B77">
        <w:trPr>
          <w:cantSplit/>
        </w:trPr>
        <w:tc>
          <w:tcPr>
            <w:tcW w:w="705" w:type="pct"/>
            <w:tcBorders>
              <w:top w:val="single" w:sz="4" w:space="0" w:color="auto"/>
              <w:left w:val="single" w:sz="4" w:space="0" w:color="auto"/>
              <w:bottom w:val="single" w:sz="4" w:space="0" w:color="auto"/>
              <w:right w:val="single" w:sz="4" w:space="0" w:color="auto"/>
            </w:tcBorders>
            <w:vAlign w:val="center"/>
          </w:tcPr>
          <w:p w14:paraId="53417229" w14:textId="77777777" w:rsidR="00020C3D" w:rsidRPr="00A25C41" w:rsidRDefault="00020C3D" w:rsidP="00444EB5">
            <w:pPr>
              <w:pStyle w:val="TableText"/>
              <w:keepNext w:val="0"/>
              <w:rPr>
                <w:szCs w:val="20"/>
              </w:rPr>
            </w:pPr>
            <w:r w:rsidRPr="00A25C41">
              <w:rPr>
                <w:szCs w:val="20"/>
              </w:rPr>
              <w:t>Subsequent treatment costs</w:t>
            </w:r>
          </w:p>
        </w:tc>
        <w:tc>
          <w:tcPr>
            <w:tcW w:w="3616" w:type="pct"/>
            <w:tcBorders>
              <w:top w:val="single" w:sz="4" w:space="0" w:color="auto"/>
              <w:left w:val="single" w:sz="4" w:space="0" w:color="auto"/>
              <w:bottom w:val="single" w:sz="4" w:space="0" w:color="auto"/>
              <w:right w:val="single" w:sz="4" w:space="0" w:color="auto"/>
            </w:tcBorders>
            <w:vAlign w:val="center"/>
          </w:tcPr>
          <w:p w14:paraId="10C57088" w14:textId="77777777" w:rsidR="00DA798E" w:rsidRPr="00A25C41" w:rsidRDefault="00DA798E" w:rsidP="00444EB5">
            <w:pPr>
              <w:pStyle w:val="TableText"/>
              <w:keepNext w:val="0"/>
              <w:rPr>
                <w:szCs w:val="20"/>
              </w:rPr>
            </w:pPr>
            <w:r w:rsidRPr="00A25C41">
              <w:rPr>
                <w:szCs w:val="20"/>
              </w:rPr>
              <w:t xml:space="preserve">Subsequent therapy costs were derived based on the assumption that patients in the acalabrutinib arm would receive subsequent treatment with </w:t>
            </w:r>
            <w:proofErr w:type="spellStart"/>
            <w:r w:rsidRPr="00A25C41">
              <w:rPr>
                <w:szCs w:val="20"/>
              </w:rPr>
              <w:t>idelalisib</w:t>
            </w:r>
            <w:proofErr w:type="spellEnd"/>
            <w:r w:rsidRPr="00A25C41">
              <w:rPr>
                <w:szCs w:val="20"/>
              </w:rPr>
              <w:t xml:space="preserve"> with rituximab, and patients in the chlorambucil arm would receive subsequent treatment with ibrutinib</w:t>
            </w:r>
            <w:r w:rsidR="004519AA" w:rsidRPr="00A25C41">
              <w:rPr>
                <w:szCs w:val="20"/>
              </w:rPr>
              <w:t xml:space="preserve"> monotherapy</w:t>
            </w:r>
            <w:r w:rsidRPr="00A25C41">
              <w:rPr>
                <w:szCs w:val="20"/>
              </w:rPr>
              <w:t xml:space="preserve">. </w:t>
            </w:r>
            <w:r w:rsidRPr="00A25C41">
              <w:rPr>
                <w:iCs/>
                <w:szCs w:val="20"/>
              </w:rPr>
              <w:t xml:space="preserve">While the intention of this assumption was to model costs for the PBS population (who are considered unsuitable for </w:t>
            </w:r>
            <w:proofErr w:type="spellStart"/>
            <w:r w:rsidRPr="00A25C41">
              <w:rPr>
                <w:iCs/>
                <w:szCs w:val="20"/>
              </w:rPr>
              <w:t>venetoclax</w:t>
            </w:r>
            <w:proofErr w:type="spellEnd"/>
            <w:r w:rsidRPr="00A25C41">
              <w:rPr>
                <w:iCs/>
                <w:szCs w:val="20"/>
              </w:rPr>
              <w:t xml:space="preserve"> + </w:t>
            </w:r>
            <w:proofErr w:type="spellStart"/>
            <w:r w:rsidRPr="00A25C41">
              <w:rPr>
                <w:iCs/>
                <w:szCs w:val="20"/>
              </w:rPr>
              <w:t>obinutuzumab</w:t>
            </w:r>
            <w:proofErr w:type="spellEnd"/>
            <w:r w:rsidRPr="00A25C41">
              <w:rPr>
                <w:iCs/>
                <w:szCs w:val="20"/>
              </w:rPr>
              <w:t xml:space="preserve">) based on available PBS-listed treatments, this resulted in a mismatch between assumed use and actual use in the ELEVATE-TN trial. Additionally, </w:t>
            </w:r>
            <w:r w:rsidR="00572D06">
              <w:rPr>
                <w:iCs/>
                <w:szCs w:val="20"/>
              </w:rPr>
              <w:t xml:space="preserve">many </w:t>
            </w:r>
            <w:r w:rsidRPr="00A25C41">
              <w:rPr>
                <w:iCs/>
                <w:szCs w:val="20"/>
              </w:rPr>
              <w:t xml:space="preserve">patients who are considered unsuitable for first-line treatment with </w:t>
            </w:r>
            <w:proofErr w:type="spellStart"/>
            <w:r w:rsidRPr="00A25C41">
              <w:rPr>
                <w:iCs/>
                <w:szCs w:val="20"/>
              </w:rPr>
              <w:t>venetoclax</w:t>
            </w:r>
            <w:proofErr w:type="spellEnd"/>
            <w:r w:rsidRPr="00A25C41">
              <w:rPr>
                <w:iCs/>
                <w:szCs w:val="20"/>
              </w:rPr>
              <w:t xml:space="preserve"> + </w:t>
            </w:r>
            <w:proofErr w:type="spellStart"/>
            <w:r w:rsidRPr="00A25C41">
              <w:rPr>
                <w:iCs/>
                <w:szCs w:val="20"/>
              </w:rPr>
              <w:t>obinutuzumab</w:t>
            </w:r>
            <w:proofErr w:type="spellEnd"/>
            <w:r w:rsidRPr="00A25C41">
              <w:rPr>
                <w:iCs/>
                <w:szCs w:val="20"/>
              </w:rPr>
              <w:t xml:space="preserve"> </w:t>
            </w:r>
            <w:r w:rsidR="00572D06">
              <w:rPr>
                <w:iCs/>
                <w:szCs w:val="20"/>
              </w:rPr>
              <w:t xml:space="preserve">are likely to be treated with </w:t>
            </w:r>
            <w:r w:rsidRPr="00A25C41">
              <w:rPr>
                <w:iCs/>
                <w:szCs w:val="20"/>
              </w:rPr>
              <w:t xml:space="preserve">later-line </w:t>
            </w:r>
            <w:proofErr w:type="spellStart"/>
            <w:r w:rsidRPr="00A25C41">
              <w:rPr>
                <w:iCs/>
                <w:szCs w:val="20"/>
              </w:rPr>
              <w:t>venetoclax</w:t>
            </w:r>
            <w:proofErr w:type="spellEnd"/>
            <w:r w:rsidRPr="00A25C41">
              <w:rPr>
                <w:iCs/>
                <w:szCs w:val="20"/>
              </w:rPr>
              <w:t xml:space="preserve"> + rituximab (depending on the underlying reasons for being unsuitable for </w:t>
            </w:r>
            <w:proofErr w:type="spellStart"/>
            <w:r w:rsidRPr="00A25C41">
              <w:rPr>
                <w:iCs/>
                <w:szCs w:val="20"/>
              </w:rPr>
              <w:t>venetoclax</w:t>
            </w:r>
            <w:proofErr w:type="spellEnd"/>
            <w:r w:rsidRPr="00A25C41">
              <w:rPr>
                <w:iCs/>
                <w:szCs w:val="20"/>
              </w:rPr>
              <w:t xml:space="preserve"> + </w:t>
            </w:r>
            <w:proofErr w:type="spellStart"/>
            <w:r w:rsidRPr="00A25C41">
              <w:rPr>
                <w:iCs/>
                <w:szCs w:val="20"/>
              </w:rPr>
              <w:t>obinutuzumab</w:t>
            </w:r>
            <w:proofErr w:type="spellEnd"/>
            <w:r w:rsidRPr="00A25C41">
              <w:rPr>
                <w:iCs/>
                <w:szCs w:val="20"/>
              </w:rPr>
              <w:t>, and in the context of limited available remaining treatment options).</w:t>
            </w:r>
          </w:p>
          <w:p w14:paraId="017AB886" w14:textId="77777777" w:rsidR="0096455E" w:rsidRPr="00A25C41" w:rsidRDefault="0096455E" w:rsidP="00444EB5">
            <w:pPr>
              <w:pStyle w:val="TableText"/>
              <w:keepNext w:val="0"/>
              <w:rPr>
                <w:szCs w:val="20"/>
              </w:rPr>
            </w:pPr>
          </w:p>
          <w:p w14:paraId="5C05991C" w14:textId="77777777" w:rsidR="00020C3D" w:rsidRPr="00A25C41" w:rsidRDefault="0096455E" w:rsidP="00444EB5">
            <w:pPr>
              <w:pStyle w:val="TableText"/>
              <w:keepNext w:val="0"/>
              <w:rPr>
                <w:szCs w:val="20"/>
              </w:rPr>
            </w:pPr>
            <w:r w:rsidRPr="00A25C41">
              <w:rPr>
                <w:szCs w:val="20"/>
              </w:rPr>
              <w:t>The resubmission estimated the impact of risk</w:t>
            </w:r>
            <w:r w:rsidR="009560AB" w:rsidRPr="00A25C41">
              <w:rPr>
                <w:szCs w:val="20"/>
              </w:rPr>
              <w:t>-</w:t>
            </w:r>
            <w:r w:rsidRPr="00A25C41">
              <w:rPr>
                <w:szCs w:val="20"/>
              </w:rPr>
              <w:t>shar</w:t>
            </w:r>
            <w:r w:rsidR="00FB5FC6" w:rsidRPr="00A25C41">
              <w:rPr>
                <w:szCs w:val="20"/>
              </w:rPr>
              <w:t>ing</w:t>
            </w:r>
            <w:r w:rsidRPr="00A25C41">
              <w:rPr>
                <w:szCs w:val="20"/>
              </w:rPr>
              <w:t xml:space="preserve"> a</w:t>
            </w:r>
            <w:r w:rsidR="00FB5FC6" w:rsidRPr="00A25C41">
              <w:rPr>
                <w:szCs w:val="20"/>
              </w:rPr>
              <w:t>rrange</w:t>
            </w:r>
            <w:r w:rsidRPr="00A25C41">
              <w:rPr>
                <w:szCs w:val="20"/>
              </w:rPr>
              <w:t xml:space="preserve">ments for </w:t>
            </w:r>
            <w:proofErr w:type="spellStart"/>
            <w:r w:rsidRPr="00A25C41">
              <w:rPr>
                <w:szCs w:val="20"/>
              </w:rPr>
              <w:t>idelalisib</w:t>
            </w:r>
            <w:proofErr w:type="spellEnd"/>
            <w:r w:rsidRPr="00A25C41">
              <w:rPr>
                <w:szCs w:val="20"/>
              </w:rPr>
              <w:t xml:space="preserve"> and ibrutinib by assuming maximum treatment duration caps of 12 and 26 months for </w:t>
            </w:r>
            <w:proofErr w:type="spellStart"/>
            <w:r w:rsidRPr="00A25C41">
              <w:rPr>
                <w:szCs w:val="20"/>
              </w:rPr>
              <w:t>idelalisib</w:t>
            </w:r>
            <w:proofErr w:type="spellEnd"/>
            <w:r w:rsidRPr="00A25C41">
              <w:rPr>
                <w:szCs w:val="20"/>
              </w:rPr>
              <w:t xml:space="preserve"> and ibrutinib</w:t>
            </w:r>
            <w:r w:rsidR="00A26B72" w:rsidRPr="00A25C41">
              <w:rPr>
                <w:szCs w:val="20"/>
              </w:rPr>
              <w:t>, respectively</w:t>
            </w:r>
            <w:r w:rsidRPr="00A25C41">
              <w:rPr>
                <w:szCs w:val="20"/>
              </w:rPr>
              <w:t xml:space="preserve">. </w:t>
            </w:r>
            <w:r w:rsidRPr="00A25C41">
              <w:rPr>
                <w:iCs/>
                <w:szCs w:val="20"/>
              </w:rPr>
              <w:t xml:space="preserve">The assumed maximum treatment caps may not reflect the </w:t>
            </w:r>
            <w:r w:rsidR="00A26B72" w:rsidRPr="00A25C41">
              <w:rPr>
                <w:iCs/>
                <w:szCs w:val="20"/>
              </w:rPr>
              <w:t>actual</w:t>
            </w:r>
            <w:r w:rsidRPr="00A25C41">
              <w:rPr>
                <w:iCs/>
                <w:szCs w:val="20"/>
              </w:rPr>
              <w:t xml:space="preserve"> risk</w:t>
            </w:r>
            <w:r w:rsidR="009560AB" w:rsidRPr="00A25C41">
              <w:rPr>
                <w:iCs/>
                <w:szCs w:val="20"/>
              </w:rPr>
              <w:t>-</w:t>
            </w:r>
            <w:r w:rsidRPr="00A25C41">
              <w:rPr>
                <w:iCs/>
                <w:szCs w:val="20"/>
              </w:rPr>
              <w:t>sharing arrangement</w:t>
            </w:r>
            <w:r w:rsidR="00D049D6" w:rsidRPr="00A25C41">
              <w:rPr>
                <w:iCs/>
                <w:szCs w:val="20"/>
              </w:rPr>
              <w:t>s</w:t>
            </w:r>
            <w:r w:rsidRPr="00A25C41">
              <w:rPr>
                <w:iCs/>
                <w:szCs w:val="20"/>
              </w:rPr>
              <w:t xml:space="preserve"> </w:t>
            </w:r>
            <w:r w:rsidR="00A26B72" w:rsidRPr="00A25C41">
              <w:rPr>
                <w:iCs/>
                <w:szCs w:val="20"/>
              </w:rPr>
              <w:t>in place</w:t>
            </w:r>
            <w:r w:rsidRPr="00A25C41">
              <w:rPr>
                <w:iCs/>
                <w:szCs w:val="20"/>
              </w:rPr>
              <w:t>.</w:t>
            </w:r>
          </w:p>
        </w:tc>
        <w:tc>
          <w:tcPr>
            <w:tcW w:w="679" w:type="pct"/>
            <w:tcBorders>
              <w:top w:val="single" w:sz="4" w:space="0" w:color="auto"/>
              <w:left w:val="single" w:sz="4" w:space="0" w:color="auto"/>
              <w:bottom w:val="single" w:sz="4" w:space="0" w:color="auto"/>
              <w:right w:val="single" w:sz="4" w:space="0" w:color="auto"/>
            </w:tcBorders>
            <w:vAlign w:val="center"/>
          </w:tcPr>
          <w:p w14:paraId="5DCFBC5C" w14:textId="77777777" w:rsidR="00020C3D" w:rsidRPr="00A25C41" w:rsidRDefault="00BD71BC" w:rsidP="00444EB5">
            <w:pPr>
              <w:pStyle w:val="TableText"/>
              <w:keepNext w:val="0"/>
              <w:jc w:val="center"/>
              <w:rPr>
                <w:szCs w:val="20"/>
              </w:rPr>
            </w:pPr>
            <w:r w:rsidRPr="00A25C41">
              <w:rPr>
                <w:szCs w:val="20"/>
              </w:rPr>
              <w:t>Unclear impact</w:t>
            </w:r>
          </w:p>
        </w:tc>
      </w:tr>
    </w:tbl>
    <w:bookmarkEnd w:id="47"/>
    <w:p w14:paraId="3412F589" w14:textId="77777777" w:rsidR="00E06569" w:rsidRPr="00191822" w:rsidRDefault="00E06569" w:rsidP="00444EB5">
      <w:pPr>
        <w:pStyle w:val="TableFooter"/>
        <w:rPr>
          <w:szCs w:val="22"/>
        </w:rPr>
      </w:pPr>
      <w:r w:rsidRPr="00191822">
        <w:t>Source: Constructed during the evaluation</w:t>
      </w:r>
      <w:r w:rsidR="00A45FE2">
        <w:t>.</w:t>
      </w:r>
    </w:p>
    <w:p w14:paraId="56625BF0" w14:textId="77777777" w:rsidR="00BB00B3" w:rsidRPr="00191822" w:rsidRDefault="008D1DDE" w:rsidP="00444EB5">
      <w:pPr>
        <w:pStyle w:val="TableFooter"/>
        <w:spacing w:after="120"/>
      </w:pPr>
      <w:r w:rsidRPr="00191822">
        <w:lastRenderedPageBreak/>
        <w:t>CLL, chronic lymphocytic leukaemia.</w:t>
      </w:r>
    </w:p>
    <w:p w14:paraId="166DF7DB" w14:textId="77777777" w:rsidR="00AA628D" w:rsidRPr="00DF44A0" w:rsidRDefault="00A56532" w:rsidP="000673ED">
      <w:pPr>
        <w:pStyle w:val="ExecSumBodyText"/>
      </w:pPr>
      <w:r w:rsidRPr="00DF44A0">
        <w:t>Utility values used in the economic evaluation were informed by Kosmas et al. (2015), re-anchored to the oral initial therapy state as these were</w:t>
      </w:r>
      <w:r w:rsidR="00411898" w:rsidRPr="00DF44A0">
        <w:t xml:space="preserve"> previously</w:t>
      </w:r>
      <w:r w:rsidRPr="00DF44A0">
        <w:t xml:space="preserve"> considered more appropriate by the PBAC</w:t>
      </w:r>
      <w:r w:rsidR="00411898" w:rsidRPr="00DF44A0">
        <w:t xml:space="preserve"> (para. 7.10, acalabrutinib PSD, July 2020).</w:t>
      </w:r>
      <w:r w:rsidRPr="00DF44A0">
        <w:t xml:space="preserve"> However, </w:t>
      </w:r>
      <w:r w:rsidR="00411898" w:rsidRPr="00DF44A0">
        <w:t xml:space="preserve">as noted in the table above, </w:t>
      </w:r>
      <w:r w:rsidRPr="00DF44A0">
        <w:t xml:space="preserve">the evaluation expressed concerns that assumed progressed disease state cost and utility may not adequately reflect the cost and quality of life experienced by patients with CLL over time. </w:t>
      </w:r>
      <w:r w:rsidR="005C1349" w:rsidRPr="00DF44A0">
        <w:t>The PSCR presented the results of a sensitivity analysis that assumed a progressed disease utility of 0.651 (</w:t>
      </w:r>
      <w:r w:rsidR="00813EB9" w:rsidRPr="00DF44A0">
        <w:t>adjusting the</w:t>
      </w:r>
      <w:r w:rsidR="005C1349" w:rsidRPr="00DF44A0">
        <w:t xml:space="preserve"> 0.657 used in the resubmission base case</w:t>
      </w:r>
      <w:r w:rsidR="00813EB9" w:rsidRPr="00DF44A0">
        <w:t>, to account for relative proportion of time spent in three time periods captured in the progressive disease state in the model: treatment holiday between 1L progression and start of 2L treatment (progressed but well), progression-free survival associated with 2L treatment, and 2L treatment relapse/BSC, in which no other treatment options exist</w:t>
      </w:r>
      <w:r w:rsidR="005C1349" w:rsidRPr="00DF44A0">
        <w:t>)</w:t>
      </w:r>
      <w:r w:rsidR="00813EB9" w:rsidRPr="00DF44A0">
        <w:t>. This resulted</w:t>
      </w:r>
      <w:r w:rsidR="005C1349" w:rsidRPr="00DF44A0">
        <w:t xml:space="preserve"> in a cost per QALY gained of </w:t>
      </w:r>
      <w:r w:rsidR="000673ED" w:rsidRPr="000673ED">
        <w:rPr>
          <w:iCs/>
        </w:rPr>
        <w:t xml:space="preserve">$55,000 to &lt; $75,000 </w:t>
      </w:r>
      <w:r w:rsidR="005C1349" w:rsidRPr="00DF44A0">
        <w:t xml:space="preserve">(compared with </w:t>
      </w:r>
      <w:r w:rsidR="000673ED" w:rsidRPr="000673ED">
        <w:t xml:space="preserve">$55,000 to &lt; $75,000 </w:t>
      </w:r>
      <w:r w:rsidR="005C1349" w:rsidRPr="00DF44A0">
        <w:t xml:space="preserve">per QALY gained in the resubmission the base case). Thus, the PSCR argued, the value used </w:t>
      </w:r>
      <w:r w:rsidR="00D83595" w:rsidRPr="00DF44A0">
        <w:t xml:space="preserve">in </w:t>
      </w:r>
      <w:r w:rsidR="005C1349" w:rsidRPr="00DF44A0">
        <w:t xml:space="preserve">the base case model did not bias the analysis towards acalabrutinib. </w:t>
      </w:r>
      <w:r w:rsidR="00AA628D" w:rsidRPr="00DF44A0">
        <w:t xml:space="preserve">The ESC considered that it would be informative for the PBAC to know when updated utilities from ELEVATE-TN would be available. </w:t>
      </w:r>
    </w:p>
    <w:p w14:paraId="13CA5518" w14:textId="77777777" w:rsidR="00EC0669" w:rsidRPr="00191822" w:rsidRDefault="00EC0669" w:rsidP="00C065BA">
      <w:pPr>
        <w:pStyle w:val="ExecSumBodyText"/>
      </w:pPr>
      <w:r w:rsidRPr="00191822">
        <w:t xml:space="preserve">Model traces for the acalabrutinib and chlorambucil + </w:t>
      </w:r>
      <w:proofErr w:type="spellStart"/>
      <w:r w:rsidRPr="00191822">
        <w:t>obinutuzumab</w:t>
      </w:r>
      <w:proofErr w:type="spellEnd"/>
      <w:r w:rsidRPr="00191822">
        <w:t xml:space="preserve"> arms are present</w:t>
      </w:r>
      <w:r w:rsidR="009007AF" w:rsidRPr="00191822">
        <w:t>ed</w:t>
      </w:r>
      <w:r w:rsidRPr="00191822">
        <w:t xml:space="preserve"> in the figure below.</w:t>
      </w:r>
    </w:p>
    <w:p w14:paraId="542F269A" w14:textId="77777777" w:rsidR="00AE5810" w:rsidRDefault="00795E12" w:rsidP="00795E12">
      <w:pPr>
        <w:pStyle w:val="TableFigureCaption"/>
      </w:pPr>
      <w:r>
        <w:t xml:space="preserve">Figure </w:t>
      </w:r>
      <w:r w:rsidR="00BD60E3">
        <w:rPr>
          <w:noProof/>
        </w:rPr>
        <w:t>4</w:t>
      </w:r>
      <w:r w:rsidR="00AE5810" w:rsidRPr="00191822">
        <w:t xml:space="preserve">: Model traces for the acalabrutinib and chlorambucil + </w:t>
      </w:r>
      <w:proofErr w:type="spellStart"/>
      <w:r w:rsidR="00AE5810" w:rsidRPr="00191822">
        <w:t>obinutuzumab</w:t>
      </w:r>
      <w:proofErr w:type="spellEnd"/>
      <w:r w:rsidR="00AE5810" w:rsidRPr="00191822">
        <w:t xml:space="preserve"> arms</w:t>
      </w:r>
    </w:p>
    <w:p w14:paraId="2FE8B438" w14:textId="77777777" w:rsidR="00AE06A8" w:rsidRPr="00AE7B2D" w:rsidRDefault="00AE06A8" w:rsidP="00D63569">
      <w:pPr>
        <w:pStyle w:val="Tableheadingrow"/>
      </w:pPr>
      <w:r>
        <w:rPr>
          <w:noProof/>
          <w:lang w:val="en-AU"/>
        </w:rPr>
        <w:drawing>
          <wp:inline distT="0" distB="0" distL="0" distR="0" wp14:anchorId="6597DCE2" wp14:editId="278A99D5">
            <wp:extent cx="5730875" cy="3895725"/>
            <wp:effectExtent l="0" t="0" r="3175" b="9525"/>
            <wp:docPr id="9" name="Picture 9" title="Figure 4: Model traces for the acalabrutinib and chlorambucil + obinutuzumab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895725"/>
                    </a:xfrm>
                    <a:prstGeom prst="rect">
                      <a:avLst/>
                    </a:prstGeom>
                    <a:noFill/>
                  </pic:spPr>
                </pic:pic>
              </a:graphicData>
            </a:graphic>
          </wp:inline>
        </w:drawing>
      </w:r>
    </w:p>
    <w:p w14:paraId="0D568CC2" w14:textId="77777777" w:rsidR="00AE5810" w:rsidRPr="00191822" w:rsidRDefault="00AE5810" w:rsidP="00AE5810">
      <w:pPr>
        <w:pStyle w:val="TableFigureFooter"/>
      </w:pPr>
      <w:r w:rsidRPr="00191822">
        <w:t>Source: ‘Attachment 23_ACA_CEA_FINAL’ Excel workbook, Attachment 23 of the resubmission.</w:t>
      </w:r>
    </w:p>
    <w:p w14:paraId="4C629BBC" w14:textId="77777777" w:rsidR="00AE5810" w:rsidRPr="00191822" w:rsidRDefault="00AE5810" w:rsidP="00AE5810">
      <w:pPr>
        <w:pStyle w:val="TableFigureFooter"/>
      </w:pPr>
      <w:r w:rsidRPr="00191822">
        <w:lastRenderedPageBreak/>
        <w:t xml:space="preserve">ACAL, acalabrutinib; CHL, chlorambucil; OBI, </w:t>
      </w:r>
      <w:proofErr w:type="spellStart"/>
      <w:r w:rsidRPr="00191822">
        <w:t>obinutuzumab</w:t>
      </w:r>
      <w:proofErr w:type="spellEnd"/>
      <w:r w:rsidRPr="00191822">
        <w:t>.</w:t>
      </w:r>
    </w:p>
    <w:p w14:paraId="7DFD4A0B" w14:textId="77777777" w:rsidR="00AE5810" w:rsidRPr="00191822" w:rsidRDefault="00AE5810" w:rsidP="00EC0669">
      <w:pPr>
        <w:pStyle w:val="ExecSumBodyText"/>
      </w:pPr>
      <w:r w:rsidRPr="00191822">
        <w:t xml:space="preserve">The model traces indicated that approximately 60% of patients in the acalabrutinib arm were alive at 15 years, with approximately 40% of patients remaining progression-free. Comparatively, approximately 60% of patients in the chlorambucil + </w:t>
      </w:r>
      <w:proofErr w:type="spellStart"/>
      <w:r w:rsidRPr="00191822">
        <w:t>obinutuzumab</w:t>
      </w:r>
      <w:proofErr w:type="spellEnd"/>
      <w:r w:rsidRPr="00191822">
        <w:t xml:space="preserve"> arm were alive at 15 years, with &lt;5% of patients remaining progression-free. </w:t>
      </w:r>
      <w:r w:rsidRPr="00A25C41">
        <w:rPr>
          <w:iCs/>
        </w:rPr>
        <w:t xml:space="preserve">The July 2020 model results indicated that approximately 50% of patients in the acalabrutinib monotherapy arm and 30% of patients in the chlorambucil + </w:t>
      </w:r>
      <w:proofErr w:type="spellStart"/>
      <w:r w:rsidRPr="00A25C41">
        <w:rPr>
          <w:iCs/>
        </w:rPr>
        <w:t>obinutuzumab</w:t>
      </w:r>
      <w:proofErr w:type="spellEnd"/>
      <w:r w:rsidRPr="00A25C41">
        <w:rPr>
          <w:iCs/>
        </w:rPr>
        <w:t xml:space="preserve"> arm were alive at 15 years.</w:t>
      </w:r>
    </w:p>
    <w:p w14:paraId="790E8486" w14:textId="77777777" w:rsidR="00EC0669" w:rsidRPr="00191822" w:rsidRDefault="00BE1566" w:rsidP="004026AA">
      <w:pPr>
        <w:pStyle w:val="ExecSumBodyText"/>
      </w:pPr>
      <w:r w:rsidRPr="00191822">
        <w:t xml:space="preserve">The results of the modelled economic evaluation using the estimated effective prices for </w:t>
      </w:r>
      <w:proofErr w:type="spellStart"/>
      <w:r w:rsidRPr="00191822">
        <w:t>obinutuzumab</w:t>
      </w:r>
      <w:proofErr w:type="spellEnd"/>
      <w:r w:rsidRPr="00191822">
        <w:t xml:space="preserve"> and </w:t>
      </w:r>
      <w:proofErr w:type="spellStart"/>
      <w:r w:rsidRPr="00191822">
        <w:t>idelalisib</w:t>
      </w:r>
      <w:proofErr w:type="spellEnd"/>
      <w:r w:rsidRPr="00191822">
        <w:t xml:space="preserve"> are summarised in </w:t>
      </w:r>
      <w:r w:rsidR="00BD60E3">
        <w:t xml:space="preserve">Table </w:t>
      </w:r>
      <w:r w:rsidR="00BD60E3">
        <w:rPr>
          <w:noProof/>
        </w:rPr>
        <w:t>12</w:t>
      </w:r>
      <w:r w:rsidR="00EC0669" w:rsidRPr="00191822">
        <w:t xml:space="preserve">. The results of the economic evaluation using the </w:t>
      </w:r>
      <w:r w:rsidR="00B50F50">
        <w:t xml:space="preserve">actual </w:t>
      </w:r>
      <w:r w:rsidR="00EC0669" w:rsidRPr="00191822">
        <w:t xml:space="preserve">effective prices of </w:t>
      </w:r>
      <w:proofErr w:type="spellStart"/>
      <w:r w:rsidR="00EC0669" w:rsidRPr="00191822">
        <w:t>obinutuzumab</w:t>
      </w:r>
      <w:proofErr w:type="spellEnd"/>
      <w:r w:rsidR="00EC0669" w:rsidRPr="00191822">
        <w:t xml:space="preserve">, ibrutinib and </w:t>
      </w:r>
      <w:proofErr w:type="spellStart"/>
      <w:r w:rsidR="00EC0669" w:rsidRPr="00191822">
        <w:t>idelalisib</w:t>
      </w:r>
      <w:proofErr w:type="spellEnd"/>
      <w:r w:rsidR="00EC0669" w:rsidRPr="00191822">
        <w:t xml:space="preserve"> </w:t>
      </w:r>
      <w:r w:rsidR="00340D24">
        <w:t>were</w:t>
      </w:r>
      <w:r w:rsidR="00340D24" w:rsidRPr="00191822">
        <w:t xml:space="preserve"> </w:t>
      </w:r>
      <w:r w:rsidR="00EC0669" w:rsidRPr="00191822">
        <w:t xml:space="preserve">presented in </w:t>
      </w:r>
      <w:r w:rsidR="00340D24">
        <w:t>a</w:t>
      </w:r>
      <w:r w:rsidR="00340D24" w:rsidRPr="00191822">
        <w:t xml:space="preserve"> </w:t>
      </w:r>
      <w:r w:rsidR="00EC0669" w:rsidRPr="00191822">
        <w:t>Committee-in-Confidence section.</w:t>
      </w:r>
    </w:p>
    <w:p w14:paraId="3CFF04B0" w14:textId="77777777" w:rsidR="00BE1566" w:rsidRPr="00191822" w:rsidRDefault="004026AA" w:rsidP="00340D24">
      <w:pPr>
        <w:pStyle w:val="TableFigureCaption"/>
        <w:keepLines/>
        <w:rPr>
          <w:rStyle w:val="CommentReference"/>
          <w:b w:val="0"/>
          <w:sz w:val="20"/>
        </w:rPr>
      </w:pPr>
      <w:bookmarkStart w:id="48" w:name="_Ref80373544"/>
      <w:r>
        <w:t xml:space="preserve">Table </w:t>
      </w:r>
      <w:r w:rsidR="00BD60E3">
        <w:rPr>
          <w:noProof/>
        </w:rPr>
        <w:t>12</w:t>
      </w:r>
      <w:bookmarkEnd w:id="48"/>
      <w:r w:rsidR="00BE1566" w:rsidRPr="00191822">
        <w:rPr>
          <w:rStyle w:val="CommentReference"/>
          <w:sz w:val="20"/>
        </w:rPr>
        <w:t xml:space="preserve">: Results of the economic evaluation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
      </w:tblPr>
      <w:tblGrid>
        <w:gridCol w:w="2686"/>
        <w:gridCol w:w="2130"/>
        <w:gridCol w:w="2695"/>
        <w:gridCol w:w="1528"/>
      </w:tblGrid>
      <w:tr w:rsidR="00BE1566" w:rsidRPr="00191822" w14:paraId="3BDE3AB6" w14:textId="77777777" w:rsidTr="00D63569">
        <w:trPr>
          <w:tblHeader/>
        </w:trPr>
        <w:tc>
          <w:tcPr>
            <w:tcW w:w="1486" w:type="pct"/>
            <w:tcBorders>
              <w:top w:val="single" w:sz="4" w:space="0" w:color="auto"/>
              <w:left w:val="single" w:sz="4" w:space="0" w:color="auto"/>
              <w:bottom w:val="single" w:sz="4" w:space="0" w:color="auto"/>
              <w:right w:val="single" w:sz="4" w:space="0" w:color="auto"/>
            </w:tcBorders>
            <w:vAlign w:val="center"/>
            <w:hideMark/>
          </w:tcPr>
          <w:p w14:paraId="1E639F18" w14:textId="77777777" w:rsidR="00BE1566" w:rsidRPr="00191822" w:rsidRDefault="00BE1566" w:rsidP="00340D24">
            <w:pPr>
              <w:pStyle w:val="TableFigureCaption"/>
              <w:keepLines/>
            </w:pPr>
            <w:r w:rsidRPr="00191822">
              <w:t>Component</w:t>
            </w:r>
          </w:p>
        </w:tc>
        <w:tc>
          <w:tcPr>
            <w:tcW w:w="1178" w:type="pct"/>
            <w:tcBorders>
              <w:top w:val="single" w:sz="4" w:space="0" w:color="auto"/>
              <w:left w:val="single" w:sz="4" w:space="0" w:color="auto"/>
              <w:bottom w:val="single" w:sz="4" w:space="0" w:color="auto"/>
              <w:right w:val="single" w:sz="4" w:space="0" w:color="auto"/>
            </w:tcBorders>
            <w:vAlign w:val="center"/>
            <w:hideMark/>
          </w:tcPr>
          <w:p w14:paraId="6EDB164F" w14:textId="77777777" w:rsidR="00BE1566" w:rsidRPr="00191822" w:rsidRDefault="00BE1566" w:rsidP="00340D24">
            <w:pPr>
              <w:pStyle w:val="TableFigureCaption"/>
              <w:keepLines/>
              <w:jc w:val="center"/>
            </w:pPr>
            <w:r w:rsidRPr="00191822">
              <w:t>Acalabrutinib</w:t>
            </w:r>
          </w:p>
        </w:tc>
        <w:tc>
          <w:tcPr>
            <w:tcW w:w="1491" w:type="pct"/>
            <w:tcBorders>
              <w:top w:val="single" w:sz="4" w:space="0" w:color="auto"/>
              <w:left w:val="single" w:sz="4" w:space="0" w:color="auto"/>
              <w:bottom w:val="single" w:sz="4" w:space="0" w:color="auto"/>
              <w:right w:val="single" w:sz="4" w:space="0" w:color="auto"/>
            </w:tcBorders>
            <w:vAlign w:val="center"/>
            <w:hideMark/>
          </w:tcPr>
          <w:p w14:paraId="65F3D68C" w14:textId="77777777" w:rsidR="00BE1566" w:rsidRPr="00191822" w:rsidRDefault="00BE1566" w:rsidP="00340D24">
            <w:pPr>
              <w:pStyle w:val="TableFigureCaption"/>
              <w:keepLines/>
              <w:jc w:val="center"/>
            </w:pPr>
            <w:r w:rsidRPr="00191822">
              <w:t xml:space="preserve">Chlorambucil + </w:t>
            </w:r>
            <w:proofErr w:type="spellStart"/>
            <w:r w:rsidRPr="00191822">
              <w:t>obinutuzumab</w:t>
            </w:r>
            <w:proofErr w:type="spellEnd"/>
          </w:p>
        </w:tc>
        <w:tc>
          <w:tcPr>
            <w:tcW w:w="845" w:type="pct"/>
            <w:tcBorders>
              <w:top w:val="single" w:sz="4" w:space="0" w:color="auto"/>
              <w:left w:val="single" w:sz="4" w:space="0" w:color="auto"/>
              <w:bottom w:val="single" w:sz="4" w:space="0" w:color="auto"/>
              <w:right w:val="single" w:sz="4" w:space="0" w:color="auto"/>
            </w:tcBorders>
            <w:vAlign w:val="center"/>
            <w:hideMark/>
          </w:tcPr>
          <w:p w14:paraId="567AB0D2" w14:textId="77777777" w:rsidR="00BE1566" w:rsidRPr="00191822" w:rsidRDefault="00BE1566" w:rsidP="00340D24">
            <w:pPr>
              <w:pStyle w:val="TableFigureCaption"/>
              <w:keepLines/>
              <w:jc w:val="center"/>
            </w:pPr>
            <w:r w:rsidRPr="00191822">
              <w:t>Increment</w:t>
            </w:r>
          </w:p>
        </w:tc>
      </w:tr>
      <w:tr w:rsidR="00BE1566" w:rsidRPr="00191822" w14:paraId="569189D1" w14:textId="77777777" w:rsidTr="00D63569">
        <w:tc>
          <w:tcPr>
            <w:tcW w:w="1486" w:type="pct"/>
            <w:tcBorders>
              <w:top w:val="single" w:sz="4" w:space="0" w:color="auto"/>
              <w:left w:val="single" w:sz="4" w:space="0" w:color="auto"/>
              <w:bottom w:val="single" w:sz="4" w:space="0" w:color="auto"/>
              <w:right w:val="single" w:sz="4" w:space="0" w:color="auto"/>
            </w:tcBorders>
            <w:vAlign w:val="center"/>
            <w:hideMark/>
          </w:tcPr>
          <w:p w14:paraId="577F2A76" w14:textId="77777777" w:rsidR="00BE1566" w:rsidRPr="00191822" w:rsidRDefault="00BE1566" w:rsidP="00340D24">
            <w:pPr>
              <w:pStyle w:val="Tabletextcentred"/>
              <w:keepLines/>
              <w:rPr>
                <w:vertAlign w:val="superscript"/>
              </w:rPr>
            </w:pPr>
            <w:r w:rsidRPr="00191822">
              <w:t>Costs</w:t>
            </w:r>
            <w:r w:rsidR="000673ED">
              <w:t xml:space="preserve"> ($)</w:t>
            </w:r>
          </w:p>
        </w:tc>
        <w:tc>
          <w:tcPr>
            <w:tcW w:w="1178" w:type="pct"/>
            <w:tcBorders>
              <w:top w:val="single" w:sz="4" w:space="0" w:color="auto"/>
              <w:left w:val="single" w:sz="4" w:space="0" w:color="D9D9D9"/>
              <w:bottom w:val="single" w:sz="4" w:space="0" w:color="auto"/>
              <w:right w:val="single" w:sz="4" w:space="0" w:color="auto"/>
            </w:tcBorders>
            <w:shd w:val="clear" w:color="auto" w:fill="FFFFFF"/>
            <w:vAlign w:val="center"/>
            <w:hideMark/>
          </w:tcPr>
          <w:p w14:paraId="448CE29C" w14:textId="77777777" w:rsidR="00BE1566" w:rsidRPr="00BE0CB4" w:rsidRDefault="00BE0CB4" w:rsidP="00340D24">
            <w:pPr>
              <w:pStyle w:val="Tabletextcentred"/>
              <w:keepLines/>
              <w:rPr>
                <w:iCs/>
                <w:highlight w:val="black"/>
              </w:rPr>
            </w:pPr>
            <w:r>
              <w:rPr>
                <w:iCs/>
                <w:noProof/>
                <w:color w:val="000000"/>
                <w:highlight w:val="black"/>
              </w:rPr>
              <w:t>'''''''''''''''''''''''</w:t>
            </w:r>
          </w:p>
        </w:tc>
        <w:tc>
          <w:tcPr>
            <w:tcW w:w="1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DE4A2B" w14:textId="77777777" w:rsidR="00BE1566" w:rsidRPr="00191822" w:rsidRDefault="00BE1566" w:rsidP="00340D24">
            <w:pPr>
              <w:pStyle w:val="Tabletextcentred"/>
              <w:keepLines/>
              <w:rPr>
                <w:iCs/>
              </w:rPr>
            </w:pPr>
            <w:r w:rsidRPr="00191822">
              <w:rPr>
                <w:iCs/>
              </w:rPr>
              <w:t>$152,778</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0491C" w14:textId="77777777" w:rsidR="00BE1566" w:rsidRPr="00BE0CB4" w:rsidRDefault="00BE0CB4" w:rsidP="00340D24">
            <w:pPr>
              <w:pStyle w:val="Tabletextcentred"/>
              <w:keepLines/>
              <w:rPr>
                <w:iCs/>
                <w:highlight w:val="black"/>
              </w:rPr>
            </w:pPr>
            <w:r>
              <w:rPr>
                <w:iCs/>
                <w:noProof/>
                <w:color w:val="000000"/>
                <w:highlight w:val="black"/>
              </w:rPr>
              <w:t>''''''''''''''''''''''</w:t>
            </w:r>
          </w:p>
        </w:tc>
      </w:tr>
      <w:tr w:rsidR="00BE1566" w:rsidRPr="00191822" w14:paraId="154E51C4" w14:textId="77777777" w:rsidTr="00D63569">
        <w:tc>
          <w:tcPr>
            <w:tcW w:w="1486" w:type="pct"/>
            <w:tcBorders>
              <w:top w:val="single" w:sz="4" w:space="0" w:color="auto"/>
              <w:left w:val="single" w:sz="4" w:space="0" w:color="auto"/>
              <w:bottom w:val="single" w:sz="4" w:space="0" w:color="auto"/>
              <w:right w:val="single" w:sz="4" w:space="0" w:color="auto"/>
            </w:tcBorders>
            <w:vAlign w:val="center"/>
            <w:hideMark/>
          </w:tcPr>
          <w:p w14:paraId="2860FE2E" w14:textId="77777777" w:rsidR="00BE1566" w:rsidRPr="00191822" w:rsidRDefault="00BE1566" w:rsidP="00340D24">
            <w:pPr>
              <w:pStyle w:val="Tabletextcentred"/>
              <w:keepLines/>
            </w:pPr>
            <w:r w:rsidRPr="00191822">
              <w:t>QALYs</w:t>
            </w:r>
          </w:p>
        </w:tc>
        <w:tc>
          <w:tcPr>
            <w:tcW w:w="1178" w:type="pct"/>
            <w:tcBorders>
              <w:top w:val="single" w:sz="4" w:space="0" w:color="auto"/>
              <w:left w:val="single" w:sz="4" w:space="0" w:color="D9D9D9"/>
              <w:bottom w:val="single" w:sz="4" w:space="0" w:color="auto"/>
              <w:right w:val="single" w:sz="4" w:space="0" w:color="auto"/>
            </w:tcBorders>
            <w:shd w:val="clear" w:color="auto" w:fill="FFFFFF"/>
            <w:vAlign w:val="center"/>
            <w:hideMark/>
          </w:tcPr>
          <w:p w14:paraId="2C03E9BA" w14:textId="77777777" w:rsidR="00BE1566" w:rsidRPr="00191822" w:rsidRDefault="00BE1566" w:rsidP="00340D24">
            <w:pPr>
              <w:pStyle w:val="Tabletextcentred"/>
              <w:keepLines/>
            </w:pPr>
            <w:r w:rsidRPr="00191822">
              <w:t>6.85</w:t>
            </w:r>
          </w:p>
        </w:tc>
        <w:tc>
          <w:tcPr>
            <w:tcW w:w="1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2A5532" w14:textId="77777777" w:rsidR="00BE1566" w:rsidRPr="00191822" w:rsidRDefault="00BE1566" w:rsidP="00340D24">
            <w:pPr>
              <w:pStyle w:val="Tabletextcentred"/>
              <w:keepLines/>
            </w:pPr>
            <w:r w:rsidRPr="00191822">
              <w:t>6.12</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1323B9" w14:textId="77777777" w:rsidR="00BE1566" w:rsidRPr="00EB7EA3" w:rsidRDefault="00BE1566">
            <w:pPr>
              <w:pStyle w:val="Tabletextcentred"/>
              <w:keepLines/>
              <w:rPr>
                <w:vertAlign w:val="superscript"/>
              </w:rPr>
            </w:pPr>
            <w:r w:rsidRPr="00191822">
              <w:t>0.73</w:t>
            </w:r>
          </w:p>
        </w:tc>
      </w:tr>
      <w:tr w:rsidR="00BE1566" w:rsidRPr="00191822" w14:paraId="562652B8" w14:textId="77777777" w:rsidTr="00500FAB">
        <w:tc>
          <w:tcPr>
            <w:tcW w:w="4155" w:type="pct"/>
            <w:gridSpan w:val="3"/>
            <w:tcBorders>
              <w:top w:val="single" w:sz="4" w:space="0" w:color="auto"/>
              <w:left w:val="single" w:sz="4" w:space="0" w:color="auto"/>
              <w:bottom w:val="single" w:sz="4" w:space="0" w:color="auto"/>
              <w:right w:val="single" w:sz="4" w:space="0" w:color="auto"/>
            </w:tcBorders>
            <w:vAlign w:val="center"/>
            <w:hideMark/>
          </w:tcPr>
          <w:p w14:paraId="78A392B5" w14:textId="77777777" w:rsidR="00BE1566" w:rsidRPr="00191822" w:rsidRDefault="00BE1566" w:rsidP="00340D24">
            <w:pPr>
              <w:pStyle w:val="Tabletextcentred"/>
              <w:keepLines/>
              <w:jc w:val="right"/>
              <w:rPr>
                <w:b/>
              </w:rPr>
            </w:pPr>
            <w:r w:rsidRPr="00191822">
              <w:rPr>
                <w:b/>
              </w:rPr>
              <w:t>Incremental cost per QALY gained</w:t>
            </w:r>
          </w:p>
        </w:tc>
        <w:tc>
          <w:tcPr>
            <w:tcW w:w="845" w:type="pct"/>
            <w:tcBorders>
              <w:top w:val="single" w:sz="4" w:space="0" w:color="auto"/>
              <w:left w:val="single" w:sz="4" w:space="0" w:color="auto"/>
              <w:bottom w:val="single" w:sz="4" w:space="0" w:color="auto"/>
              <w:right w:val="single" w:sz="4" w:space="0" w:color="auto"/>
            </w:tcBorders>
            <w:vAlign w:val="center"/>
            <w:hideMark/>
          </w:tcPr>
          <w:p w14:paraId="36402709" w14:textId="77777777" w:rsidR="00BE1566" w:rsidRPr="00191822" w:rsidRDefault="00BE0CB4" w:rsidP="00340D24">
            <w:pPr>
              <w:pStyle w:val="Tabletextcentred"/>
              <w:keepLines/>
              <w:rPr>
                <w:b/>
              </w:rPr>
            </w:pPr>
            <w:r>
              <w:rPr>
                <w:b/>
                <w:noProof/>
                <w:color w:val="000000"/>
                <w:highlight w:val="black"/>
              </w:rPr>
              <w:t>''''''''''''''</w:t>
            </w:r>
            <w:r w:rsidR="000673ED">
              <w:rPr>
                <w:vertAlign w:val="superscript"/>
              </w:rPr>
              <w:t>1</w:t>
            </w:r>
          </w:p>
        </w:tc>
      </w:tr>
    </w:tbl>
    <w:p w14:paraId="17403D81" w14:textId="77777777" w:rsidR="00BE1566" w:rsidRPr="00340D24" w:rsidRDefault="00BE1566" w:rsidP="00340D24">
      <w:pPr>
        <w:pStyle w:val="TableFigureFooter"/>
        <w:keepNext/>
        <w:keepLines/>
      </w:pPr>
      <w:r w:rsidRPr="00340D24">
        <w:t>Source: the resubmission.</w:t>
      </w:r>
    </w:p>
    <w:p w14:paraId="16843D7B" w14:textId="77777777" w:rsidR="00BE1566" w:rsidRDefault="00BE1566" w:rsidP="00340D24">
      <w:pPr>
        <w:pStyle w:val="TableFigureFooter"/>
        <w:keepNext/>
        <w:keepLines/>
      </w:pPr>
      <w:r w:rsidRPr="00340D24">
        <w:t>QALY, quality-adjusted life year.</w:t>
      </w:r>
    </w:p>
    <w:p w14:paraId="6A375353" w14:textId="77777777" w:rsidR="000673ED" w:rsidRDefault="000673ED" w:rsidP="000673ED">
      <w:pPr>
        <w:pStyle w:val="TableFigureFooter"/>
        <w:spacing w:after="0"/>
        <w:contextualSpacing w:val="0"/>
        <w:rPr>
          <w:i/>
        </w:rPr>
      </w:pPr>
      <w:r w:rsidRPr="009868C4">
        <w:rPr>
          <w:i/>
        </w:rPr>
        <w:t>The redacted values correspond to the following ranges</w:t>
      </w:r>
      <w:r>
        <w:rPr>
          <w:i/>
        </w:rPr>
        <w:t xml:space="preserve">: </w:t>
      </w:r>
    </w:p>
    <w:p w14:paraId="67848778" w14:textId="77777777" w:rsidR="000673ED" w:rsidRPr="00870C5D" w:rsidRDefault="000673ED" w:rsidP="000673ED">
      <w:pPr>
        <w:pStyle w:val="TableFigureFooter"/>
        <w:spacing w:after="0"/>
        <w:contextualSpacing w:val="0"/>
      </w:pPr>
      <w:r>
        <w:rPr>
          <w:i/>
          <w:vertAlign w:val="superscript"/>
        </w:rPr>
        <w:t>1</w:t>
      </w:r>
      <w:r>
        <w:rPr>
          <w:i/>
        </w:rPr>
        <w:t xml:space="preserve"> </w:t>
      </w:r>
      <w:r w:rsidRPr="000673ED">
        <w:rPr>
          <w:i/>
        </w:rPr>
        <w:t>$55,000 to &lt; $75,000</w:t>
      </w:r>
    </w:p>
    <w:p w14:paraId="624DEB25" w14:textId="77777777" w:rsidR="000673ED" w:rsidRPr="00340D24" w:rsidRDefault="000673ED" w:rsidP="00340D24">
      <w:pPr>
        <w:pStyle w:val="TableFigureFooter"/>
        <w:keepNext/>
        <w:keepLines/>
      </w:pPr>
    </w:p>
    <w:p w14:paraId="6242E180" w14:textId="77777777" w:rsidR="00AE5810" w:rsidRDefault="00BE1566" w:rsidP="000673ED">
      <w:pPr>
        <w:pStyle w:val="ExecSumBodyText"/>
      </w:pPr>
      <w:r w:rsidRPr="00191822">
        <w:t>Based on the economic model, treatment with acalabrutinib was associated with a</w:t>
      </w:r>
      <w:r w:rsidR="0005574C" w:rsidRPr="00191822">
        <w:t>n incremental</w:t>
      </w:r>
      <w:r w:rsidRPr="00191822">
        <w:t xml:space="preserve"> cost per QALY gained of </w:t>
      </w:r>
      <w:r w:rsidR="000673ED" w:rsidRPr="000673ED">
        <w:t xml:space="preserve">$55,000 to &lt; $75,000 </w:t>
      </w:r>
      <w:r w:rsidRPr="00191822">
        <w:t xml:space="preserve">compared to chlorambucil + </w:t>
      </w:r>
      <w:proofErr w:type="spellStart"/>
      <w:r w:rsidRPr="00191822">
        <w:t>obinutuzumab</w:t>
      </w:r>
      <w:proofErr w:type="spellEnd"/>
      <w:r w:rsidRPr="00191822">
        <w:t>.</w:t>
      </w:r>
    </w:p>
    <w:p w14:paraId="3AD1DD64" w14:textId="77777777" w:rsidR="00AB5E97" w:rsidRPr="00A25C41" w:rsidRDefault="00AB5E97" w:rsidP="00BB00B3">
      <w:pPr>
        <w:pStyle w:val="ExecSumBodyText"/>
        <w:rPr>
          <w:iCs/>
        </w:rPr>
      </w:pPr>
      <w:r w:rsidRPr="00A25C41">
        <w:rPr>
          <w:iCs/>
        </w:rPr>
        <w:t>The difference in health outcomes between treatment arms was driven by the longer time in the progression</w:t>
      </w:r>
      <w:r w:rsidR="00394C14" w:rsidRPr="00A25C41">
        <w:rPr>
          <w:iCs/>
        </w:rPr>
        <w:t>-</w:t>
      </w:r>
      <w:r w:rsidRPr="00A25C41">
        <w:rPr>
          <w:iCs/>
        </w:rPr>
        <w:t xml:space="preserve">free health state and shorter time in the progressed health state in the acalabrutinib arm compared to the chlorambucil + </w:t>
      </w:r>
      <w:proofErr w:type="spellStart"/>
      <w:r w:rsidRPr="00A25C41">
        <w:rPr>
          <w:iCs/>
        </w:rPr>
        <w:t>obinutuzumab</w:t>
      </w:r>
      <w:proofErr w:type="spellEnd"/>
      <w:r w:rsidRPr="00A25C41">
        <w:rPr>
          <w:iCs/>
        </w:rPr>
        <w:t xml:space="preserve"> arm. No difference in overall survival was modelled.</w:t>
      </w:r>
    </w:p>
    <w:p w14:paraId="202722C4" w14:textId="77777777" w:rsidR="00AB5E97" w:rsidRDefault="00AB5E97" w:rsidP="00BB00B3">
      <w:pPr>
        <w:pStyle w:val="ExecSumBodyText"/>
        <w:rPr>
          <w:iCs/>
        </w:rPr>
      </w:pPr>
      <w:r w:rsidRPr="00A25C41">
        <w:rPr>
          <w:iCs/>
        </w:rPr>
        <w:t xml:space="preserve">The difference in total cost between treatment arms was primarily driven by higher first-line treatment costs in the acalabrutinib arm (due to the higher cost of acalabrutinib and longer time spent in the progression-free health state) compared with the chlorambucil + </w:t>
      </w:r>
      <w:proofErr w:type="spellStart"/>
      <w:r w:rsidRPr="00A25C41">
        <w:rPr>
          <w:iCs/>
        </w:rPr>
        <w:t>obinutuzumab</w:t>
      </w:r>
      <w:proofErr w:type="spellEnd"/>
      <w:r w:rsidRPr="00A25C41">
        <w:rPr>
          <w:iCs/>
        </w:rPr>
        <w:t xml:space="preserve"> arm, which were partly offset by lower second-line treatment costs in the acalabrutinib arm (</w:t>
      </w:r>
      <w:r w:rsidR="00797BAC" w:rsidRPr="00A25C41">
        <w:rPr>
          <w:iCs/>
        </w:rPr>
        <w:t xml:space="preserve">due to the lower </w:t>
      </w:r>
      <w:r w:rsidR="00340D24">
        <w:rPr>
          <w:iCs/>
        </w:rPr>
        <w:t xml:space="preserve">estimated </w:t>
      </w:r>
      <w:r w:rsidR="00797BAC" w:rsidRPr="00A25C41">
        <w:rPr>
          <w:iCs/>
        </w:rPr>
        <w:t xml:space="preserve">cost of </w:t>
      </w:r>
      <w:proofErr w:type="spellStart"/>
      <w:r w:rsidR="00797BAC" w:rsidRPr="00A25C41">
        <w:rPr>
          <w:iCs/>
        </w:rPr>
        <w:t>idelalisib</w:t>
      </w:r>
      <w:proofErr w:type="spellEnd"/>
      <w:r w:rsidR="00797BAC" w:rsidRPr="00A25C41">
        <w:rPr>
          <w:iCs/>
        </w:rPr>
        <w:t xml:space="preserve"> + rituximab treatment compared to ibrutinib treatment, and </w:t>
      </w:r>
      <w:r w:rsidR="00394C14" w:rsidRPr="00A25C41">
        <w:rPr>
          <w:iCs/>
        </w:rPr>
        <w:t>the shorter</w:t>
      </w:r>
      <w:r w:rsidRPr="00A25C41">
        <w:rPr>
          <w:iCs/>
        </w:rPr>
        <w:t xml:space="preserve"> time spent in the progressed disease state) compared to the chlorambucil + </w:t>
      </w:r>
      <w:proofErr w:type="spellStart"/>
      <w:r w:rsidRPr="00A25C41">
        <w:rPr>
          <w:iCs/>
        </w:rPr>
        <w:t>obinutuzumab</w:t>
      </w:r>
      <w:proofErr w:type="spellEnd"/>
      <w:r w:rsidRPr="00A25C41">
        <w:rPr>
          <w:iCs/>
        </w:rPr>
        <w:t xml:space="preserve"> arm</w:t>
      </w:r>
      <w:r w:rsidR="00946180">
        <w:rPr>
          <w:iCs/>
        </w:rPr>
        <w:t xml:space="preserve"> </w:t>
      </w:r>
      <w:r w:rsidR="00946180" w:rsidRPr="00DF44A0">
        <w:t>(as shown in table below)</w:t>
      </w:r>
      <w:r w:rsidR="00394C14" w:rsidRPr="00A25C41">
        <w:rPr>
          <w:iCs/>
        </w:rPr>
        <w:t>.</w:t>
      </w:r>
    </w:p>
    <w:p w14:paraId="186D8017" w14:textId="77777777" w:rsidR="00946180" w:rsidRPr="00DF44A0" w:rsidRDefault="00946180" w:rsidP="009E7F27">
      <w:pPr>
        <w:pStyle w:val="TableFigureCaption"/>
        <w:rPr>
          <w:iCs/>
        </w:rPr>
      </w:pPr>
      <w:r w:rsidRPr="00DF44A0">
        <w:rPr>
          <w:iCs/>
        </w:rPr>
        <w:lastRenderedPageBreak/>
        <w:t xml:space="preserve">Table </w:t>
      </w:r>
      <w:r w:rsidR="00BD60E3">
        <w:rPr>
          <w:iCs/>
          <w:noProof/>
        </w:rPr>
        <w:t>13</w:t>
      </w:r>
      <w:r w:rsidRPr="00DF44A0">
        <w:rPr>
          <w:iCs/>
        </w:rPr>
        <w:t>: Disaggregated summary of cost impacts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Disaggregated summary of cost impacts in the economic evaluation"/>
      </w:tblPr>
      <w:tblGrid>
        <w:gridCol w:w="2545"/>
        <w:gridCol w:w="1618"/>
        <w:gridCol w:w="1618"/>
        <w:gridCol w:w="1618"/>
        <w:gridCol w:w="1618"/>
      </w:tblGrid>
      <w:tr w:rsidR="00946180" w:rsidRPr="00DF44A0" w14:paraId="1B346D3F" w14:textId="77777777" w:rsidTr="00AA628D">
        <w:tc>
          <w:tcPr>
            <w:tcW w:w="1411" w:type="pct"/>
            <w:tcBorders>
              <w:top w:val="single" w:sz="4" w:space="0" w:color="auto"/>
              <w:left w:val="single" w:sz="4" w:space="0" w:color="auto"/>
              <w:bottom w:val="single" w:sz="4" w:space="0" w:color="auto"/>
              <w:right w:val="single" w:sz="4" w:space="0" w:color="auto"/>
            </w:tcBorders>
            <w:vAlign w:val="center"/>
            <w:hideMark/>
          </w:tcPr>
          <w:p w14:paraId="3BD79F63" w14:textId="77777777" w:rsidR="00946180" w:rsidRPr="00DF44A0" w:rsidRDefault="00946180" w:rsidP="00BC3FCA">
            <w:pPr>
              <w:pStyle w:val="TableText"/>
              <w:widowControl w:val="0"/>
              <w:jc w:val="center"/>
              <w:rPr>
                <w:b/>
                <w:iCs/>
              </w:rPr>
            </w:pPr>
            <w:r w:rsidRPr="00DF44A0">
              <w:rPr>
                <w:b/>
                <w:iCs/>
              </w:rPr>
              <w:t>Type of resource item</w:t>
            </w:r>
          </w:p>
        </w:tc>
        <w:tc>
          <w:tcPr>
            <w:tcW w:w="897" w:type="pct"/>
            <w:tcBorders>
              <w:top w:val="single" w:sz="4" w:space="0" w:color="auto"/>
              <w:left w:val="single" w:sz="4" w:space="0" w:color="auto"/>
              <w:bottom w:val="single" w:sz="4" w:space="0" w:color="auto"/>
              <w:right w:val="single" w:sz="4" w:space="0" w:color="auto"/>
            </w:tcBorders>
            <w:vAlign w:val="center"/>
            <w:hideMark/>
          </w:tcPr>
          <w:p w14:paraId="5A0A792C" w14:textId="77777777" w:rsidR="00946180" w:rsidRPr="00DF44A0" w:rsidRDefault="00946180" w:rsidP="00BC3FCA">
            <w:pPr>
              <w:pStyle w:val="TableText"/>
              <w:widowControl w:val="0"/>
              <w:jc w:val="center"/>
              <w:rPr>
                <w:b/>
                <w:iCs/>
              </w:rPr>
            </w:pPr>
            <w:r w:rsidRPr="00DF44A0">
              <w:rPr>
                <w:b/>
                <w:iCs/>
              </w:rPr>
              <w:t>Acalabrutinib</w:t>
            </w:r>
            <w:r w:rsidR="000673ED">
              <w:rPr>
                <w:b/>
                <w:iCs/>
              </w:rPr>
              <w:t xml:space="preserve"> ($)</w:t>
            </w:r>
          </w:p>
        </w:tc>
        <w:tc>
          <w:tcPr>
            <w:tcW w:w="897" w:type="pct"/>
            <w:tcBorders>
              <w:top w:val="single" w:sz="4" w:space="0" w:color="auto"/>
              <w:left w:val="single" w:sz="4" w:space="0" w:color="auto"/>
              <w:bottom w:val="single" w:sz="4" w:space="0" w:color="auto"/>
              <w:right w:val="single" w:sz="4" w:space="0" w:color="auto"/>
            </w:tcBorders>
            <w:vAlign w:val="center"/>
            <w:hideMark/>
          </w:tcPr>
          <w:p w14:paraId="5ED76F83" w14:textId="77777777" w:rsidR="00946180" w:rsidRPr="00DF44A0" w:rsidRDefault="00946180" w:rsidP="00BC3FCA">
            <w:pPr>
              <w:pStyle w:val="TableText"/>
              <w:widowControl w:val="0"/>
              <w:jc w:val="center"/>
              <w:rPr>
                <w:b/>
                <w:iCs/>
              </w:rPr>
            </w:pPr>
            <w:r w:rsidRPr="00DF44A0">
              <w:rPr>
                <w:b/>
                <w:iCs/>
              </w:rPr>
              <w:t xml:space="preserve">Chlorambucil + </w:t>
            </w:r>
            <w:proofErr w:type="spellStart"/>
            <w:r w:rsidRPr="00DF44A0">
              <w:rPr>
                <w:b/>
                <w:iCs/>
              </w:rPr>
              <w:t>obinutuzumab</w:t>
            </w:r>
            <w:proofErr w:type="spellEnd"/>
          </w:p>
        </w:tc>
        <w:tc>
          <w:tcPr>
            <w:tcW w:w="897" w:type="pct"/>
            <w:tcBorders>
              <w:top w:val="single" w:sz="4" w:space="0" w:color="auto"/>
              <w:left w:val="single" w:sz="4" w:space="0" w:color="auto"/>
              <w:right w:val="single" w:sz="4" w:space="0" w:color="auto"/>
            </w:tcBorders>
            <w:vAlign w:val="center"/>
            <w:hideMark/>
          </w:tcPr>
          <w:p w14:paraId="09DDEF53" w14:textId="77777777" w:rsidR="00946180" w:rsidRPr="00DF44A0" w:rsidRDefault="00946180" w:rsidP="00BC3FCA">
            <w:pPr>
              <w:pStyle w:val="TableText"/>
              <w:widowControl w:val="0"/>
              <w:jc w:val="center"/>
              <w:rPr>
                <w:b/>
                <w:iCs/>
              </w:rPr>
            </w:pPr>
            <w:r w:rsidRPr="00DF44A0">
              <w:rPr>
                <w:b/>
                <w:iCs/>
              </w:rPr>
              <w:t>Incremental cost</w:t>
            </w:r>
          </w:p>
        </w:tc>
        <w:tc>
          <w:tcPr>
            <w:tcW w:w="897" w:type="pct"/>
            <w:tcBorders>
              <w:top w:val="single" w:sz="4" w:space="0" w:color="auto"/>
              <w:left w:val="single" w:sz="4" w:space="0" w:color="auto"/>
              <w:right w:val="single" w:sz="4" w:space="0" w:color="auto"/>
            </w:tcBorders>
            <w:vAlign w:val="center"/>
          </w:tcPr>
          <w:p w14:paraId="22330ADC" w14:textId="77777777" w:rsidR="00946180" w:rsidRPr="00DF44A0" w:rsidRDefault="00946180" w:rsidP="00BC3FCA">
            <w:pPr>
              <w:pStyle w:val="TableText"/>
              <w:widowControl w:val="0"/>
              <w:jc w:val="center"/>
              <w:rPr>
                <w:b/>
                <w:iCs/>
              </w:rPr>
            </w:pPr>
            <w:r w:rsidRPr="00DF44A0">
              <w:rPr>
                <w:b/>
                <w:iCs/>
              </w:rPr>
              <w:t xml:space="preserve">% </w:t>
            </w:r>
            <w:proofErr w:type="gramStart"/>
            <w:r w:rsidRPr="00DF44A0">
              <w:rPr>
                <w:b/>
                <w:iCs/>
              </w:rPr>
              <w:t>of</w:t>
            </w:r>
            <w:proofErr w:type="gramEnd"/>
            <w:r w:rsidRPr="00DF44A0">
              <w:rPr>
                <w:b/>
                <w:iCs/>
              </w:rPr>
              <w:t xml:space="preserve"> total incremental cost</w:t>
            </w:r>
          </w:p>
        </w:tc>
      </w:tr>
      <w:tr w:rsidR="00946180" w:rsidRPr="00DF44A0" w14:paraId="264278DA"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454FBCC3" w14:textId="77777777" w:rsidR="00946180" w:rsidRPr="00DF44A0" w:rsidRDefault="00946180" w:rsidP="00BC3FCA">
            <w:pPr>
              <w:pStyle w:val="TableText"/>
              <w:widowControl w:val="0"/>
              <w:rPr>
                <w:iCs/>
              </w:rPr>
            </w:pPr>
            <w:r w:rsidRPr="00DF44A0">
              <w:rPr>
                <w:iCs/>
              </w:rPr>
              <w:t>First-line treatment</w:t>
            </w:r>
          </w:p>
        </w:tc>
        <w:tc>
          <w:tcPr>
            <w:tcW w:w="897" w:type="pct"/>
            <w:tcBorders>
              <w:top w:val="single" w:sz="4" w:space="0" w:color="auto"/>
              <w:left w:val="single" w:sz="4" w:space="0" w:color="auto"/>
              <w:bottom w:val="single" w:sz="4" w:space="0" w:color="auto"/>
              <w:right w:val="single" w:sz="4" w:space="0" w:color="auto"/>
            </w:tcBorders>
            <w:vAlign w:val="center"/>
            <w:hideMark/>
          </w:tcPr>
          <w:p w14:paraId="1F096B7E"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476D94C5" w14:textId="77777777" w:rsidR="00946180" w:rsidRPr="00DF44A0" w:rsidRDefault="00946180" w:rsidP="00BC3FCA">
            <w:pPr>
              <w:pStyle w:val="TableText"/>
              <w:widowControl w:val="0"/>
              <w:jc w:val="center"/>
              <w:rPr>
                <w:iCs/>
              </w:rPr>
            </w:pPr>
            <w:r w:rsidRPr="00DF44A0">
              <w:rPr>
                <w:iCs/>
              </w:rPr>
              <w:t>$19,118</w:t>
            </w:r>
          </w:p>
        </w:tc>
        <w:tc>
          <w:tcPr>
            <w:tcW w:w="897" w:type="pct"/>
            <w:tcBorders>
              <w:top w:val="single" w:sz="4" w:space="0" w:color="auto"/>
              <w:left w:val="single" w:sz="4" w:space="0" w:color="auto"/>
              <w:bottom w:val="single" w:sz="4" w:space="0" w:color="auto"/>
              <w:right w:val="single" w:sz="4" w:space="0" w:color="auto"/>
            </w:tcBorders>
            <w:vAlign w:val="center"/>
            <w:hideMark/>
          </w:tcPr>
          <w:p w14:paraId="51F114CB"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28B797AC" w14:textId="77777777" w:rsidR="00946180" w:rsidRPr="00DF44A0" w:rsidRDefault="00946180" w:rsidP="00BC3FCA">
            <w:pPr>
              <w:pStyle w:val="TableText"/>
              <w:widowControl w:val="0"/>
              <w:jc w:val="center"/>
              <w:rPr>
                <w:iCs/>
              </w:rPr>
            </w:pPr>
            <w:r w:rsidRPr="00DF44A0">
              <w:rPr>
                <w:iCs/>
              </w:rPr>
              <w:t>290.1%</w:t>
            </w:r>
          </w:p>
        </w:tc>
      </w:tr>
      <w:tr w:rsidR="00946180" w:rsidRPr="00DF44A0" w14:paraId="44F6BE41"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5F231517" w14:textId="77777777" w:rsidR="00946180" w:rsidRPr="00DF44A0" w:rsidRDefault="00946180">
            <w:pPr>
              <w:pStyle w:val="TableText"/>
              <w:widowControl w:val="0"/>
              <w:rPr>
                <w:iCs/>
              </w:rPr>
            </w:pPr>
            <w:r w:rsidRPr="00DF44A0">
              <w:rPr>
                <w:iCs/>
              </w:rPr>
              <w:t>TLS prophylaxis</w:t>
            </w:r>
          </w:p>
        </w:tc>
        <w:tc>
          <w:tcPr>
            <w:tcW w:w="897" w:type="pct"/>
            <w:tcBorders>
              <w:top w:val="single" w:sz="4" w:space="0" w:color="auto"/>
              <w:left w:val="single" w:sz="4" w:space="0" w:color="auto"/>
              <w:bottom w:val="single" w:sz="4" w:space="0" w:color="auto"/>
              <w:right w:val="single" w:sz="4" w:space="0" w:color="auto"/>
            </w:tcBorders>
            <w:vAlign w:val="center"/>
            <w:hideMark/>
          </w:tcPr>
          <w:p w14:paraId="5FED01A6"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22652588" w14:textId="77777777" w:rsidR="00946180" w:rsidRPr="00DF44A0" w:rsidRDefault="00946180" w:rsidP="00BC3FCA">
            <w:pPr>
              <w:pStyle w:val="TableText"/>
              <w:widowControl w:val="0"/>
              <w:jc w:val="center"/>
              <w:rPr>
                <w:iCs/>
              </w:rPr>
            </w:pPr>
            <w:r w:rsidRPr="00DF44A0">
              <w:rPr>
                <w:iCs/>
              </w:rPr>
              <w:t>$1,222</w:t>
            </w:r>
          </w:p>
        </w:tc>
        <w:tc>
          <w:tcPr>
            <w:tcW w:w="897" w:type="pct"/>
            <w:tcBorders>
              <w:top w:val="single" w:sz="4" w:space="0" w:color="auto"/>
              <w:left w:val="single" w:sz="4" w:space="0" w:color="auto"/>
              <w:bottom w:val="single" w:sz="4" w:space="0" w:color="auto"/>
              <w:right w:val="single" w:sz="4" w:space="0" w:color="auto"/>
            </w:tcBorders>
            <w:vAlign w:val="center"/>
            <w:hideMark/>
          </w:tcPr>
          <w:p w14:paraId="1D5D9F49"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2BB474EF" w14:textId="77777777" w:rsidR="00946180" w:rsidRPr="00DF44A0" w:rsidRDefault="00946180" w:rsidP="00BC3FCA">
            <w:pPr>
              <w:pStyle w:val="TableText"/>
              <w:widowControl w:val="0"/>
              <w:jc w:val="center"/>
              <w:rPr>
                <w:iCs/>
              </w:rPr>
            </w:pPr>
            <w:r w:rsidRPr="00DF44A0">
              <w:rPr>
                <w:iCs/>
              </w:rPr>
              <w:t>-2.7%</w:t>
            </w:r>
          </w:p>
        </w:tc>
      </w:tr>
      <w:tr w:rsidR="00946180" w:rsidRPr="00DF44A0" w14:paraId="7B68F505"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48ED9DC0" w14:textId="77777777" w:rsidR="00946180" w:rsidRPr="00DF44A0" w:rsidRDefault="00946180" w:rsidP="00BC3FCA">
            <w:pPr>
              <w:pStyle w:val="TableText"/>
              <w:widowControl w:val="0"/>
              <w:rPr>
                <w:iCs/>
              </w:rPr>
            </w:pPr>
            <w:r w:rsidRPr="00DF44A0">
              <w:rPr>
                <w:iCs/>
              </w:rPr>
              <w:t>Pre-medications</w:t>
            </w:r>
          </w:p>
        </w:tc>
        <w:tc>
          <w:tcPr>
            <w:tcW w:w="897" w:type="pct"/>
            <w:tcBorders>
              <w:top w:val="single" w:sz="4" w:space="0" w:color="auto"/>
              <w:left w:val="single" w:sz="4" w:space="0" w:color="auto"/>
              <w:bottom w:val="single" w:sz="4" w:space="0" w:color="auto"/>
              <w:right w:val="single" w:sz="4" w:space="0" w:color="auto"/>
            </w:tcBorders>
            <w:vAlign w:val="center"/>
            <w:hideMark/>
          </w:tcPr>
          <w:p w14:paraId="5EC9BC4B"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7C497883" w14:textId="77777777" w:rsidR="00946180" w:rsidRPr="00DF44A0" w:rsidRDefault="00946180" w:rsidP="00BC3FCA">
            <w:pPr>
              <w:pStyle w:val="TableText"/>
              <w:widowControl w:val="0"/>
              <w:jc w:val="center"/>
              <w:rPr>
                <w:iCs/>
              </w:rPr>
            </w:pPr>
            <w:r w:rsidRPr="00DF44A0">
              <w:rPr>
                <w:iCs/>
              </w:rPr>
              <w:t>$35</w:t>
            </w:r>
          </w:p>
        </w:tc>
        <w:tc>
          <w:tcPr>
            <w:tcW w:w="897" w:type="pct"/>
            <w:tcBorders>
              <w:top w:val="single" w:sz="4" w:space="0" w:color="auto"/>
              <w:left w:val="single" w:sz="4" w:space="0" w:color="auto"/>
              <w:bottom w:val="single" w:sz="4" w:space="0" w:color="auto"/>
              <w:right w:val="single" w:sz="4" w:space="0" w:color="auto"/>
            </w:tcBorders>
            <w:vAlign w:val="center"/>
            <w:hideMark/>
          </w:tcPr>
          <w:p w14:paraId="29A12FAE"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27AEE3E1" w14:textId="77777777" w:rsidR="00946180" w:rsidRPr="00DF44A0" w:rsidRDefault="00946180" w:rsidP="00BC3FCA">
            <w:pPr>
              <w:pStyle w:val="TableText"/>
              <w:widowControl w:val="0"/>
              <w:jc w:val="center"/>
              <w:rPr>
                <w:iCs/>
              </w:rPr>
            </w:pPr>
            <w:r w:rsidRPr="00DF44A0">
              <w:rPr>
                <w:iCs/>
              </w:rPr>
              <w:t>-0.1%</w:t>
            </w:r>
          </w:p>
        </w:tc>
      </w:tr>
      <w:tr w:rsidR="00946180" w:rsidRPr="00DF44A0" w14:paraId="7F6CED9F"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048CA932" w14:textId="77777777" w:rsidR="00946180" w:rsidRPr="00DF44A0" w:rsidRDefault="00946180" w:rsidP="00BC3FCA">
            <w:pPr>
              <w:pStyle w:val="TableText"/>
              <w:widowControl w:val="0"/>
              <w:rPr>
                <w:iCs/>
              </w:rPr>
            </w:pPr>
            <w:r w:rsidRPr="00DF44A0">
              <w:rPr>
                <w:iCs/>
              </w:rPr>
              <w:t>First-line treatment administration</w:t>
            </w:r>
          </w:p>
        </w:tc>
        <w:tc>
          <w:tcPr>
            <w:tcW w:w="897" w:type="pct"/>
            <w:tcBorders>
              <w:top w:val="single" w:sz="4" w:space="0" w:color="auto"/>
              <w:left w:val="single" w:sz="4" w:space="0" w:color="auto"/>
              <w:bottom w:val="single" w:sz="4" w:space="0" w:color="auto"/>
              <w:right w:val="single" w:sz="4" w:space="0" w:color="auto"/>
            </w:tcBorders>
            <w:vAlign w:val="center"/>
            <w:hideMark/>
          </w:tcPr>
          <w:p w14:paraId="234397B1"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731F2170" w14:textId="77777777" w:rsidR="00946180" w:rsidRPr="00DF44A0" w:rsidRDefault="00946180" w:rsidP="00BC3FCA">
            <w:pPr>
              <w:pStyle w:val="TableText"/>
              <w:widowControl w:val="0"/>
              <w:jc w:val="center"/>
              <w:rPr>
                <w:iCs/>
              </w:rPr>
            </w:pPr>
            <w:r w:rsidRPr="00DF44A0">
              <w:rPr>
                <w:iCs/>
              </w:rPr>
              <w:t>$2,291</w:t>
            </w:r>
          </w:p>
        </w:tc>
        <w:tc>
          <w:tcPr>
            <w:tcW w:w="897" w:type="pct"/>
            <w:tcBorders>
              <w:top w:val="single" w:sz="4" w:space="0" w:color="auto"/>
              <w:left w:val="single" w:sz="4" w:space="0" w:color="auto"/>
              <w:bottom w:val="single" w:sz="4" w:space="0" w:color="auto"/>
              <w:right w:val="single" w:sz="4" w:space="0" w:color="auto"/>
            </w:tcBorders>
            <w:vAlign w:val="center"/>
            <w:hideMark/>
          </w:tcPr>
          <w:p w14:paraId="0C52B21D"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5B87AFB7" w14:textId="77777777" w:rsidR="00946180" w:rsidRPr="00DF44A0" w:rsidRDefault="00946180" w:rsidP="00BC3FCA">
            <w:pPr>
              <w:pStyle w:val="TableText"/>
              <w:widowControl w:val="0"/>
              <w:jc w:val="center"/>
              <w:rPr>
                <w:iCs/>
              </w:rPr>
            </w:pPr>
            <w:r w:rsidRPr="00DF44A0">
              <w:rPr>
                <w:iCs/>
              </w:rPr>
              <w:t>-5.1%</w:t>
            </w:r>
          </w:p>
        </w:tc>
      </w:tr>
      <w:tr w:rsidR="00946180" w:rsidRPr="00DF44A0" w14:paraId="1F39227C"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10E4ED6B" w14:textId="77777777" w:rsidR="00946180" w:rsidRPr="00DF44A0" w:rsidRDefault="00946180" w:rsidP="00BC3FCA">
            <w:pPr>
              <w:pStyle w:val="TableText"/>
              <w:widowControl w:val="0"/>
              <w:rPr>
                <w:iCs/>
                <w:vertAlign w:val="superscript"/>
              </w:rPr>
            </w:pPr>
            <w:r w:rsidRPr="00DF44A0">
              <w:rPr>
                <w:iCs/>
              </w:rPr>
              <w:t>Subsequent treatment (including administration)</w:t>
            </w:r>
          </w:p>
        </w:tc>
        <w:tc>
          <w:tcPr>
            <w:tcW w:w="897" w:type="pct"/>
            <w:tcBorders>
              <w:top w:val="single" w:sz="4" w:space="0" w:color="auto"/>
              <w:left w:val="single" w:sz="4" w:space="0" w:color="auto"/>
              <w:bottom w:val="single" w:sz="4" w:space="0" w:color="auto"/>
              <w:right w:val="single" w:sz="4" w:space="0" w:color="auto"/>
            </w:tcBorders>
            <w:vAlign w:val="center"/>
            <w:hideMark/>
          </w:tcPr>
          <w:p w14:paraId="3974D0B4"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51775105" w14:textId="77777777" w:rsidR="00946180" w:rsidRPr="00DF44A0" w:rsidRDefault="00946180" w:rsidP="00BC3FCA">
            <w:pPr>
              <w:pStyle w:val="TableText"/>
              <w:widowControl w:val="0"/>
              <w:jc w:val="center"/>
              <w:rPr>
                <w:iCs/>
              </w:rPr>
            </w:pPr>
            <w:r w:rsidRPr="00DF44A0">
              <w:rPr>
                <w:iCs/>
              </w:rPr>
              <w:t>$72,574</w:t>
            </w:r>
          </w:p>
        </w:tc>
        <w:tc>
          <w:tcPr>
            <w:tcW w:w="897" w:type="pct"/>
            <w:tcBorders>
              <w:top w:val="single" w:sz="4" w:space="0" w:color="auto"/>
              <w:left w:val="single" w:sz="4" w:space="0" w:color="auto"/>
              <w:bottom w:val="single" w:sz="4" w:space="0" w:color="auto"/>
              <w:right w:val="single" w:sz="4" w:space="0" w:color="auto"/>
            </w:tcBorders>
            <w:vAlign w:val="center"/>
            <w:hideMark/>
          </w:tcPr>
          <w:p w14:paraId="696C1F88"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740281C4" w14:textId="77777777" w:rsidR="00946180" w:rsidRPr="00DF44A0" w:rsidRDefault="00946180" w:rsidP="00BC3FCA">
            <w:pPr>
              <w:pStyle w:val="TableText"/>
              <w:widowControl w:val="0"/>
              <w:jc w:val="center"/>
              <w:rPr>
                <w:iCs/>
              </w:rPr>
            </w:pPr>
            <w:r w:rsidRPr="00DF44A0">
              <w:rPr>
                <w:iCs/>
              </w:rPr>
              <w:t>-122.1%</w:t>
            </w:r>
          </w:p>
        </w:tc>
      </w:tr>
      <w:tr w:rsidR="00946180" w:rsidRPr="00DF44A0" w14:paraId="69E0FBDD"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6DECA046" w14:textId="77777777" w:rsidR="00946180" w:rsidRPr="00DF44A0" w:rsidRDefault="00946180" w:rsidP="00BC3FCA">
            <w:pPr>
              <w:pStyle w:val="TableText"/>
              <w:widowControl w:val="0"/>
              <w:rPr>
                <w:iCs/>
                <w:vertAlign w:val="superscript"/>
              </w:rPr>
            </w:pPr>
            <w:r w:rsidRPr="00DF44A0">
              <w:rPr>
                <w:iCs/>
              </w:rPr>
              <w:t>Disease management</w:t>
            </w:r>
          </w:p>
        </w:tc>
        <w:tc>
          <w:tcPr>
            <w:tcW w:w="897" w:type="pct"/>
            <w:tcBorders>
              <w:top w:val="single" w:sz="4" w:space="0" w:color="auto"/>
              <w:left w:val="single" w:sz="4" w:space="0" w:color="auto"/>
              <w:bottom w:val="single" w:sz="4" w:space="0" w:color="auto"/>
              <w:right w:val="single" w:sz="4" w:space="0" w:color="auto"/>
            </w:tcBorders>
            <w:vAlign w:val="center"/>
            <w:hideMark/>
          </w:tcPr>
          <w:p w14:paraId="29CD843C"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4C56AD5D" w14:textId="77777777" w:rsidR="00946180" w:rsidRPr="00DF44A0" w:rsidRDefault="00946180" w:rsidP="00BC3FCA">
            <w:pPr>
              <w:pStyle w:val="TableText"/>
              <w:widowControl w:val="0"/>
              <w:jc w:val="center"/>
              <w:rPr>
                <w:iCs/>
              </w:rPr>
            </w:pPr>
            <w:r w:rsidRPr="00DF44A0">
              <w:rPr>
                <w:iCs/>
              </w:rPr>
              <w:t>$42,962</w:t>
            </w:r>
          </w:p>
        </w:tc>
        <w:tc>
          <w:tcPr>
            <w:tcW w:w="897" w:type="pct"/>
            <w:tcBorders>
              <w:top w:val="single" w:sz="4" w:space="0" w:color="auto"/>
              <w:left w:val="single" w:sz="4" w:space="0" w:color="auto"/>
              <w:bottom w:val="single" w:sz="4" w:space="0" w:color="auto"/>
              <w:right w:val="single" w:sz="4" w:space="0" w:color="auto"/>
            </w:tcBorders>
            <w:vAlign w:val="center"/>
            <w:hideMark/>
          </w:tcPr>
          <w:p w14:paraId="3445B223"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70CFAB06" w14:textId="77777777" w:rsidR="00946180" w:rsidRPr="00DF44A0" w:rsidRDefault="00946180" w:rsidP="00BC3FCA">
            <w:pPr>
              <w:pStyle w:val="TableText"/>
              <w:widowControl w:val="0"/>
              <w:jc w:val="center"/>
              <w:rPr>
                <w:iCs/>
              </w:rPr>
            </w:pPr>
            <w:r w:rsidRPr="00DF44A0">
              <w:rPr>
                <w:iCs/>
              </w:rPr>
              <w:t>-55.9%</w:t>
            </w:r>
          </w:p>
        </w:tc>
      </w:tr>
      <w:tr w:rsidR="00946180" w:rsidRPr="00DF44A0" w14:paraId="32637B9B"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772B42B2" w14:textId="77777777" w:rsidR="00946180" w:rsidRPr="00DF44A0" w:rsidRDefault="00946180" w:rsidP="00BC3FCA">
            <w:pPr>
              <w:pStyle w:val="TableText"/>
              <w:widowControl w:val="0"/>
              <w:tabs>
                <w:tab w:val="left" w:pos="735"/>
              </w:tabs>
              <w:rPr>
                <w:iCs/>
              </w:rPr>
            </w:pPr>
            <w:r w:rsidRPr="00DF44A0">
              <w:rPr>
                <w:iCs/>
              </w:rPr>
              <w:t>Adverse events</w:t>
            </w:r>
          </w:p>
        </w:tc>
        <w:tc>
          <w:tcPr>
            <w:tcW w:w="897" w:type="pct"/>
            <w:tcBorders>
              <w:top w:val="single" w:sz="4" w:space="0" w:color="auto"/>
              <w:left w:val="single" w:sz="4" w:space="0" w:color="auto"/>
              <w:bottom w:val="single" w:sz="4" w:space="0" w:color="auto"/>
              <w:right w:val="single" w:sz="4" w:space="0" w:color="auto"/>
            </w:tcBorders>
            <w:vAlign w:val="center"/>
            <w:hideMark/>
          </w:tcPr>
          <w:p w14:paraId="51AA98B4" w14:textId="77777777" w:rsidR="00946180" w:rsidRPr="00BE0CB4" w:rsidRDefault="00BE0CB4" w:rsidP="00BC3FCA">
            <w:pPr>
              <w:pStyle w:val="TableText"/>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18B11CEA" w14:textId="77777777" w:rsidR="00946180" w:rsidRPr="00DF44A0" w:rsidRDefault="00946180" w:rsidP="00BC3FCA">
            <w:pPr>
              <w:pStyle w:val="TableText"/>
              <w:widowControl w:val="0"/>
              <w:jc w:val="center"/>
              <w:rPr>
                <w:iCs/>
              </w:rPr>
            </w:pPr>
            <w:r w:rsidRPr="00DF44A0">
              <w:rPr>
                <w:iCs/>
              </w:rPr>
              <w:t>$3,562</w:t>
            </w:r>
          </w:p>
        </w:tc>
        <w:tc>
          <w:tcPr>
            <w:tcW w:w="897" w:type="pct"/>
            <w:tcBorders>
              <w:top w:val="single" w:sz="4" w:space="0" w:color="auto"/>
              <w:left w:val="single" w:sz="4" w:space="0" w:color="auto"/>
              <w:bottom w:val="single" w:sz="4" w:space="0" w:color="auto"/>
              <w:right w:val="single" w:sz="4" w:space="0" w:color="auto"/>
            </w:tcBorders>
            <w:vAlign w:val="center"/>
            <w:hideMark/>
          </w:tcPr>
          <w:p w14:paraId="5DAF0995" w14:textId="77777777" w:rsidR="00946180" w:rsidRPr="00BE0CB4" w:rsidRDefault="000673ED">
            <w:pPr>
              <w:pStyle w:val="TableText"/>
              <w:widowControl w:val="0"/>
              <w:jc w:val="center"/>
              <w:rPr>
                <w:iCs/>
              </w:rPr>
            </w:pPr>
            <w:r>
              <w:rPr>
                <w:iCs/>
              </w:rPr>
              <w:t>-</w:t>
            </w:r>
            <w:r w:rsidR="00BE0CB4">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1F0F8B66" w14:textId="77777777" w:rsidR="00946180" w:rsidRPr="00DF44A0" w:rsidRDefault="00946180" w:rsidP="00BC3FCA">
            <w:pPr>
              <w:pStyle w:val="TableText"/>
              <w:widowControl w:val="0"/>
              <w:jc w:val="center"/>
              <w:rPr>
                <w:iCs/>
              </w:rPr>
            </w:pPr>
            <w:r w:rsidRPr="00DF44A0">
              <w:rPr>
                <w:iCs/>
              </w:rPr>
              <w:t>-4.1%</w:t>
            </w:r>
          </w:p>
        </w:tc>
      </w:tr>
      <w:tr w:rsidR="00946180" w:rsidRPr="00DF44A0" w14:paraId="74A558AE"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2D89C1F3" w14:textId="77777777" w:rsidR="00946180" w:rsidRPr="00DF44A0" w:rsidRDefault="00946180" w:rsidP="00AA628D">
            <w:pPr>
              <w:pStyle w:val="TableText"/>
              <w:keepNext w:val="0"/>
              <w:widowControl w:val="0"/>
              <w:rPr>
                <w:iCs/>
              </w:rPr>
            </w:pPr>
            <w:r w:rsidRPr="00DF44A0">
              <w:rPr>
                <w:iCs/>
              </w:rPr>
              <w:t>Terminal care</w:t>
            </w:r>
          </w:p>
        </w:tc>
        <w:tc>
          <w:tcPr>
            <w:tcW w:w="897" w:type="pct"/>
            <w:tcBorders>
              <w:top w:val="single" w:sz="4" w:space="0" w:color="auto"/>
              <w:left w:val="single" w:sz="4" w:space="0" w:color="auto"/>
              <w:bottom w:val="single" w:sz="4" w:space="0" w:color="auto"/>
              <w:right w:val="single" w:sz="4" w:space="0" w:color="auto"/>
            </w:tcBorders>
            <w:vAlign w:val="center"/>
            <w:hideMark/>
          </w:tcPr>
          <w:p w14:paraId="18E25C8C" w14:textId="77777777" w:rsidR="00946180" w:rsidRPr="00BE0CB4" w:rsidRDefault="00BE0CB4" w:rsidP="00AA628D">
            <w:pPr>
              <w:pStyle w:val="TableText"/>
              <w:keepNext w:val="0"/>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3F053576" w14:textId="77777777" w:rsidR="00946180" w:rsidRPr="00DF44A0" w:rsidRDefault="00946180" w:rsidP="00AA628D">
            <w:pPr>
              <w:pStyle w:val="TableText"/>
              <w:keepNext w:val="0"/>
              <w:widowControl w:val="0"/>
              <w:jc w:val="center"/>
              <w:rPr>
                <w:iCs/>
              </w:rPr>
            </w:pPr>
            <w:r w:rsidRPr="00DF44A0">
              <w:rPr>
                <w:iCs/>
              </w:rPr>
              <w:t>$11,014</w:t>
            </w:r>
          </w:p>
        </w:tc>
        <w:tc>
          <w:tcPr>
            <w:tcW w:w="897" w:type="pct"/>
            <w:tcBorders>
              <w:top w:val="single" w:sz="4" w:space="0" w:color="auto"/>
              <w:left w:val="single" w:sz="4" w:space="0" w:color="auto"/>
              <w:bottom w:val="single" w:sz="4" w:space="0" w:color="auto"/>
              <w:right w:val="single" w:sz="4" w:space="0" w:color="auto"/>
            </w:tcBorders>
            <w:vAlign w:val="center"/>
            <w:hideMark/>
          </w:tcPr>
          <w:p w14:paraId="45E0B819" w14:textId="77777777" w:rsidR="00946180" w:rsidRPr="00BE0CB4" w:rsidRDefault="00BE0CB4" w:rsidP="00AA628D">
            <w:pPr>
              <w:pStyle w:val="TableText"/>
              <w:keepNext w:val="0"/>
              <w:widowControl w:val="0"/>
              <w:jc w:val="center"/>
              <w:rPr>
                <w:iCs/>
                <w:highlight w:val="black"/>
              </w:rPr>
            </w:pPr>
            <w:r>
              <w:rPr>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vAlign w:val="center"/>
            <w:hideMark/>
          </w:tcPr>
          <w:p w14:paraId="590374D1" w14:textId="77777777" w:rsidR="00946180" w:rsidRPr="00DF44A0" w:rsidRDefault="00946180" w:rsidP="00AA628D">
            <w:pPr>
              <w:pStyle w:val="TableText"/>
              <w:keepNext w:val="0"/>
              <w:widowControl w:val="0"/>
              <w:jc w:val="center"/>
              <w:rPr>
                <w:iCs/>
              </w:rPr>
            </w:pPr>
            <w:r w:rsidRPr="00DF44A0">
              <w:rPr>
                <w:iCs/>
              </w:rPr>
              <w:t>0.0%</w:t>
            </w:r>
          </w:p>
        </w:tc>
      </w:tr>
      <w:tr w:rsidR="00946180" w:rsidRPr="00DF44A0" w14:paraId="3EE13C23" w14:textId="77777777" w:rsidTr="00AA628D">
        <w:tc>
          <w:tcPr>
            <w:tcW w:w="1411" w:type="pct"/>
            <w:tcBorders>
              <w:top w:val="single" w:sz="4" w:space="0" w:color="auto"/>
              <w:left w:val="single" w:sz="4" w:space="0" w:color="auto"/>
              <w:bottom w:val="single" w:sz="4" w:space="0" w:color="auto"/>
              <w:right w:val="single" w:sz="4" w:space="0" w:color="auto"/>
            </w:tcBorders>
            <w:hideMark/>
          </w:tcPr>
          <w:p w14:paraId="0647F47D" w14:textId="77777777" w:rsidR="00946180" w:rsidRPr="00DF44A0" w:rsidRDefault="00946180" w:rsidP="00AA628D">
            <w:pPr>
              <w:pStyle w:val="TableText"/>
              <w:keepNext w:val="0"/>
              <w:widowControl w:val="0"/>
              <w:rPr>
                <w:b/>
                <w:iCs/>
              </w:rPr>
            </w:pPr>
            <w:r w:rsidRPr="00DF44A0">
              <w:rPr>
                <w:b/>
                <w:iCs/>
              </w:rPr>
              <w:t>Total costs</w:t>
            </w:r>
          </w:p>
        </w:tc>
        <w:tc>
          <w:tcPr>
            <w:tcW w:w="897" w:type="pct"/>
            <w:tcBorders>
              <w:top w:val="single" w:sz="4" w:space="0" w:color="auto"/>
              <w:left w:val="single" w:sz="4" w:space="0" w:color="auto"/>
              <w:bottom w:val="single" w:sz="4" w:space="0" w:color="auto"/>
              <w:right w:val="single" w:sz="4" w:space="0" w:color="auto"/>
            </w:tcBorders>
            <w:hideMark/>
          </w:tcPr>
          <w:p w14:paraId="117B1AD5" w14:textId="77777777" w:rsidR="00946180" w:rsidRPr="00BE0CB4" w:rsidRDefault="00BE0CB4" w:rsidP="00AA628D">
            <w:pPr>
              <w:pStyle w:val="TableText"/>
              <w:keepNext w:val="0"/>
              <w:widowControl w:val="0"/>
              <w:jc w:val="center"/>
              <w:rPr>
                <w:b/>
                <w:bCs w:val="0"/>
                <w:iCs/>
                <w:highlight w:val="black"/>
              </w:rPr>
            </w:pPr>
            <w:r>
              <w:rPr>
                <w:b/>
                <w:bCs w:val="0"/>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hideMark/>
          </w:tcPr>
          <w:p w14:paraId="3AC1126E" w14:textId="77777777" w:rsidR="00946180" w:rsidRPr="00DF44A0" w:rsidRDefault="00946180" w:rsidP="00AA628D">
            <w:pPr>
              <w:pStyle w:val="TableText"/>
              <w:keepNext w:val="0"/>
              <w:widowControl w:val="0"/>
              <w:jc w:val="center"/>
              <w:rPr>
                <w:b/>
                <w:bCs w:val="0"/>
                <w:iCs/>
              </w:rPr>
            </w:pPr>
            <w:r w:rsidRPr="00DF44A0">
              <w:rPr>
                <w:b/>
                <w:bCs w:val="0"/>
                <w:iCs/>
              </w:rPr>
              <w:t>$152,778</w:t>
            </w:r>
          </w:p>
        </w:tc>
        <w:tc>
          <w:tcPr>
            <w:tcW w:w="897" w:type="pct"/>
            <w:tcBorders>
              <w:top w:val="single" w:sz="4" w:space="0" w:color="auto"/>
              <w:left w:val="single" w:sz="4" w:space="0" w:color="auto"/>
              <w:bottom w:val="single" w:sz="4" w:space="0" w:color="auto"/>
              <w:right w:val="single" w:sz="4" w:space="0" w:color="auto"/>
            </w:tcBorders>
            <w:hideMark/>
          </w:tcPr>
          <w:p w14:paraId="1BECD084" w14:textId="77777777" w:rsidR="00946180" w:rsidRPr="00BE0CB4" w:rsidRDefault="00BE0CB4" w:rsidP="00AA628D">
            <w:pPr>
              <w:pStyle w:val="TableText"/>
              <w:keepNext w:val="0"/>
              <w:widowControl w:val="0"/>
              <w:jc w:val="center"/>
              <w:rPr>
                <w:b/>
                <w:bCs w:val="0"/>
                <w:iCs/>
                <w:highlight w:val="black"/>
              </w:rPr>
            </w:pPr>
            <w:r>
              <w:rPr>
                <w:b/>
                <w:bCs w:val="0"/>
                <w:iCs/>
                <w:noProof/>
                <w:color w:val="000000"/>
                <w:highlight w:val="black"/>
              </w:rPr>
              <w:t>'''''''''''''''</w:t>
            </w:r>
          </w:p>
        </w:tc>
        <w:tc>
          <w:tcPr>
            <w:tcW w:w="897" w:type="pct"/>
            <w:tcBorders>
              <w:top w:val="single" w:sz="4" w:space="0" w:color="auto"/>
              <w:left w:val="single" w:sz="4" w:space="0" w:color="auto"/>
              <w:bottom w:val="single" w:sz="4" w:space="0" w:color="auto"/>
              <w:right w:val="single" w:sz="4" w:space="0" w:color="auto"/>
            </w:tcBorders>
            <w:hideMark/>
          </w:tcPr>
          <w:p w14:paraId="67082786" w14:textId="77777777" w:rsidR="00946180" w:rsidRPr="00DF44A0" w:rsidRDefault="00946180" w:rsidP="00AA628D">
            <w:pPr>
              <w:pStyle w:val="TableText"/>
              <w:keepNext w:val="0"/>
              <w:widowControl w:val="0"/>
              <w:jc w:val="center"/>
              <w:rPr>
                <w:b/>
                <w:bCs w:val="0"/>
                <w:iCs/>
              </w:rPr>
            </w:pPr>
            <w:r w:rsidRPr="00DF44A0">
              <w:rPr>
                <w:b/>
                <w:bCs w:val="0"/>
                <w:iCs/>
              </w:rPr>
              <w:t>100.0%</w:t>
            </w:r>
          </w:p>
        </w:tc>
      </w:tr>
    </w:tbl>
    <w:p w14:paraId="61CCD93D" w14:textId="77777777" w:rsidR="00946180" w:rsidRPr="00DF44A0" w:rsidRDefault="00946180" w:rsidP="00946180">
      <w:pPr>
        <w:pStyle w:val="TableFigureFooter"/>
        <w:rPr>
          <w:iCs/>
        </w:rPr>
      </w:pPr>
      <w:r w:rsidRPr="00DF44A0">
        <w:rPr>
          <w:iCs/>
        </w:rPr>
        <w:t>Source: the resubmission.</w:t>
      </w:r>
    </w:p>
    <w:p w14:paraId="0AB6E0CA" w14:textId="77777777" w:rsidR="00946180" w:rsidRPr="00DF44A0" w:rsidRDefault="00946180" w:rsidP="00946180">
      <w:pPr>
        <w:pStyle w:val="TableFigureFooter"/>
        <w:rPr>
          <w:iCs/>
        </w:rPr>
      </w:pPr>
      <w:r w:rsidRPr="00DF44A0">
        <w:rPr>
          <w:iCs/>
        </w:rPr>
        <w:t>TLS, tumour lysis syndrome.</w:t>
      </w:r>
    </w:p>
    <w:p w14:paraId="24DA60E1" w14:textId="77777777" w:rsidR="00AE5810" w:rsidRPr="00191822" w:rsidRDefault="00382070" w:rsidP="00BB00B3">
      <w:pPr>
        <w:pStyle w:val="ExecSumBodyText"/>
      </w:pPr>
      <w:r w:rsidRPr="00191822">
        <w:t xml:space="preserve">The results of </w:t>
      </w:r>
      <w:r w:rsidR="0005574C" w:rsidRPr="00191822">
        <w:t>key</w:t>
      </w:r>
      <w:r w:rsidR="00500FAB" w:rsidRPr="00191822">
        <w:t xml:space="preserve"> </w:t>
      </w:r>
      <w:r w:rsidRPr="00191822">
        <w:t xml:space="preserve">sensitivity analyses presented in the resubmission </w:t>
      </w:r>
      <w:r w:rsidRPr="00A25C41">
        <w:rPr>
          <w:iCs/>
        </w:rPr>
        <w:t xml:space="preserve">and conducted during the evaluation </w:t>
      </w:r>
      <w:r w:rsidRPr="00191822">
        <w:t>are summarised in the table below.</w:t>
      </w:r>
    </w:p>
    <w:p w14:paraId="68C353C1" w14:textId="77777777" w:rsidR="00382070" w:rsidRPr="00191822" w:rsidRDefault="004026AA" w:rsidP="004026AA">
      <w:pPr>
        <w:pStyle w:val="TableFigureCaption"/>
        <w:rPr>
          <w:rStyle w:val="CommentReference"/>
          <w:b w:val="0"/>
          <w:sz w:val="20"/>
        </w:rPr>
      </w:pPr>
      <w:bookmarkStart w:id="49" w:name="_Ref84919373"/>
      <w:bookmarkStart w:id="50" w:name="_Hlk84944027"/>
      <w:r>
        <w:lastRenderedPageBreak/>
        <w:t xml:space="preserve">Table </w:t>
      </w:r>
      <w:r w:rsidR="00BD60E3">
        <w:rPr>
          <w:noProof/>
        </w:rPr>
        <w:t>14</w:t>
      </w:r>
      <w:bookmarkEnd w:id="49"/>
      <w:r w:rsidR="00382070" w:rsidRPr="00191822">
        <w:rPr>
          <w:rStyle w:val="CommentReference"/>
          <w:sz w:val="20"/>
        </w:rPr>
        <w:t>:  Results of sensitivity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Results of sensitivity analyses"/>
      </w:tblPr>
      <w:tblGrid>
        <w:gridCol w:w="4326"/>
        <w:gridCol w:w="1688"/>
        <w:gridCol w:w="1688"/>
        <w:gridCol w:w="1315"/>
      </w:tblGrid>
      <w:tr w:rsidR="00382070" w:rsidRPr="00191822" w14:paraId="1950C656" w14:textId="77777777" w:rsidTr="007A6E0B">
        <w:trPr>
          <w:cantSplit/>
          <w:tblHeader/>
        </w:trPr>
        <w:tc>
          <w:tcPr>
            <w:tcW w:w="4334" w:type="dxa"/>
            <w:tcBorders>
              <w:top w:val="single" w:sz="4" w:space="0" w:color="auto"/>
              <w:left w:val="single" w:sz="4" w:space="0" w:color="auto"/>
              <w:bottom w:val="single" w:sz="4" w:space="0" w:color="auto"/>
              <w:right w:val="single" w:sz="4" w:space="0" w:color="auto"/>
            </w:tcBorders>
            <w:hideMark/>
          </w:tcPr>
          <w:p w14:paraId="2870FFE9" w14:textId="77777777" w:rsidR="00382070" w:rsidRPr="00191822" w:rsidRDefault="00382070" w:rsidP="00530CFC">
            <w:pPr>
              <w:pStyle w:val="Tabletext0"/>
              <w:keepNext/>
              <w:tabs>
                <w:tab w:val="left" w:pos="142"/>
              </w:tabs>
              <w:rPr>
                <w:szCs w:val="22"/>
              </w:rPr>
            </w:pPr>
            <w:r w:rsidRPr="00191822">
              <w:rPr>
                <w:b/>
              </w:rPr>
              <w:t>Analyses</w:t>
            </w:r>
          </w:p>
        </w:tc>
        <w:tc>
          <w:tcPr>
            <w:tcW w:w="1690" w:type="dxa"/>
            <w:tcBorders>
              <w:top w:val="single" w:sz="4" w:space="0" w:color="auto"/>
              <w:left w:val="single" w:sz="4" w:space="0" w:color="auto"/>
              <w:bottom w:val="single" w:sz="4" w:space="0" w:color="auto"/>
              <w:right w:val="single" w:sz="4" w:space="0" w:color="auto"/>
            </w:tcBorders>
            <w:hideMark/>
          </w:tcPr>
          <w:p w14:paraId="12165D99" w14:textId="77777777" w:rsidR="00382070" w:rsidRPr="00191822" w:rsidRDefault="00382070" w:rsidP="00530CFC">
            <w:pPr>
              <w:pStyle w:val="Tabletext0"/>
              <w:keepNext/>
              <w:jc w:val="center"/>
              <w:rPr>
                <w:b/>
              </w:rPr>
            </w:pPr>
            <w:r w:rsidRPr="00191822">
              <w:rPr>
                <w:b/>
              </w:rPr>
              <w:t>Incremental cost</w:t>
            </w:r>
            <w:r w:rsidR="000673ED">
              <w:rPr>
                <w:b/>
              </w:rPr>
              <w:t xml:space="preserve"> ($)</w:t>
            </w:r>
          </w:p>
        </w:tc>
        <w:tc>
          <w:tcPr>
            <w:tcW w:w="1690" w:type="dxa"/>
            <w:tcBorders>
              <w:top w:val="single" w:sz="4" w:space="0" w:color="auto"/>
              <w:left w:val="single" w:sz="4" w:space="0" w:color="auto"/>
              <w:bottom w:val="single" w:sz="4" w:space="0" w:color="auto"/>
              <w:right w:val="single" w:sz="4" w:space="0" w:color="auto"/>
            </w:tcBorders>
            <w:hideMark/>
          </w:tcPr>
          <w:p w14:paraId="7F1162C9" w14:textId="77777777" w:rsidR="00382070" w:rsidRPr="00191822" w:rsidRDefault="00382070" w:rsidP="00530CFC">
            <w:pPr>
              <w:pStyle w:val="Tabletext0"/>
              <w:keepNext/>
              <w:jc w:val="center"/>
              <w:rPr>
                <w:b/>
              </w:rPr>
            </w:pPr>
            <w:r w:rsidRPr="00191822">
              <w:rPr>
                <w:b/>
              </w:rPr>
              <w:t>Incremental QALY</w:t>
            </w:r>
          </w:p>
        </w:tc>
        <w:tc>
          <w:tcPr>
            <w:tcW w:w="1315" w:type="dxa"/>
            <w:tcBorders>
              <w:top w:val="single" w:sz="4" w:space="0" w:color="auto"/>
              <w:left w:val="single" w:sz="4" w:space="0" w:color="auto"/>
              <w:bottom w:val="single" w:sz="4" w:space="0" w:color="auto"/>
              <w:right w:val="single" w:sz="4" w:space="0" w:color="auto"/>
            </w:tcBorders>
            <w:hideMark/>
          </w:tcPr>
          <w:p w14:paraId="5907BFAA" w14:textId="77777777" w:rsidR="00382070" w:rsidRPr="00191822" w:rsidRDefault="00382070" w:rsidP="00530CFC">
            <w:pPr>
              <w:pStyle w:val="Tabletext0"/>
              <w:keepNext/>
              <w:jc w:val="center"/>
              <w:rPr>
                <w:b/>
              </w:rPr>
            </w:pPr>
            <w:r w:rsidRPr="00191822">
              <w:rPr>
                <w:b/>
              </w:rPr>
              <w:t>ICER</w:t>
            </w:r>
          </w:p>
        </w:tc>
      </w:tr>
      <w:tr w:rsidR="00382070" w:rsidRPr="00191822" w14:paraId="6C13FEBE"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4AD58218" w14:textId="77777777" w:rsidR="00382070" w:rsidRPr="00191822" w:rsidRDefault="00382070" w:rsidP="00530CFC">
            <w:pPr>
              <w:pStyle w:val="Tabletext0"/>
              <w:keepNext/>
              <w:tabs>
                <w:tab w:val="left" w:pos="142"/>
              </w:tabs>
              <w:rPr>
                <w:b/>
                <w:iCs/>
                <w:vertAlign w:val="superscript"/>
              </w:rPr>
            </w:pPr>
            <w:r w:rsidRPr="00191822">
              <w:rPr>
                <w:b/>
                <w:iCs/>
              </w:rPr>
              <w:t>Base case</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BECBD0A" w14:textId="77777777" w:rsidR="00382070" w:rsidRPr="00BE0CB4" w:rsidRDefault="00BE0CB4" w:rsidP="00530CFC">
            <w:pPr>
              <w:pStyle w:val="Tabletext0"/>
              <w:keepNext/>
              <w:jc w:val="center"/>
              <w:rPr>
                <w:b/>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41D1F2B" w14:textId="77777777" w:rsidR="00382070" w:rsidRPr="00191822" w:rsidRDefault="00382070" w:rsidP="00530CFC">
            <w:pPr>
              <w:pStyle w:val="Tabletext0"/>
              <w:keepNext/>
              <w:jc w:val="center"/>
              <w:rPr>
                <w:b/>
                <w:iCs/>
              </w:rPr>
            </w:pPr>
            <w:r w:rsidRPr="00191822">
              <w:rPr>
                <w:szCs w:val="20"/>
              </w:rPr>
              <w:t>0.73</w:t>
            </w:r>
          </w:p>
        </w:tc>
        <w:tc>
          <w:tcPr>
            <w:tcW w:w="1315" w:type="dxa"/>
            <w:tcBorders>
              <w:top w:val="single" w:sz="4" w:space="0" w:color="auto"/>
              <w:left w:val="single" w:sz="4" w:space="0" w:color="auto"/>
              <w:bottom w:val="single" w:sz="4" w:space="0" w:color="auto"/>
              <w:right w:val="single" w:sz="4" w:space="0" w:color="auto"/>
            </w:tcBorders>
            <w:vAlign w:val="center"/>
            <w:hideMark/>
          </w:tcPr>
          <w:p w14:paraId="2C419C40" w14:textId="77777777" w:rsidR="00382070" w:rsidRPr="00191822" w:rsidRDefault="00BE0CB4" w:rsidP="00530CFC">
            <w:pPr>
              <w:pStyle w:val="Tabletext0"/>
              <w:keepNext/>
              <w:jc w:val="center"/>
              <w:rPr>
                <w:b/>
                <w:iCs/>
              </w:rPr>
            </w:pPr>
            <w:r>
              <w:rPr>
                <w:b/>
                <w:noProof/>
                <w:color w:val="000000"/>
                <w:szCs w:val="20"/>
                <w:highlight w:val="black"/>
              </w:rPr>
              <w:t>'''''''''''''''</w:t>
            </w:r>
            <w:r w:rsidR="000673ED">
              <w:rPr>
                <w:iCs/>
                <w:szCs w:val="20"/>
                <w:vertAlign w:val="superscript"/>
              </w:rPr>
              <w:t>1</w:t>
            </w:r>
          </w:p>
        </w:tc>
      </w:tr>
      <w:tr w:rsidR="00382070" w:rsidRPr="00191822" w14:paraId="3CDCD94A"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hideMark/>
          </w:tcPr>
          <w:p w14:paraId="5620A167" w14:textId="77777777" w:rsidR="00382070" w:rsidRPr="00191822" w:rsidRDefault="00382070" w:rsidP="00530CFC">
            <w:pPr>
              <w:pStyle w:val="Tabletext0"/>
              <w:keepNext/>
              <w:rPr>
                <w:b/>
              </w:rPr>
            </w:pPr>
            <w:r w:rsidRPr="00191822">
              <w:rPr>
                <w:b/>
              </w:rPr>
              <w:t>Time horizon (base case 15 years)</w:t>
            </w:r>
          </w:p>
        </w:tc>
      </w:tr>
      <w:tr w:rsidR="00382070" w:rsidRPr="00191822" w14:paraId="1DF0C43C"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7F88C2CC" w14:textId="77777777" w:rsidR="00382070" w:rsidRPr="00EB7EA3" w:rsidRDefault="00382070">
            <w:pPr>
              <w:pStyle w:val="Tabletext0"/>
              <w:keepNext/>
              <w:ind w:left="142" w:hanging="108"/>
              <w:rPr>
                <w:iCs/>
                <w:vertAlign w:val="superscript"/>
              </w:rPr>
            </w:pPr>
            <w:r w:rsidRPr="00191822">
              <w:rPr>
                <w:iCs/>
                <w:szCs w:val="20"/>
              </w:rPr>
              <w:t>10 years</w:t>
            </w:r>
          </w:p>
        </w:tc>
        <w:tc>
          <w:tcPr>
            <w:tcW w:w="1690" w:type="dxa"/>
            <w:tcBorders>
              <w:top w:val="single" w:sz="4" w:space="0" w:color="auto"/>
              <w:left w:val="single" w:sz="4" w:space="0" w:color="auto"/>
              <w:bottom w:val="single" w:sz="4" w:space="0" w:color="auto"/>
              <w:right w:val="single" w:sz="4" w:space="0" w:color="auto"/>
            </w:tcBorders>
          </w:tcPr>
          <w:p w14:paraId="3CA600EC" w14:textId="77777777" w:rsidR="00382070" w:rsidRPr="00BE0CB4" w:rsidRDefault="00BE0CB4" w:rsidP="00530CFC">
            <w:pPr>
              <w:pStyle w:val="Tabletext0"/>
              <w:keepNext/>
              <w:jc w:val="center"/>
              <w:rPr>
                <w:i/>
                <w:highlight w:val="black"/>
              </w:rPr>
            </w:pPr>
            <w:r>
              <w:rPr>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477E3E77" w14:textId="77777777" w:rsidR="00382070" w:rsidRPr="00191822" w:rsidRDefault="00382070" w:rsidP="00530CFC">
            <w:pPr>
              <w:pStyle w:val="Tabletext0"/>
              <w:keepNext/>
              <w:jc w:val="center"/>
              <w:rPr>
                <w:i/>
              </w:rPr>
            </w:pPr>
            <w:r w:rsidRPr="00191822">
              <w:t>0.54</w:t>
            </w:r>
          </w:p>
        </w:tc>
        <w:tc>
          <w:tcPr>
            <w:tcW w:w="1315" w:type="dxa"/>
            <w:tcBorders>
              <w:top w:val="single" w:sz="4" w:space="0" w:color="auto"/>
              <w:left w:val="single" w:sz="4" w:space="0" w:color="auto"/>
              <w:bottom w:val="single" w:sz="4" w:space="0" w:color="auto"/>
              <w:right w:val="single" w:sz="4" w:space="0" w:color="auto"/>
            </w:tcBorders>
          </w:tcPr>
          <w:p w14:paraId="512F482D" w14:textId="77777777" w:rsidR="00382070" w:rsidRPr="00BE0CB4" w:rsidRDefault="00BE0CB4" w:rsidP="00530CFC">
            <w:pPr>
              <w:pStyle w:val="Tabletext0"/>
              <w:keepNext/>
              <w:jc w:val="center"/>
              <w:rPr>
                <w:i/>
              </w:rPr>
            </w:pPr>
            <w:r>
              <w:rPr>
                <w:noProof/>
                <w:color w:val="000000"/>
                <w:highlight w:val="black"/>
              </w:rPr>
              <w:t>'''''''''''''''''''''</w:t>
            </w:r>
            <w:r w:rsidR="006A5D64">
              <w:rPr>
                <w:iCs/>
                <w:szCs w:val="20"/>
                <w:vertAlign w:val="superscript"/>
              </w:rPr>
              <w:t>2</w:t>
            </w:r>
          </w:p>
        </w:tc>
      </w:tr>
      <w:tr w:rsidR="00382070" w:rsidRPr="00191822" w14:paraId="78933E63"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38A4FC20" w14:textId="77777777" w:rsidR="00382070" w:rsidRPr="00191822" w:rsidRDefault="00382070" w:rsidP="00530CFC">
            <w:pPr>
              <w:pStyle w:val="Tabletext0"/>
              <w:keepNext/>
              <w:tabs>
                <w:tab w:val="left" w:pos="142"/>
              </w:tabs>
              <w:ind w:left="142" w:hanging="108"/>
              <w:rPr>
                <w:szCs w:val="20"/>
              </w:rPr>
            </w:pPr>
            <w:r w:rsidRPr="00191822">
              <w:rPr>
                <w:szCs w:val="20"/>
              </w:rPr>
              <w:t>20 years</w:t>
            </w:r>
          </w:p>
        </w:tc>
        <w:tc>
          <w:tcPr>
            <w:tcW w:w="1690" w:type="dxa"/>
            <w:tcBorders>
              <w:top w:val="single" w:sz="4" w:space="0" w:color="auto"/>
              <w:left w:val="single" w:sz="4" w:space="0" w:color="auto"/>
              <w:bottom w:val="single" w:sz="4" w:space="0" w:color="auto"/>
              <w:right w:val="single" w:sz="4" w:space="0" w:color="auto"/>
            </w:tcBorders>
          </w:tcPr>
          <w:p w14:paraId="2C6938A9" w14:textId="77777777" w:rsidR="00382070" w:rsidRPr="00BE0CB4" w:rsidRDefault="00BE0CB4" w:rsidP="00530CFC">
            <w:pPr>
              <w:pStyle w:val="Tabletext0"/>
              <w:keepNext/>
              <w:jc w:val="center"/>
              <w:rPr>
                <w:i/>
                <w:szCs w:val="22"/>
                <w:highlight w:val="black"/>
              </w:rPr>
            </w:pPr>
            <w:r>
              <w:rPr>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5BAF677C" w14:textId="77777777" w:rsidR="00382070" w:rsidRPr="00191822" w:rsidRDefault="00382070" w:rsidP="00530CFC">
            <w:pPr>
              <w:pStyle w:val="Tabletext0"/>
              <w:keepNext/>
              <w:jc w:val="center"/>
              <w:rPr>
                <w:i/>
              </w:rPr>
            </w:pPr>
            <w:r w:rsidRPr="00191822">
              <w:t>0.84</w:t>
            </w:r>
          </w:p>
        </w:tc>
        <w:tc>
          <w:tcPr>
            <w:tcW w:w="1315" w:type="dxa"/>
            <w:tcBorders>
              <w:top w:val="single" w:sz="4" w:space="0" w:color="auto"/>
              <w:left w:val="single" w:sz="4" w:space="0" w:color="auto"/>
              <w:bottom w:val="single" w:sz="4" w:space="0" w:color="auto"/>
              <w:right w:val="single" w:sz="4" w:space="0" w:color="auto"/>
            </w:tcBorders>
          </w:tcPr>
          <w:p w14:paraId="7321F3CF" w14:textId="77777777" w:rsidR="00382070" w:rsidRPr="00BE0CB4" w:rsidRDefault="00BE0CB4" w:rsidP="00530CFC">
            <w:pPr>
              <w:pStyle w:val="Tabletext0"/>
              <w:keepNext/>
              <w:jc w:val="center"/>
              <w:rPr>
                <w:i/>
              </w:rPr>
            </w:pPr>
            <w:r>
              <w:rPr>
                <w:noProof/>
                <w:color w:val="000000"/>
                <w:highlight w:val="black"/>
              </w:rPr>
              <w:t>''''''''''''''''''</w:t>
            </w:r>
            <w:r w:rsidR="006A5D64">
              <w:rPr>
                <w:iCs/>
                <w:szCs w:val="20"/>
                <w:vertAlign w:val="superscript"/>
              </w:rPr>
              <w:t>3</w:t>
            </w:r>
          </w:p>
        </w:tc>
      </w:tr>
      <w:tr w:rsidR="00382070" w:rsidRPr="00191822" w14:paraId="374D3B44"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hideMark/>
          </w:tcPr>
          <w:p w14:paraId="43CD5546" w14:textId="77777777" w:rsidR="00382070" w:rsidRPr="00191822" w:rsidRDefault="00382070" w:rsidP="00530CFC">
            <w:pPr>
              <w:pStyle w:val="Tabletext0"/>
              <w:keepNext/>
              <w:rPr>
                <w:szCs w:val="20"/>
              </w:rPr>
            </w:pPr>
            <w:r w:rsidRPr="00191822">
              <w:rPr>
                <w:b/>
              </w:rPr>
              <w:t>Acalabrutinib arm PFS extrapolation (base case: exponential function)</w:t>
            </w:r>
          </w:p>
        </w:tc>
      </w:tr>
      <w:tr w:rsidR="00382070" w:rsidRPr="007E6655" w14:paraId="590C2D24"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28E77B91" w14:textId="77777777" w:rsidR="00382070" w:rsidRPr="007E6655" w:rsidRDefault="00382070" w:rsidP="00530CFC">
            <w:pPr>
              <w:pStyle w:val="Tabletext0"/>
              <w:keepNext/>
              <w:tabs>
                <w:tab w:val="left" w:pos="37"/>
              </w:tabs>
              <w:ind w:left="37"/>
              <w:rPr>
                <w:iCs/>
                <w:szCs w:val="20"/>
                <w:vertAlign w:val="superscript"/>
              </w:rPr>
            </w:pPr>
            <w:proofErr w:type="spellStart"/>
            <w:r w:rsidRPr="007E6655">
              <w:rPr>
                <w:iCs/>
                <w:szCs w:val="20"/>
              </w:rPr>
              <w:t>Weibull</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37C37AD"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5F70C50F" w14:textId="77777777" w:rsidR="00382070" w:rsidRPr="007E6655" w:rsidRDefault="00382070" w:rsidP="00530CFC">
            <w:pPr>
              <w:pStyle w:val="Tabletext0"/>
              <w:keepNext/>
              <w:jc w:val="center"/>
              <w:rPr>
                <w:iCs/>
                <w:highlight w:val="yellow"/>
              </w:rPr>
            </w:pPr>
            <w:r w:rsidRPr="007E6655">
              <w:rPr>
                <w:iCs/>
              </w:rPr>
              <w:t>0.69</w:t>
            </w:r>
          </w:p>
        </w:tc>
        <w:tc>
          <w:tcPr>
            <w:tcW w:w="1315" w:type="dxa"/>
            <w:tcBorders>
              <w:top w:val="single" w:sz="4" w:space="0" w:color="auto"/>
              <w:left w:val="single" w:sz="4" w:space="0" w:color="auto"/>
              <w:bottom w:val="single" w:sz="4" w:space="0" w:color="auto"/>
              <w:right w:val="single" w:sz="4" w:space="0" w:color="auto"/>
            </w:tcBorders>
            <w:vAlign w:val="center"/>
          </w:tcPr>
          <w:p w14:paraId="0444A8CB"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1</w:t>
            </w:r>
          </w:p>
        </w:tc>
      </w:tr>
      <w:tr w:rsidR="00382070" w:rsidRPr="007E6655" w14:paraId="33B6C662"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432C9D2A" w14:textId="77777777" w:rsidR="00382070" w:rsidRPr="007E6655" w:rsidRDefault="00382070" w:rsidP="00530CFC">
            <w:pPr>
              <w:pStyle w:val="Tabletext0"/>
              <w:keepNext/>
              <w:tabs>
                <w:tab w:val="left" w:pos="37"/>
                <w:tab w:val="left" w:pos="1410"/>
              </w:tabs>
              <w:ind w:left="37"/>
              <w:jc w:val="both"/>
              <w:rPr>
                <w:iCs/>
                <w:szCs w:val="20"/>
              </w:rPr>
            </w:pPr>
            <w:r w:rsidRPr="007E6655">
              <w:rPr>
                <w:iCs/>
                <w:szCs w:val="20"/>
              </w:rPr>
              <w:t>Log-</w:t>
            </w:r>
            <w:proofErr w:type="spellStart"/>
            <w:r w:rsidRPr="007E6655">
              <w:rPr>
                <w:iCs/>
                <w:szCs w:val="20"/>
              </w:rPr>
              <w:t>Normal</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21961AFE"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169647BC" w14:textId="77777777" w:rsidR="00382070" w:rsidRPr="007E6655" w:rsidRDefault="00382070" w:rsidP="00530CFC">
            <w:pPr>
              <w:pStyle w:val="Tabletext0"/>
              <w:keepNext/>
              <w:jc w:val="center"/>
              <w:rPr>
                <w:iCs/>
                <w:highlight w:val="yellow"/>
              </w:rPr>
            </w:pPr>
            <w:r w:rsidRPr="007E6655">
              <w:rPr>
                <w:iCs/>
              </w:rPr>
              <w:t>0.78</w:t>
            </w:r>
          </w:p>
        </w:tc>
        <w:tc>
          <w:tcPr>
            <w:tcW w:w="1315" w:type="dxa"/>
            <w:tcBorders>
              <w:top w:val="single" w:sz="4" w:space="0" w:color="auto"/>
              <w:left w:val="single" w:sz="4" w:space="0" w:color="auto"/>
              <w:bottom w:val="single" w:sz="4" w:space="0" w:color="auto"/>
              <w:right w:val="single" w:sz="4" w:space="0" w:color="auto"/>
            </w:tcBorders>
            <w:vAlign w:val="center"/>
          </w:tcPr>
          <w:p w14:paraId="1E4AB963"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3</w:t>
            </w:r>
          </w:p>
        </w:tc>
      </w:tr>
      <w:tr w:rsidR="00382070" w:rsidRPr="007E6655" w14:paraId="0D8AF3B4"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05E57905" w14:textId="77777777" w:rsidR="00382070" w:rsidRPr="007E6655" w:rsidRDefault="00382070" w:rsidP="00530CFC">
            <w:pPr>
              <w:pStyle w:val="Tabletext0"/>
              <w:keepNext/>
              <w:tabs>
                <w:tab w:val="left" w:pos="37"/>
              </w:tabs>
              <w:ind w:left="37"/>
              <w:rPr>
                <w:iCs/>
                <w:szCs w:val="20"/>
              </w:rPr>
            </w:pPr>
            <w:r w:rsidRPr="007E6655">
              <w:rPr>
                <w:iCs/>
                <w:szCs w:val="20"/>
              </w:rPr>
              <w:t>Log-Logistic</w:t>
            </w:r>
            <w:r w:rsidR="00F90343" w:rsidRPr="007E6655">
              <w:rPr>
                <w:iCs/>
                <w:szCs w:val="20"/>
                <w:vertAlign w:val="superscript"/>
              </w:rPr>
              <w:t>a</w:t>
            </w:r>
          </w:p>
        </w:tc>
        <w:tc>
          <w:tcPr>
            <w:tcW w:w="1690" w:type="dxa"/>
            <w:tcBorders>
              <w:top w:val="single" w:sz="4" w:space="0" w:color="auto"/>
              <w:left w:val="single" w:sz="4" w:space="0" w:color="auto"/>
              <w:bottom w:val="single" w:sz="4" w:space="0" w:color="auto"/>
              <w:right w:val="single" w:sz="4" w:space="0" w:color="auto"/>
            </w:tcBorders>
            <w:vAlign w:val="center"/>
          </w:tcPr>
          <w:p w14:paraId="4F605902"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3E43714D" w14:textId="77777777" w:rsidR="00382070" w:rsidRPr="007E6655" w:rsidRDefault="00382070" w:rsidP="00530CFC">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3C5E6D11" w14:textId="77777777" w:rsidR="00382070" w:rsidRPr="00BE0CB4" w:rsidRDefault="00BE0CB4" w:rsidP="00530CFC">
            <w:pPr>
              <w:pStyle w:val="Tabletext0"/>
              <w:keepNext/>
              <w:jc w:val="center"/>
              <w:rPr>
                <w:iCs/>
                <w:highlight w:val="yellow"/>
              </w:rPr>
            </w:pPr>
            <w:r>
              <w:rPr>
                <w:iCs/>
                <w:noProof/>
                <w:color w:val="000000"/>
                <w:szCs w:val="22"/>
                <w:highlight w:val="black"/>
              </w:rPr>
              <w:t>'''''''''''''''''</w:t>
            </w:r>
            <w:r w:rsidR="006A5D64">
              <w:rPr>
                <w:iCs/>
                <w:szCs w:val="20"/>
                <w:vertAlign w:val="superscript"/>
              </w:rPr>
              <w:t>1</w:t>
            </w:r>
          </w:p>
        </w:tc>
      </w:tr>
      <w:tr w:rsidR="00382070" w:rsidRPr="007E6655" w14:paraId="1EB784D6"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26B401A8" w14:textId="77777777" w:rsidR="00382070" w:rsidRPr="007E6655" w:rsidRDefault="00382070" w:rsidP="00530CFC">
            <w:pPr>
              <w:pStyle w:val="Tabletext0"/>
              <w:keepNext/>
              <w:tabs>
                <w:tab w:val="left" w:pos="37"/>
              </w:tabs>
              <w:ind w:left="37"/>
              <w:rPr>
                <w:iCs/>
                <w:szCs w:val="20"/>
              </w:rPr>
            </w:pPr>
            <w:proofErr w:type="spellStart"/>
            <w:r w:rsidRPr="007E6655">
              <w:rPr>
                <w:iCs/>
                <w:szCs w:val="20"/>
              </w:rPr>
              <w:t>Gompertz</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62B04586"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1F680810" w14:textId="77777777" w:rsidR="00382070" w:rsidRPr="007E6655" w:rsidRDefault="00382070" w:rsidP="00530CFC">
            <w:pPr>
              <w:pStyle w:val="Tabletext0"/>
              <w:keepNext/>
              <w:jc w:val="center"/>
              <w:rPr>
                <w:iCs/>
                <w:highlight w:val="yellow"/>
              </w:rPr>
            </w:pPr>
            <w:r w:rsidRPr="007E6655">
              <w:rPr>
                <w:iCs/>
              </w:rPr>
              <w:t>0.57</w:t>
            </w:r>
          </w:p>
        </w:tc>
        <w:tc>
          <w:tcPr>
            <w:tcW w:w="1315" w:type="dxa"/>
            <w:tcBorders>
              <w:top w:val="single" w:sz="4" w:space="0" w:color="auto"/>
              <w:left w:val="single" w:sz="4" w:space="0" w:color="auto"/>
              <w:bottom w:val="single" w:sz="4" w:space="0" w:color="auto"/>
              <w:right w:val="single" w:sz="4" w:space="0" w:color="auto"/>
            </w:tcBorders>
            <w:vAlign w:val="center"/>
          </w:tcPr>
          <w:p w14:paraId="750A143E"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4</w:t>
            </w:r>
          </w:p>
        </w:tc>
      </w:tr>
      <w:tr w:rsidR="00382070" w:rsidRPr="007E6655" w14:paraId="0A25D336"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016FD864" w14:textId="77777777" w:rsidR="00382070" w:rsidRPr="007E6655" w:rsidRDefault="00382070" w:rsidP="00530CFC">
            <w:pPr>
              <w:pStyle w:val="Tabletext0"/>
              <w:keepNext/>
              <w:tabs>
                <w:tab w:val="left" w:pos="37"/>
              </w:tabs>
              <w:ind w:left="37"/>
              <w:rPr>
                <w:iCs/>
                <w:szCs w:val="20"/>
              </w:rPr>
            </w:pPr>
            <w:r w:rsidRPr="007E6655">
              <w:rPr>
                <w:iCs/>
                <w:szCs w:val="20"/>
              </w:rPr>
              <w:t xml:space="preserve">Generalised </w:t>
            </w:r>
            <w:proofErr w:type="spellStart"/>
            <w:r w:rsidRPr="007E6655">
              <w:rPr>
                <w:iCs/>
                <w:szCs w:val="20"/>
              </w:rPr>
              <w:t>Gamma</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3ACD3537"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6D7F645B" w14:textId="77777777" w:rsidR="00382070" w:rsidRPr="007E6655" w:rsidRDefault="00382070" w:rsidP="00530CFC">
            <w:pPr>
              <w:pStyle w:val="Tabletext0"/>
              <w:keepNext/>
              <w:jc w:val="center"/>
              <w:rPr>
                <w:iCs/>
                <w:highlight w:val="yellow"/>
              </w:rPr>
            </w:pPr>
            <w:r w:rsidRPr="007E6655">
              <w:rPr>
                <w:iCs/>
              </w:rPr>
              <w:t>0.61</w:t>
            </w:r>
          </w:p>
        </w:tc>
        <w:tc>
          <w:tcPr>
            <w:tcW w:w="1315" w:type="dxa"/>
            <w:tcBorders>
              <w:top w:val="single" w:sz="4" w:space="0" w:color="auto"/>
              <w:left w:val="single" w:sz="4" w:space="0" w:color="auto"/>
              <w:bottom w:val="single" w:sz="4" w:space="0" w:color="auto"/>
              <w:right w:val="single" w:sz="4" w:space="0" w:color="auto"/>
            </w:tcBorders>
            <w:vAlign w:val="center"/>
          </w:tcPr>
          <w:p w14:paraId="4B39F982"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2</w:t>
            </w:r>
          </w:p>
        </w:tc>
      </w:tr>
      <w:tr w:rsidR="00382070" w:rsidRPr="00191822" w14:paraId="58EC37E2"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tcPr>
          <w:p w14:paraId="68247011" w14:textId="77777777" w:rsidR="00382070" w:rsidRPr="00191822" w:rsidRDefault="00382070" w:rsidP="00530CFC">
            <w:pPr>
              <w:pStyle w:val="Tabletext0"/>
              <w:keepNext/>
              <w:rPr>
                <w:b/>
                <w:bCs/>
                <w:iCs/>
              </w:rPr>
            </w:pPr>
            <w:r w:rsidRPr="00191822">
              <w:rPr>
                <w:b/>
                <w:bCs/>
                <w:iCs/>
              </w:rPr>
              <w:t>Acalabrutinib treatment duration (base case: time to treatment discontinuation data extrapolated using an exponential function</w:t>
            </w:r>
            <w:r w:rsidR="00122F23">
              <w:rPr>
                <w:b/>
                <w:bCs/>
                <w:iCs/>
              </w:rPr>
              <w:t xml:space="preserve"> with 48-month cap</w:t>
            </w:r>
            <w:r w:rsidRPr="00191822">
              <w:rPr>
                <w:b/>
                <w:bCs/>
                <w:iCs/>
              </w:rPr>
              <w:t>)</w:t>
            </w:r>
          </w:p>
        </w:tc>
      </w:tr>
      <w:tr w:rsidR="00382070" w:rsidRPr="00191822" w14:paraId="4DA3D24F"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7928AEAB" w14:textId="77777777" w:rsidR="00382070" w:rsidRPr="00191822" w:rsidRDefault="00382070" w:rsidP="00530CFC">
            <w:pPr>
              <w:pStyle w:val="Tabletext0"/>
              <w:keepNext/>
              <w:tabs>
                <w:tab w:val="left" w:pos="37"/>
              </w:tabs>
              <w:ind w:left="37"/>
              <w:rPr>
                <w:iCs/>
                <w:szCs w:val="20"/>
              </w:rPr>
            </w:pPr>
            <w:r w:rsidRPr="00191822">
              <w:rPr>
                <w:iCs/>
                <w:szCs w:val="20"/>
              </w:rPr>
              <w:t>Acalabrutinib progression-free survival curve used</w:t>
            </w:r>
          </w:p>
        </w:tc>
        <w:tc>
          <w:tcPr>
            <w:tcW w:w="1690" w:type="dxa"/>
            <w:tcBorders>
              <w:top w:val="single" w:sz="4" w:space="0" w:color="auto"/>
              <w:left w:val="single" w:sz="4" w:space="0" w:color="auto"/>
              <w:bottom w:val="single" w:sz="4" w:space="0" w:color="auto"/>
              <w:right w:val="single" w:sz="4" w:space="0" w:color="auto"/>
            </w:tcBorders>
            <w:vAlign w:val="center"/>
          </w:tcPr>
          <w:p w14:paraId="28C1C099" w14:textId="77777777" w:rsidR="00382070" w:rsidRPr="00BE0CB4" w:rsidRDefault="00BE0CB4" w:rsidP="00530CFC">
            <w:pPr>
              <w:pStyle w:val="Tabletext0"/>
              <w:keepNext/>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2C066568" w14:textId="77777777" w:rsidR="00382070" w:rsidRPr="00191822" w:rsidRDefault="00382070" w:rsidP="00530CFC">
            <w:pPr>
              <w:pStyle w:val="Tabletext0"/>
              <w:keepNext/>
              <w:jc w:val="center"/>
              <w:rPr>
                <w:iCs/>
                <w:highlight w:val="yellow"/>
              </w:rPr>
            </w:pPr>
            <w:r w:rsidRPr="00191822">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0C6D06A0"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2</w:t>
            </w:r>
          </w:p>
        </w:tc>
      </w:tr>
      <w:tr w:rsidR="00382070" w:rsidRPr="007E6655" w14:paraId="5E76F240"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20C804A8" w14:textId="77777777" w:rsidR="00382070" w:rsidRPr="007E6655" w:rsidRDefault="00382070" w:rsidP="00530CFC">
            <w:pPr>
              <w:pStyle w:val="Tabletext0"/>
              <w:keepNext/>
              <w:tabs>
                <w:tab w:val="left" w:pos="37"/>
              </w:tabs>
              <w:ind w:left="37"/>
              <w:rPr>
                <w:iCs/>
                <w:szCs w:val="20"/>
              </w:rPr>
            </w:pPr>
            <w:proofErr w:type="spellStart"/>
            <w:r w:rsidRPr="007E6655">
              <w:rPr>
                <w:iCs/>
                <w:szCs w:val="20"/>
              </w:rPr>
              <w:t>Weibull</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34676059" w14:textId="77777777" w:rsidR="00382070" w:rsidRPr="00BE0CB4" w:rsidRDefault="00BE0CB4" w:rsidP="00530CFC">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7CE7FC76" w14:textId="77777777" w:rsidR="00382070" w:rsidRPr="007E6655" w:rsidRDefault="00382070" w:rsidP="00530CFC">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6ACD3BAB"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1</w:t>
            </w:r>
          </w:p>
        </w:tc>
      </w:tr>
      <w:tr w:rsidR="00382070" w:rsidRPr="007E6655" w14:paraId="09E38885"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14386715" w14:textId="77777777" w:rsidR="00382070" w:rsidRPr="007E6655" w:rsidRDefault="00382070" w:rsidP="00530CFC">
            <w:pPr>
              <w:pStyle w:val="Tabletext0"/>
              <w:keepNext/>
              <w:tabs>
                <w:tab w:val="left" w:pos="37"/>
              </w:tabs>
              <w:ind w:left="37"/>
              <w:rPr>
                <w:iCs/>
                <w:szCs w:val="20"/>
              </w:rPr>
            </w:pPr>
            <w:r w:rsidRPr="007E6655">
              <w:rPr>
                <w:iCs/>
                <w:szCs w:val="20"/>
              </w:rPr>
              <w:t>Log-</w:t>
            </w:r>
            <w:proofErr w:type="spellStart"/>
            <w:r w:rsidRPr="007E6655">
              <w:rPr>
                <w:iCs/>
                <w:szCs w:val="20"/>
              </w:rPr>
              <w:t>normal</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52D73E56" w14:textId="77777777" w:rsidR="00382070" w:rsidRPr="00BE0CB4" w:rsidRDefault="00BE0CB4" w:rsidP="00530CFC">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267F3B71" w14:textId="77777777" w:rsidR="00382070" w:rsidRPr="007E6655" w:rsidRDefault="00382070" w:rsidP="00530CFC">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7A181B7D"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1</w:t>
            </w:r>
          </w:p>
        </w:tc>
      </w:tr>
      <w:tr w:rsidR="00382070" w:rsidRPr="007E6655" w14:paraId="2A830534"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78F8FE66" w14:textId="77777777" w:rsidR="00382070" w:rsidRPr="007E6655" w:rsidRDefault="00382070" w:rsidP="00530CFC">
            <w:pPr>
              <w:pStyle w:val="Tabletext0"/>
              <w:keepNext/>
              <w:tabs>
                <w:tab w:val="left" w:pos="37"/>
              </w:tabs>
              <w:ind w:left="37"/>
              <w:rPr>
                <w:iCs/>
                <w:szCs w:val="20"/>
              </w:rPr>
            </w:pPr>
            <w:r w:rsidRPr="007E6655">
              <w:rPr>
                <w:iCs/>
                <w:szCs w:val="20"/>
              </w:rPr>
              <w:t>Log-</w:t>
            </w:r>
            <w:proofErr w:type="spellStart"/>
            <w:r w:rsidRPr="007E6655">
              <w:rPr>
                <w:iCs/>
                <w:szCs w:val="20"/>
              </w:rPr>
              <w:t>logistic</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03449614" w14:textId="77777777" w:rsidR="00382070" w:rsidRPr="00BE0CB4" w:rsidRDefault="00BE0CB4" w:rsidP="00530CFC">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793E3D07" w14:textId="77777777" w:rsidR="00382070" w:rsidRPr="007E6655" w:rsidRDefault="00382070" w:rsidP="00530CFC">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63B8257D"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1</w:t>
            </w:r>
          </w:p>
        </w:tc>
      </w:tr>
      <w:tr w:rsidR="00382070" w:rsidRPr="007E6655" w14:paraId="696E7F74"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7F6B58BB" w14:textId="77777777" w:rsidR="00382070" w:rsidRPr="007E6655" w:rsidRDefault="00382070" w:rsidP="00530CFC">
            <w:pPr>
              <w:pStyle w:val="Tabletext0"/>
              <w:keepNext/>
              <w:tabs>
                <w:tab w:val="left" w:pos="37"/>
              </w:tabs>
              <w:ind w:left="37"/>
              <w:rPr>
                <w:iCs/>
                <w:szCs w:val="20"/>
              </w:rPr>
            </w:pPr>
            <w:proofErr w:type="spellStart"/>
            <w:r w:rsidRPr="007E6655">
              <w:rPr>
                <w:iCs/>
                <w:szCs w:val="20"/>
              </w:rPr>
              <w:t>Gompertz</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5437EAA7" w14:textId="77777777" w:rsidR="00382070" w:rsidRPr="00BE0CB4" w:rsidRDefault="00BE0CB4" w:rsidP="00530CFC">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0031F817" w14:textId="77777777" w:rsidR="00382070" w:rsidRPr="007E6655" w:rsidRDefault="00382070" w:rsidP="00530CFC">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180741A8" w14:textId="77777777" w:rsidR="00382070" w:rsidRPr="00BE0CB4" w:rsidRDefault="00BE0CB4" w:rsidP="00530CFC">
            <w:pPr>
              <w:pStyle w:val="Tabletext0"/>
              <w:keepNext/>
              <w:jc w:val="center"/>
              <w:rPr>
                <w:iCs/>
                <w:highlight w:val="yellow"/>
              </w:rPr>
            </w:pPr>
            <w:r>
              <w:rPr>
                <w:iCs/>
                <w:noProof/>
                <w:color w:val="000000"/>
                <w:highlight w:val="black"/>
              </w:rPr>
              <w:t>'''''''''''''''''''</w:t>
            </w:r>
            <w:r w:rsidR="006A5D64">
              <w:rPr>
                <w:iCs/>
                <w:szCs w:val="20"/>
                <w:vertAlign w:val="superscript"/>
              </w:rPr>
              <w:t>1</w:t>
            </w:r>
          </w:p>
        </w:tc>
      </w:tr>
      <w:tr w:rsidR="00382070" w:rsidRPr="007E6655" w14:paraId="1F5CCEFB"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4F1C80E7" w14:textId="77777777" w:rsidR="00382070" w:rsidRPr="007E6655" w:rsidRDefault="00382070" w:rsidP="00530CFC">
            <w:pPr>
              <w:pStyle w:val="Tabletext0"/>
              <w:keepNext/>
              <w:tabs>
                <w:tab w:val="left" w:pos="37"/>
              </w:tabs>
              <w:ind w:left="37"/>
              <w:rPr>
                <w:iCs/>
                <w:szCs w:val="20"/>
              </w:rPr>
            </w:pPr>
            <w:r w:rsidRPr="007E6655">
              <w:rPr>
                <w:iCs/>
                <w:szCs w:val="20"/>
              </w:rPr>
              <w:t xml:space="preserve">Generalised </w:t>
            </w:r>
            <w:proofErr w:type="spellStart"/>
            <w:r w:rsidRPr="007E6655">
              <w:rPr>
                <w:iCs/>
                <w:szCs w:val="20"/>
              </w:rPr>
              <w:t>gamma</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138A0253"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3087ECEA" w14:textId="77777777" w:rsidR="00382070" w:rsidRPr="007E6655" w:rsidRDefault="00382070" w:rsidP="00530CFC">
            <w:pPr>
              <w:pStyle w:val="Tabletext0"/>
              <w:keepNext/>
              <w:jc w:val="center"/>
              <w:rPr>
                <w:iCs/>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6998A0C7"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1</w:t>
            </w:r>
          </w:p>
        </w:tc>
      </w:tr>
      <w:tr w:rsidR="00122F23" w:rsidRPr="00191822" w14:paraId="2C77D6ED"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467D411C" w14:textId="77777777" w:rsidR="00122F23" w:rsidRPr="00191822" w:rsidRDefault="00122F23" w:rsidP="0042799C">
            <w:pPr>
              <w:pStyle w:val="Tabletext0"/>
              <w:keepNext/>
              <w:tabs>
                <w:tab w:val="left" w:pos="37"/>
              </w:tabs>
              <w:ind w:left="37"/>
              <w:rPr>
                <w:iCs/>
                <w:szCs w:val="20"/>
              </w:rPr>
            </w:pPr>
            <w:r w:rsidRPr="00191822">
              <w:rPr>
                <w:iCs/>
                <w:szCs w:val="20"/>
              </w:rPr>
              <w:t>Remove cycle cap for acalabrutinib</w:t>
            </w:r>
          </w:p>
        </w:tc>
        <w:tc>
          <w:tcPr>
            <w:tcW w:w="1690" w:type="dxa"/>
            <w:tcBorders>
              <w:top w:val="single" w:sz="4" w:space="0" w:color="auto"/>
              <w:left w:val="single" w:sz="4" w:space="0" w:color="auto"/>
              <w:bottom w:val="single" w:sz="4" w:space="0" w:color="auto"/>
              <w:right w:val="single" w:sz="4" w:space="0" w:color="auto"/>
            </w:tcBorders>
          </w:tcPr>
          <w:p w14:paraId="4E37A56A" w14:textId="77777777" w:rsidR="00122F23" w:rsidRPr="00BE0CB4" w:rsidRDefault="00BE0CB4" w:rsidP="0042799C">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47D1AFF8" w14:textId="77777777" w:rsidR="00122F23" w:rsidRPr="00191822" w:rsidRDefault="00122F23" w:rsidP="0042799C">
            <w:pPr>
              <w:pStyle w:val="Tabletext0"/>
              <w:keepNext/>
              <w:jc w:val="center"/>
              <w:rPr>
                <w:iCs/>
                <w:highlight w:val="yellow"/>
              </w:rPr>
            </w:pPr>
            <w:r w:rsidRPr="00191822">
              <w:rPr>
                <w:iCs/>
              </w:rPr>
              <w:t>0.73</w:t>
            </w:r>
          </w:p>
        </w:tc>
        <w:tc>
          <w:tcPr>
            <w:tcW w:w="1315" w:type="dxa"/>
            <w:tcBorders>
              <w:top w:val="single" w:sz="4" w:space="0" w:color="auto"/>
              <w:left w:val="single" w:sz="4" w:space="0" w:color="auto"/>
              <w:bottom w:val="single" w:sz="4" w:space="0" w:color="auto"/>
              <w:right w:val="single" w:sz="4" w:space="0" w:color="auto"/>
            </w:tcBorders>
          </w:tcPr>
          <w:p w14:paraId="52589C7A" w14:textId="77777777" w:rsidR="00122F23" w:rsidRPr="00BE0CB4" w:rsidRDefault="00BE0CB4" w:rsidP="0042799C">
            <w:pPr>
              <w:pStyle w:val="Tabletext0"/>
              <w:keepNext/>
              <w:jc w:val="center"/>
              <w:rPr>
                <w:iCs/>
                <w:highlight w:val="yellow"/>
              </w:rPr>
            </w:pPr>
            <w:r>
              <w:rPr>
                <w:iCs/>
                <w:noProof/>
                <w:color w:val="000000"/>
                <w:highlight w:val="black"/>
              </w:rPr>
              <w:t>''''''''''''''''''''''''</w:t>
            </w:r>
            <w:r w:rsidR="006A5D64">
              <w:rPr>
                <w:iCs/>
                <w:szCs w:val="20"/>
                <w:vertAlign w:val="superscript"/>
              </w:rPr>
              <w:t>5</w:t>
            </w:r>
          </w:p>
        </w:tc>
      </w:tr>
      <w:tr w:rsidR="00382070" w:rsidRPr="00191822" w14:paraId="36DF1546"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tcPr>
          <w:p w14:paraId="0C7D1D70" w14:textId="77777777" w:rsidR="00382070" w:rsidRPr="00191822" w:rsidRDefault="00382070" w:rsidP="00530CFC">
            <w:pPr>
              <w:pStyle w:val="Tabletext0"/>
              <w:keepNext/>
              <w:rPr>
                <w:b/>
                <w:bCs/>
              </w:rPr>
            </w:pPr>
            <w:r w:rsidRPr="00191822">
              <w:rPr>
                <w:b/>
                <w:bCs/>
              </w:rPr>
              <w:t xml:space="preserve">Utilities (base case: progression-free utility of 0.817; progressed disease utility of 0.657; adverse event </w:t>
            </w:r>
            <w:proofErr w:type="spellStart"/>
            <w:r w:rsidRPr="00191822">
              <w:rPr>
                <w:b/>
                <w:bCs/>
              </w:rPr>
              <w:t>disutilities</w:t>
            </w:r>
            <w:proofErr w:type="spellEnd"/>
            <w:r w:rsidRPr="00191822">
              <w:rPr>
                <w:b/>
                <w:bCs/>
              </w:rPr>
              <w:t xml:space="preserve"> included)</w:t>
            </w:r>
          </w:p>
        </w:tc>
      </w:tr>
      <w:tr w:rsidR="00382070" w:rsidRPr="007E6655" w14:paraId="6C0CC5C5" w14:textId="77777777" w:rsidTr="007A6E0B">
        <w:trPr>
          <w:cantSplit/>
          <w:trHeight w:val="70"/>
        </w:trPr>
        <w:tc>
          <w:tcPr>
            <w:tcW w:w="4334" w:type="dxa"/>
            <w:tcBorders>
              <w:top w:val="single" w:sz="4" w:space="0" w:color="auto"/>
              <w:left w:val="single" w:sz="4" w:space="0" w:color="auto"/>
              <w:bottom w:val="single" w:sz="4" w:space="0" w:color="auto"/>
              <w:right w:val="single" w:sz="4" w:space="0" w:color="auto"/>
            </w:tcBorders>
          </w:tcPr>
          <w:p w14:paraId="273FF220" w14:textId="77777777" w:rsidR="00382070" w:rsidRPr="007E6655" w:rsidRDefault="00382070" w:rsidP="00530CFC">
            <w:pPr>
              <w:pStyle w:val="Tabletext0"/>
              <w:keepNext/>
              <w:tabs>
                <w:tab w:val="left" w:pos="37"/>
              </w:tabs>
              <w:ind w:left="37"/>
              <w:rPr>
                <w:iCs/>
                <w:szCs w:val="20"/>
              </w:rPr>
            </w:pPr>
            <w:r w:rsidRPr="007E6655">
              <w:rPr>
                <w:iCs/>
                <w:szCs w:val="20"/>
              </w:rPr>
              <w:t>Progression-free utility increased to 0.867</w:t>
            </w:r>
            <w:r w:rsidR="00F90343" w:rsidRPr="007E6655">
              <w:rPr>
                <w:iCs/>
                <w:szCs w:val="20"/>
                <w:vertAlign w:val="superscript"/>
              </w:rPr>
              <w:t>a</w:t>
            </w:r>
          </w:p>
        </w:tc>
        <w:tc>
          <w:tcPr>
            <w:tcW w:w="1690" w:type="dxa"/>
            <w:tcBorders>
              <w:top w:val="single" w:sz="4" w:space="0" w:color="auto"/>
              <w:left w:val="single" w:sz="4" w:space="0" w:color="auto"/>
              <w:bottom w:val="single" w:sz="4" w:space="0" w:color="auto"/>
              <w:right w:val="single" w:sz="4" w:space="0" w:color="auto"/>
            </w:tcBorders>
          </w:tcPr>
          <w:p w14:paraId="5B388B57"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23468104" w14:textId="77777777" w:rsidR="00382070" w:rsidRPr="007E6655" w:rsidRDefault="00382070" w:rsidP="00530CFC">
            <w:pPr>
              <w:pStyle w:val="Tabletext0"/>
              <w:keepNext/>
              <w:jc w:val="center"/>
              <w:rPr>
                <w:iCs/>
              </w:rPr>
            </w:pPr>
            <w:r w:rsidRPr="007E6655">
              <w:rPr>
                <w:iCs/>
              </w:rPr>
              <w:t>0.95</w:t>
            </w:r>
          </w:p>
        </w:tc>
        <w:tc>
          <w:tcPr>
            <w:tcW w:w="1315" w:type="dxa"/>
            <w:tcBorders>
              <w:top w:val="single" w:sz="4" w:space="0" w:color="auto"/>
              <w:left w:val="single" w:sz="4" w:space="0" w:color="auto"/>
              <w:bottom w:val="single" w:sz="4" w:space="0" w:color="auto"/>
              <w:right w:val="single" w:sz="4" w:space="0" w:color="auto"/>
            </w:tcBorders>
          </w:tcPr>
          <w:p w14:paraId="62D04C52"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3</w:t>
            </w:r>
          </w:p>
        </w:tc>
      </w:tr>
      <w:tr w:rsidR="00382070" w:rsidRPr="007E6655" w14:paraId="13130776"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410C0A8E" w14:textId="77777777" w:rsidR="00382070" w:rsidRPr="007E6655" w:rsidRDefault="00382070" w:rsidP="00530CFC">
            <w:pPr>
              <w:pStyle w:val="Tabletext0"/>
              <w:keepNext/>
              <w:tabs>
                <w:tab w:val="left" w:pos="37"/>
              </w:tabs>
              <w:ind w:left="37"/>
              <w:rPr>
                <w:iCs/>
                <w:szCs w:val="20"/>
              </w:rPr>
            </w:pPr>
            <w:r w:rsidRPr="007E6655">
              <w:rPr>
                <w:iCs/>
                <w:szCs w:val="20"/>
              </w:rPr>
              <w:t>Progression-free utility decreased to 0.767</w:t>
            </w:r>
            <w:r w:rsidR="00F90343" w:rsidRPr="007E6655">
              <w:rPr>
                <w:iCs/>
                <w:szCs w:val="20"/>
                <w:vertAlign w:val="superscript"/>
              </w:rPr>
              <w:t>a</w:t>
            </w:r>
          </w:p>
        </w:tc>
        <w:tc>
          <w:tcPr>
            <w:tcW w:w="1690" w:type="dxa"/>
            <w:tcBorders>
              <w:top w:val="single" w:sz="4" w:space="0" w:color="auto"/>
              <w:left w:val="single" w:sz="4" w:space="0" w:color="auto"/>
              <w:bottom w:val="single" w:sz="4" w:space="0" w:color="auto"/>
              <w:right w:val="single" w:sz="4" w:space="0" w:color="auto"/>
            </w:tcBorders>
          </w:tcPr>
          <w:p w14:paraId="05FDCA52"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7447725E" w14:textId="77777777" w:rsidR="00382070" w:rsidRPr="007E6655" w:rsidRDefault="00382070" w:rsidP="00530CFC">
            <w:pPr>
              <w:pStyle w:val="Tabletext0"/>
              <w:keepNext/>
              <w:jc w:val="center"/>
              <w:rPr>
                <w:iCs/>
              </w:rPr>
            </w:pPr>
            <w:r w:rsidRPr="007E6655">
              <w:rPr>
                <w:iCs/>
              </w:rPr>
              <w:t>0.50</w:t>
            </w:r>
          </w:p>
        </w:tc>
        <w:tc>
          <w:tcPr>
            <w:tcW w:w="1315" w:type="dxa"/>
            <w:tcBorders>
              <w:top w:val="single" w:sz="4" w:space="0" w:color="auto"/>
              <w:left w:val="single" w:sz="4" w:space="0" w:color="auto"/>
              <w:bottom w:val="single" w:sz="4" w:space="0" w:color="auto"/>
              <w:right w:val="single" w:sz="4" w:space="0" w:color="auto"/>
            </w:tcBorders>
          </w:tcPr>
          <w:p w14:paraId="73FB8465"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2</w:t>
            </w:r>
          </w:p>
        </w:tc>
      </w:tr>
      <w:tr w:rsidR="00382070" w:rsidRPr="007E6655" w14:paraId="03D553A8"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5C11FB94" w14:textId="77777777" w:rsidR="00382070" w:rsidRPr="007E6655" w:rsidRDefault="00382070" w:rsidP="00530CFC">
            <w:pPr>
              <w:pStyle w:val="Tabletext0"/>
              <w:keepNext/>
              <w:tabs>
                <w:tab w:val="left" w:pos="37"/>
              </w:tabs>
              <w:ind w:left="37"/>
              <w:rPr>
                <w:iCs/>
                <w:szCs w:val="20"/>
              </w:rPr>
            </w:pPr>
            <w:r w:rsidRPr="007E6655">
              <w:rPr>
                <w:iCs/>
                <w:szCs w:val="20"/>
              </w:rPr>
              <w:t>Progressed disease utility increased to 0.707</w:t>
            </w:r>
            <w:r w:rsidR="00F90343" w:rsidRPr="007E6655">
              <w:rPr>
                <w:iCs/>
                <w:szCs w:val="20"/>
                <w:vertAlign w:val="superscript"/>
              </w:rPr>
              <w:t>a</w:t>
            </w:r>
          </w:p>
        </w:tc>
        <w:tc>
          <w:tcPr>
            <w:tcW w:w="1690" w:type="dxa"/>
            <w:tcBorders>
              <w:top w:val="single" w:sz="4" w:space="0" w:color="auto"/>
              <w:left w:val="single" w:sz="4" w:space="0" w:color="auto"/>
              <w:bottom w:val="single" w:sz="4" w:space="0" w:color="auto"/>
              <w:right w:val="single" w:sz="4" w:space="0" w:color="auto"/>
            </w:tcBorders>
          </w:tcPr>
          <w:p w14:paraId="38ED4212"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010C7633" w14:textId="77777777" w:rsidR="00382070" w:rsidRPr="007E6655" w:rsidRDefault="00382070" w:rsidP="00530CFC">
            <w:pPr>
              <w:pStyle w:val="Tabletext0"/>
              <w:keepNext/>
              <w:jc w:val="center"/>
              <w:rPr>
                <w:iCs/>
              </w:rPr>
            </w:pPr>
            <w:r w:rsidRPr="007E6655">
              <w:rPr>
                <w:iCs/>
              </w:rPr>
              <w:t>0.</w:t>
            </w:r>
            <w:r w:rsidR="00460602">
              <w:rPr>
                <w:iCs/>
              </w:rPr>
              <w:t>50</w:t>
            </w:r>
          </w:p>
        </w:tc>
        <w:tc>
          <w:tcPr>
            <w:tcW w:w="1315" w:type="dxa"/>
            <w:tcBorders>
              <w:top w:val="single" w:sz="4" w:space="0" w:color="auto"/>
              <w:left w:val="single" w:sz="4" w:space="0" w:color="auto"/>
              <w:bottom w:val="single" w:sz="4" w:space="0" w:color="auto"/>
              <w:right w:val="single" w:sz="4" w:space="0" w:color="auto"/>
            </w:tcBorders>
          </w:tcPr>
          <w:p w14:paraId="561F24D8"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2</w:t>
            </w:r>
          </w:p>
        </w:tc>
      </w:tr>
      <w:tr w:rsidR="00382070" w:rsidRPr="007E6655" w14:paraId="27D5F26E"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29F7032A" w14:textId="77777777" w:rsidR="00382070" w:rsidRPr="007E6655" w:rsidRDefault="00382070" w:rsidP="00530CFC">
            <w:pPr>
              <w:pStyle w:val="Tabletext0"/>
              <w:keepNext/>
              <w:tabs>
                <w:tab w:val="left" w:pos="37"/>
              </w:tabs>
              <w:ind w:left="37"/>
              <w:rPr>
                <w:iCs/>
                <w:szCs w:val="20"/>
              </w:rPr>
            </w:pPr>
            <w:r w:rsidRPr="007E6655">
              <w:rPr>
                <w:iCs/>
                <w:szCs w:val="20"/>
              </w:rPr>
              <w:t>Progressed disease utility decreased to 0.607</w:t>
            </w:r>
            <w:r w:rsidR="00F90343" w:rsidRPr="007E6655">
              <w:rPr>
                <w:iCs/>
                <w:szCs w:val="20"/>
                <w:vertAlign w:val="superscript"/>
              </w:rPr>
              <w:t>a</w:t>
            </w:r>
          </w:p>
        </w:tc>
        <w:tc>
          <w:tcPr>
            <w:tcW w:w="1690" w:type="dxa"/>
            <w:tcBorders>
              <w:top w:val="single" w:sz="4" w:space="0" w:color="auto"/>
              <w:left w:val="single" w:sz="4" w:space="0" w:color="auto"/>
              <w:bottom w:val="single" w:sz="4" w:space="0" w:color="auto"/>
              <w:right w:val="single" w:sz="4" w:space="0" w:color="auto"/>
            </w:tcBorders>
          </w:tcPr>
          <w:p w14:paraId="04411F67"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515E6E49" w14:textId="77777777" w:rsidR="00382070" w:rsidRPr="007E6655" w:rsidRDefault="00382070" w:rsidP="00530CFC">
            <w:pPr>
              <w:pStyle w:val="Tabletext0"/>
              <w:keepNext/>
              <w:jc w:val="center"/>
              <w:rPr>
                <w:iCs/>
              </w:rPr>
            </w:pPr>
            <w:r w:rsidRPr="007E6655">
              <w:rPr>
                <w:iCs/>
              </w:rPr>
              <w:t>0.</w:t>
            </w:r>
            <w:r w:rsidR="00460602">
              <w:rPr>
                <w:iCs/>
              </w:rPr>
              <w:t>95</w:t>
            </w:r>
          </w:p>
        </w:tc>
        <w:tc>
          <w:tcPr>
            <w:tcW w:w="1315" w:type="dxa"/>
            <w:tcBorders>
              <w:top w:val="single" w:sz="4" w:space="0" w:color="auto"/>
              <w:left w:val="single" w:sz="4" w:space="0" w:color="auto"/>
              <w:bottom w:val="single" w:sz="4" w:space="0" w:color="auto"/>
              <w:right w:val="single" w:sz="4" w:space="0" w:color="auto"/>
            </w:tcBorders>
          </w:tcPr>
          <w:p w14:paraId="2EB9C561"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3</w:t>
            </w:r>
          </w:p>
        </w:tc>
      </w:tr>
      <w:tr w:rsidR="00382070" w:rsidRPr="007E6655" w14:paraId="1E7BDB95"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55C237C8" w14:textId="77777777" w:rsidR="00382070" w:rsidRPr="007E6655" w:rsidRDefault="00382070" w:rsidP="00530CFC">
            <w:pPr>
              <w:pStyle w:val="Tabletext0"/>
              <w:keepNext/>
              <w:tabs>
                <w:tab w:val="left" w:pos="37"/>
              </w:tabs>
              <w:ind w:left="37"/>
              <w:rPr>
                <w:iCs/>
                <w:szCs w:val="20"/>
              </w:rPr>
            </w:pPr>
            <w:r w:rsidRPr="007E6655">
              <w:rPr>
                <w:iCs/>
                <w:szCs w:val="20"/>
              </w:rPr>
              <w:t xml:space="preserve">Adverse event </w:t>
            </w:r>
            <w:proofErr w:type="spellStart"/>
            <w:r w:rsidRPr="007E6655">
              <w:rPr>
                <w:iCs/>
                <w:szCs w:val="20"/>
              </w:rPr>
              <w:t>disutilities</w:t>
            </w:r>
            <w:proofErr w:type="spellEnd"/>
            <w:r w:rsidRPr="007E6655">
              <w:rPr>
                <w:iCs/>
                <w:szCs w:val="20"/>
              </w:rPr>
              <w:t xml:space="preserve"> </w:t>
            </w:r>
            <w:proofErr w:type="spellStart"/>
            <w:r w:rsidRPr="007E6655">
              <w:rPr>
                <w:iCs/>
                <w:szCs w:val="20"/>
              </w:rPr>
              <w:t>removed</w:t>
            </w:r>
            <w:r w:rsidR="00F90343"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16E2DAFC" w14:textId="77777777" w:rsidR="00382070" w:rsidRPr="00BE0CB4" w:rsidRDefault="00BE0CB4" w:rsidP="00530CFC">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17F7BB88" w14:textId="77777777" w:rsidR="00382070" w:rsidRPr="007E6655" w:rsidRDefault="00382070" w:rsidP="00530CFC">
            <w:pPr>
              <w:pStyle w:val="Tabletext0"/>
              <w:keepNext/>
              <w:jc w:val="center"/>
              <w:rPr>
                <w:iCs/>
              </w:rPr>
            </w:pPr>
            <w:r w:rsidRPr="007E6655">
              <w:rPr>
                <w:iCs/>
              </w:rPr>
              <w:t>0.72</w:t>
            </w:r>
          </w:p>
        </w:tc>
        <w:tc>
          <w:tcPr>
            <w:tcW w:w="1315" w:type="dxa"/>
            <w:tcBorders>
              <w:top w:val="single" w:sz="4" w:space="0" w:color="auto"/>
              <w:left w:val="single" w:sz="4" w:space="0" w:color="auto"/>
              <w:bottom w:val="single" w:sz="4" w:space="0" w:color="auto"/>
              <w:right w:val="single" w:sz="4" w:space="0" w:color="auto"/>
            </w:tcBorders>
          </w:tcPr>
          <w:p w14:paraId="15E21CE9" w14:textId="77777777" w:rsidR="00382070" w:rsidRPr="00BE0CB4" w:rsidRDefault="00BE0CB4" w:rsidP="00530CFC">
            <w:pPr>
              <w:pStyle w:val="Tabletext0"/>
              <w:keepNext/>
              <w:jc w:val="center"/>
              <w:rPr>
                <w:iCs/>
              </w:rPr>
            </w:pPr>
            <w:r>
              <w:rPr>
                <w:iCs/>
                <w:noProof/>
                <w:color w:val="000000"/>
                <w:highlight w:val="black"/>
              </w:rPr>
              <w:t>'''''''''''''''''''</w:t>
            </w:r>
            <w:r w:rsidR="006A5D64">
              <w:rPr>
                <w:iCs/>
                <w:szCs w:val="20"/>
                <w:vertAlign w:val="superscript"/>
              </w:rPr>
              <w:t>1</w:t>
            </w:r>
          </w:p>
        </w:tc>
      </w:tr>
      <w:tr w:rsidR="00382070" w:rsidRPr="00191822" w14:paraId="6F7682BC"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hideMark/>
          </w:tcPr>
          <w:p w14:paraId="10A39ACE" w14:textId="77777777" w:rsidR="00382070" w:rsidRPr="00191822" w:rsidRDefault="00122F23" w:rsidP="00122F23">
            <w:pPr>
              <w:pStyle w:val="Tabletext0"/>
              <w:keepNext/>
              <w:tabs>
                <w:tab w:val="left" w:pos="37"/>
              </w:tabs>
              <w:ind w:left="37"/>
              <w:rPr>
                <w:b/>
                <w:szCs w:val="20"/>
              </w:rPr>
            </w:pPr>
            <w:r>
              <w:rPr>
                <w:b/>
                <w:szCs w:val="20"/>
              </w:rPr>
              <w:t>Subsequent t</w:t>
            </w:r>
            <w:r w:rsidR="00382070" w:rsidRPr="00191822">
              <w:rPr>
                <w:b/>
                <w:szCs w:val="20"/>
              </w:rPr>
              <w:t xml:space="preserve">reatment costs (base case: </w:t>
            </w:r>
            <w:r w:rsidR="00BE0CB4">
              <w:rPr>
                <w:b/>
                <w:noProof/>
                <w:color w:val="000000"/>
                <w:szCs w:val="20"/>
                <w:highlight w:val="black"/>
              </w:rPr>
              <w:t>'''''''''</w:t>
            </w:r>
            <w:r w:rsidR="00813EB9">
              <w:rPr>
                <w:b/>
                <w:szCs w:val="20"/>
              </w:rPr>
              <w:t>% of patients receive subsequent treatment;</w:t>
            </w:r>
            <w:r w:rsidR="00382070" w:rsidRPr="00191822">
              <w:rPr>
                <w:b/>
                <w:szCs w:val="20"/>
              </w:rPr>
              <w:t xml:space="preserve"> </w:t>
            </w:r>
            <w:proofErr w:type="spellStart"/>
            <w:r w:rsidR="00382070" w:rsidRPr="00191822">
              <w:rPr>
                <w:b/>
                <w:szCs w:val="20"/>
              </w:rPr>
              <w:t>obinutuzumab</w:t>
            </w:r>
            <w:proofErr w:type="spellEnd"/>
            <w:r w:rsidR="00382070" w:rsidRPr="00191822">
              <w:rPr>
                <w:b/>
                <w:szCs w:val="20"/>
              </w:rPr>
              <w:t xml:space="preserve"> – </w:t>
            </w:r>
            <w:r w:rsidR="00BE0CB4">
              <w:rPr>
                <w:b/>
                <w:noProof/>
                <w:color w:val="000000"/>
                <w:szCs w:val="20"/>
                <w:highlight w:val="black"/>
              </w:rPr>
              <w:t>'''''</w:t>
            </w:r>
            <w:r w:rsidR="00382070" w:rsidRPr="00191822">
              <w:rPr>
                <w:b/>
                <w:szCs w:val="20"/>
              </w:rPr>
              <w:t xml:space="preserve">% rebate on published AEMP; ibrutinib – effective DPMQ with 24-month cap; </w:t>
            </w:r>
            <w:proofErr w:type="spellStart"/>
            <w:r w:rsidR="00382070" w:rsidRPr="00191822">
              <w:rPr>
                <w:b/>
                <w:szCs w:val="20"/>
              </w:rPr>
              <w:t>idelalisib</w:t>
            </w:r>
            <w:proofErr w:type="spellEnd"/>
            <w:r w:rsidR="00382070" w:rsidRPr="00191822">
              <w:rPr>
                <w:b/>
                <w:szCs w:val="20"/>
              </w:rPr>
              <w:t xml:space="preserve"> – </w:t>
            </w:r>
            <w:r w:rsidR="00BE0CB4">
              <w:rPr>
                <w:b/>
                <w:noProof/>
                <w:color w:val="000000"/>
                <w:szCs w:val="20"/>
                <w:highlight w:val="black"/>
              </w:rPr>
              <w:t>'''''</w:t>
            </w:r>
            <w:r w:rsidR="00382070" w:rsidRPr="00191822">
              <w:rPr>
                <w:b/>
                <w:szCs w:val="20"/>
              </w:rPr>
              <w:t>% rebate on published AEMP with 12-month cap; rituximab – published DPMA; chlorambucil – published DPMQ; includes adjustment for dose intensity)</w:t>
            </w:r>
          </w:p>
        </w:tc>
      </w:tr>
      <w:tr w:rsidR="00813EB9" w:rsidRPr="007A6E0B" w14:paraId="6888063C"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30826574" w14:textId="77777777" w:rsidR="00813EB9" w:rsidRPr="007A6E0B" w:rsidRDefault="00813EB9" w:rsidP="00813EB9">
            <w:pPr>
              <w:pStyle w:val="Tabletext0"/>
              <w:keepNext/>
              <w:tabs>
                <w:tab w:val="left" w:pos="37"/>
              </w:tabs>
              <w:ind w:left="37"/>
              <w:rPr>
                <w:iCs/>
                <w:szCs w:val="20"/>
                <w:vertAlign w:val="superscript"/>
              </w:rPr>
            </w:pPr>
            <w:r w:rsidRPr="007A6E0B">
              <w:rPr>
                <w:iCs/>
                <w:szCs w:val="20"/>
              </w:rPr>
              <w:t xml:space="preserve">Proportion receiving subsequent treatment: acalabrutinib and chlorambucil + </w:t>
            </w:r>
            <w:proofErr w:type="spellStart"/>
            <w:r w:rsidRPr="007A6E0B">
              <w:rPr>
                <w:iCs/>
                <w:szCs w:val="20"/>
              </w:rPr>
              <w:t>obinutuzumab</w:t>
            </w:r>
            <w:proofErr w:type="spellEnd"/>
            <w:r w:rsidRPr="007A6E0B">
              <w:rPr>
                <w:iCs/>
                <w:szCs w:val="20"/>
              </w:rPr>
              <w:t xml:space="preserve"> arms: 75% </w:t>
            </w:r>
            <w:r w:rsidRPr="007A6E0B">
              <w:rPr>
                <w:iCs/>
                <w:szCs w:val="20"/>
                <w:vertAlign w:val="superscript"/>
              </w:rPr>
              <w:t>b</w:t>
            </w:r>
          </w:p>
        </w:tc>
        <w:tc>
          <w:tcPr>
            <w:tcW w:w="1690" w:type="dxa"/>
            <w:tcBorders>
              <w:top w:val="single" w:sz="4" w:space="0" w:color="auto"/>
              <w:left w:val="single" w:sz="4" w:space="0" w:color="auto"/>
              <w:bottom w:val="single" w:sz="4" w:space="0" w:color="auto"/>
              <w:right w:val="single" w:sz="4" w:space="0" w:color="auto"/>
            </w:tcBorders>
            <w:vAlign w:val="center"/>
          </w:tcPr>
          <w:p w14:paraId="157AD00F" w14:textId="77777777" w:rsidR="00813EB9" w:rsidRPr="00BE0CB4" w:rsidRDefault="00BE0CB4" w:rsidP="007A6E0B">
            <w:pPr>
              <w:pStyle w:val="Tabletext0"/>
              <w:keepNext/>
              <w:jc w:val="center"/>
              <w:rPr>
                <w:iCs/>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238C9CC7" w14:textId="77777777" w:rsidR="00813EB9" w:rsidRPr="007A6E0B" w:rsidRDefault="00813EB9" w:rsidP="007A6E0B">
            <w:pPr>
              <w:pStyle w:val="Tabletext0"/>
              <w:keepNext/>
              <w:jc w:val="center"/>
              <w:rPr>
                <w:iCs/>
              </w:rPr>
            </w:pPr>
            <w:r w:rsidRPr="007A6E0B">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64674326" w14:textId="77777777" w:rsidR="00813EB9" w:rsidRPr="007A6E0B" w:rsidRDefault="00BE0CB4" w:rsidP="007A6E0B">
            <w:pPr>
              <w:pStyle w:val="Tabletext0"/>
              <w:keepNext/>
              <w:jc w:val="center"/>
              <w:rPr>
                <w:iCs/>
              </w:rPr>
            </w:pPr>
            <w:r>
              <w:rPr>
                <w:iCs/>
                <w:noProof/>
                <w:color w:val="000000"/>
                <w:highlight w:val="black"/>
              </w:rPr>
              <w:t>'''''''''''''''''''''</w:t>
            </w:r>
            <w:r w:rsidR="006A5D64">
              <w:rPr>
                <w:iCs/>
                <w:szCs w:val="20"/>
                <w:vertAlign w:val="superscript"/>
              </w:rPr>
              <w:t>2</w:t>
            </w:r>
          </w:p>
        </w:tc>
      </w:tr>
      <w:tr w:rsidR="00946180" w:rsidRPr="007E6655" w14:paraId="347E1852"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4564082F" w14:textId="77777777" w:rsidR="00946180" w:rsidRPr="007E6655" w:rsidRDefault="00946180" w:rsidP="00946180">
            <w:pPr>
              <w:pStyle w:val="Tabletext0"/>
              <w:keepNext/>
              <w:tabs>
                <w:tab w:val="left" w:pos="37"/>
              </w:tabs>
              <w:ind w:left="37"/>
              <w:rPr>
                <w:iCs/>
                <w:szCs w:val="20"/>
              </w:rPr>
            </w:pPr>
            <w:r w:rsidRPr="007E6655">
              <w:rPr>
                <w:iCs/>
                <w:szCs w:val="20"/>
              </w:rPr>
              <w:t xml:space="preserve">Remove cycle cap for ongoing second-line therapies (ibrutinib, </w:t>
            </w:r>
            <w:proofErr w:type="spellStart"/>
            <w:proofErr w:type="gramStart"/>
            <w:r w:rsidRPr="007E6655">
              <w:rPr>
                <w:iCs/>
                <w:szCs w:val="20"/>
              </w:rPr>
              <w:t>idelalisib</w:t>
            </w:r>
            <w:proofErr w:type="spellEnd"/>
            <w:r w:rsidRPr="007E6655">
              <w:rPr>
                <w:iCs/>
                <w:szCs w:val="20"/>
              </w:rPr>
              <w:t>)</w:t>
            </w:r>
            <w:r w:rsidRPr="007E6655">
              <w:rPr>
                <w:iCs/>
                <w:szCs w:val="20"/>
                <w:vertAlign w:val="superscript"/>
              </w:rPr>
              <w:t>a</w:t>
            </w:r>
            <w:proofErr w:type="gramEnd"/>
          </w:p>
        </w:tc>
        <w:tc>
          <w:tcPr>
            <w:tcW w:w="1690" w:type="dxa"/>
            <w:tcBorders>
              <w:top w:val="single" w:sz="4" w:space="0" w:color="auto"/>
              <w:left w:val="single" w:sz="4" w:space="0" w:color="auto"/>
              <w:bottom w:val="single" w:sz="4" w:space="0" w:color="auto"/>
              <w:right w:val="single" w:sz="4" w:space="0" w:color="auto"/>
            </w:tcBorders>
            <w:vAlign w:val="center"/>
          </w:tcPr>
          <w:p w14:paraId="299ACB7E" w14:textId="77777777" w:rsidR="00946180" w:rsidRPr="007E6655" w:rsidRDefault="000673ED">
            <w:pPr>
              <w:pStyle w:val="Tabletext0"/>
              <w:keepNext/>
              <w:jc w:val="center"/>
              <w:rPr>
                <w:iCs/>
                <w:szCs w:val="22"/>
                <w:highlight w:val="yellow"/>
              </w:rPr>
            </w:pPr>
            <w:r>
              <w:rPr>
                <w:szCs w:val="20"/>
              </w:rPr>
              <w:t>-</w:t>
            </w:r>
            <w:r w:rsidR="00BE0CB4">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327D6123" w14:textId="77777777" w:rsidR="00946180" w:rsidRPr="007E6655" w:rsidRDefault="00946180" w:rsidP="00946180">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0F0456AE" w14:textId="77777777" w:rsidR="00946180" w:rsidRPr="007E6655" w:rsidRDefault="00946180" w:rsidP="00946180">
            <w:pPr>
              <w:pStyle w:val="Tabletext0"/>
              <w:keepNext/>
              <w:jc w:val="center"/>
              <w:rPr>
                <w:iCs/>
                <w:highlight w:val="yellow"/>
              </w:rPr>
            </w:pPr>
            <w:r w:rsidRPr="007E6655">
              <w:rPr>
                <w:iCs/>
              </w:rPr>
              <w:t>Acalabrutinib dominant</w:t>
            </w:r>
          </w:p>
        </w:tc>
      </w:tr>
      <w:tr w:rsidR="00946180" w:rsidRPr="007E6655" w14:paraId="79C0056D"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6477C3B9" w14:textId="77777777" w:rsidR="00946180" w:rsidRPr="007E6655" w:rsidRDefault="00946180" w:rsidP="00946180">
            <w:pPr>
              <w:pStyle w:val="Tabletext0"/>
              <w:keepNext/>
              <w:tabs>
                <w:tab w:val="left" w:pos="37"/>
              </w:tabs>
              <w:ind w:left="37"/>
              <w:rPr>
                <w:iCs/>
                <w:szCs w:val="20"/>
              </w:rPr>
            </w:pPr>
            <w:r w:rsidRPr="007E6655">
              <w:rPr>
                <w:iCs/>
                <w:szCs w:val="20"/>
              </w:rPr>
              <w:t xml:space="preserve">Remove dose intensity for all </w:t>
            </w:r>
            <w:proofErr w:type="spellStart"/>
            <w:r w:rsidRPr="007E6655">
              <w:rPr>
                <w:iCs/>
                <w:szCs w:val="20"/>
              </w:rPr>
              <w:t>treatments</w:t>
            </w:r>
            <w:r w:rsidRPr="007E6655">
              <w:rPr>
                <w:iCs/>
                <w:szCs w:val="20"/>
                <w:vertAlign w:val="superscript"/>
              </w:rPr>
              <w:t>a</w:t>
            </w:r>
            <w:proofErr w:type="spellEnd"/>
          </w:p>
        </w:tc>
        <w:tc>
          <w:tcPr>
            <w:tcW w:w="1690" w:type="dxa"/>
            <w:tcBorders>
              <w:top w:val="single" w:sz="4" w:space="0" w:color="auto"/>
              <w:left w:val="single" w:sz="4" w:space="0" w:color="auto"/>
              <w:bottom w:val="single" w:sz="4" w:space="0" w:color="auto"/>
              <w:right w:val="single" w:sz="4" w:space="0" w:color="auto"/>
            </w:tcBorders>
          </w:tcPr>
          <w:p w14:paraId="619C8A6A" w14:textId="77777777" w:rsidR="00946180" w:rsidRPr="00BE0CB4" w:rsidRDefault="00BE0CB4" w:rsidP="00946180">
            <w:pPr>
              <w:pStyle w:val="Tabletext0"/>
              <w:keepNext/>
              <w:jc w:val="center"/>
              <w:rPr>
                <w:iCs/>
                <w:szCs w:val="22"/>
                <w:highlight w:val="black"/>
              </w:rPr>
            </w:pPr>
            <w:r>
              <w:rPr>
                <w:iCs/>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4D76E829" w14:textId="77777777" w:rsidR="00946180" w:rsidRPr="007E6655" w:rsidRDefault="00946180" w:rsidP="00946180">
            <w:pPr>
              <w:pStyle w:val="Tabletext0"/>
              <w:keepNext/>
              <w:jc w:val="center"/>
              <w:rPr>
                <w:iCs/>
                <w:highlight w:val="yellow"/>
              </w:rPr>
            </w:pPr>
            <w:r w:rsidRPr="007E6655">
              <w:rPr>
                <w:iCs/>
              </w:rPr>
              <w:t>0.73</w:t>
            </w:r>
          </w:p>
        </w:tc>
        <w:tc>
          <w:tcPr>
            <w:tcW w:w="1315" w:type="dxa"/>
            <w:tcBorders>
              <w:top w:val="single" w:sz="4" w:space="0" w:color="auto"/>
              <w:left w:val="single" w:sz="4" w:space="0" w:color="auto"/>
              <w:bottom w:val="single" w:sz="4" w:space="0" w:color="auto"/>
              <w:right w:val="single" w:sz="4" w:space="0" w:color="auto"/>
            </w:tcBorders>
          </w:tcPr>
          <w:p w14:paraId="65B55D0F" w14:textId="77777777" w:rsidR="00946180" w:rsidRPr="007E6655" w:rsidRDefault="00BE0CB4" w:rsidP="00946180">
            <w:pPr>
              <w:pStyle w:val="Tabletext0"/>
              <w:keepNext/>
              <w:jc w:val="center"/>
              <w:rPr>
                <w:iCs/>
                <w:highlight w:val="yellow"/>
              </w:rPr>
            </w:pPr>
            <w:r>
              <w:rPr>
                <w:iCs/>
                <w:noProof/>
                <w:color w:val="000000"/>
                <w:highlight w:val="black"/>
              </w:rPr>
              <w:t>'''''''''''''''''''''</w:t>
            </w:r>
            <w:r w:rsidR="006A5D64">
              <w:rPr>
                <w:iCs/>
                <w:szCs w:val="20"/>
                <w:vertAlign w:val="superscript"/>
              </w:rPr>
              <w:t>1</w:t>
            </w:r>
          </w:p>
        </w:tc>
      </w:tr>
      <w:tr w:rsidR="00946180" w:rsidRPr="00191822" w14:paraId="65C3D9C5"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hideMark/>
          </w:tcPr>
          <w:p w14:paraId="569D25E6" w14:textId="77777777" w:rsidR="00946180" w:rsidRPr="00191822" w:rsidRDefault="00946180" w:rsidP="00946180">
            <w:pPr>
              <w:pStyle w:val="Tabletext0"/>
              <w:keepNext/>
              <w:tabs>
                <w:tab w:val="left" w:pos="37"/>
              </w:tabs>
              <w:ind w:left="37"/>
              <w:rPr>
                <w:b/>
                <w:szCs w:val="20"/>
              </w:rPr>
            </w:pPr>
            <w:r w:rsidRPr="00191822">
              <w:rPr>
                <w:b/>
                <w:szCs w:val="20"/>
              </w:rPr>
              <w:t>Other costs (base case: health state, adverse event, terminal care costs and TLS prophylaxis costs included)</w:t>
            </w:r>
            <w:r w:rsidR="007A6E0B" w:rsidRPr="007E6655">
              <w:rPr>
                <w:szCs w:val="20"/>
                <w:vertAlign w:val="superscript"/>
              </w:rPr>
              <w:t xml:space="preserve"> a</w:t>
            </w:r>
          </w:p>
        </w:tc>
      </w:tr>
      <w:tr w:rsidR="00946180" w:rsidRPr="007E6655" w14:paraId="58A0A351"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25864604" w14:textId="77777777" w:rsidR="00946180" w:rsidRPr="007E6655" w:rsidRDefault="00946180" w:rsidP="00946180">
            <w:pPr>
              <w:pStyle w:val="Tabletext0"/>
              <w:keepNext/>
              <w:tabs>
                <w:tab w:val="left" w:pos="37"/>
              </w:tabs>
              <w:ind w:left="37"/>
              <w:rPr>
                <w:szCs w:val="20"/>
              </w:rPr>
            </w:pPr>
            <w:r w:rsidRPr="007E6655">
              <w:rPr>
                <w:szCs w:val="20"/>
              </w:rPr>
              <w:t>Health state costs increased by 50%</w:t>
            </w:r>
          </w:p>
        </w:tc>
        <w:tc>
          <w:tcPr>
            <w:tcW w:w="1690" w:type="dxa"/>
            <w:tcBorders>
              <w:top w:val="single" w:sz="4" w:space="0" w:color="auto"/>
              <w:left w:val="single" w:sz="4" w:space="0" w:color="auto"/>
              <w:bottom w:val="single" w:sz="4" w:space="0" w:color="auto"/>
              <w:right w:val="single" w:sz="4" w:space="0" w:color="auto"/>
            </w:tcBorders>
            <w:vAlign w:val="center"/>
          </w:tcPr>
          <w:p w14:paraId="2B38CD10" w14:textId="77777777" w:rsidR="00946180" w:rsidRPr="00BE0CB4" w:rsidRDefault="00BE0CB4" w:rsidP="00946180">
            <w:pPr>
              <w:pStyle w:val="Tabletext0"/>
              <w:keepNext/>
              <w:jc w:val="center"/>
              <w:rPr>
                <w:szCs w:val="22"/>
                <w:highlight w:val="black"/>
              </w:rPr>
            </w:pPr>
            <w:r>
              <w:rPr>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3D1FAED6" w14:textId="77777777" w:rsidR="00946180" w:rsidRPr="007E6655" w:rsidRDefault="00946180" w:rsidP="00946180">
            <w:pPr>
              <w:pStyle w:val="Tabletext0"/>
              <w:keepNext/>
              <w:jc w:val="center"/>
              <w:rPr>
                <w:highlight w:val="yellow"/>
              </w:rPr>
            </w:pPr>
            <w:r w:rsidRPr="007E6655">
              <w:t>0.73</w:t>
            </w:r>
          </w:p>
        </w:tc>
        <w:tc>
          <w:tcPr>
            <w:tcW w:w="1315" w:type="dxa"/>
            <w:tcBorders>
              <w:top w:val="single" w:sz="4" w:space="0" w:color="auto"/>
              <w:left w:val="single" w:sz="4" w:space="0" w:color="auto"/>
              <w:bottom w:val="single" w:sz="4" w:space="0" w:color="auto"/>
              <w:right w:val="single" w:sz="4" w:space="0" w:color="auto"/>
            </w:tcBorders>
            <w:vAlign w:val="center"/>
          </w:tcPr>
          <w:p w14:paraId="03832149" w14:textId="77777777" w:rsidR="00946180" w:rsidRPr="00BE0CB4" w:rsidRDefault="00BE0CB4" w:rsidP="00946180">
            <w:pPr>
              <w:pStyle w:val="Tabletext0"/>
              <w:keepNext/>
              <w:jc w:val="center"/>
              <w:rPr>
                <w:highlight w:val="yellow"/>
              </w:rPr>
            </w:pPr>
            <w:r>
              <w:rPr>
                <w:noProof/>
                <w:color w:val="000000"/>
                <w:highlight w:val="black"/>
              </w:rPr>
              <w:t>'''''''''''''''''''</w:t>
            </w:r>
            <w:r w:rsidR="006A5D64">
              <w:rPr>
                <w:iCs/>
                <w:szCs w:val="20"/>
                <w:vertAlign w:val="superscript"/>
              </w:rPr>
              <w:t>6</w:t>
            </w:r>
          </w:p>
        </w:tc>
      </w:tr>
      <w:tr w:rsidR="00946180" w:rsidRPr="007E6655" w14:paraId="51033F0C"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25A6444D" w14:textId="77777777" w:rsidR="00946180" w:rsidRPr="007E6655" w:rsidRDefault="00946180" w:rsidP="00946180">
            <w:pPr>
              <w:pStyle w:val="Tabletext0"/>
              <w:keepNext/>
              <w:tabs>
                <w:tab w:val="left" w:pos="37"/>
              </w:tabs>
              <w:ind w:left="37"/>
              <w:rPr>
                <w:szCs w:val="20"/>
              </w:rPr>
            </w:pPr>
            <w:r w:rsidRPr="007E6655">
              <w:rPr>
                <w:szCs w:val="20"/>
              </w:rPr>
              <w:t>Health state costs decreased by 50%</w:t>
            </w:r>
          </w:p>
        </w:tc>
        <w:tc>
          <w:tcPr>
            <w:tcW w:w="1690" w:type="dxa"/>
            <w:tcBorders>
              <w:top w:val="single" w:sz="4" w:space="0" w:color="auto"/>
              <w:left w:val="single" w:sz="4" w:space="0" w:color="auto"/>
              <w:bottom w:val="single" w:sz="4" w:space="0" w:color="auto"/>
              <w:right w:val="single" w:sz="4" w:space="0" w:color="auto"/>
            </w:tcBorders>
            <w:vAlign w:val="center"/>
          </w:tcPr>
          <w:p w14:paraId="76970AB2" w14:textId="77777777" w:rsidR="00946180" w:rsidRPr="00BE0CB4" w:rsidRDefault="00BE0CB4" w:rsidP="00946180">
            <w:pPr>
              <w:pStyle w:val="Tabletext0"/>
              <w:keepNext/>
              <w:jc w:val="center"/>
              <w:rPr>
                <w:szCs w:val="22"/>
                <w:highlight w:val="black"/>
              </w:rPr>
            </w:pPr>
            <w:r>
              <w:rPr>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1B824EDE" w14:textId="77777777" w:rsidR="00946180" w:rsidRPr="007E6655" w:rsidRDefault="00946180" w:rsidP="00946180">
            <w:pPr>
              <w:pStyle w:val="Tabletext0"/>
              <w:keepNext/>
              <w:jc w:val="center"/>
              <w:rPr>
                <w:highlight w:val="yellow"/>
              </w:rPr>
            </w:pPr>
            <w:r w:rsidRPr="007E6655">
              <w:t>0.73</w:t>
            </w:r>
          </w:p>
        </w:tc>
        <w:tc>
          <w:tcPr>
            <w:tcW w:w="1315" w:type="dxa"/>
            <w:tcBorders>
              <w:top w:val="single" w:sz="4" w:space="0" w:color="auto"/>
              <w:left w:val="single" w:sz="4" w:space="0" w:color="auto"/>
              <w:bottom w:val="single" w:sz="4" w:space="0" w:color="auto"/>
              <w:right w:val="single" w:sz="4" w:space="0" w:color="auto"/>
            </w:tcBorders>
            <w:vAlign w:val="center"/>
          </w:tcPr>
          <w:p w14:paraId="71186C64" w14:textId="77777777" w:rsidR="00946180" w:rsidRPr="00BE0CB4" w:rsidRDefault="00BE0CB4" w:rsidP="00946180">
            <w:pPr>
              <w:pStyle w:val="Tabletext0"/>
              <w:keepNext/>
              <w:jc w:val="center"/>
              <w:rPr>
                <w:highlight w:val="yellow"/>
              </w:rPr>
            </w:pPr>
            <w:r>
              <w:rPr>
                <w:noProof/>
                <w:color w:val="000000"/>
                <w:highlight w:val="black"/>
              </w:rPr>
              <w:t>''''''''''''''''''''</w:t>
            </w:r>
            <w:r w:rsidR="006A5D64">
              <w:rPr>
                <w:iCs/>
                <w:szCs w:val="20"/>
                <w:vertAlign w:val="superscript"/>
              </w:rPr>
              <w:t>2</w:t>
            </w:r>
          </w:p>
        </w:tc>
      </w:tr>
      <w:tr w:rsidR="00946180" w:rsidRPr="007E6655" w14:paraId="574D9682"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04969FFB" w14:textId="77777777" w:rsidR="00946180" w:rsidRPr="007E6655" w:rsidRDefault="00946180">
            <w:pPr>
              <w:pStyle w:val="Tabletext0"/>
              <w:keepNext/>
              <w:tabs>
                <w:tab w:val="left" w:pos="37"/>
              </w:tabs>
              <w:ind w:left="37"/>
              <w:rPr>
                <w:szCs w:val="20"/>
              </w:rPr>
            </w:pPr>
            <w:r w:rsidRPr="007E6655">
              <w:rPr>
                <w:szCs w:val="20"/>
              </w:rPr>
              <w:t>Health state costs removed</w:t>
            </w:r>
          </w:p>
        </w:tc>
        <w:tc>
          <w:tcPr>
            <w:tcW w:w="1690" w:type="dxa"/>
            <w:tcBorders>
              <w:top w:val="single" w:sz="4" w:space="0" w:color="auto"/>
              <w:left w:val="single" w:sz="4" w:space="0" w:color="auto"/>
              <w:bottom w:val="single" w:sz="4" w:space="0" w:color="auto"/>
              <w:right w:val="single" w:sz="4" w:space="0" w:color="auto"/>
            </w:tcBorders>
            <w:vAlign w:val="center"/>
          </w:tcPr>
          <w:p w14:paraId="218413E3" w14:textId="77777777" w:rsidR="00946180" w:rsidRPr="00BE0CB4" w:rsidRDefault="00BE0CB4" w:rsidP="00946180">
            <w:pPr>
              <w:pStyle w:val="Tabletext0"/>
              <w:keepNext/>
              <w:jc w:val="center"/>
              <w:rPr>
                <w:szCs w:val="22"/>
                <w:highlight w:val="black"/>
              </w:rPr>
            </w:pPr>
            <w:r>
              <w:rPr>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62FBABAD" w14:textId="77777777" w:rsidR="00946180" w:rsidRPr="007E6655" w:rsidRDefault="00946180" w:rsidP="00946180">
            <w:pPr>
              <w:pStyle w:val="Tabletext0"/>
              <w:keepNext/>
              <w:jc w:val="center"/>
              <w:rPr>
                <w:highlight w:val="yellow"/>
              </w:rPr>
            </w:pPr>
            <w:r w:rsidRPr="007E6655">
              <w:t>0.73</w:t>
            </w:r>
          </w:p>
        </w:tc>
        <w:tc>
          <w:tcPr>
            <w:tcW w:w="1315" w:type="dxa"/>
            <w:tcBorders>
              <w:top w:val="single" w:sz="4" w:space="0" w:color="auto"/>
              <w:left w:val="single" w:sz="4" w:space="0" w:color="auto"/>
              <w:bottom w:val="single" w:sz="4" w:space="0" w:color="auto"/>
              <w:right w:val="single" w:sz="4" w:space="0" w:color="auto"/>
            </w:tcBorders>
            <w:vAlign w:val="center"/>
          </w:tcPr>
          <w:p w14:paraId="6BF5FF3C" w14:textId="77777777" w:rsidR="00946180" w:rsidRPr="00BE0CB4" w:rsidRDefault="00BE0CB4" w:rsidP="00946180">
            <w:pPr>
              <w:pStyle w:val="Tabletext0"/>
              <w:keepNext/>
              <w:jc w:val="center"/>
              <w:rPr>
                <w:highlight w:val="yellow"/>
              </w:rPr>
            </w:pPr>
            <w:r>
              <w:rPr>
                <w:noProof/>
                <w:color w:val="000000"/>
                <w:highlight w:val="black"/>
              </w:rPr>
              <w:t>'''''''''''''''''</w:t>
            </w:r>
            <w:r w:rsidR="006A5D64">
              <w:rPr>
                <w:iCs/>
                <w:szCs w:val="20"/>
                <w:vertAlign w:val="superscript"/>
              </w:rPr>
              <w:t>4</w:t>
            </w:r>
          </w:p>
        </w:tc>
      </w:tr>
      <w:tr w:rsidR="00245FBE" w:rsidRPr="007A6E0B" w14:paraId="0F2A5978" w14:textId="77777777" w:rsidTr="007A6E0B">
        <w:trPr>
          <w:cantSplit/>
          <w:trHeight w:val="80"/>
        </w:trPr>
        <w:tc>
          <w:tcPr>
            <w:tcW w:w="4334" w:type="dxa"/>
            <w:tcBorders>
              <w:top w:val="single" w:sz="4" w:space="0" w:color="auto"/>
              <w:left w:val="single" w:sz="4" w:space="0" w:color="auto"/>
              <w:bottom w:val="single" w:sz="4" w:space="0" w:color="auto"/>
              <w:right w:val="single" w:sz="4" w:space="0" w:color="auto"/>
            </w:tcBorders>
            <w:hideMark/>
          </w:tcPr>
          <w:p w14:paraId="5693E0DA" w14:textId="77777777" w:rsidR="00245FBE" w:rsidRPr="007A6E0B" w:rsidRDefault="00245FBE" w:rsidP="00AA628D">
            <w:pPr>
              <w:pStyle w:val="Tabletext0"/>
              <w:tabs>
                <w:tab w:val="left" w:pos="37"/>
              </w:tabs>
              <w:ind w:left="37"/>
              <w:rPr>
                <w:iCs/>
                <w:szCs w:val="20"/>
              </w:rPr>
            </w:pPr>
            <w:r w:rsidRPr="007A6E0B">
              <w:rPr>
                <w:iCs/>
                <w:szCs w:val="20"/>
              </w:rPr>
              <w:t>Adverse event costs removed</w:t>
            </w:r>
          </w:p>
        </w:tc>
        <w:tc>
          <w:tcPr>
            <w:tcW w:w="1690" w:type="dxa"/>
            <w:tcBorders>
              <w:top w:val="single" w:sz="4" w:space="0" w:color="auto"/>
              <w:left w:val="single" w:sz="4" w:space="0" w:color="auto"/>
              <w:bottom w:val="single" w:sz="4" w:space="0" w:color="auto"/>
              <w:right w:val="single" w:sz="4" w:space="0" w:color="auto"/>
            </w:tcBorders>
            <w:vAlign w:val="center"/>
          </w:tcPr>
          <w:p w14:paraId="0225ED0E" w14:textId="77777777" w:rsidR="00245FBE" w:rsidRPr="00BE0CB4" w:rsidRDefault="00BE0CB4" w:rsidP="00AA628D">
            <w:pPr>
              <w:pStyle w:val="Tabletext0"/>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0403EE1C" w14:textId="77777777" w:rsidR="00245FBE" w:rsidRPr="007A6E0B" w:rsidRDefault="00245FBE" w:rsidP="00AA628D">
            <w:pPr>
              <w:pStyle w:val="Tabletext0"/>
              <w:jc w:val="center"/>
              <w:rPr>
                <w:iCs/>
                <w:highlight w:val="yellow"/>
              </w:rPr>
            </w:pPr>
            <w:r w:rsidRPr="007A6E0B">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25D2483F" w14:textId="77777777" w:rsidR="00245FBE" w:rsidRPr="00BE0CB4" w:rsidRDefault="00BE0CB4" w:rsidP="00AA628D">
            <w:pPr>
              <w:pStyle w:val="Tabletext0"/>
              <w:jc w:val="center"/>
              <w:rPr>
                <w:iCs/>
                <w:highlight w:val="yellow"/>
              </w:rPr>
            </w:pPr>
            <w:r>
              <w:rPr>
                <w:iCs/>
                <w:noProof/>
                <w:color w:val="000000"/>
                <w:highlight w:val="black"/>
              </w:rPr>
              <w:t>'''''''''''''''''''''</w:t>
            </w:r>
            <w:r w:rsidR="006A5D64">
              <w:rPr>
                <w:iCs/>
                <w:szCs w:val="20"/>
                <w:vertAlign w:val="superscript"/>
              </w:rPr>
              <w:t>1</w:t>
            </w:r>
          </w:p>
        </w:tc>
      </w:tr>
      <w:tr w:rsidR="00245FBE" w:rsidRPr="007A6E0B" w14:paraId="68A1374E"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66B70AD9" w14:textId="77777777" w:rsidR="00245FBE" w:rsidRPr="007A6E0B" w:rsidRDefault="00245FBE" w:rsidP="00AA628D">
            <w:pPr>
              <w:pStyle w:val="Tabletext0"/>
              <w:tabs>
                <w:tab w:val="left" w:pos="37"/>
              </w:tabs>
              <w:ind w:left="37"/>
              <w:rPr>
                <w:iCs/>
                <w:szCs w:val="20"/>
              </w:rPr>
            </w:pPr>
            <w:r w:rsidRPr="007A6E0B">
              <w:rPr>
                <w:iCs/>
                <w:szCs w:val="20"/>
              </w:rPr>
              <w:t>Terminal care costs removed</w:t>
            </w:r>
          </w:p>
        </w:tc>
        <w:tc>
          <w:tcPr>
            <w:tcW w:w="1690" w:type="dxa"/>
            <w:tcBorders>
              <w:top w:val="single" w:sz="4" w:space="0" w:color="auto"/>
              <w:left w:val="single" w:sz="4" w:space="0" w:color="auto"/>
              <w:bottom w:val="single" w:sz="4" w:space="0" w:color="auto"/>
              <w:right w:val="single" w:sz="4" w:space="0" w:color="auto"/>
            </w:tcBorders>
            <w:vAlign w:val="center"/>
          </w:tcPr>
          <w:p w14:paraId="17281C82" w14:textId="77777777" w:rsidR="00245FBE" w:rsidRPr="00BE0CB4" w:rsidRDefault="00BE0CB4" w:rsidP="00AA628D">
            <w:pPr>
              <w:pStyle w:val="Tabletext0"/>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78DA7825" w14:textId="77777777" w:rsidR="00245FBE" w:rsidRPr="007A6E0B" w:rsidRDefault="00245FBE" w:rsidP="00AA628D">
            <w:pPr>
              <w:pStyle w:val="Tabletext0"/>
              <w:jc w:val="center"/>
              <w:rPr>
                <w:iCs/>
              </w:rPr>
            </w:pPr>
            <w:r w:rsidRPr="007A6E0B">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70402A3C" w14:textId="77777777" w:rsidR="00245FBE" w:rsidRPr="00BE0CB4" w:rsidRDefault="00BE0CB4" w:rsidP="00AA628D">
            <w:pPr>
              <w:pStyle w:val="Tabletext0"/>
              <w:jc w:val="center"/>
              <w:rPr>
                <w:iCs/>
              </w:rPr>
            </w:pPr>
            <w:r>
              <w:rPr>
                <w:iCs/>
                <w:noProof/>
                <w:color w:val="000000"/>
                <w:highlight w:val="black"/>
              </w:rPr>
              <w:t>''''''''''''''''''</w:t>
            </w:r>
            <w:r w:rsidR="006A5D64">
              <w:rPr>
                <w:iCs/>
                <w:szCs w:val="20"/>
                <w:vertAlign w:val="superscript"/>
              </w:rPr>
              <w:t>1</w:t>
            </w:r>
          </w:p>
        </w:tc>
      </w:tr>
      <w:tr w:rsidR="00245FBE" w:rsidRPr="007A6E0B" w14:paraId="5DEEBB3A" w14:textId="77777777" w:rsidTr="007A6E0B">
        <w:trPr>
          <w:cantSplit/>
        </w:trPr>
        <w:tc>
          <w:tcPr>
            <w:tcW w:w="4334" w:type="dxa"/>
            <w:tcBorders>
              <w:top w:val="single" w:sz="4" w:space="0" w:color="auto"/>
              <w:left w:val="single" w:sz="4" w:space="0" w:color="auto"/>
              <w:bottom w:val="single" w:sz="4" w:space="0" w:color="auto"/>
              <w:right w:val="single" w:sz="4" w:space="0" w:color="auto"/>
            </w:tcBorders>
          </w:tcPr>
          <w:p w14:paraId="0BD3A0C1" w14:textId="77777777" w:rsidR="00245FBE" w:rsidRPr="007A6E0B" w:rsidRDefault="00245FBE" w:rsidP="00AA628D">
            <w:pPr>
              <w:pStyle w:val="Tabletext0"/>
              <w:tabs>
                <w:tab w:val="left" w:pos="37"/>
              </w:tabs>
              <w:ind w:left="37"/>
              <w:rPr>
                <w:iCs/>
                <w:szCs w:val="20"/>
              </w:rPr>
            </w:pPr>
            <w:r w:rsidRPr="007A6E0B">
              <w:rPr>
                <w:iCs/>
                <w:szCs w:val="20"/>
              </w:rPr>
              <w:t>TLS prophylaxis costs removed</w:t>
            </w:r>
          </w:p>
        </w:tc>
        <w:tc>
          <w:tcPr>
            <w:tcW w:w="1690" w:type="dxa"/>
            <w:tcBorders>
              <w:top w:val="single" w:sz="4" w:space="0" w:color="auto"/>
              <w:left w:val="single" w:sz="4" w:space="0" w:color="auto"/>
              <w:bottom w:val="single" w:sz="4" w:space="0" w:color="auto"/>
              <w:right w:val="single" w:sz="4" w:space="0" w:color="auto"/>
            </w:tcBorders>
            <w:vAlign w:val="center"/>
          </w:tcPr>
          <w:p w14:paraId="50CAB16D" w14:textId="77777777" w:rsidR="00245FBE" w:rsidRPr="00BE0CB4" w:rsidRDefault="00BE0CB4" w:rsidP="00AA628D">
            <w:pPr>
              <w:pStyle w:val="Tabletext0"/>
              <w:jc w:val="center"/>
              <w:rPr>
                <w:iCs/>
                <w:szCs w:val="22"/>
                <w:highlight w:val="black"/>
              </w:rPr>
            </w:pPr>
            <w:r>
              <w:rPr>
                <w:iCs/>
                <w:noProof/>
                <w:color w:val="000000"/>
                <w:szCs w:val="22"/>
                <w:highlight w:val="black"/>
              </w:rPr>
              <w:t>'''''''''''''''''''''</w:t>
            </w:r>
          </w:p>
        </w:tc>
        <w:tc>
          <w:tcPr>
            <w:tcW w:w="1690" w:type="dxa"/>
            <w:tcBorders>
              <w:top w:val="single" w:sz="4" w:space="0" w:color="auto"/>
              <w:left w:val="single" w:sz="4" w:space="0" w:color="auto"/>
              <w:bottom w:val="single" w:sz="4" w:space="0" w:color="auto"/>
              <w:right w:val="single" w:sz="4" w:space="0" w:color="auto"/>
            </w:tcBorders>
            <w:vAlign w:val="center"/>
          </w:tcPr>
          <w:p w14:paraId="0B058DF9" w14:textId="77777777" w:rsidR="00245FBE" w:rsidRPr="007A6E0B" w:rsidRDefault="00245FBE" w:rsidP="00AA628D">
            <w:pPr>
              <w:pStyle w:val="Tabletext0"/>
              <w:jc w:val="center"/>
              <w:rPr>
                <w:iCs/>
              </w:rPr>
            </w:pPr>
            <w:r w:rsidRPr="007A6E0B">
              <w:rPr>
                <w:iCs/>
              </w:rPr>
              <w:t>0.73</w:t>
            </w:r>
          </w:p>
        </w:tc>
        <w:tc>
          <w:tcPr>
            <w:tcW w:w="1315" w:type="dxa"/>
            <w:tcBorders>
              <w:top w:val="single" w:sz="4" w:space="0" w:color="auto"/>
              <w:left w:val="single" w:sz="4" w:space="0" w:color="auto"/>
              <w:bottom w:val="single" w:sz="4" w:space="0" w:color="auto"/>
              <w:right w:val="single" w:sz="4" w:space="0" w:color="auto"/>
            </w:tcBorders>
            <w:vAlign w:val="center"/>
          </w:tcPr>
          <w:p w14:paraId="6F244818" w14:textId="77777777" w:rsidR="00245FBE" w:rsidRPr="00BE0CB4" w:rsidRDefault="00BE0CB4" w:rsidP="00AA628D">
            <w:pPr>
              <w:pStyle w:val="Tabletext0"/>
              <w:jc w:val="center"/>
              <w:rPr>
                <w:iCs/>
              </w:rPr>
            </w:pPr>
            <w:r>
              <w:rPr>
                <w:iCs/>
                <w:noProof/>
                <w:color w:val="000000"/>
                <w:highlight w:val="black"/>
              </w:rPr>
              <w:t>''''''''''''''''''''</w:t>
            </w:r>
            <w:r w:rsidR="006A5D64">
              <w:rPr>
                <w:iCs/>
                <w:szCs w:val="20"/>
                <w:vertAlign w:val="superscript"/>
              </w:rPr>
              <w:t>1</w:t>
            </w:r>
          </w:p>
        </w:tc>
      </w:tr>
      <w:tr w:rsidR="00946180" w:rsidRPr="00191822" w14:paraId="29E7B25A" w14:textId="77777777" w:rsidTr="007A6E0B">
        <w:trPr>
          <w:cantSplit/>
        </w:trPr>
        <w:tc>
          <w:tcPr>
            <w:tcW w:w="9029" w:type="dxa"/>
            <w:gridSpan w:val="4"/>
            <w:tcBorders>
              <w:top w:val="single" w:sz="4" w:space="0" w:color="auto"/>
              <w:left w:val="single" w:sz="4" w:space="0" w:color="auto"/>
              <w:bottom w:val="single" w:sz="4" w:space="0" w:color="auto"/>
              <w:right w:val="single" w:sz="4" w:space="0" w:color="auto"/>
            </w:tcBorders>
            <w:hideMark/>
          </w:tcPr>
          <w:p w14:paraId="2A917950" w14:textId="77777777" w:rsidR="00946180" w:rsidRPr="00191822" w:rsidRDefault="00946180" w:rsidP="00946180">
            <w:pPr>
              <w:pStyle w:val="Tabletext0"/>
              <w:keepNext/>
              <w:tabs>
                <w:tab w:val="left" w:pos="142"/>
              </w:tabs>
              <w:rPr>
                <w:b/>
              </w:rPr>
            </w:pPr>
            <w:r w:rsidRPr="00191822">
              <w:rPr>
                <w:b/>
                <w:szCs w:val="20"/>
              </w:rPr>
              <w:t>Discount rate (base case: 5% for benefits and costs)</w:t>
            </w:r>
          </w:p>
        </w:tc>
      </w:tr>
      <w:tr w:rsidR="00946180" w:rsidRPr="00191822" w14:paraId="307C3EC4" w14:textId="77777777" w:rsidTr="007A6E0B">
        <w:trPr>
          <w:cantSplit/>
          <w:trHeight w:val="97"/>
        </w:trPr>
        <w:tc>
          <w:tcPr>
            <w:tcW w:w="4334" w:type="dxa"/>
            <w:tcBorders>
              <w:top w:val="single" w:sz="4" w:space="0" w:color="auto"/>
              <w:left w:val="single" w:sz="4" w:space="0" w:color="auto"/>
              <w:bottom w:val="single" w:sz="4" w:space="0" w:color="auto"/>
              <w:right w:val="single" w:sz="4" w:space="0" w:color="auto"/>
            </w:tcBorders>
            <w:hideMark/>
          </w:tcPr>
          <w:p w14:paraId="38B1FAB1" w14:textId="77777777" w:rsidR="00946180" w:rsidRPr="00191822" w:rsidRDefault="00946180" w:rsidP="00946180">
            <w:pPr>
              <w:pStyle w:val="Tabletext0"/>
              <w:keepNext/>
              <w:tabs>
                <w:tab w:val="left" w:pos="142"/>
              </w:tabs>
            </w:pPr>
            <w:r w:rsidRPr="00191822">
              <w:rPr>
                <w:szCs w:val="20"/>
              </w:rPr>
              <w:t>0% for costs and benefits</w:t>
            </w:r>
          </w:p>
        </w:tc>
        <w:tc>
          <w:tcPr>
            <w:tcW w:w="1690" w:type="dxa"/>
            <w:tcBorders>
              <w:top w:val="single" w:sz="4" w:space="0" w:color="auto"/>
              <w:left w:val="single" w:sz="4" w:space="0" w:color="auto"/>
              <w:bottom w:val="single" w:sz="4" w:space="0" w:color="auto"/>
              <w:right w:val="single" w:sz="4" w:space="0" w:color="auto"/>
            </w:tcBorders>
          </w:tcPr>
          <w:p w14:paraId="1EEB2388" w14:textId="77777777" w:rsidR="00946180" w:rsidRPr="00BE0CB4" w:rsidRDefault="00BE0CB4" w:rsidP="00946180">
            <w:pPr>
              <w:pStyle w:val="Tabletext0"/>
              <w:keepNext/>
              <w:jc w:val="center"/>
              <w:rPr>
                <w:i/>
                <w:highlight w:val="black"/>
              </w:rPr>
            </w:pPr>
            <w:r>
              <w:rPr>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3DBED9F8" w14:textId="77777777" w:rsidR="00946180" w:rsidRPr="00191822" w:rsidRDefault="00946180" w:rsidP="00946180">
            <w:pPr>
              <w:pStyle w:val="Tabletext0"/>
              <w:keepNext/>
              <w:jc w:val="center"/>
              <w:rPr>
                <w:i/>
              </w:rPr>
            </w:pPr>
            <w:r w:rsidRPr="00191822">
              <w:t>1.05</w:t>
            </w:r>
          </w:p>
        </w:tc>
        <w:tc>
          <w:tcPr>
            <w:tcW w:w="1315" w:type="dxa"/>
            <w:tcBorders>
              <w:top w:val="single" w:sz="4" w:space="0" w:color="auto"/>
              <w:left w:val="single" w:sz="4" w:space="0" w:color="auto"/>
              <w:bottom w:val="single" w:sz="4" w:space="0" w:color="auto"/>
              <w:right w:val="single" w:sz="4" w:space="0" w:color="auto"/>
            </w:tcBorders>
          </w:tcPr>
          <w:p w14:paraId="5DBCD675" w14:textId="77777777" w:rsidR="00946180" w:rsidRPr="00BE0CB4" w:rsidRDefault="00BE0CB4" w:rsidP="00946180">
            <w:pPr>
              <w:pStyle w:val="Tabletext0"/>
              <w:keepNext/>
              <w:jc w:val="center"/>
              <w:rPr>
                <w:i/>
              </w:rPr>
            </w:pPr>
            <w:r>
              <w:rPr>
                <w:noProof/>
                <w:color w:val="000000"/>
                <w:highlight w:val="black"/>
              </w:rPr>
              <w:t>''''''''''''''''''''''</w:t>
            </w:r>
            <w:r w:rsidR="006A5D64">
              <w:rPr>
                <w:iCs/>
                <w:szCs w:val="20"/>
                <w:vertAlign w:val="superscript"/>
              </w:rPr>
              <w:t>6</w:t>
            </w:r>
          </w:p>
        </w:tc>
      </w:tr>
      <w:tr w:rsidR="00946180" w:rsidRPr="00191822" w14:paraId="0E04A27E" w14:textId="77777777" w:rsidTr="007A6E0B">
        <w:trPr>
          <w:cantSplit/>
        </w:trPr>
        <w:tc>
          <w:tcPr>
            <w:tcW w:w="4334" w:type="dxa"/>
            <w:tcBorders>
              <w:top w:val="single" w:sz="4" w:space="0" w:color="auto"/>
              <w:left w:val="single" w:sz="4" w:space="0" w:color="auto"/>
              <w:bottom w:val="single" w:sz="4" w:space="0" w:color="auto"/>
              <w:right w:val="single" w:sz="4" w:space="0" w:color="auto"/>
            </w:tcBorders>
            <w:hideMark/>
          </w:tcPr>
          <w:p w14:paraId="2980AD23" w14:textId="77777777" w:rsidR="00946180" w:rsidRPr="00191822" w:rsidRDefault="00946180" w:rsidP="00946180">
            <w:pPr>
              <w:pStyle w:val="Tabletext0"/>
              <w:keepNext/>
              <w:tabs>
                <w:tab w:val="left" w:pos="142"/>
              </w:tabs>
            </w:pPr>
            <w:r w:rsidRPr="00191822">
              <w:rPr>
                <w:szCs w:val="20"/>
              </w:rPr>
              <w:t>3.5% for costs and benefits</w:t>
            </w:r>
          </w:p>
        </w:tc>
        <w:tc>
          <w:tcPr>
            <w:tcW w:w="1690" w:type="dxa"/>
            <w:tcBorders>
              <w:top w:val="single" w:sz="4" w:space="0" w:color="auto"/>
              <w:left w:val="nil"/>
              <w:bottom w:val="single" w:sz="4" w:space="0" w:color="auto"/>
              <w:right w:val="single" w:sz="4" w:space="0" w:color="auto"/>
            </w:tcBorders>
          </w:tcPr>
          <w:p w14:paraId="487ED994" w14:textId="77777777" w:rsidR="00946180" w:rsidRPr="00BE0CB4" w:rsidRDefault="00BE0CB4" w:rsidP="00946180">
            <w:pPr>
              <w:pStyle w:val="Tabletext0"/>
              <w:keepNext/>
              <w:jc w:val="center"/>
              <w:rPr>
                <w:i/>
                <w:highlight w:val="black"/>
              </w:rPr>
            </w:pPr>
            <w:r>
              <w:rPr>
                <w:noProof/>
                <w:color w:val="000000"/>
                <w:highlight w:val="black"/>
              </w:rPr>
              <w:t>''''''''''''''''''''</w:t>
            </w:r>
          </w:p>
        </w:tc>
        <w:tc>
          <w:tcPr>
            <w:tcW w:w="1690" w:type="dxa"/>
            <w:tcBorders>
              <w:top w:val="single" w:sz="4" w:space="0" w:color="auto"/>
              <w:left w:val="single" w:sz="4" w:space="0" w:color="auto"/>
              <w:bottom w:val="single" w:sz="4" w:space="0" w:color="auto"/>
              <w:right w:val="single" w:sz="4" w:space="0" w:color="auto"/>
            </w:tcBorders>
          </w:tcPr>
          <w:p w14:paraId="456DCFA4" w14:textId="77777777" w:rsidR="00946180" w:rsidRPr="00191822" w:rsidRDefault="00946180" w:rsidP="00946180">
            <w:pPr>
              <w:pStyle w:val="Tabletext0"/>
              <w:keepNext/>
              <w:jc w:val="center"/>
              <w:rPr>
                <w:i/>
              </w:rPr>
            </w:pPr>
            <w:r w:rsidRPr="00191822">
              <w:t>0.81</w:t>
            </w:r>
          </w:p>
        </w:tc>
        <w:tc>
          <w:tcPr>
            <w:tcW w:w="1315" w:type="dxa"/>
            <w:tcBorders>
              <w:top w:val="single" w:sz="4" w:space="0" w:color="auto"/>
              <w:left w:val="single" w:sz="4" w:space="0" w:color="auto"/>
              <w:bottom w:val="single" w:sz="4" w:space="0" w:color="auto"/>
              <w:right w:val="single" w:sz="4" w:space="0" w:color="auto"/>
            </w:tcBorders>
          </w:tcPr>
          <w:p w14:paraId="20C3AE5B" w14:textId="77777777" w:rsidR="00946180" w:rsidRPr="00BE0CB4" w:rsidRDefault="00BE0CB4" w:rsidP="00946180">
            <w:pPr>
              <w:pStyle w:val="Tabletext0"/>
              <w:keepNext/>
              <w:jc w:val="center"/>
              <w:rPr>
                <w:i/>
              </w:rPr>
            </w:pPr>
            <w:r>
              <w:rPr>
                <w:noProof/>
                <w:color w:val="000000"/>
                <w:highlight w:val="black"/>
              </w:rPr>
              <w:t>''''''''''''''''''</w:t>
            </w:r>
            <w:r w:rsidR="006A5D64">
              <w:rPr>
                <w:iCs/>
                <w:szCs w:val="20"/>
                <w:vertAlign w:val="superscript"/>
              </w:rPr>
              <w:t>3</w:t>
            </w:r>
          </w:p>
        </w:tc>
      </w:tr>
    </w:tbl>
    <w:p w14:paraId="62DA6F8C" w14:textId="77777777" w:rsidR="00382070" w:rsidRPr="00191822" w:rsidRDefault="00382070" w:rsidP="00382070">
      <w:pPr>
        <w:pStyle w:val="TableFooter"/>
        <w:spacing w:after="120"/>
      </w:pPr>
      <w:r w:rsidRPr="00191822">
        <w:t>Source: Compiled using the ‘Attachment 23_ACA_CEA_FINAL’ Excel Workbook, Attachment 23 of the resubmission.</w:t>
      </w:r>
    </w:p>
    <w:p w14:paraId="70F63B67" w14:textId="77777777" w:rsidR="00382070" w:rsidRDefault="00382070" w:rsidP="00382070">
      <w:pPr>
        <w:pStyle w:val="TableFooter"/>
        <w:spacing w:after="120"/>
      </w:pPr>
      <w:r w:rsidRPr="00191822">
        <w:t xml:space="preserve">AEMP, approved ex-manufacturer price; DPMQ, dispensed price for maximum quantity. </w:t>
      </w:r>
    </w:p>
    <w:p w14:paraId="3151CDB0" w14:textId="77777777" w:rsidR="00F90343" w:rsidRDefault="00F90343" w:rsidP="00382070">
      <w:pPr>
        <w:pStyle w:val="TableFooter"/>
        <w:spacing w:after="120"/>
      </w:pPr>
      <w:r>
        <w:rPr>
          <w:vertAlign w:val="superscript"/>
        </w:rPr>
        <w:t>a</w:t>
      </w:r>
      <w:r>
        <w:t xml:space="preserve"> Sensitivity analyses done during the evaluation. </w:t>
      </w:r>
    </w:p>
    <w:p w14:paraId="2A4CA8BD" w14:textId="77777777" w:rsidR="00813EB9" w:rsidRDefault="00813EB9" w:rsidP="00EB7EA3">
      <w:pPr>
        <w:pStyle w:val="TableFooter"/>
      </w:pPr>
      <w:r w:rsidRPr="007A6E0B">
        <w:rPr>
          <w:vertAlign w:val="superscript"/>
        </w:rPr>
        <w:t xml:space="preserve">b </w:t>
      </w:r>
      <w:r w:rsidR="007A6E0B">
        <w:t xml:space="preserve">Added for the ESC advice. </w:t>
      </w:r>
      <w:r w:rsidRPr="007A6E0B">
        <w:t xml:space="preserve">Affects costs only. Due to the use of a partitioned survival approach, effectiveness outcomes are dictated by the extrapolated overall survival and progression-free survival curves from the ELEVATE-TN and are not impacted by changes in </w:t>
      </w:r>
      <w:r w:rsidRPr="007A6E0B">
        <w:lastRenderedPageBreak/>
        <w:t>subsequent treatment utilisation.</w:t>
      </w:r>
    </w:p>
    <w:p w14:paraId="59F21F4B" w14:textId="77777777" w:rsidR="000673ED" w:rsidRDefault="000673ED">
      <w:pPr>
        <w:pStyle w:val="TableFigureFooter"/>
        <w:spacing w:after="0"/>
        <w:contextualSpacing w:val="0"/>
        <w:rPr>
          <w:i/>
        </w:rPr>
      </w:pPr>
      <w:r w:rsidRPr="009868C4">
        <w:rPr>
          <w:i/>
        </w:rPr>
        <w:t>The redacted values correspond to the following ranges</w:t>
      </w:r>
      <w:r>
        <w:rPr>
          <w:i/>
        </w:rPr>
        <w:t xml:space="preserve">: </w:t>
      </w:r>
    </w:p>
    <w:p w14:paraId="38A768C6" w14:textId="77777777" w:rsidR="000673ED" w:rsidRPr="00870C5D" w:rsidRDefault="000673ED" w:rsidP="000673ED">
      <w:pPr>
        <w:pStyle w:val="TableFigureFooter"/>
        <w:spacing w:after="0"/>
        <w:contextualSpacing w:val="0"/>
      </w:pPr>
      <w:r>
        <w:rPr>
          <w:i/>
          <w:vertAlign w:val="superscript"/>
        </w:rPr>
        <w:t>1</w:t>
      </w:r>
      <w:r>
        <w:rPr>
          <w:i/>
        </w:rPr>
        <w:t xml:space="preserve"> </w:t>
      </w:r>
      <w:r w:rsidRPr="000673ED">
        <w:rPr>
          <w:i/>
        </w:rPr>
        <w:t>$55,000 to &lt; $75,000</w:t>
      </w:r>
    </w:p>
    <w:p w14:paraId="096B3652" w14:textId="77777777" w:rsidR="000673ED" w:rsidRPr="00870C5D" w:rsidRDefault="000673ED" w:rsidP="000673ED">
      <w:pPr>
        <w:pStyle w:val="TableFigureFooter"/>
        <w:spacing w:after="0"/>
        <w:contextualSpacing w:val="0"/>
      </w:pPr>
      <w:r>
        <w:rPr>
          <w:i/>
          <w:vertAlign w:val="superscript"/>
        </w:rPr>
        <w:t>2</w:t>
      </w:r>
      <w:r>
        <w:rPr>
          <w:i/>
        </w:rPr>
        <w:t xml:space="preserve"> </w:t>
      </w:r>
      <w:r w:rsidR="006A5D64" w:rsidRPr="006A5D64">
        <w:rPr>
          <w:i/>
        </w:rPr>
        <w:t>$75,000 to &lt; $95,000</w:t>
      </w:r>
    </w:p>
    <w:p w14:paraId="710F98B7" w14:textId="77777777" w:rsidR="000673ED" w:rsidRPr="00870C5D" w:rsidRDefault="000673ED" w:rsidP="000673ED">
      <w:pPr>
        <w:pStyle w:val="TableFigureFooter"/>
        <w:spacing w:after="0"/>
        <w:contextualSpacing w:val="0"/>
      </w:pPr>
      <w:r>
        <w:rPr>
          <w:i/>
          <w:vertAlign w:val="superscript"/>
        </w:rPr>
        <w:t>3</w:t>
      </w:r>
      <w:r>
        <w:rPr>
          <w:i/>
        </w:rPr>
        <w:t xml:space="preserve"> </w:t>
      </w:r>
      <w:r w:rsidR="006A5D64" w:rsidRPr="006A5D64">
        <w:rPr>
          <w:i/>
        </w:rPr>
        <w:t>$45,000 to &lt; $55,000</w:t>
      </w:r>
    </w:p>
    <w:p w14:paraId="7E6295C5" w14:textId="77777777" w:rsidR="000673ED" w:rsidRPr="00870C5D" w:rsidRDefault="000673ED" w:rsidP="000673ED">
      <w:pPr>
        <w:pStyle w:val="TableFigureFooter"/>
        <w:spacing w:after="0"/>
        <w:contextualSpacing w:val="0"/>
      </w:pPr>
      <w:r>
        <w:rPr>
          <w:i/>
          <w:vertAlign w:val="superscript"/>
        </w:rPr>
        <w:t>4</w:t>
      </w:r>
      <w:r>
        <w:rPr>
          <w:i/>
        </w:rPr>
        <w:t xml:space="preserve"> </w:t>
      </w:r>
      <w:r w:rsidR="006A5D64" w:rsidRPr="006A5D64">
        <w:rPr>
          <w:i/>
        </w:rPr>
        <w:t>$95,000 to &lt; $115,000</w:t>
      </w:r>
    </w:p>
    <w:p w14:paraId="271898FC" w14:textId="77777777" w:rsidR="000673ED" w:rsidRPr="00870C5D" w:rsidRDefault="000673ED" w:rsidP="000673ED">
      <w:pPr>
        <w:pStyle w:val="TableFigureFooter"/>
        <w:spacing w:after="0"/>
        <w:contextualSpacing w:val="0"/>
      </w:pPr>
      <w:r>
        <w:rPr>
          <w:i/>
          <w:vertAlign w:val="superscript"/>
        </w:rPr>
        <w:t>5</w:t>
      </w:r>
      <w:r>
        <w:rPr>
          <w:i/>
        </w:rPr>
        <w:t xml:space="preserve"> </w:t>
      </w:r>
      <w:r w:rsidR="006A5D64" w:rsidRPr="006A5D64">
        <w:rPr>
          <w:i/>
        </w:rPr>
        <w:t>$255,000 to &lt; $355,000</w:t>
      </w:r>
    </w:p>
    <w:p w14:paraId="75B1BD1B" w14:textId="77777777" w:rsidR="000673ED" w:rsidRPr="00870C5D" w:rsidRDefault="000673ED" w:rsidP="000673ED">
      <w:pPr>
        <w:pStyle w:val="TableFigureFooter"/>
        <w:spacing w:after="0"/>
        <w:contextualSpacing w:val="0"/>
      </w:pPr>
      <w:r>
        <w:rPr>
          <w:i/>
          <w:vertAlign w:val="superscript"/>
        </w:rPr>
        <w:t>6</w:t>
      </w:r>
      <w:r>
        <w:rPr>
          <w:i/>
        </w:rPr>
        <w:t xml:space="preserve"> </w:t>
      </w:r>
      <w:r w:rsidR="006A5D64" w:rsidRPr="006A5D64">
        <w:rPr>
          <w:i/>
        </w:rPr>
        <w:t>$35,000 to &lt; $45,000</w:t>
      </w:r>
    </w:p>
    <w:p w14:paraId="3EB0B28A" w14:textId="77777777" w:rsidR="000673ED" w:rsidRPr="007A6E0B" w:rsidRDefault="000673ED" w:rsidP="00382070">
      <w:pPr>
        <w:pStyle w:val="TableFooter"/>
        <w:spacing w:after="120"/>
      </w:pPr>
    </w:p>
    <w:p w14:paraId="1BBE2A2F" w14:textId="77777777" w:rsidR="00382070" w:rsidRPr="00BA0568" w:rsidRDefault="00382070" w:rsidP="006A5D64">
      <w:pPr>
        <w:pStyle w:val="ExecSumBodyText"/>
      </w:pPr>
      <w:bookmarkStart w:id="51" w:name="_Ref85632847"/>
      <w:r w:rsidRPr="00A25C41">
        <w:t xml:space="preserve">The model was most sensitive to the time horizon, choice of parametric function to extrapolate progression-free survival for acalabrutinib, inclusion of </w:t>
      </w:r>
      <w:r w:rsidR="00E56EEB">
        <w:t xml:space="preserve">assumed </w:t>
      </w:r>
      <w:r w:rsidRPr="00A25C41">
        <w:t>treatment duration caps for acalabrutinib and second-line therapies, the assumed progression-free and progressed disease health state utilities, and the included health state costs.</w:t>
      </w:r>
      <w:r w:rsidR="00946180">
        <w:t xml:space="preserve"> </w:t>
      </w:r>
      <w:r w:rsidR="0074342C" w:rsidRPr="00DF44A0">
        <w:t xml:space="preserve">The ESC noted that the model </w:t>
      </w:r>
      <w:r w:rsidR="00021F23" w:rsidRPr="00DF44A0">
        <w:t xml:space="preserve">result </w:t>
      </w:r>
      <w:r w:rsidR="0074342C" w:rsidRPr="00DF44A0">
        <w:t xml:space="preserve">was sensitive to </w:t>
      </w:r>
      <w:r w:rsidR="00021F23" w:rsidRPr="00DF44A0">
        <w:t xml:space="preserve">key inputs including </w:t>
      </w:r>
      <w:r w:rsidR="005C3BB7" w:rsidRPr="00DF44A0">
        <w:t>(</w:t>
      </w:r>
      <w:proofErr w:type="spellStart"/>
      <w:r w:rsidR="005C3BB7" w:rsidRPr="00DF44A0">
        <w:t>i</w:t>
      </w:r>
      <w:proofErr w:type="spellEnd"/>
      <w:r w:rsidR="005C3BB7" w:rsidRPr="00DF44A0">
        <w:t xml:space="preserve">) the model time horizon (increasing to </w:t>
      </w:r>
      <w:r w:rsidR="006A5D64" w:rsidRPr="006A5D64">
        <w:t>$75,000 to &lt; $95,000</w:t>
      </w:r>
      <w:r w:rsidR="006A5D64">
        <w:t xml:space="preserve"> </w:t>
      </w:r>
      <w:r w:rsidR="005C3BB7" w:rsidRPr="00DF44A0">
        <w:t>per QALY gained with a 10</w:t>
      </w:r>
      <w:r w:rsidR="00E042B7" w:rsidRPr="00DF44A0">
        <w:t>-</w:t>
      </w:r>
      <w:r w:rsidR="005C3BB7" w:rsidRPr="00DF44A0">
        <w:t xml:space="preserve">year horizon), (ii) </w:t>
      </w:r>
      <w:r w:rsidR="0074342C" w:rsidRPr="00DF44A0">
        <w:t xml:space="preserve">the extrapolated progression free survival curve (increasing to </w:t>
      </w:r>
      <w:r w:rsidR="006A5D64" w:rsidRPr="006A5D64">
        <w:t xml:space="preserve">$95,000 to &lt; $115,000 </w:t>
      </w:r>
      <w:r w:rsidR="0074342C" w:rsidRPr="00DF44A0">
        <w:t xml:space="preserve">per QALY gained for the </w:t>
      </w:r>
      <w:proofErr w:type="spellStart"/>
      <w:r w:rsidR="0074342C" w:rsidRPr="00DF44A0">
        <w:t>Gompertz</w:t>
      </w:r>
      <w:proofErr w:type="spellEnd"/>
      <w:r w:rsidR="0074342C" w:rsidRPr="00DF44A0">
        <w:t xml:space="preserve"> extrapolation, which was the second-best fitting curve)</w:t>
      </w:r>
      <w:r w:rsidR="005C3BB7" w:rsidRPr="00DF44A0">
        <w:t xml:space="preserve">, (iii) the utility values (increasing to </w:t>
      </w:r>
      <w:r w:rsidR="006A5D64" w:rsidRPr="006A5D64">
        <w:t>$75,000 to &lt; $95,000</w:t>
      </w:r>
      <w:r w:rsidR="006A5D64">
        <w:t xml:space="preserve"> </w:t>
      </w:r>
      <w:r w:rsidR="005C3BB7" w:rsidRPr="00DF44A0">
        <w:t>per QALY gained with a progressed utility of 0.707</w:t>
      </w:r>
      <w:r w:rsidR="00E56EEB">
        <w:t>,</w:t>
      </w:r>
      <w:r w:rsidR="005C3BB7" w:rsidRPr="00DF44A0">
        <w:t xml:space="preserve"> which ESC noted was still lower than the estimate of 0.804 sourced from the </w:t>
      </w:r>
      <w:r w:rsidR="00152673" w:rsidRPr="00DF44A0">
        <w:t xml:space="preserve">interim </w:t>
      </w:r>
      <w:r w:rsidR="005C3BB7" w:rsidRPr="00DF44A0">
        <w:t>ELEVATE-TN trial</w:t>
      </w:r>
      <w:r w:rsidR="00152673" w:rsidRPr="00DF44A0">
        <w:t xml:space="preserve"> analysis</w:t>
      </w:r>
      <w:r w:rsidR="005C3BB7" w:rsidRPr="00DF44A0">
        <w:t>)</w:t>
      </w:r>
      <w:r w:rsidR="0074342C" w:rsidRPr="00DF44A0">
        <w:t>.</w:t>
      </w:r>
      <w:r w:rsidR="005C3BB7" w:rsidRPr="00DF44A0">
        <w:t xml:space="preserve"> The ESC further noted </w:t>
      </w:r>
      <w:r w:rsidR="001164D5" w:rsidRPr="00DF44A0">
        <w:t xml:space="preserve">that removing </w:t>
      </w:r>
      <w:r w:rsidR="005C3BB7" w:rsidRPr="00DF44A0">
        <w:t xml:space="preserve">the </w:t>
      </w:r>
      <w:r w:rsidR="001164D5" w:rsidRPr="00DF44A0">
        <w:t xml:space="preserve">acalabrutinib treatment cap increased the ICER to </w:t>
      </w:r>
      <w:r w:rsidR="006A5D64" w:rsidRPr="006A5D64">
        <w:t>$255,000 to &lt; $355,000</w:t>
      </w:r>
      <w:r w:rsidR="006A5D64">
        <w:t xml:space="preserve"> </w:t>
      </w:r>
      <w:r w:rsidR="001164D5" w:rsidRPr="00DF44A0">
        <w:t>per QALY gained, and therefore if the use of acalabrutinib</w:t>
      </w:r>
      <w:r w:rsidR="00E56EEB">
        <w:t xml:space="preserve"> were</w:t>
      </w:r>
      <w:r w:rsidR="001164D5" w:rsidRPr="00DF44A0">
        <w:t xml:space="preserve"> less than the estimates used to inform the RSA treatment caps</w:t>
      </w:r>
      <w:r w:rsidR="004C1343" w:rsidRPr="00DF44A0">
        <w:t>,</w:t>
      </w:r>
      <w:r w:rsidR="001164D5" w:rsidRPr="00DF44A0">
        <w:t xml:space="preserve"> </w:t>
      </w:r>
      <w:r w:rsidR="00152673" w:rsidRPr="00DF44A0">
        <w:t xml:space="preserve">then </w:t>
      </w:r>
      <w:r w:rsidR="001164D5" w:rsidRPr="00DF44A0">
        <w:t xml:space="preserve">the </w:t>
      </w:r>
      <w:r w:rsidR="0049164F" w:rsidRPr="00DF44A0">
        <w:t>actual</w:t>
      </w:r>
      <w:r w:rsidR="001164D5" w:rsidRPr="00DF44A0">
        <w:t xml:space="preserve"> ICER</w:t>
      </w:r>
      <w:r w:rsidR="0049164F" w:rsidRPr="00DF44A0">
        <w:t>s</w:t>
      </w:r>
      <w:r w:rsidR="001164D5" w:rsidRPr="00DF44A0">
        <w:t xml:space="preserve"> </w:t>
      </w:r>
      <w:r w:rsidR="00E56EEB">
        <w:t>would</w:t>
      </w:r>
      <w:r w:rsidR="00E56EEB" w:rsidRPr="00DF44A0">
        <w:t xml:space="preserve"> </w:t>
      </w:r>
      <w:r w:rsidR="001164D5" w:rsidRPr="00DF44A0">
        <w:t xml:space="preserve">be higher than those </w:t>
      </w:r>
      <w:r w:rsidR="00E56EEB">
        <w:t>estimated</w:t>
      </w:r>
      <w:r w:rsidR="00E56EEB" w:rsidRPr="00DF44A0">
        <w:t xml:space="preserve"> </w:t>
      </w:r>
      <w:r w:rsidR="001164D5" w:rsidRPr="00DF44A0">
        <w:t xml:space="preserve">in </w:t>
      </w:r>
      <w:r w:rsidR="00BD60E3">
        <w:t xml:space="preserve">Table </w:t>
      </w:r>
      <w:r w:rsidR="00BD60E3">
        <w:rPr>
          <w:noProof/>
        </w:rPr>
        <w:t>14</w:t>
      </w:r>
      <w:r w:rsidR="001164D5" w:rsidRPr="00DF44A0">
        <w:t>.</w:t>
      </w:r>
      <w:bookmarkEnd w:id="51"/>
    </w:p>
    <w:p w14:paraId="6964FC94" w14:textId="77777777" w:rsidR="00BA0568" w:rsidRPr="00BA0568" w:rsidRDefault="00BA0568" w:rsidP="00382070">
      <w:pPr>
        <w:pStyle w:val="ExecSumBodyText"/>
        <w:rPr>
          <w:iCs/>
        </w:rPr>
      </w:pPr>
      <w:r>
        <w:t>The pre-PBAC response:</w:t>
      </w:r>
    </w:p>
    <w:p w14:paraId="623A99BF" w14:textId="77777777" w:rsidR="00BA0568" w:rsidRDefault="00BA0568" w:rsidP="00BA0568">
      <w:pPr>
        <w:pStyle w:val="ExecSumBodyText"/>
        <w:numPr>
          <w:ilvl w:val="0"/>
          <w:numId w:val="14"/>
        </w:numPr>
        <w:spacing w:after="0"/>
        <w:ind w:left="1077" w:hanging="357"/>
        <w:rPr>
          <w:iCs/>
        </w:rPr>
      </w:pPr>
      <w:r>
        <w:rPr>
          <w:iCs/>
        </w:rPr>
        <w:t xml:space="preserve">Considered that the </w:t>
      </w:r>
      <w:proofErr w:type="spellStart"/>
      <w:r>
        <w:rPr>
          <w:iCs/>
        </w:rPr>
        <w:t>Gompertz</w:t>
      </w:r>
      <w:proofErr w:type="spellEnd"/>
      <w:r>
        <w:rPr>
          <w:iCs/>
        </w:rPr>
        <w:t xml:space="preserve"> extrapolation was an outlier, noting that the AIC/BIC statistics generated by the log-logistic and Weibull functions were </w:t>
      </w:r>
      <w:proofErr w:type="gramStart"/>
      <w:r>
        <w:rPr>
          <w:iCs/>
        </w:rPr>
        <w:t>similar to</w:t>
      </w:r>
      <w:proofErr w:type="gramEnd"/>
      <w:r>
        <w:rPr>
          <w:iCs/>
        </w:rPr>
        <w:t xml:space="preserve"> the </w:t>
      </w:r>
      <w:proofErr w:type="spellStart"/>
      <w:r>
        <w:rPr>
          <w:iCs/>
        </w:rPr>
        <w:t>Gompertz</w:t>
      </w:r>
      <w:proofErr w:type="spellEnd"/>
      <w:r>
        <w:rPr>
          <w:iCs/>
        </w:rPr>
        <w:t>, but generated similar ICERs/QALY gained as the resubmission base case.</w:t>
      </w:r>
    </w:p>
    <w:p w14:paraId="7D29285F" w14:textId="77777777" w:rsidR="00BA0568" w:rsidRDefault="00BA0568" w:rsidP="00BA0568">
      <w:pPr>
        <w:pStyle w:val="ExecSumBodyText"/>
        <w:numPr>
          <w:ilvl w:val="0"/>
          <w:numId w:val="14"/>
        </w:numPr>
        <w:spacing w:after="0"/>
        <w:ind w:left="1077" w:hanging="357"/>
        <w:rPr>
          <w:iCs/>
        </w:rPr>
      </w:pPr>
      <w:r>
        <w:rPr>
          <w:iCs/>
        </w:rPr>
        <w:t xml:space="preserve">Maintained the appropriateness of a 15-year time horizon, given the sustained PFS benefit demonstrated in the later data cut of the ELEVATE-TN trial. </w:t>
      </w:r>
    </w:p>
    <w:p w14:paraId="2EFECB9C" w14:textId="77777777" w:rsidR="00BA0568" w:rsidRPr="009E7F27" w:rsidRDefault="00BA0568" w:rsidP="00BA0568">
      <w:pPr>
        <w:pStyle w:val="ExecSumBodyText"/>
        <w:numPr>
          <w:ilvl w:val="0"/>
          <w:numId w:val="14"/>
        </w:numPr>
        <w:spacing w:after="0"/>
        <w:ind w:left="1077" w:hanging="357"/>
        <w:rPr>
          <w:iCs/>
        </w:rPr>
      </w:pPr>
      <w:r>
        <w:rPr>
          <w:iCs/>
        </w:rPr>
        <w:t>Recognised that the treatment cap would only be effective if utilisation estimates closely reflected those predicted in the resubmission.</w:t>
      </w:r>
    </w:p>
    <w:p w14:paraId="7FD5E653" w14:textId="77777777" w:rsidR="00C25D9C" w:rsidRPr="00191822" w:rsidRDefault="00C25D9C" w:rsidP="00BB732D">
      <w:pPr>
        <w:pStyle w:val="3-SubsectionHeading"/>
      </w:pPr>
      <w:bookmarkStart w:id="52" w:name="_Toc22897646"/>
      <w:bookmarkStart w:id="53" w:name="_Toc82613391"/>
      <w:r w:rsidRPr="00191822">
        <w:t>Drug</w:t>
      </w:r>
      <w:r w:rsidR="00382070" w:rsidRPr="00191822">
        <w:t xml:space="preserve"> cost</w:t>
      </w:r>
      <w:r w:rsidR="009A5ABC" w:rsidRPr="00191822">
        <w:t>/</w:t>
      </w:r>
      <w:r w:rsidR="00382070" w:rsidRPr="00191822">
        <w:t>patient/year</w:t>
      </w:r>
      <w:bookmarkEnd w:id="52"/>
      <w:bookmarkEnd w:id="53"/>
    </w:p>
    <w:p w14:paraId="4BF2095E" w14:textId="77777777" w:rsidR="005B5E98" w:rsidRPr="00191822" w:rsidRDefault="00642D22" w:rsidP="00642D22">
      <w:pPr>
        <w:pStyle w:val="ExecSumBodyText"/>
      </w:pPr>
      <w:r w:rsidRPr="00191822">
        <w:t>The estimated drug cost for acalabrutinib was $</w:t>
      </w:r>
      <w:r w:rsidR="00BE0CB4">
        <w:rPr>
          <w:noProof/>
          <w:color w:val="000000"/>
          <w:highlight w:val="black"/>
        </w:rPr>
        <w:t>''''''''''''''</w:t>
      </w:r>
      <w:r w:rsidRPr="00191822">
        <w:t xml:space="preserve"> per patient per year (based on </w:t>
      </w:r>
      <w:r w:rsidR="006A5D64">
        <w:t>&lt; 500</w:t>
      </w:r>
      <w:r w:rsidRPr="00191822">
        <w:t xml:space="preserve"> scripts using the effective DPMQ $</w:t>
      </w:r>
      <w:r w:rsidR="00BE0CB4">
        <w:rPr>
          <w:noProof/>
          <w:color w:val="000000"/>
          <w:highlight w:val="black"/>
        </w:rPr>
        <w:t>''''''''''''''''</w:t>
      </w:r>
      <w:r w:rsidRPr="00191822">
        <w:t xml:space="preserve"> for 28 days treatment and assuming a dose intensity of 96.8%). The resubmission estimated a maximum cost of $</w:t>
      </w:r>
      <w:r w:rsidR="00BE0CB4">
        <w:rPr>
          <w:noProof/>
          <w:color w:val="000000"/>
          <w:highlight w:val="black"/>
        </w:rPr>
        <w:t>'''''''''''''''</w:t>
      </w:r>
      <w:r w:rsidRPr="00191822">
        <w:t xml:space="preserve"> per patient for acalabrutinib based on a risk</w:t>
      </w:r>
      <w:r w:rsidR="00444BF9">
        <w:t>-</w:t>
      </w:r>
      <w:r w:rsidRPr="00191822">
        <w:t>sharing agreement cap of 48 months.</w:t>
      </w:r>
      <w:r w:rsidR="00637494" w:rsidRPr="00637494">
        <w:t xml:space="preserve"> </w:t>
      </w:r>
      <w:r w:rsidR="00637494" w:rsidRPr="00DF44A0">
        <w:rPr>
          <w:iCs/>
        </w:rPr>
        <w:t>The estimated drug cost per patient per course for acalabrutinib exclusive of the 48-month treatment cap was $</w:t>
      </w:r>
      <w:r w:rsidR="00BE0CB4">
        <w:rPr>
          <w:iCs/>
          <w:noProof/>
          <w:color w:val="000000"/>
          <w:highlight w:val="black"/>
        </w:rPr>
        <w:t>''''''''''''''''</w:t>
      </w:r>
      <w:r w:rsidR="00637494" w:rsidRPr="00DF44A0">
        <w:rPr>
          <w:iCs/>
        </w:rPr>
        <w:t xml:space="preserve"> (based on </w:t>
      </w:r>
      <w:r w:rsidR="006A5D64">
        <w:rPr>
          <w:iCs/>
        </w:rPr>
        <w:t>&lt; 500</w:t>
      </w:r>
      <w:r w:rsidR="00637494" w:rsidRPr="00DF44A0">
        <w:rPr>
          <w:iCs/>
        </w:rPr>
        <w:t xml:space="preserve"> scripts per year, the effective DPMQ of $</w:t>
      </w:r>
      <w:r w:rsidR="00BE0CB4">
        <w:rPr>
          <w:iCs/>
          <w:noProof/>
          <w:color w:val="000000"/>
          <w:highlight w:val="black"/>
        </w:rPr>
        <w:t>''''''''''''''''</w:t>
      </w:r>
      <w:r w:rsidR="00637494" w:rsidRPr="00DF44A0">
        <w:rPr>
          <w:iCs/>
        </w:rPr>
        <w:t xml:space="preserve"> for 28 days treatment, a dose intensity of 96.8%, and an estimated mean treatment duration of 10.4 years derived from the ELEVATE-TN time to treatment discontinuation curve extrapolated using an exponential function).</w:t>
      </w:r>
    </w:p>
    <w:p w14:paraId="1F5E47DF" w14:textId="77777777" w:rsidR="005B5E98" w:rsidRPr="00191822" w:rsidRDefault="00642D22" w:rsidP="00642D22">
      <w:pPr>
        <w:pStyle w:val="ExecSumBodyText"/>
      </w:pPr>
      <w:r w:rsidRPr="00191822">
        <w:lastRenderedPageBreak/>
        <w:t xml:space="preserve">The estimated drug cost for </w:t>
      </w:r>
      <w:proofErr w:type="spellStart"/>
      <w:r w:rsidRPr="00191822">
        <w:t>obinutuzumab</w:t>
      </w:r>
      <w:proofErr w:type="spellEnd"/>
      <w:r w:rsidRPr="00191822">
        <w:t xml:space="preserve"> was $</w:t>
      </w:r>
      <w:r w:rsidRPr="00D90C26">
        <w:t xml:space="preserve">19,870 </w:t>
      </w:r>
      <w:r w:rsidRPr="00191822">
        <w:t>for a single six-month treatment course (</w:t>
      </w:r>
      <w:r w:rsidR="00FA277F">
        <w:t>based on</w:t>
      </w:r>
      <w:r w:rsidR="00925316">
        <w:t xml:space="preserve"> </w:t>
      </w:r>
      <w:r w:rsidRPr="00191822">
        <w:t>8 infusions</w:t>
      </w:r>
      <w:r w:rsidR="00193EFF">
        <w:t xml:space="preserve">, </w:t>
      </w:r>
      <w:r w:rsidR="00FA277F">
        <w:t xml:space="preserve">an </w:t>
      </w:r>
      <w:r w:rsidR="00925316">
        <w:t xml:space="preserve">estimated </w:t>
      </w:r>
      <w:r w:rsidR="00925316" w:rsidRPr="00925316">
        <w:t xml:space="preserve">effective </w:t>
      </w:r>
      <w:r w:rsidR="00DD6C61" w:rsidRPr="00191822">
        <w:t>weighted</w:t>
      </w:r>
      <w:r w:rsidR="00DD6C61">
        <w:t xml:space="preserve"> public</w:t>
      </w:r>
      <w:r w:rsidRPr="00191822">
        <w:t xml:space="preserve">/private hospital DPMA </w:t>
      </w:r>
      <w:r w:rsidR="00193EFF">
        <w:t xml:space="preserve">of </w:t>
      </w:r>
      <w:r w:rsidR="00193EFF" w:rsidRPr="00193EFF">
        <w:t>$</w:t>
      </w:r>
      <w:r w:rsidR="00193EFF" w:rsidRPr="00D90C26">
        <w:t>2,647.87</w:t>
      </w:r>
      <w:r w:rsidR="00A926FA">
        <w:t>,</w:t>
      </w:r>
      <w:r w:rsidR="00193EFF">
        <w:t xml:space="preserve"> and </w:t>
      </w:r>
      <w:r w:rsidRPr="00191822">
        <w:t>a dose intensity of 93.8%</w:t>
      </w:r>
      <w:r w:rsidR="00193EFF">
        <w:t>)</w:t>
      </w:r>
      <w:r w:rsidRPr="00191822">
        <w:t>.</w:t>
      </w:r>
    </w:p>
    <w:p w14:paraId="7EF7FEFD" w14:textId="77777777" w:rsidR="005B5E98" w:rsidRPr="00191822" w:rsidRDefault="00642D22" w:rsidP="00642D22">
      <w:pPr>
        <w:pStyle w:val="ExecSumBodyText"/>
      </w:pPr>
      <w:r w:rsidRPr="00191822">
        <w:t xml:space="preserve">The estimated drug cost for chlorambucil was $1,070 for a single six-month treatment course (based on six cycles/12 doses, </w:t>
      </w:r>
      <w:r w:rsidR="00A926FA">
        <w:t>a</w:t>
      </w:r>
      <w:r w:rsidR="00A926FA" w:rsidRPr="00191822">
        <w:t xml:space="preserve"> </w:t>
      </w:r>
      <w:r w:rsidRPr="00191822">
        <w:t>published DPMQ of $135.34 per pack, a dose intensity of 83.4%</w:t>
      </w:r>
      <w:r w:rsidR="00DE4B33">
        <w:t xml:space="preserve">, and average </w:t>
      </w:r>
      <w:r w:rsidR="00A926FA">
        <w:t>dose of 39.5 mg</w:t>
      </w:r>
      <w:r w:rsidRPr="00191822">
        <w:t xml:space="preserve">). </w:t>
      </w:r>
      <w:r w:rsidRPr="00A25C41">
        <w:rPr>
          <w:iCs/>
        </w:rPr>
        <w:t>The cost of chlorambucil appeared to be overestimated in the resubmission, as the calculation was based on a DPMQ of $135.34 for 25 tablets, whereas the PBS specifies a DPMQ of $135.34 for 100 tablets.</w:t>
      </w:r>
    </w:p>
    <w:p w14:paraId="0AFE2CF8" w14:textId="77777777" w:rsidR="00642D22" w:rsidRPr="00191822" w:rsidRDefault="00642D22" w:rsidP="00642D22">
      <w:pPr>
        <w:pStyle w:val="ExecSumBodyText"/>
      </w:pPr>
      <w:r w:rsidRPr="00191822">
        <w:t xml:space="preserve">The estimated drug costs per patient for acalabrutinib monotherapy and chlorambucil + </w:t>
      </w:r>
      <w:proofErr w:type="spellStart"/>
      <w:r w:rsidRPr="00191822">
        <w:t>obinutuzumab</w:t>
      </w:r>
      <w:proofErr w:type="spellEnd"/>
      <w:r w:rsidRPr="00191822">
        <w:t xml:space="preserve"> combination therapy are summarised in </w:t>
      </w:r>
      <w:r w:rsidR="00BD60E3">
        <w:t xml:space="preserve">Table </w:t>
      </w:r>
      <w:r w:rsidR="00BD60E3">
        <w:rPr>
          <w:noProof/>
        </w:rPr>
        <w:t>15</w:t>
      </w:r>
      <w:r w:rsidRPr="00191822">
        <w:t xml:space="preserve">. </w:t>
      </w:r>
    </w:p>
    <w:p w14:paraId="540FDFB6" w14:textId="77777777" w:rsidR="00642D22" w:rsidRPr="00191822" w:rsidRDefault="004026AA" w:rsidP="004026AA">
      <w:pPr>
        <w:pStyle w:val="TableFigureCaption"/>
      </w:pPr>
      <w:bookmarkStart w:id="54" w:name="_Ref80373563"/>
      <w:bookmarkStart w:id="55" w:name="_Hlk82101313"/>
      <w:r>
        <w:t xml:space="preserve">Table </w:t>
      </w:r>
      <w:r w:rsidR="00BD60E3">
        <w:rPr>
          <w:noProof/>
        </w:rPr>
        <w:t>15</w:t>
      </w:r>
      <w:bookmarkEnd w:id="54"/>
      <w:r w:rsidR="00642D22" w:rsidRPr="00191822">
        <w:t xml:space="preserve">: Annual drug costs acalabrutinib and chlorambucil + </w:t>
      </w:r>
      <w:proofErr w:type="spellStart"/>
      <w:r w:rsidR="00642D22" w:rsidRPr="00191822">
        <w:t>obinutuzumab</w:t>
      </w:r>
      <w:proofErr w:type="spellEnd"/>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Annual drug costs acalabrutinib and chlorambucil + obinutuzumab"/>
      </w:tblPr>
      <w:tblGrid>
        <w:gridCol w:w="4128"/>
        <w:gridCol w:w="2439"/>
        <w:gridCol w:w="2439"/>
      </w:tblGrid>
      <w:tr w:rsidR="00642D22" w:rsidRPr="00191822" w14:paraId="6C93B6CE" w14:textId="77777777" w:rsidTr="00B63CF0">
        <w:tc>
          <w:tcPr>
            <w:tcW w:w="2292" w:type="pct"/>
            <w:tcBorders>
              <w:top w:val="single" w:sz="4" w:space="0" w:color="auto"/>
              <w:left w:val="single" w:sz="4" w:space="0" w:color="auto"/>
              <w:bottom w:val="single" w:sz="4" w:space="0" w:color="auto"/>
              <w:right w:val="single" w:sz="4" w:space="0" w:color="auto"/>
            </w:tcBorders>
            <w:vAlign w:val="center"/>
            <w:hideMark/>
          </w:tcPr>
          <w:p w14:paraId="00063D1C" w14:textId="77777777" w:rsidR="00642D22" w:rsidRPr="00191822" w:rsidRDefault="00642D22" w:rsidP="00BC3FCA">
            <w:pPr>
              <w:pStyle w:val="TableText"/>
              <w:widowControl w:val="0"/>
              <w:rPr>
                <w:b/>
              </w:rPr>
            </w:pPr>
            <w:r w:rsidRPr="00191822">
              <w:rPr>
                <w:b/>
              </w:rPr>
              <w:t>Treatment regimen</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A63158B" w14:textId="77777777" w:rsidR="00642D22" w:rsidRPr="00191822" w:rsidRDefault="00642D22" w:rsidP="00BC3FCA">
            <w:pPr>
              <w:pStyle w:val="TableText"/>
              <w:widowControl w:val="0"/>
              <w:jc w:val="center"/>
              <w:rPr>
                <w:b/>
              </w:rPr>
            </w:pPr>
            <w:r w:rsidRPr="00191822">
              <w:rPr>
                <w:b/>
              </w:rPr>
              <w:t>First year</w:t>
            </w:r>
            <w:r w:rsidR="006A5D64">
              <w:rPr>
                <w:b/>
              </w:rPr>
              <w:t xml:space="preserve"> ($)</w:t>
            </w:r>
          </w:p>
        </w:tc>
        <w:tc>
          <w:tcPr>
            <w:tcW w:w="1354" w:type="pct"/>
            <w:tcBorders>
              <w:top w:val="single" w:sz="4" w:space="0" w:color="auto"/>
              <w:left w:val="single" w:sz="4" w:space="0" w:color="auto"/>
              <w:bottom w:val="single" w:sz="4" w:space="0" w:color="auto"/>
              <w:right w:val="single" w:sz="4" w:space="0" w:color="auto"/>
            </w:tcBorders>
            <w:vAlign w:val="center"/>
            <w:hideMark/>
          </w:tcPr>
          <w:p w14:paraId="163E3C15" w14:textId="77777777" w:rsidR="00642D22" w:rsidRPr="00EB7EA3" w:rsidRDefault="00642D22" w:rsidP="00BC3FCA">
            <w:pPr>
              <w:pStyle w:val="TableText"/>
              <w:widowControl w:val="0"/>
              <w:jc w:val="center"/>
              <w:rPr>
                <w:b/>
              </w:rPr>
            </w:pPr>
            <w:r w:rsidRPr="00191822">
              <w:rPr>
                <w:b/>
              </w:rPr>
              <w:t xml:space="preserve">Subsequent </w:t>
            </w:r>
            <w:proofErr w:type="spellStart"/>
            <w:r w:rsidRPr="00191822">
              <w:rPr>
                <w:b/>
              </w:rPr>
              <w:t>years</w:t>
            </w:r>
            <w:r w:rsidR="00444BF9">
              <w:rPr>
                <w:b/>
                <w:vertAlign w:val="superscript"/>
              </w:rPr>
              <w:t>a</w:t>
            </w:r>
            <w:proofErr w:type="spellEnd"/>
            <w:r w:rsidR="006A5D64">
              <w:rPr>
                <w:b/>
                <w:vertAlign w:val="superscript"/>
              </w:rPr>
              <w:t xml:space="preserve"> </w:t>
            </w:r>
            <w:r w:rsidR="006A5D64">
              <w:rPr>
                <w:b/>
              </w:rPr>
              <w:t>($)</w:t>
            </w:r>
          </w:p>
        </w:tc>
      </w:tr>
      <w:tr w:rsidR="00642D22" w:rsidRPr="00191822" w14:paraId="0418D0D9" w14:textId="77777777" w:rsidTr="00B63CF0">
        <w:tc>
          <w:tcPr>
            <w:tcW w:w="2292" w:type="pct"/>
            <w:tcBorders>
              <w:top w:val="single" w:sz="4" w:space="0" w:color="auto"/>
              <w:left w:val="single" w:sz="4" w:space="0" w:color="auto"/>
              <w:bottom w:val="single" w:sz="4" w:space="0" w:color="auto"/>
              <w:right w:val="single" w:sz="4" w:space="0" w:color="auto"/>
            </w:tcBorders>
            <w:hideMark/>
          </w:tcPr>
          <w:p w14:paraId="79D8E7ED" w14:textId="77777777" w:rsidR="00642D22" w:rsidRPr="00191822" w:rsidRDefault="00642D22" w:rsidP="00BC3FCA">
            <w:pPr>
              <w:pStyle w:val="TableText"/>
              <w:widowControl w:val="0"/>
            </w:pPr>
            <w:r w:rsidRPr="00191822">
              <w:t>Acalabrutinib monotherapy</w:t>
            </w:r>
          </w:p>
        </w:tc>
        <w:tc>
          <w:tcPr>
            <w:tcW w:w="1354" w:type="pct"/>
            <w:tcBorders>
              <w:top w:val="single" w:sz="4" w:space="0" w:color="auto"/>
              <w:left w:val="single" w:sz="4" w:space="0" w:color="auto"/>
              <w:bottom w:val="single" w:sz="4" w:space="0" w:color="auto"/>
              <w:right w:val="single" w:sz="4" w:space="0" w:color="auto"/>
            </w:tcBorders>
            <w:hideMark/>
          </w:tcPr>
          <w:p w14:paraId="114656E0" w14:textId="77777777" w:rsidR="00642D22" w:rsidRPr="00BE0CB4" w:rsidRDefault="00BE0CB4" w:rsidP="00BC3FCA">
            <w:pPr>
              <w:pStyle w:val="TableText"/>
              <w:widowControl w:val="0"/>
              <w:jc w:val="center"/>
              <w:rPr>
                <w:highlight w:val="black"/>
              </w:rPr>
            </w:pPr>
            <w:r>
              <w:rPr>
                <w:noProof/>
                <w:color w:val="000000"/>
                <w:highlight w:val="black"/>
              </w:rPr>
              <w:t>''''''''''''''''''</w:t>
            </w:r>
          </w:p>
        </w:tc>
        <w:tc>
          <w:tcPr>
            <w:tcW w:w="1354" w:type="pct"/>
            <w:tcBorders>
              <w:top w:val="single" w:sz="4" w:space="0" w:color="auto"/>
              <w:left w:val="single" w:sz="4" w:space="0" w:color="auto"/>
              <w:bottom w:val="single" w:sz="4" w:space="0" w:color="auto"/>
              <w:right w:val="single" w:sz="4" w:space="0" w:color="auto"/>
            </w:tcBorders>
            <w:hideMark/>
          </w:tcPr>
          <w:p w14:paraId="527F98E1" w14:textId="77777777" w:rsidR="00642D22" w:rsidRPr="00BE0CB4" w:rsidRDefault="00BE0CB4" w:rsidP="00BC3FCA">
            <w:pPr>
              <w:pStyle w:val="TableText"/>
              <w:widowControl w:val="0"/>
              <w:jc w:val="center"/>
              <w:rPr>
                <w:highlight w:val="black"/>
              </w:rPr>
            </w:pPr>
            <w:r>
              <w:rPr>
                <w:noProof/>
                <w:color w:val="000000"/>
                <w:highlight w:val="black"/>
              </w:rPr>
              <w:t>'''''''''''''''''''</w:t>
            </w:r>
          </w:p>
        </w:tc>
      </w:tr>
      <w:tr w:rsidR="00642D22" w:rsidRPr="00191822" w14:paraId="511D0765" w14:textId="77777777" w:rsidTr="00B63CF0">
        <w:tc>
          <w:tcPr>
            <w:tcW w:w="2292" w:type="pct"/>
            <w:tcBorders>
              <w:top w:val="single" w:sz="4" w:space="0" w:color="auto"/>
              <w:left w:val="single" w:sz="4" w:space="0" w:color="auto"/>
              <w:bottom w:val="single" w:sz="4" w:space="0" w:color="auto"/>
              <w:right w:val="single" w:sz="4" w:space="0" w:color="auto"/>
            </w:tcBorders>
            <w:hideMark/>
          </w:tcPr>
          <w:p w14:paraId="4710D7E5" w14:textId="77777777" w:rsidR="00642D22" w:rsidRPr="00191822" w:rsidRDefault="00642D22" w:rsidP="004026AA">
            <w:pPr>
              <w:pStyle w:val="TableText"/>
              <w:keepNext w:val="0"/>
              <w:widowControl w:val="0"/>
            </w:pPr>
            <w:r w:rsidRPr="00191822">
              <w:t xml:space="preserve">Chlorambucil + </w:t>
            </w:r>
            <w:proofErr w:type="spellStart"/>
            <w:r w:rsidRPr="00191822">
              <w:t>obinutuzumab</w:t>
            </w:r>
            <w:proofErr w:type="spellEnd"/>
          </w:p>
        </w:tc>
        <w:tc>
          <w:tcPr>
            <w:tcW w:w="1354" w:type="pct"/>
            <w:tcBorders>
              <w:top w:val="single" w:sz="4" w:space="0" w:color="auto"/>
              <w:left w:val="single" w:sz="4" w:space="0" w:color="auto"/>
              <w:bottom w:val="single" w:sz="4" w:space="0" w:color="auto"/>
              <w:right w:val="single" w:sz="4" w:space="0" w:color="auto"/>
            </w:tcBorders>
            <w:hideMark/>
          </w:tcPr>
          <w:p w14:paraId="6C373578" w14:textId="77777777" w:rsidR="00642D22" w:rsidRPr="00D90C26" w:rsidRDefault="00642D22" w:rsidP="004026AA">
            <w:pPr>
              <w:pStyle w:val="TableText"/>
              <w:keepNext w:val="0"/>
              <w:widowControl w:val="0"/>
              <w:jc w:val="center"/>
            </w:pPr>
            <w:r w:rsidRPr="00D90C26">
              <w:t>$20,940</w:t>
            </w:r>
          </w:p>
        </w:tc>
        <w:tc>
          <w:tcPr>
            <w:tcW w:w="1354" w:type="pct"/>
            <w:tcBorders>
              <w:top w:val="single" w:sz="4" w:space="0" w:color="auto"/>
              <w:left w:val="single" w:sz="4" w:space="0" w:color="auto"/>
              <w:bottom w:val="single" w:sz="4" w:space="0" w:color="auto"/>
              <w:right w:val="single" w:sz="4" w:space="0" w:color="auto"/>
            </w:tcBorders>
            <w:hideMark/>
          </w:tcPr>
          <w:p w14:paraId="1D0B2F29" w14:textId="77777777" w:rsidR="00642D22" w:rsidRPr="00D90C26" w:rsidRDefault="00642D22" w:rsidP="004026AA">
            <w:pPr>
              <w:pStyle w:val="TableText"/>
              <w:keepNext w:val="0"/>
              <w:widowControl w:val="0"/>
              <w:jc w:val="center"/>
            </w:pPr>
            <w:r w:rsidRPr="00D90C26">
              <w:t>$0</w:t>
            </w:r>
          </w:p>
        </w:tc>
      </w:tr>
    </w:tbl>
    <w:bookmarkEnd w:id="55"/>
    <w:p w14:paraId="61B17CD0" w14:textId="77777777" w:rsidR="00642D22" w:rsidRPr="00191822" w:rsidRDefault="00642D22" w:rsidP="00642D22">
      <w:pPr>
        <w:pStyle w:val="TableFooter"/>
      </w:pPr>
      <w:r w:rsidRPr="00191822">
        <w:t>Source: ‘INDEX Tx costs’ worksheet of the ‘Attachment 23_ACA_CEA_FINAL’ Excel workbook.</w:t>
      </w:r>
    </w:p>
    <w:p w14:paraId="710E3092" w14:textId="77777777" w:rsidR="00642D22" w:rsidRPr="00191822" w:rsidRDefault="00444BF9" w:rsidP="00642D22">
      <w:pPr>
        <w:pStyle w:val="TableFooter"/>
      </w:pPr>
      <w:proofErr w:type="spellStart"/>
      <w:r>
        <w:rPr>
          <w:vertAlign w:val="superscript"/>
        </w:rPr>
        <w:t>a</w:t>
      </w:r>
      <w:r w:rsidR="00642D22" w:rsidRPr="00191822">
        <w:t>The</w:t>
      </w:r>
      <w:proofErr w:type="spellEnd"/>
      <w:r w:rsidR="00642D22" w:rsidRPr="00191822">
        <w:t xml:space="preserve"> resubmission proposed a risk-sharing arrangement for acalabrutinib in which the cost to </w:t>
      </w:r>
      <w:r>
        <w:t>the Australian G</w:t>
      </w:r>
      <w:r w:rsidR="00642D22" w:rsidRPr="00191822">
        <w:t xml:space="preserve">overnment would be capped at a maximum of 48 months. </w:t>
      </w:r>
    </w:p>
    <w:p w14:paraId="486A384A" w14:textId="77777777" w:rsidR="00B60939" w:rsidRPr="00191822" w:rsidRDefault="00B60939" w:rsidP="002B05A1">
      <w:pPr>
        <w:pStyle w:val="3-SubsectionHeading"/>
      </w:pPr>
      <w:bookmarkStart w:id="56" w:name="_Toc22897647"/>
      <w:bookmarkStart w:id="57" w:name="_Toc82613392"/>
      <w:bookmarkEnd w:id="50"/>
      <w:r w:rsidRPr="00191822">
        <w:t>Estimated PBS usage &amp; financial implications</w:t>
      </w:r>
      <w:bookmarkEnd w:id="56"/>
      <w:bookmarkEnd w:id="57"/>
    </w:p>
    <w:p w14:paraId="2DFE5469" w14:textId="77777777" w:rsidR="003E594D" w:rsidRPr="00191822" w:rsidRDefault="00C25D9C" w:rsidP="002B05A1">
      <w:pPr>
        <w:pStyle w:val="ExecSumBodyText"/>
      </w:pPr>
      <w:r w:rsidRPr="00191822">
        <w:t xml:space="preserve">This </w:t>
      </w:r>
      <w:r w:rsidR="00CB6A82" w:rsidRPr="00191822">
        <w:t>re</w:t>
      </w:r>
      <w:r w:rsidRPr="00191822">
        <w:t xml:space="preserve">submission </w:t>
      </w:r>
      <w:r w:rsidR="00AE6054">
        <w:t>was not</w:t>
      </w:r>
      <w:r w:rsidR="00D23D11" w:rsidRPr="00191822">
        <w:t xml:space="preserve"> </w:t>
      </w:r>
      <w:r w:rsidRPr="00191822">
        <w:t>considered by DUSC.</w:t>
      </w:r>
      <w:r w:rsidR="00CB6A82" w:rsidRPr="00191822">
        <w:t xml:space="preserve"> The resubmission used a mixed epidemiological/market share approach.</w:t>
      </w:r>
    </w:p>
    <w:p w14:paraId="10F91EB5" w14:textId="77777777" w:rsidR="00CB6A82" w:rsidRPr="00191822" w:rsidRDefault="00CB6A82" w:rsidP="00FB019D">
      <w:pPr>
        <w:pStyle w:val="ExecSumBodyText"/>
      </w:pPr>
      <w:r w:rsidRPr="00191822">
        <w:t>The sources of data used in the financial estimates are presented in the table below.</w:t>
      </w:r>
    </w:p>
    <w:p w14:paraId="401BC212" w14:textId="77777777" w:rsidR="00C13CBF" w:rsidRPr="00191822" w:rsidRDefault="004026AA" w:rsidP="004026AA">
      <w:pPr>
        <w:pStyle w:val="TableFigureCaption"/>
      </w:pPr>
      <w:bookmarkStart w:id="58" w:name="_Ref80893766"/>
      <w:bookmarkStart w:id="59" w:name="_Ref80893762"/>
      <w:r>
        <w:t xml:space="preserve">Table </w:t>
      </w:r>
      <w:r w:rsidR="00BD60E3">
        <w:rPr>
          <w:noProof/>
        </w:rPr>
        <w:t>16</w:t>
      </w:r>
      <w:bookmarkEnd w:id="58"/>
      <w:r w:rsidR="00C13CBF" w:rsidRPr="00191822">
        <w:t>: Key inputs for financial estimates</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inputs for financial estimates"/>
      </w:tblPr>
      <w:tblGrid>
        <w:gridCol w:w="1713"/>
        <w:gridCol w:w="4094"/>
        <w:gridCol w:w="3210"/>
      </w:tblGrid>
      <w:tr w:rsidR="00C13CBF" w:rsidRPr="00191822" w14:paraId="79808A67" w14:textId="77777777" w:rsidTr="00F344EE">
        <w:trPr>
          <w:tblHeader/>
        </w:trPr>
        <w:tc>
          <w:tcPr>
            <w:tcW w:w="950" w:type="pct"/>
            <w:shd w:val="clear" w:color="auto" w:fill="auto"/>
            <w:vAlign w:val="center"/>
          </w:tcPr>
          <w:p w14:paraId="03F10ED9" w14:textId="77777777" w:rsidR="00C13CBF" w:rsidRPr="00191822" w:rsidRDefault="00C13CBF" w:rsidP="004026AA">
            <w:pPr>
              <w:pStyle w:val="Tableheadingrow"/>
              <w:rPr>
                <w:lang w:val="en-AU"/>
              </w:rPr>
            </w:pPr>
            <w:r w:rsidRPr="00191822">
              <w:rPr>
                <w:lang w:val="en-AU"/>
              </w:rPr>
              <w:t>Parameter</w:t>
            </w:r>
          </w:p>
        </w:tc>
        <w:tc>
          <w:tcPr>
            <w:tcW w:w="2270" w:type="pct"/>
            <w:shd w:val="clear" w:color="auto" w:fill="auto"/>
            <w:vAlign w:val="center"/>
          </w:tcPr>
          <w:p w14:paraId="51D35A4C" w14:textId="77777777" w:rsidR="00C13CBF" w:rsidRPr="00191822" w:rsidRDefault="00C13CBF" w:rsidP="00C13CBF">
            <w:pPr>
              <w:pStyle w:val="Tableheadingrow"/>
              <w:jc w:val="center"/>
              <w:rPr>
                <w:lang w:val="en-AU"/>
              </w:rPr>
            </w:pPr>
            <w:r w:rsidRPr="00191822">
              <w:rPr>
                <w:lang w:val="en-AU"/>
              </w:rPr>
              <w:t>Value applied and source</w:t>
            </w:r>
          </w:p>
        </w:tc>
        <w:tc>
          <w:tcPr>
            <w:tcW w:w="1780" w:type="pct"/>
            <w:shd w:val="clear" w:color="auto" w:fill="auto"/>
            <w:vAlign w:val="center"/>
          </w:tcPr>
          <w:p w14:paraId="343BE9AE" w14:textId="77777777" w:rsidR="00C13CBF" w:rsidRPr="00191822" w:rsidRDefault="00C13CBF" w:rsidP="00C13CBF">
            <w:pPr>
              <w:pStyle w:val="Tableheadingrow"/>
              <w:jc w:val="center"/>
              <w:rPr>
                <w:lang w:val="en-AU"/>
              </w:rPr>
            </w:pPr>
            <w:r w:rsidRPr="00191822">
              <w:rPr>
                <w:lang w:val="en-AU"/>
              </w:rPr>
              <w:t>Comment</w:t>
            </w:r>
          </w:p>
        </w:tc>
      </w:tr>
      <w:tr w:rsidR="000A5590" w:rsidRPr="00A25C41" w14:paraId="6918F6D2" w14:textId="77777777" w:rsidTr="00F344EE">
        <w:tc>
          <w:tcPr>
            <w:tcW w:w="950" w:type="pct"/>
            <w:shd w:val="clear" w:color="auto" w:fill="auto"/>
          </w:tcPr>
          <w:p w14:paraId="534A9B96" w14:textId="77777777" w:rsidR="000A5590" w:rsidRPr="00A25C41" w:rsidRDefault="000A5590" w:rsidP="000A5590">
            <w:pPr>
              <w:pStyle w:val="TableText"/>
            </w:pPr>
            <w:r w:rsidRPr="00A25C41">
              <w:t>Incident CLL patients</w:t>
            </w:r>
          </w:p>
        </w:tc>
        <w:tc>
          <w:tcPr>
            <w:tcW w:w="2270" w:type="pct"/>
            <w:shd w:val="clear" w:color="auto" w:fill="auto"/>
          </w:tcPr>
          <w:p w14:paraId="703FA13B" w14:textId="77777777" w:rsidR="000A5590" w:rsidRPr="00A25C41" w:rsidRDefault="000A5590" w:rsidP="000A5590">
            <w:pPr>
              <w:pStyle w:val="TableText"/>
            </w:pPr>
            <w:r w:rsidRPr="00A25C41">
              <w:t>Incidence of 7.0/100,000 (crude rate; 2021 AIHW estimate) applied to ABS Australian population projections (Series B 3222.0).</w:t>
            </w:r>
          </w:p>
        </w:tc>
        <w:tc>
          <w:tcPr>
            <w:tcW w:w="1780" w:type="pct"/>
            <w:shd w:val="clear" w:color="auto" w:fill="auto"/>
          </w:tcPr>
          <w:p w14:paraId="5419492C" w14:textId="77777777" w:rsidR="000A5590" w:rsidRPr="00A25C41" w:rsidRDefault="003B60FC" w:rsidP="000A5590">
            <w:pPr>
              <w:pStyle w:val="TableText"/>
              <w:rPr>
                <w:iCs/>
              </w:rPr>
            </w:pPr>
            <w:r w:rsidRPr="00A25C41">
              <w:rPr>
                <w:iCs/>
              </w:rPr>
              <w:t>The estimates were based on the age-standardised CLL incidence, which was lower than the age-specific incidence (projected to be 8.6 cases per 100,000 in 2017; AIHW, 2021).</w:t>
            </w:r>
          </w:p>
        </w:tc>
      </w:tr>
      <w:tr w:rsidR="000A5590" w:rsidRPr="00A25C41" w14:paraId="04E795D6" w14:textId="77777777" w:rsidTr="00F344EE">
        <w:tc>
          <w:tcPr>
            <w:tcW w:w="950" w:type="pct"/>
            <w:shd w:val="clear" w:color="auto" w:fill="auto"/>
          </w:tcPr>
          <w:p w14:paraId="7DC1CE52" w14:textId="77777777" w:rsidR="000A5590" w:rsidRPr="00A25C41" w:rsidRDefault="000A5590" w:rsidP="000A5590">
            <w:pPr>
              <w:pStyle w:val="TableText"/>
            </w:pPr>
            <w:r w:rsidRPr="00A25C41">
              <w:t>Proportion initiating treatment</w:t>
            </w:r>
          </w:p>
        </w:tc>
        <w:tc>
          <w:tcPr>
            <w:tcW w:w="2270" w:type="pct"/>
            <w:shd w:val="clear" w:color="auto" w:fill="auto"/>
          </w:tcPr>
          <w:p w14:paraId="0F151F8C" w14:textId="77777777" w:rsidR="000A5590" w:rsidRPr="00A25C41" w:rsidRDefault="000A5590" w:rsidP="000A5590">
            <w:pPr>
              <w:pStyle w:val="TableText"/>
            </w:pPr>
            <w:r w:rsidRPr="00A25C41">
              <w:t>Assumed that 30% initiate treatment in year of diagnosis, and 7.5% initiate in years 2, 3, 4 and 5 following CLL diagnosis</w:t>
            </w:r>
            <w:r w:rsidR="00F344EE" w:rsidRPr="00A25C41">
              <w:t xml:space="preserve">. Based on </w:t>
            </w:r>
            <w:proofErr w:type="spellStart"/>
            <w:r w:rsidR="00F344EE" w:rsidRPr="00A25C41">
              <w:t>venetoclax</w:t>
            </w:r>
            <w:proofErr w:type="spellEnd"/>
            <w:r w:rsidR="00621C5D" w:rsidRPr="00A25C41">
              <w:t xml:space="preserve"> PSD</w:t>
            </w:r>
            <w:r w:rsidR="00F344EE" w:rsidRPr="00A25C41">
              <w:t xml:space="preserve"> July 2020 (sponsor assumption).</w:t>
            </w:r>
          </w:p>
        </w:tc>
        <w:tc>
          <w:tcPr>
            <w:tcW w:w="1780" w:type="pct"/>
            <w:shd w:val="clear" w:color="auto" w:fill="auto"/>
          </w:tcPr>
          <w:p w14:paraId="3867E5CC" w14:textId="77777777" w:rsidR="000A5590" w:rsidRPr="00A25C41" w:rsidRDefault="000A5590" w:rsidP="000A5590">
            <w:pPr>
              <w:pStyle w:val="TableText"/>
              <w:rPr>
                <w:iCs/>
              </w:rPr>
            </w:pPr>
            <w:r w:rsidRPr="00A25C41">
              <w:rPr>
                <w:iCs/>
              </w:rPr>
              <w:t>The resubmission did not provide additional justification.</w:t>
            </w:r>
            <w:r w:rsidR="00361F98" w:rsidRPr="00A25C41">
              <w:rPr>
                <w:iCs/>
              </w:rPr>
              <w:t xml:space="preserve"> </w:t>
            </w:r>
          </w:p>
        </w:tc>
      </w:tr>
      <w:tr w:rsidR="00C13CBF" w:rsidRPr="00A25C41" w14:paraId="3BC14A08" w14:textId="77777777" w:rsidTr="00F344EE">
        <w:tc>
          <w:tcPr>
            <w:tcW w:w="950" w:type="pct"/>
            <w:shd w:val="clear" w:color="auto" w:fill="auto"/>
          </w:tcPr>
          <w:p w14:paraId="436BD43C" w14:textId="77777777" w:rsidR="00C13CBF" w:rsidRPr="00A25C41" w:rsidRDefault="00F344EE" w:rsidP="004026AA">
            <w:pPr>
              <w:pStyle w:val="TableText"/>
            </w:pPr>
            <w:r w:rsidRPr="00A25C41">
              <w:t>Proportion of first-line eligible patients who are unsuitable for a purine analogue</w:t>
            </w:r>
          </w:p>
        </w:tc>
        <w:tc>
          <w:tcPr>
            <w:tcW w:w="2270" w:type="pct"/>
            <w:shd w:val="clear" w:color="auto" w:fill="auto"/>
          </w:tcPr>
          <w:p w14:paraId="1AB9E30E" w14:textId="77777777" w:rsidR="00C13CBF" w:rsidRPr="00A25C41" w:rsidRDefault="00F344EE" w:rsidP="004026AA">
            <w:pPr>
              <w:pStyle w:val="TableText"/>
            </w:pPr>
            <w:r w:rsidRPr="00A25C41">
              <w:t xml:space="preserve">65%. Based on </w:t>
            </w:r>
            <w:proofErr w:type="spellStart"/>
            <w:r w:rsidRPr="00A25C41">
              <w:t>venetoclax</w:t>
            </w:r>
            <w:proofErr w:type="spellEnd"/>
            <w:r w:rsidRPr="00A25C41">
              <w:t xml:space="preserve"> </w:t>
            </w:r>
            <w:r w:rsidR="00621C5D" w:rsidRPr="00A25C41">
              <w:t xml:space="preserve">PSD </w:t>
            </w:r>
            <w:r w:rsidRPr="00A25C41">
              <w:t>July 2020 (clinician advice).</w:t>
            </w:r>
          </w:p>
        </w:tc>
        <w:tc>
          <w:tcPr>
            <w:tcW w:w="1780" w:type="pct"/>
            <w:shd w:val="clear" w:color="auto" w:fill="auto"/>
          </w:tcPr>
          <w:p w14:paraId="68486115" w14:textId="77777777" w:rsidR="00C13CBF" w:rsidRPr="00A25C41" w:rsidRDefault="00F344EE" w:rsidP="004026AA">
            <w:pPr>
              <w:pStyle w:val="TableText"/>
            </w:pPr>
            <w:r w:rsidRPr="00A25C41">
              <w:t>The resubmission did not provide additional justification.</w:t>
            </w:r>
          </w:p>
        </w:tc>
      </w:tr>
      <w:tr w:rsidR="00C13CBF" w:rsidRPr="00A25C41" w14:paraId="632345EB" w14:textId="77777777" w:rsidTr="00F344EE">
        <w:tc>
          <w:tcPr>
            <w:tcW w:w="950" w:type="pct"/>
            <w:shd w:val="clear" w:color="auto" w:fill="auto"/>
            <w:vAlign w:val="center"/>
          </w:tcPr>
          <w:p w14:paraId="0141E1DD" w14:textId="77777777" w:rsidR="00C13CBF" w:rsidRPr="00A25C41" w:rsidRDefault="00F344EE" w:rsidP="004026AA">
            <w:pPr>
              <w:pStyle w:val="TableText"/>
            </w:pPr>
            <w:r w:rsidRPr="00A25C41">
              <w:t xml:space="preserve">Proportion unsuitable for </w:t>
            </w:r>
            <w:proofErr w:type="spellStart"/>
            <w:r w:rsidRPr="00A25C41">
              <w:t>venetoclax</w:t>
            </w:r>
            <w:proofErr w:type="spellEnd"/>
            <w:r w:rsidRPr="00A25C41">
              <w:t xml:space="preserve"> + </w:t>
            </w:r>
            <w:proofErr w:type="spellStart"/>
            <w:r w:rsidRPr="00A25C41">
              <w:t>obinutuzumab</w:t>
            </w:r>
            <w:proofErr w:type="spellEnd"/>
          </w:p>
        </w:tc>
        <w:tc>
          <w:tcPr>
            <w:tcW w:w="2270" w:type="pct"/>
            <w:shd w:val="clear" w:color="auto" w:fill="auto"/>
            <w:vAlign w:val="center"/>
          </w:tcPr>
          <w:p w14:paraId="57827D4D" w14:textId="77777777" w:rsidR="00C13CBF" w:rsidRPr="00A25C41" w:rsidRDefault="00F344EE" w:rsidP="004026AA">
            <w:pPr>
              <w:pStyle w:val="TableText"/>
            </w:pPr>
            <w:r w:rsidRPr="00A25C41">
              <w:t>14%. Sponsor assumption</w:t>
            </w:r>
            <w:r w:rsidR="00EE024F">
              <w:t xml:space="preserve"> (informed by clinician advice that 30% of patients would be unsuitable or intolerant for </w:t>
            </w:r>
            <w:proofErr w:type="spellStart"/>
            <w:r w:rsidR="00EE024F">
              <w:t>venetoclax</w:t>
            </w:r>
            <w:proofErr w:type="spellEnd"/>
            <w:r w:rsidR="00EE024F">
              <w:t xml:space="preserve"> + </w:t>
            </w:r>
            <w:proofErr w:type="spellStart"/>
            <w:r w:rsidR="00EE024F">
              <w:t>obinutuzumab</w:t>
            </w:r>
            <w:proofErr w:type="spellEnd"/>
            <w:r w:rsidR="00EE024F">
              <w:t xml:space="preserve">, and given 16% were assumed to be intolerant, </w:t>
            </w:r>
            <w:proofErr w:type="gramStart"/>
            <w:r w:rsidR="00EE024F">
              <w:t>i.e.</w:t>
            </w:r>
            <w:proofErr w:type="gramEnd"/>
            <w:r w:rsidR="00EE024F">
              <w:t xml:space="preserve"> 30%-16%=14%)</w:t>
            </w:r>
            <w:r w:rsidRPr="00A25C41">
              <w:t>.</w:t>
            </w:r>
          </w:p>
        </w:tc>
        <w:tc>
          <w:tcPr>
            <w:tcW w:w="1780" w:type="pct"/>
            <w:shd w:val="clear" w:color="auto" w:fill="auto"/>
            <w:vAlign w:val="center"/>
          </w:tcPr>
          <w:p w14:paraId="440DDEA5" w14:textId="77777777" w:rsidR="00C13CBF" w:rsidRPr="009E7F27" w:rsidRDefault="00F344EE" w:rsidP="004026AA">
            <w:pPr>
              <w:pStyle w:val="TableText"/>
              <w:rPr>
                <w:i/>
                <w:iCs/>
              </w:rPr>
            </w:pPr>
            <w:r w:rsidRPr="00A25C41">
              <w:t xml:space="preserve">This estimate was highly uncertain as unsuitability for </w:t>
            </w:r>
            <w:proofErr w:type="spellStart"/>
            <w:r w:rsidRPr="00A25C41">
              <w:t>venetoclax</w:t>
            </w:r>
            <w:proofErr w:type="spellEnd"/>
            <w:r w:rsidRPr="00A25C41">
              <w:t xml:space="preserve"> + </w:t>
            </w:r>
            <w:proofErr w:type="spellStart"/>
            <w:r w:rsidRPr="00A25C41">
              <w:t>obinutuzumab</w:t>
            </w:r>
            <w:proofErr w:type="spellEnd"/>
            <w:r w:rsidRPr="00A25C41">
              <w:t xml:space="preserve"> was not clearly defined in the proposed restriction</w:t>
            </w:r>
            <w:r w:rsidR="009841DA">
              <w:t xml:space="preserve">, </w:t>
            </w:r>
            <w:r w:rsidR="009841DA" w:rsidRPr="00DF44A0">
              <w:rPr>
                <w:iCs/>
              </w:rPr>
              <w:t>and if it were</w:t>
            </w:r>
            <w:r w:rsidR="0074342C" w:rsidRPr="00DF44A0">
              <w:rPr>
                <w:iCs/>
              </w:rPr>
              <w:t xml:space="preserve"> defined</w:t>
            </w:r>
            <w:r w:rsidR="009841DA" w:rsidRPr="00DF44A0">
              <w:rPr>
                <w:iCs/>
              </w:rPr>
              <w:t>, is likely to be based on highly subjective criteria</w:t>
            </w:r>
            <w:r w:rsidRPr="00A25C41">
              <w:t>.</w:t>
            </w:r>
            <w:r w:rsidR="009841DA">
              <w:t xml:space="preserve"> </w:t>
            </w:r>
          </w:p>
        </w:tc>
      </w:tr>
      <w:tr w:rsidR="00C13CBF" w:rsidRPr="00A25C41" w14:paraId="4B1E3CE8" w14:textId="77777777" w:rsidTr="00F344EE">
        <w:tc>
          <w:tcPr>
            <w:tcW w:w="950" w:type="pct"/>
            <w:shd w:val="clear" w:color="auto" w:fill="auto"/>
            <w:vAlign w:val="center"/>
          </w:tcPr>
          <w:p w14:paraId="5B3E2A60" w14:textId="77777777" w:rsidR="00C13CBF" w:rsidRPr="00A25C41" w:rsidRDefault="00F344EE" w:rsidP="004026AA">
            <w:pPr>
              <w:pStyle w:val="TableText"/>
              <w:keepNext w:val="0"/>
            </w:pPr>
            <w:r w:rsidRPr="00A25C41">
              <w:t xml:space="preserve">Proportion intolerant of </w:t>
            </w:r>
            <w:proofErr w:type="spellStart"/>
            <w:r w:rsidRPr="00A25C41">
              <w:t>venetoclax</w:t>
            </w:r>
            <w:proofErr w:type="spellEnd"/>
            <w:r w:rsidRPr="00A25C41">
              <w:t xml:space="preserve"> + </w:t>
            </w:r>
            <w:proofErr w:type="spellStart"/>
            <w:r w:rsidRPr="00A25C41">
              <w:t>obinutuzumab</w:t>
            </w:r>
            <w:proofErr w:type="spellEnd"/>
          </w:p>
        </w:tc>
        <w:tc>
          <w:tcPr>
            <w:tcW w:w="2270" w:type="pct"/>
            <w:shd w:val="clear" w:color="auto" w:fill="auto"/>
            <w:vAlign w:val="center"/>
          </w:tcPr>
          <w:p w14:paraId="7AEC9530" w14:textId="77777777" w:rsidR="00C13CBF" w:rsidRPr="00A25C41" w:rsidRDefault="00F344EE" w:rsidP="004026AA">
            <w:pPr>
              <w:pStyle w:val="TableText"/>
              <w:keepNext w:val="0"/>
            </w:pPr>
            <w:r w:rsidRPr="00A25C41">
              <w:t xml:space="preserve">16%. Sponsor assumption. The resubmission claimed that the number of patients treated with acalabrutinib would be approximately 16% of the eligible </w:t>
            </w:r>
            <w:proofErr w:type="spellStart"/>
            <w:r w:rsidRPr="00A25C41">
              <w:t>venetoclax</w:t>
            </w:r>
            <w:proofErr w:type="spellEnd"/>
            <w:r w:rsidRPr="00A25C41">
              <w:t xml:space="preserve"> + </w:t>
            </w:r>
            <w:proofErr w:type="spellStart"/>
            <w:r w:rsidRPr="00A25C41">
              <w:t>obinutuzumab</w:t>
            </w:r>
            <w:proofErr w:type="spellEnd"/>
            <w:r w:rsidRPr="00A25C41">
              <w:t xml:space="preserve"> population, based on the proportion of patients who discontinued treatment due to adverse events in the CLL-14 trial (Fischer et al., 2019).</w:t>
            </w:r>
          </w:p>
        </w:tc>
        <w:tc>
          <w:tcPr>
            <w:tcW w:w="1780" w:type="pct"/>
            <w:shd w:val="clear" w:color="auto" w:fill="auto"/>
            <w:vAlign w:val="center"/>
          </w:tcPr>
          <w:p w14:paraId="61245D5A" w14:textId="77777777" w:rsidR="00C13CBF" w:rsidRPr="00A25C41" w:rsidRDefault="00F344EE" w:rsidP="004026AA">
            <w:pPr>
              <w:pStyle w:val="TableText"/>
              <w:keepNext w:val="0"/>
            </w:pPr>
            <w:r w:rsidRPr="00A25C41">
              <w:t xml:space="preserve">The estimate appeared to be based on the proportion of patients who discontinued at least one treatment component due to an adverse event. Patients who are intolerant to </w:t>
            </w:r>
            <w:proofErr w:type="spellStart"/>
            <w:r w:rsidRPr="00A25C41">
              <w:t>obinutuzumab</w:t>
            </w:r>
            <w:proofErr w:type="spellEnd"/>
            <w:r w:rsidRPr="00A25C41">
              <w:t xml:space="preserve"> may continue treatment with </w:t>
            </w:r>
            <w:proofErr w:type="spellStart"/>
            <w:r w:rsidRPr="00A25C41">
              <w:t>venetoclax</w:t>
            </w:r>
            <w:proofErr w:type="spellEnd"/>
            <w:r w:rsidRPr="00A25C41">
              <w:t xml:space="preserve">. </w:t>
            </w:r>
          </w:p>
        </w:tc>
      </w:tr>
      <w:tr w:rsidR="00E93DE3" w:rsidRPr="00A25C41" w14:paraId="4685F531" w14:textId="77777777" w:rsidTr="00F344EE">
        <w:tc>
          <w:tcPr>
            <w:tcW w:w="950" w:type="pct"/>
            <w:shd w:val="clear" w:color="auto" w:fill="auto"/>
            <w:vAlign w:val="center"/>
          </w:tcPr>
          <w:p w14:paraId="621369BE" w14:textId="77777777" w:rsidR="00E93DE3" w:rsidRPr="00A25C41" w:rsidRDefault="00E93DE3" w:rsidP="004026AA">
            <w:pPr>
              <w:pStyle w:val="TableText"/>
              <w:keepNext w:val="0"/>
            </w:pPr>
            <w:r w:rsidRPr="00A25C41">
              <w:lastRenderedPageBreak/>
              <w:t xml:space="preserve">Uptake of acalabrutinib among </w:t>
            </w:r>
            <w:proofErr w:type="spellStart"/>
            <w:r w:rsidRPr="00A25C41">
              <w:t>venetoclax</w:t>
            </w:r>
            <w:proofErr w:type="spellEnd"/>
            <w:r w:rsidRPr="00A25C41">
              <w:t xml:space="preserve"> + </w:t>
            </w:r>
            <w:proofErr w:type="spellStart"/>
            <w:r w:rsidRPr="00A25C41">
              <w:t>obinutuzumab</w:t>
            </w:r>
            <w:proofErr w:type="spellEnd"/>
            <w:r w:rsidRPr="00A25C41">
              <w:t xml:space="preserve"> unsuitable patients</w:t>
            </w:r>
          </w:p>
        </w:tc>
        <w:tc>
          <w:tcPr>
            <w:tcW w:w="2270" w:type="pct"/>
            <w:shd w:val="clear" w:color="auto" w:fill="auto"/>
            <w:vAlign w:val="center"/>
          </w:tcPr>
          <w:p w14:paraId="1DCC9995" w14:textId="77777777" w:rsidR="00E93DE3" w:rsidRPr="00A25C41" w:rsidRDefault="00E93DE3" w:rsidP="004026AA">
            <w:pPr>
              <w:pStyle w:val="TableText"/>
              <w:keepNext w:val="0"/>
            </w:pPr>
            <w:proofErr w:type="spellStart"/>
            <w:r w:rsidRPr="00A25C41">
              <w:t>Yr</w:t>
            </w:r>
            <w:proofErr w:type="spellEnd"/>
            <w:r w:rsidRPr="00A25C41">
              <w:t xml:space="preserve"> 1-6: 100%</w:t>
            </w:r>
            <w:r w:rsidR="002C36F8" w:rsidRPr="00A25C41">
              <w:t>. Sponsor a</w:t>
            </w:r>
            <w:r w:rsidRPr="00A25C41">
              <w:t>ssumption.</w:t>
            </w:r>
          </w:p>
        </w:tc>
        <w:tc>
          <w:tcPr>
            <w:tcW w:w="1780" w:type="pct"/>
            <w:shd w:val="clear" w:color="auto" w:fill="auto"/>
            <w:vAlign w:val="center"/>
          </w:tcPr>
          <w:p w14:paraId="4D2CB0C3" w14:textId="77777777" w:rsidR="00E93DE3" w:rsidRPr="00A25C41" w:rsidRDefault="002C36F8" w:rsidP="004026AA">
            <w:pPr>
              <w:pStyle w:val="TableText"/>
              <w:keepNext w:val="0"/>
            </w:pPr>
            <w:r w:rsidRPr="00A25C41">
              <w:t>Uptake may be overestimated given that not all patients may elect treatment.</w:t>
            </w:r>
          </w:p>
        </w:tc>
      </w:tr>
      <w:tr w:rsidR="00C13CBF" w:rsidRPr="00A25C41" w14:paraId="72791255" w14:textId="77777777" w:rsidTr="00F344EE">
        <w:tc>
          <w:tcPr>
            <w:tcW w:w="950" w:type="pct"/>
            <w:shd w:val="clear" w:color="auto" w:fill="auto"/>
          </w:tcPr>
          <w:p w14:paraId="1C1C362A" w14:textId="77777777" w:rsidR="00C13CBF" w:rsidRPr="00A25C41" w:rsidRDefault="00686D96" w:rsidP="004026AA">
            <w:pPr>
              <w:pStyle w:val="TableText"/>
              <w:keepNext w:val="0"/>
            </w:pPr>
            <w:r w:rsidRPr="00A25C41">
              <w:t>Choice of subsequent therapy</w:t>
            </w:r>
          </w:p>
        </w:tc>
        <w:tc>
          <w:tcPr>
            <w:tcW w:w="2270" w:type="pct"/>
            <w:shd w:val="clear" w:color="auto" w:fill="auto"/>
          </w:tcPr>
          <w:p w14:paraId="0156A92D" w14:textId="77777777" w:rsidR="00C13CBF" w:rsidRPr="00A25C41" w:rsidRDefault="00686D96" w:rsidP="004026AA">
            <w:pPr>
              <w:pStyle w:val="TableText"/>
              <w:keepNext w:val="0"/>
            </w:pPr>
            <w:r w:rsidRPr="00A25C41">
              <w:t xml:space="preserve">Assumed that patients treated with acalabrutinib in the first-line setting would receive </w:t>
            </w:r>
            <w:proofErr w:type="spellStart"/>
            <w:r w:rsidRPr="00A25C41">
              <w:t>idelalisib</w:t>
            </w:r>
            <w:proofErr w:type="spellEnd"/>
            <w:r w:rsidRPr="00A25C41">
              <w:t xml:space="preserve"> + rituximab and patients treated with chlorambucil + </w:t>
            </w:r>
            <w:proofErr w:type="spellStart"/>
            <w:r w:rsidRPr="00A25C41">
              <w:t>obinutuzumab</w:t>
            </w:r>
            <w:proofErr w:type="spellEnd"/>
            <w:r w:rsidRPr="00A25C41">
              <w:t xml:space="preserve"> would receive ibrutinib </w:t>
            </w:r>
            <w:r w:rsidR="00621C5D" w:rsidRPr="00A25C41">
              <w:t xml:space="preserve">monotherapy </w:t>
            </w:r>
            <w:r w:rsidRPr="00A25C41">
              <w:t>(as a proxy for available BTK inhibitors</w:t>
            </w:r>
            <w:r w:rsidR="007130E7" w:rsidRPr="00A25C41">
              <w:t xml:space="preserve"> </w:t>
            </w:r>
            <w:r w:rsidR="00621C5D" w:rsidRPr="00A25C41">
              <w:t>–</w:t>
            </w:r>
            <w:r w:rsidR="007130E7" w:rsidRPr="00A25C41">
              <w:t xml:space="preserve"> </w:t>
            </w:r>
            <w:r w:rsidRPr="00A25C41">
              <w:t>ibrutinib and acalabrutinib)</w:t>
            </w:r>
            <w:r w:rsidR="007130E7" w:rsidRPr="00A25C41">
              <w:t>.</w:t>
            </w:r>
          </w:p>
        </w:tc>
        <w:tc>
          <w:tcPr>
            <w:tcW w:w="1780" w:type="pct"/>
            <w:shd w:val="clear" w:color="auto" w:fill="auto"/>
            <w:vAlign w:val="center"/>
          </w:tcPr>
          <w:p w14:paraId="74A4D47F" w14:textId="77777777" w:rsidR="00C13CBF" w:rsidRPr="00A25C41" w:rsidRDefault="007130E7" w:rsidP="004026AA">
            <w:pPr>
              <w:pStyle w:val="TableText"/>
              <w:keepNext w:val="0"/>
            </w:pPr>
            <w:r w:rsidRPr="00A25C41">
              <w:t xml:space="preserve">A </w:t>
            </w:r>
            <w:r w:rsidR="002B4D06">
              <w:t xml:space="preserve">substantial </w:t>
            </w:r>
            <w:r w:rsidRPr="00A25C41">
              <w:t xml:space="preserve">proportion of patients may be able to receive treatment with </w:t>
            </w:r>
            <w:proofErr w:type="spellStart"/>
            <w:r w:rsidRPr="00A25C41">
              <w:t>venetoclax</w:t>
            </w:r>
            <w:proofErr w:type="spellEnd"/>
            <w:r w:rsidRPr="00A25C41">
              <w:t xml:space="preserve"> + rituximab as a subsequent therapy.</w:t>
            </w:r>
          </w:p>
        </w:tc>
      </w:tr>
      <w:tr w:rsidR="00C13CBF" w:rsidRPr="00A25C41" w14:paraId="273CA991" w14:textId="77777777" w:rsidTr="00F344EE">
        <w:tc>
          <w:tcPr>
            <w:tcW w:w="950" w:type="pct"/>
            <w:shd w:val="clear" w:color="auto" w:fill="auto"/>
          </w:tcPr>
          <w:p w14:paraId="29C1388C" w14:textId="77777777" w:rsidR="00C13CBF" w:rsidRPr="00A25C41" w:rsidRDefault="007130E7" w:rsidP="004026AA">
            <w:pPr>
              <w:pStyle w:val="TableText"/>
              <w:keepNext w:val="0"/>
            </w:pPr>
            <w:r w:rsidRPr="00A25C41">
              <w:t xml:space="preserve">Proportion of acalabrutinib-treated patients initiating subsequent treatment with </w:t>
            </w:r>
            <w:proofErr w:type="spellStart"/>
            <w:r w:rsidRPr="00A25C41">
              <w:t>idelalisib</w:t>
            </w:r>
            <w:proofErr w:type="spellEnd"/>
            <w:r w:rsidRPr="00A25C41">
              <w:t xml:space="preserve"> + rituximab each year.</w:t>
            </w:r>
          </w:p>
        </w:tc>
        <w:tc>
          <w:tcPr>
            <w:tcW w:w="2270" w:type="pct"/>
            <w:shd w:val="clear" w:color="auto" w:fill="auto"/>
          </w:tcPr>
          <w:p w14:paraId="74A31B76" w14:textId="77777777" w:rsidR="00C13CBF" w:rsidRPr="00A25C41" w:rsidRDefault="00CD0471" w:rsidP="00CD0471">
            <w:pPr>
              <w:pStyle w:val="TableText"/>
            </w:pPr>
            <w:r w:rsidRPr="00A25C41">
              <w:t>Y1: 2.65%, Y2: 2.12%, Y3: 3.07%, Y4: 2.96%, Y5:</w:t>
            </w:r>
            <w:r w:rsidR="00621C5D" w:rsidRPr="00A25C41">
              <w:t> </w:t>
            </w:r>
            <w:r w:rsidRPr="00A25C41">
              <w:t xml:space="preserve">2.30%, Y6: 2.17%. </w:t>
            </w:r>
            <w:r w:rsidR="007130E7" w:rsidRPr="00A25C41">
              <w:t>Time to disease progression data for the acalabrutinib arm of the ELEVATE-TN trial fitted with a log-logistic function was used to estimate the number of patients each year with disease progression.</w:t>
            </w:r>
          </w:p>
        </w:tc>
        <w:tc>
          <w:tcPr>
            <w:tcW w:w="1780" w:type="pct"/>
            <w:shd w:val="clear" w:color="auto" w:fill="auto"/>
          </w:tcPr>
          <w:p w14:paraId="30617E72" w14:textId="77777777" w:rsidR="00C13CBF" w:rsidRPr="00A25C41" w:rsidRDefault="005D7255" w:rsidP="004026AA">
            <w:pPr>
              <w:pStyle w:val="TableText"/>
              <w:keepNext w:val="0"/>
            </w:pPr>
            <w:r w:rsidRPr="00A25C41">
              <w:t xml:space="preserve">The approach used to estimate changes in ibrutinib and </w:t>
            </w:r>
            <w:proofErr w:type="spellStart"/>
            <w:r w:rsidRPr="00A25C41">
              <w:t>obinutuzumab</w:t>
            </w:r>
            <w:proofErr w:type="spellEnd"/>
            <w:r w:rsidRPr="00A25C41">
              <w:t xml:space="preserve"> script counts (based on a market share approach using PBS dispensing data) differed from the approach used to estimate the number of acalabrutinib and </w:t>
            </w:r>
            <w:proofErr w:type="spellStart"/>
            <w:r w:rsidRPr="00A25C41">
              <w:t>idelalisib</w:t>
            </w:r>
            <w:proofErr w:type="spellEnd"/>
            <w:r w:rsidRPr="00A25C41">
              <w:t xml:space="preserve"> and rituximab scripts (epidemiological approach adjusted for trial-based utilisation).</w:t>
            </w:r>
          </w:p>
        </w:tc>
      </w:tr>
      <w:tr w:rsidR="00C13CBF" w:rsidRPr="00A25C41" w14:paraId="6C6E3233" w14:textId="77777777" w:rsidTr="00F344EE">
        <w:tc>
          <w:tcPr>
            <w:tcW w:w="950" w:type="pct"/>
            <w:shd w:val="clear" w:color="auto" w:fill="auto"/>
          </w:tcPr>
          <w:p w14:paraId="5D41E475" w14:textId="77777777" w:rsidR="00C13CBF" w:rsidRPr="00A25C41" w:rsidRDefault="007130E7" w:rsidP="004026AA">
            <w:pPr>
              <w:pStyle w:val="TableText"/>
              <w:keepNext w:val="0"/>
              <w:rPr>
                <w:szCs w:val="20"/>
              </w:rPr>
            </w:pPr>
            <w:r w:rsidRPr="00A25C41">
              <w:rPr>
                <w:szCs w:val="20"/>
              </w:rPr>
              <w:t xml:space="preserve">Proportion of chlorambucil + </w:t>
            </w:r>
            <w:proofErr w:type="spellStart"/>
            <w:r w:rsidRPr="00A25C41">
              <w:rPr>
                <w:szCs w:val="20"/>
              </w:rPr>
              <w:t>obinutuzumab</w:t>
            </w:r>
            <w:proofErr w:type="spellEnd"/>
            <w:r w:rsidRPr="00A25C41">
              <w:rPr>
                <w:szCs w:val="20"/>
              </w:rPr>
              <w:t xml:space="preserve">-treated patients initiating subsequent treatment with ibrutinib </w:t>
            </w:r>
            <w:r w:rsidR="0060337D" w:rsidRPr="00A25C41">
              <w:rPr>
                <w:szCs w:val="20"/>
              </w:rPr>
              <w:t xml:space="preserve">monotherapy </w:t>
            </w:r>
            <w:r w:rsidRPr="00A25C41">
              <w:rPr>
                <w:szCs w:val="20"/>
              </w:rPr>
              <w:t>each year</w:t>
            </w:r>
          </w:p>
        </w:tc>
        <w:tc>
          <w:tcPr>
            <w:tcW w:w="2270" w:type="pct"/>
            <w:shd w:val="clear" w:color="auto" w:fill="auto"/>
          </w:tcPr>
          <w:p w14:paraId="43E652F7" w14:textId="77777777" w:rsidR="00C13CBF" w:rsidRPr="00A25C41" w:rsidRDefault="00CD0471" w:rsidP="00CD0471">
            <w:pPr>
              <w:pStyle w:val="TableText"/>
              <w:rPr>
                <w:szCs w:val="20"/>
              </w:rPr>
            </w:pPr>
            <w:r w:rsidRPr="00A25C41">
              <w:rPr>
                <w:szCs w:val="20"/>
              </w:rPr>
              <w:t>Y1: 7.58%, Y2: 14.94%, Y3: 9.12%, Y4: 5.75%, Y5:</w:t>
            </w:r>
            <w:r w:rsidR="0060337D" w:rsidRPr="00A25C41">
              <w:rPr>
                <w:szCs w:val="20"/>
              </w:rPr>
              <w:t> </w:t>
            </w:r>
            <w:r w:rsidRPr="00A25C41">
              <w:rPr>
                <w:szCs w:val="20"/>
              </w:rPr>
              <w:t xml:space="preserve">3.50%, Y6: 2.27%. Time to disease progression data for the chlorambucil + </w:t>
            </w:r>
            <w:proofErr w:type="spellStart"/>
            <w:r w:rsidRPr="00A25C41">
              <w:rPr>
                <w:szCs w:val="20"/>
              </w:rPr>
              <w:t>obinutuzumab</w:t>
            </w:r>
            <w:proofErr w:type="spellEnd"/>
            <w:r w:rsidRPr="00A25C41">
              <w:rPr>
                <w:szCs w:val="20"/>
              </w:rPr>
              <w:t xml:space="preserve"> arm of the ELEVATE-TN trial fitted with an exponential function was used to estimate the number of patients each year with disease progression.</w:t>
            </w:r>
          </w:p>
        </w:tc>
        <w:tc>
          <w:tcPr>
            <w:tcW w:w="1780" w:type="pct"/>
            <w:shd w:val="clear" w:color="auto" w:fill="auto"/>
          </w:tcPr>
          <w:p w14:paraId="7609AE3C" w14:textId="77777777" w:rsidR="00C13CBF" w:rsidRPr="00A25C41" w:rsidRDefault="005D7255" w:rsidP="004026AA">
            <w:pPr>
              <w:pStyle w:val="TableText"/>
              <w:keepNext w:val="0"/>
              <w:rPr>
                <w:szCs w:val="20"/>
              </w:rPr>
            </w:pPr>
            <w:r w:rsidRPr="00A25C41">
              <w:rPr>
                <w:szCs w:val="20"/>
              </w:rPr>
              <w:t xml:space="preserve">The approach used to estimate changes in ibrutinib and </w:t>
            </w:r>
            <w:proofErr w:type="spellStart"/>
            <w:r w:rsidRPr="00A25C41">
              <w:rPr>
                <w:szCs w:val="20"/>
              </w:rPr>
              <w:t>obinutuzumab</w:t>
            </w:r>
            <w:proofErr w:type="spellEnd"/>
            <w:r w:rsidRPr="00A25C41">
              <w:rPr>
                <w:szCs w:val="20"/>
              </w:rPr>
              <w:t xml:space="preserve"> script counts (based on a market share approach using PBS dispensing data) differed from the approach used to estimate the number of acalabrutinib and </w:t>
            </w:r>
            <w:proofErr w:type="spellStart"/>
            <w:r w:rsidRPr="00A25C41">
              <w:rPr>
                <w:szCs w:val="20"/>
              </w:rPr>
              <w:t>idelalisib</w:t>
            </w:r>
            <w:proofErr w:type="spellEnd"/>
            <w:r w:rsidRPr="00A25C41">
              <w:rPr>
                <w:szCs w:val="20"/>
              </w:rPr>
              <w:t xml:space="preserve"> and rituximab scripts (epidemiological approach adjusted for trial-based utilisation).</w:t>
            </w:r>
          </w:p>
        </w:tc>
      </w:tr>
      <w:tr w:rsidR="00D2677F" w:rsidRPr="00191822" w14:paraId="4FB74BEF" w14:textId="77777777" w:rsidTr="006D27F5">
        <w:tc>
          <w:tcPr>
            <w:tcW w:w="950" w:type="pct"/>
            <w:shd w:val="clear" w:color="auto" w:fill="auto"/>
          </w:tcPr>
          <w:p w14:paraId="5A88B8D9" w14:textId="77777777" w:rsidR="00D2677F" w:rsidRPr="00191822" w:rsidRDefault="00D2677F" w:rsidP="00D2677F">
            <w:pPr>
              <w:pStyle w:val="TableText"/>
              <w:rPr>
                <w:szCs w:val="20"/>
              </w:rPr>
            </w:pPr>
            <w:r w:rsidRPr="00191822">
              <w:rPr>
                <w:szCs w:val="20"/>
              </w:rPr>
              <w:t>Obinutuzumab CLL scripts (2020)</w:t>
            </w:r>
          </w:p>
        </w:tc>
        <w:tc>
          <w:tcPr>
            <w:tcW w:w="2270" w:type="pct"/>
            <w:shd w:val="clear" w:color="auto" w:fill="auto"/>
          </w:tcPr>
          <w:p w14:paraId="4A285371" w14:textId="77777777" w:rsidR="00D2677F" w:rsidRPr="00191822" w:rsidRDefault="00D2677F" w:rsidP="00D2677F">
            <w:pPr>
              <w:jc w:val="left"/>
              <w:rPr>
                <w:rFonts w:ascii="Arial Narrow" w:hAnsi="Arial Narrow"/>
                <w:sz w:val="20"/>
                <w:szCs w:val="20"/>
              </w:rPr>
            </w:pPr>
            <w:r w:rsidRPr="00191822">
              <w:rPr>
                <w:rFonts w:ascii="Arial Narrow" w:hAnsi="Arial Narrow"/>
                <w:sz w:val="20"/>
                <w:szCs w:val="20"/>
              </w:rPr>
              <w:t>2,706 scripts. Medicare Statistics PBS Item reports for 10407R and 10418H (January 2020 to December</w:t>
            </w:r>
            <w:r w:rsidR="008D761C">
              <w:rPr>
                <w:rFonts w:ascii="Arial Narrow" w:hAnsi="Arial Narrow"/>
                <w:sz w:val="20"/>
                <w:szCs w:val="20"/>
              </w:rPr>
              <w:t> </w:t>
            </w:r>
            <w:r w:rsidRPr="00191822">
              <w:rPr>
                <w:rFonts w:ascii="Arial Narrow" w:hAnsi="Arial Narrow"/>
                <w:sz w:val="20"/>
                <w:szCs w:val="20"/>
              </w:rPr>
              <w:t>2020)</w:t>
            </w:r>
          </w:p>
        </w:tc>
        <w:tc>
          <w:tcPr>
            <w:tcW w:w="1780" w:type="pct"/>
            <w:shd w:val="clear" w:color="auto" w:fill="auto"/>
            <w:vAlign w:val="center"/>
          </w:tcPr>
          <w:p w14:paraId="08160480" w14:textId="77777777" w:rsidR="00D2677F" w:rsidRPr="00191822" w:rsidRDefault="006D27F5" w:rsidP="006D27F5">
            <w:pPr>
              <w:pStyle w:val="TableText"/>
              <w:keepNext w:val="0"/>
              <w:jc w:val="center"/>
              <w:rPr>
                <w:szCs w:val="20"/>
              </w:rPr>
            </w:pPr>
            <w:r w:rsidRPr="00191822">
              <w:rPr>
                <w:szCs w:val="20"/>
              </w:rPr>
              <w:t>-</w:t>
            </w:r>
          </w:p>
        </w:tc>
      </w:tr>
      <w:tr w:rsidR="00D2677F" w:rsidRPr="00191822" w14:paraId="2CA85A5B" w14:textId="77777777" w:rsidTr="006D27F5">
        <w:tc>
          <w:tcPr>
            <w:tcW w:w="950" w:type="pct"/>
            <w:shd w:val="clear" w:color="auto" w:fill="auto"/>
          </w:tcPr>
          <w:p w14:paraId="45E8FAD2" w14:textId="77777777" w:rsidR="00D2677F" w:rsidRPr="00191822" w:rsidRDefault="00D2677F" w:rsidP="00D2677F">
            <w:pPr>
              <w:pStyle w:val="TableText"/>
              <w:rPr>
                <w:szCs w:val="20"/>
              </w:rPr>
            </w:pPr>
            <w:r w:rsidRPr="00191822">
              <w:rPr>
                <w:szCs w:val="20"/>
              </w:rPr>
              <w:t>Chlorambucil scripts (2020)</w:t>
            </w:r>
          </w:p>
        </w:tc>
        <w:tc>
          <w:tcPr>
            <w:tcW w:w="2270" w:type="pct"/>
            <w:shd w:val="clear" w:color="auto" w:fill="auto"/>
          </w:tcPr>
          <w:p w14:paraId="15EB32D1" w14:textId="77777777" w:rsidR="00D2677F" w:rsidRPr="00191822" w:rsidRDefault="00D2677F" w:rsidP="00D2677F">
            <w:pPr>
              <w:jc w:val="left"/>
              <w:rPr>
                <w:rFonts w:ascii="Arial Narrow" w:hAnsi="Arial Narrow"/>
                <w:sz w:val="20"/>
                <w:szCs w:val="20"/>
              </w:rPr>
            </w:pPr>
            <w:r w:rsidRPr="00191822">
              <w:rPr>
                <w:rFonts w:ascii="Arial Narrow" w:hAnsi="Arial Narrow"/>
                <w:sz w:val="20"/>
                <w:szCs w:val="20"/>
              </w:rPr>
              <w:t xml:space="preserve">2,706 scripts. Assumed 1 chlorambucil script for each </w:t>
            </w:r>
            <w:proofErr w:type="spellStart"/>
            <w:r w:rsidRPr="00191822">
              <w:rPr>
                <w:rFonts w:ascii="Arial Narrow" w:hAnsi="Arial Narrow"/>
                <w:sz w:val="20"/>
                <w:szCs w:val="20"/>
              </w:rPr>
              <w:t>obinutuzumab</w:t>
            </w:r>
            <w:proofErr w:type="spellEnd"/>
            <w:r w:rsidRPr="00191822">
              <w:rPr>
                <w:rFonts w:ascii="Arial Narrow" w:hAnsi="Arial Narrow"/>
                <w:sz w:val="20"/>
                <w:szCs w:val="20"/>
              </w:rPr>
              <w:t xml:space="preserve"> script.</w:t>
            </w:r>
          </w:p>
        </w:tc>
        <w:tc>
          <w:tcPr>
            <w:tcW w:w="1780" w:type="pct"/>
            <w:shd w:val="clear" w:color="auto" w:fill="auto"/>
            <w:vAlign w:val="center"/>
          </w:tcPr>
          <w:p w14:paraId="7B093E4F" w14:textId="77777777" w:rsidR="00D2677F" w:rsidRPr="00191822" w:rsidRDefault="006D27F5" w:rsidP="006D27F5">
            <w:pPr>
              <w:pStyle w:val="TableText"/>
              <w:keepNext w:val="0"/>
              <w:jc w:val="center"/>
              <w:rPr>
                <w:szCs w:val="20"/>
              </w:rPr>
            </w:pPr>
            <w:r w:rsidRPr="00191822">
              <w:rPr>
                <w:szCs w:val="20"/>
              </w:rPr>
              <w:t>-</w:t>
            </w:r>
          </w:p>
        </w:tc>
      </w:tr>
      <w:tr w:rsidR="00D2677F" w:rsidRPr="00191822" w14:paraId="2D78CDF2" w14:textId="77777777" w:rsidTr="006D27F5">
        <w:tc>
          <w:tcPr>
            <w:tcW w:w="950" w:type="pct"/>
            <w:shd w:val="clear" w:color="auto" w:fill="auto"/>
          </w:tcPr>
          <w:p w14:paraId="519F2010" w14:textId="77777777" w:rsidR="00D2677F" w:rsidRPr="00191822" w:rsidRDefault="00D2677F" w:rsidP="00D2677F">
            <w:pPr>
              <w:pStyle w:val="TableText"/>
              <w:rPr>
                <w:szCs w:val="20"/>
              </w:rPr>
            </w:pPr>
            <w:r w:rsidRPr="00191822">
              <w:rPr>
                <w:szCs w:val="20"/>
              </w:rPr>
              <w:t>Ibrutinib scripts (2020)</w:t>
            </w:r>
          </w:p>
        </w:tc>
        <w:tc>
          <w:tcPr>
            <w:tcW w:w="2270" w:type="pct"/>
            <w:shd w:val="clear" w:color="auto" w:fill="auto"/>
          </w:tcPr>
          <w:p w14:paraId="609DD8D5" w14:textId="77777777" w:rsidR="00D2677F" w:rsidRPr="00191822" w:rsidRDefault="00D2677F" w:rsidP="00D2677F">
            <w:pPr>
              <w:jc w:val="left"/>
              <w:rPr>
                <w:rFonts w:ascii="Arial Narrow" w:hAnsi="Arial Narrow"/>
                <w:sz w:val="20"/>
                <w:szCs w:val="20"/>
              </w:rPr>
            </w:pPr>
            <w:r w:rsidRPr="00191822">
              <w:rPr>
                <w:rFonts w:ascii="Arial Narrow" w:hAnsi="Arial Narrow"/>
                <w:sz w:val="20"/>
                <w:szCs w:val="20"/>
              </w:rPr>
              <w:t>13,646 scripts. Medicare Statistics PBS Item report for 11213E (January 2020 to December 2020</w:t>
            </w:r>
            <w:r w:rsidR="00A74D10">
              <w:rPr>
                <w:rFonts w:ascii="Arial Narrow" w:hAnsi="Arial Narrow"/>
                <w:sz w:val="20"/>
                <w:szCs w:val="20"/>
              </w:rPr>
              <w:t>)</w:t>
            </w:r>
          </w:p>
        </w:tc>
        <w:tc>
          <w:tcPr>
            <w:tcW w:w="1780" w:type="pct"/>
            <w:shd w:val="clear" w:color="auto" w:fill="auto"/>
            <w:vAlign w:val="center"/>
          </w:tcPr>
          <w:p w14:paraId="2294471C" w14:textId="77777777" w:rsidR="00D2677F" w:rsidRPr="00191822" w:rsidRDefault="006D27F5" w:rsidP="006D27F5">
            <w:pPr>
              <w:pStyle w:val="TableText"/>
              <w:keepNext w:val="0"/>
              <w:jc w:val="center"/>
              <w:rPr>
                <w:szCs w:val="20"/>
              </w:rPr>
            </w:pPr>
            <w:r w:rsidRPr="00191822">
              <w:rPr>
                <w:szCs w:val="20"/>
              </w:rPr>
              <w:t>-</w:t>
            </w:r>
          </w:p>
        </w:tc>
      </w:tr>
      <w:tr w:rsidR="00D2677F" w:rsidRPr="00A25C41" w14:paraId="6658417F" w14:textId="77777777" w:rsidTr="004026AA">
        <w:tc>
          <w:tcPr>
            <w:tcW w:w="950" w:type="pct"/>
            <w:shd w:val="clear" w:color="auto" w:fill="auto"/>
          </w:tcPr>
          <w:p w14:paraId="0E818F6A" w14:textId="77777777" w:rsidR="00D2677F" w:rsidRPr="00A25C41" w:rsidRDefault="00D2677F" w:rsidP="00D2677F">
            <w:pPr>
              <w:pStyle w:val="TableText"/>
              <w:rPr>
                <w:szCs w:val="20"/>
              </w:rPr>
            </w:pPr>
            <w:r w:rsidRPr="00A25C41">
              <w:rPr>
                <w:szCs w:val="20"/>
              </w:rPr>
              <w:t>Obinutuzumab, ibrutinib and chlorambucil script growth</w:t>
            </w:r>
          </w:p>
        </w:tc>
        <w:tc>
          <w:tcPr>
            <w:tcW w:w="2270" w:type="pct"/>
            <w:shd w:val="clear" w:color="auto" w:fill="auto"/>
          </w:tcPr>
          <w:p w14:paraId="1B678876" w14:textId="77777777" w:rsidR="00D2677F" w:rsidRPr="00A25C41" w:rsidRDefault="00D2677F" w:rsidP="00D2677F">
            <w:pPr>
              <w:jc w:val="left"/>
              <w:rPr>
                <w:rFonts w:ascii="Arial Narrow" w:hAnsi="Arial Narrow"/>
                <w:sz w:val="20"/>
                <w:szCs w:val="20"/>
              </w:rPr>
            </w:pPr>
            <w:r w:rsidRPr="00A25C41">
              <w:rPr>
                <w:rFonts w:ascii="Arial Narrow" w:hAnsi="Arial Narrow"/>
                <w:sz w:val="20"/>
                <w:szCs w:val="20"/>
              </w:rPr>
              <w:t>2021: 1.65%, 2022: 1.62%, 2023: 1.57%, 2024: 1.53%, 2025: 1.48%, 2026: 1.44%</w:t>
            </w:r>
            <w:r w:rsidR="006D27F5" w:rsidRPr="00A25C41">
              <w:rPr>
                <w:rFonts w:ascii="Arial Narrow" w:hAnsi="Arial Narrow"/>
                <w:sz w:val="20"/>
                <w:szCs w:val="20"/>
              </w:rPr>
              <w:t>,</w:t>
            </w:r>
            <w:r w:rsidRPr="00A25C41">
              <w:rPr>
                <w:rFonts w:ascii="Arial Narrow" w:hAnsi="Arial Narrow"/>
                <w:sz w:val="20"/>
                <w:szCs w:val="20"/>
              </w:rPr>
              <w:t xml:space="preserve"> 2027: 1.39%</w:t>
            </w:r>
            <w:r w:rsidR="006D27F5" w:rsidRPr="00A25C41">
              <w:rPr>
                <w:rFonts w:ascii="Arial Narrow" w:hAnsi="Arial Narrow"/>
                <w:sz w:val="20"/>
                <w:szCs w:val="20"/>
              </w:rPr>
              <w:t>. Assumed annual growth from 2020 levels based on the percent increase in incident CLL patients each year, assuming an annual incidence of 7.0 per 100,000 population.</w:t>
            </w:r>
          </w:p>
        </w:tc>
        <w:tc>
          <w:tcPr>
            <w:tcW w:w="1780" w:type="pct"/>
            <w:shd w:val="clear" w:color="auto" w:fill="auto"/>
          </w:tcPr>
          <w:p w14:paraId="6DEADE1F" w14:textId="77777777" w:rsidR="00D2677F" w:rsidRPr="00A25C41" w:rsidRDefault="006D27F5" w:rsidP="006D27F5">
            <w:pPr>
              <w:pStyle w:val="TableText"/>
              <w:keepNext w:val="0"/>
              <w:rPr>
                <w:iCs/>
                <w:szCs w:val="20"/>
              </w:rPr>
            </w:pPr>
            <w:r w:rsidRPr="00A25C41">
              <w:rPr>
                <w:iCs/>
                <w:szCs w:val="20"/>
              </w:rPr>
              <w:t>The availability of additional treatments on the PBS may lead to growth of the overall CLL market.</w:t>
            </w:r>
          </w:p>
        </w:tc>
      </w:tr>
      <w:tr w:rsidR="00CD0471" w:rsidRPr="00A25C41" w14:paraId="1C2F882F" w14:textId="77777777" w:rsidTr="004026AA">
        <w:tc>
          <w:tcPr>
            <w:tcW w:w="950" w:type="pct"/>
            <w:shd w:val="clear" w:color="auto" w:fill="auto"/>
          </w:tcPr>
          <w:p w14:paraId="62D59740" w14:textId="77777777" w:rsidR="00CD0471" w:rsidRPr="00A25C41" w:rsidRDefault="00CD0471" w:rsidP="00CD0471">
            <w:pPr>
              <w:pStyle w:val="TableText"/>
              <w:keepNext w:val="0"/>
              <w:rPr>
                <w:szCs w:val="20"/>
              </w:rPr>
            </w:pPr>
            <w:r w:rsidRPr="00A25C41">
              <w:rPr>
                <w:szCs w:val="20"/>
              </w:rPr>
              <w:t>Acalabrutinib treatment duration</w:t>
            </w:r>
          </w:p>
        </w:tc>
        <w:tc>
          <w:tcPr>
            <w:tcW w:w="2270" w:type="pct"/>
            <w:shd w:val="clear" w:color="auto" w:fill="auto"/>
          </w:tcPr>
          <w:p w14:paraId="37186497" w14:textId="77777777" w:rsidR="00CD0471" w:rsidRPr="00A25C41" w:rsidRDefault="00CD0471" w:rsidP="00CD0471">
            <w:pPr>
              <w:jc w:val="left"/>
              <w:rPr>
                <w:rFonts w:ascii="Arial Narrow" w:eastAsiaTheme="majorEastAsia" w:hAnsi="Arial Narrow" w:cstheme="majorBidi"/>
                <w:bCs/>
                <w:sz w:val="20"/>
                <w:szCs w:val="20"/>
              </w:rPr>
            </w:pPr>
            <w:r w:rsidRPr="00A25C41">
              <w:rPr>
                <w:rFonts w:ascii="Arial Narrow" w:hAnsi="Arial Narrow"/>
                <w:sz w:val="20"/>
                <w:szCs w:val="20"/>
              </w:rPr>
              <w:t>40.28 months. Based on the extrapolated time to treatment discontinuation data for the acalabrutinib arm of the ELEVATE-TN trial, adjusted for the proposed 48-month maximum treatment cap.</w:t>
            </w:r>
          </w:p>
        </w:tc>
        <w:tc>
          <w:tcPr>
            <w:tcW w:w="1780" w:type="pct"/>
            <w:shd w:val="clear" w:color="auto" w:fill="auto"/>
          </w:tcPr>
          <w:p w14:paraId="3DD7D5BD" w14:textId="77777777" w:rsidR="00CD0471" w:rsidRPr="00A25C41" w:rsidRDefault="00CD0471" w:rsidP="006D27F5">
            <w:pPr>
              <w:pStyle w:val="TableText"/>
              <w:keepNext w:val="0"/>
              <w:rPr>
                <w:iCs/>
                <w:szCs w:val="20"/>
              </w:rPr>
            </w:pPr>
            <w:r w:rsidRPr="00A25C41">
              <w:rPr>
                <w:iCs/>
                <w:szCs w:val="20"/>
              </w:rPr>
              <w:t xml:space="preserve">This assumption differed from the assumptions around treatment duration for </w:t>
            </w:r>
            <w:proofErr w:type="spellStart"/>
            <w:r w:rsidRPr="00A25C41">
              <w:rPr>
                <w:iCs/>
                <w:szCs w:val="20"/>
              </w:rPr>
              <w:t>idelalisib</w:t>
            </w:r>
            <w:proofErr w:type="spellEnd"/>
            <w:r w:rsidRPr="00A25C41">
              <w:rPr>
                <w:iCs/>
                <w:szCs w:val="20"/>
              </w:rPr>
              <w:t>, which was based on time to progression.</w:t>
            </w:r>
          </w:p>
        </w:tc>
      </w:tr>
      <w:tr w:rsidR="00C13CBF" w:rsidRPr="00A25C41" w14:paraId="5E7998FF" w14:textId="77777777" w:rsidTr="00F344EE">
        <w:tc>
          <w:tcPr>
            <w:tcW w:w="950" w:type="pct"/>
            <w:shd w:val="clear" w:color="auto" w:fill="auto"/>
          </w:tcPr>
          <w:p w14:paraId="6688225A" w14:textId="77777777" w:rsidR="00C13CBF" w:rsidRPr="00A25C41" w:rsidRDefault="00CD0471" w:rsidP="004026AA">
            <w:pPr>
              <w:pStyle w:val="TableText"/>
              <w:keepNext w:val="0"/>
              <w:rPr>
                <w:szCs w:val="20"/>
              </w:rPr>
            </w:pPr>
            <w:proofErr w:type="spellStart"/>
            <w:r w:rsidRPr="00A25C41">
              <w:rPr>
                <w:szCs w:val="20"/>
              </w:rPr>
              <w:t>Idelalisib</w:t>
            </w:r>
            <w:proofErr w:type="spellEnd"/>
            <w:r w:rsidRPr="00A25C41">
              <w:rPr>
                <w:szCs w:val="20"/>
              </w:rPr>
              <w:t xml:space="preserve"> treatment duration</w:t>
            </w:r>
          </w:p>
        </w:tc>
        <w:tc>
          <w:tcPr>
            <w:tcW w:w="2270" w:type="pct"/>
            <w:shd w:val="clear" w:color="auto" w:fill="auto"/>
          </w:tcPr>
          <w:p w14:paraId="0F9AC824" w14:textId="77777777" w:rsidR="00C13CBF" w:rsidRPr="00A25C41" w:rsidRDefault="00CD0471" w:rsidP="004026AA">
            <w:pPr>
              <w:jc w:val="left"/>
              <w:rPr>
                <w:rFonts w:ascii="Arial Narrow" w:eastAsiaTheme="majorEastAsia" w:hAnsi="Arial Narrow" w:cstheme="majorBidi"/>
                <w:bCs/>
                <w:sz w:val="20"/>
                <w:szCs w:val="20"/>
              </w:rPr>
            </w:pPr>
            <w:r w:rsidRPr="00A25C41">
              <w:rPr>
                <w:rFonts w:ascii="Arial Narrow" w:eastAsiaTheme="majorEastAsia" w:hAnsi="Arial Narrow" w:cstheme="majorBidi"/>
                <w:bCs/>
                <w:sz w:val="20"/>
                <w:szCs w:val="20"/>
              </w:rPr>
              <w:t xml:space="preserve">12 months. Assumed that all patients receive 12 months of treatment, based on the assumption that </w:t>
            </w:r>
            <w:proofErr w:type="spellStart"/>
            <w:r w:rsidRPr="00A25C41">
              <w:rPr>
                <w:rFonts w:ascii="Arial Narrow" w:eastAsiaTheme="majorEastAsia" w:hAnsi="Arial Narrow" w:cstheme="majorBidi"/>
                <w:bCs/>
                <w:sz w:val="20"/>
                <w:szCs w:val="20"/>
              </w:rPr>
              <w:t>idelalisib</w:t>
            </w:r>
            <w:proofErr w:type="spellEnd"/>
            <w:r w:rsidRPr="00A25C41">
              <w:rPr>
                <w:rFonts w:ascii="Arial Narrow" w:eastAsiaTheme="majorEastAsia" w:hAnsi="Arial Narrow" w:cstheme="majorBidi"/>
                <w:bCs/>
                <w:sz w:val="20"/>
                <w:szCs w:val="20"/>
              </w:rPr>
              <w:t xml:space="preserve"> is subject to </w:t>
            </w:r>
            <w:r w:rsidR="0060337D" w:rsidRPr="00A25C41">
              <w:rPr>
                <w:rFonts w:ascii="Arial Narrow" w:eastAsiaTheme="majorEastAsia" w:hAnsi="Arial Narrow" w:cstheme="majorBidi"/>
                <w:bCs/>
                <w:sz w:val="20"/>
                <w:szCs w:val="20"/>
              </w:rPr>
              <w:t>an RSA</w:t>
            </w:r>
            <w:r w:rsidRPr="00A25C41">
              <w:rPr>
                <w:rFonts w:ascii="Arial Narrow" w:eastAsiaTheme="majorEastAsia" w:hAnsi="Arial Narrow" w:cstheme="majorBidi"/>
                <w:bCs/>
                <w:sz w:val="20"/>
                <w:szCs w:val="20"/>
              </w:rPr>
              <w:t xml:space="preserve"> with a 12-month maximum treatment cap.</w:t>
            </w:r>
          </w:p>
        </w:tc>
        <w:tc>
          <w:tcPr>
            <w:tcW w:w="1780" w:type="pct"/>
            <w:shd w:val="clear" w:color="auto" w:fill="auto"/>
          </w:tcPr>
          <w:p w14:paraId="3FFCC0B4" w14:textId="77777777" w:rsidR="00C13CBF" w:rsidRPr="0074342C" w:rsidRDefault="00CD0471" w:rsidP="004026AA">
            <w:pPr>
              <w:pStyle w:val="TableText"/>
              <w:keepNext w:val="0"/>
              <w:rPr>
                <w:szCs w:val="20"/>
              </w:rPr>
            </w:pPr>
            <w:r w:rsidRPr="0074342C">
              <w:rPr>
                <w:szCs w:val="20"/>
              </w:rPr>
              <w:t>T</w:t>
            </w:r>
            <w:r w:rsidR="00742A0E" w:rsidRPr="0074342C">
              <w:rPr>
                <w:szCs w:val="20"/>
              </w:rPr>
              <w:t>he assumed maximum treatment cap may not reflect the actual RSA parameters</w:t>
            </w:r>
            <w:r w:rsidR="00D2677F" w:rsidRPr="0074342C">
              <w:rPr>
                <w:szCs w:val="20"/>
              </w:rPr>
              <w:t>.</w:t>
            </w:r>
            <w:r w:rsidR="00F328E7" w:rsidRPr="0074342C">
              <w:rPr>
                <w:szCs w:val="20"/>
              </w:rPr>
              <w:t xml:space="preserve"> </w:t>
            </w:r>
            <w:r w:rsidR="00F328E7" w:rsidRPr="009E7F27">
              <w:rPr>
                <w:szCs w:val="20"/>
              </w:rPr>
              <w:t xml:space="preserve">Refer to </w:t>
            </w:r>
            <w:r w:rsidR="00F176F5" w:rsidRPr="009E7F27">
              <w:rPr>
                <w:szCs w:val="20"/>
              </w:rPr>
              <w:t xml:space="preserve">Committee-In-Confidence </w:t>
            </w:r>
            <w:r w:rsidR="00F328E7" w:rsidRPr="009E7F27">
              <w:rPr>
                <w:szCs w:val="20"/>
              </w:rPr>
              <w:t xml:space="preserve">section of the </w:t>
            </w:r>
            <w:r w:rsidR="00F176F5" w:rsidRPr="00DF44A0">
              <w:rPr>
                <w:iCs/>
                <w:szCs w:val="20"/>
              </w:rPr>
              <w:t>ESC advice</w:t>
            </w:r>
            <w:r w:rsidR="00F328E7" w:rsidRPr="009E7F27">
              <w:rPr>
                <w:szCs w:val="20"/>
              </w:rPr>
              <w:t>.</w:t>
            </w:r>
          </w:p>
        </w:tc>
      </w:tr>
      <w:tr w:rsidR="00C13CBF" w:rsidRPr="00A25C41" w14:paraId="3718C618" w14:textId="77777777" w:rsidTr="00367DCE">
        <w:trPr>
          <w:trHeight w:val="1886"/>
        </w:trPr>
        <w:tc>
          <w:tcPr>
            <w:tcW w:w="950" w:type="pct"/>
            <w:shd w:val="clear" w:color="auto" w:fill="auto"/>
          </w:tcPr>
          <w:p w14:paraId="79EF6625" w14:textId="77777777" w:rsidR="00C13CBF" w:rsidRPr="00A25C41" w:rsidRDefault="006D27F5" w:rsidP="004026AA">
            <w:pPr>
              <w:pStyle w:val="TableText"/>
              <w:keepNext w:val="0"/>
              <w:rPr>
                <w:szCs w:val="20"/>
              </w:rPr>
            </w:pPr>
            <w:r w:rsidRPr="00A25C41">
              <w:rPr>
                <w:szCs w:val="20"/>
              </w:rPr>
              <w:lastRenderedPageBreak/>
              <w:t>Proportion of ibrutinib scripts replaced</w:t>
            </w:r>
          </w:p>
        </w:tc>
        <w:tc>
          <w:tcPr>
            <w:tcW w:w="2270" w:type="pct"/>
            <w:shd w:val="clear" w:color="auto" w:fill="auto"/>
          </w:tcPr>
          <w:p w14:paraId="702E8EC7" w14:textId="77777777" w:rsidR="00C13CBF" w:rsidRPr="00A25C41" w:rsidRDefault="006D27F5" w:rsidP="004026AA">
            <w:pPr>
              <w:jc w:val="left"/>
              <w:rPr>
                <w:rFonts w:ascii="Arial Narrow" w:eastAsiaTheme="majorEastAsia" w:hAnsi="Arial Narrow" w:cstheme="majorBidi"/>
                <w:bCs/>
                <w:sz w:val="20"/>
                <w:szCs w:val="20"/>
              </w:rPr>
            </w:pPr>
            <w:r w:rsidRPr="00A25C41">
              <w:rPr>
                <w:rFonts w:ascii="Arial Narrow" w:eastAsiaTheme="majorEastAsia" w:hAnsi="Arial Narrow" w:cstheme="majorBidi"/>
                <w:bCs/>
                <w:sz w:val="20"/>
                <w:szCs w:val="20"/>
              </w:rPr>
              <w:t xml:space="preserve">19.5%. Assumed that 65% of ibrutinib scripts attributable to patients not suitable for fludarabine-based treatment and 30% of ibrutinib use is following chlorambucil + </w:t>
            </w:r>
            <w:proofErr w:type="spellStart"/>
            <w:r w:rsidRPr="00A25C41">
              <w:rPr>
                <w:rFonts w:ascii="Arial Narrow" w:eastAsiaTheme="majorEastAsia" w:hAnsi="Arial Narrow" w:cstheme="majorBidi"/>
                <w:bCs/>
                <w:sz w:val="20"/>
                <w:szCs w:val="20"/>
              </w:rPr>
              <w:t>obinutuzumab</w:t>
            </w:r>
            <w:proofErr w:type="spellEnd"/>
            <w:r w:rsidRPr="00A25C41">
              <w:rPr>
                <w:rFonts w:ascii="Arial Narrow" w:eastAsiaTheme="majorEastAsia" w:hAnsi="Arial Narrow" w:cstheme="majorBidi"/>
                <w:bCs/>
                <w:sz w:val="20"/>
                <w:szCs w:val="20"/>
              </w:rPr>
              <w:t xml:space="preserve"> (70% following </w:t>
            </w:r>
            <w:proofErr w:type="spellStart"/>
            <w:r w:rsidRPr="00A25C41">
              <w:rPr>
                <w:rFonts w:ascii="Arial Narrow" w:eastAsiaTheme="majorEastAsia" w:hAnsi="Arial Narrow" w:cstheme="majorBidi"/>
                <w:bCs/>
                <w:sz w:val="20"/>
                <w:szCs w:val="20"/>
              </w:rPr>
              <w:t>venetoclax</w:t>
            </w:r>
            <w:proofErr w:type="spellEnd"/>
            <w:r w:rsidRPr="00A25C41">
              <w:rPr>
                <w:rFonts w:ascii="Arial Narrow" w:eastAsiaTheme="majorEastAsia" w:hAnsi="Arial Narrow" w:cstheme="majorBidi"/>
                <w:bCs/>
                <w:sz w:val="20"/>
                <w:szCs w:val="20"/>
              </w:rPr>
              <w:t xml:space="preserve"> + </w:t>
            </w:r>
            <w:proofErr w:type="spellStart"/>
            <w:r w:rsidRPr="00A25C41">
              <w:rPr>
                <w:rFonts w:ascii="Arial Narrow" w:eastAsiaTheme="majorEastAsia" w:hAnsi="Arial Narrow" w:cstheme="majorBidi"/>
                <w:bCs/>
                <w:sz w:val="20"/>
                <w:szCs w:val="20"/>
              </w:rPr>
              <w:t>obinutuzumab</w:t>
            </w:r>
            <w:proofErr w:type="spellEnd"/>
            <w:r w:rsidRPr="00A25C41">
              <w:rPr>
                <w:rFonts w:ascii="Arial Narrow" w:eastAsiaTheme="majorEastAsia" w:hAnsi="Arial Narrow" w:cstheme="majorBidi"/>
                <w:bCs/>
                <w:sz w:val="20"/>
                <w:szCs w:val="20"/>
              </w:rPr>
              <w:t>). Calculated as 65% x 30% = 19.5%.</w:t>
            </w:r>
          </w:p>
        </w:tc>
        <w:tc>
          <w:tcPr>
            <w:tcW w:w="1780" w:type="pct"/>
            <w:shd w:val="clear" w:color="auto" w:fill="auto"/>
          </w:tcPr>
          <w:p w14:paraId="45285384" w14:textId="77777777" w:rsidR="00C13CBF" w:rsidRPr="0074342C" w:rsidRDefault="006D27F5" w:rsidP="004026AA">
            <w:pPr>
              <w:pStyle w:val="TableText"/>
              <w:keepNext w:val="0"/>
              <w:rPr>
                <w:szCs w:val="20"/>
              </w:rPr>
            </w:pPr>
            <w:r w:rsidRPr="0074342C">
              <w:rPr>
                <w:szCs w:val="20"/>
              </w:rPr>
              <w:t xml:space="preserve">The approach used to estimate changes in ibrutinib and </w:t>
            </w:r>
            <w:proofErr w:type="spellStart"/>
            <w:r w:rsidRPr="0074342C">
              <w:rPr>
                <w:szCs w:val="20"/>
              </w:rPr>
              <w:t>obinutuzumab</w:t>
            </w:r>
            <w:proofErr w:type="spellEnd"/>
            <w:r w:rsidRPr="0074342C">
              <w:rPr>
                <w:szCs w:val="20"/>
              </w:rPr>
              <w:t xml:space="preserve"> script counts (based on a market share approach using PBS dispensing data) differed from the approach used to estimate the number of acalabrutinib and </w:t>
            </w:r>
            <w:proofErr w:type="spellStart"/>
            <w:r w:rsidRPr="0074342C">
              <w:rPr>
                <w:szCs w:val="20"/>
              </w:rPr>
              <w:t>idelalisib</w:t>
            </w:r>
            <w:proofErr w:type="spellEnd"/>
            <w:r w:rsidRPr="0074342C">
              <w:rPr>
                <w:szCs w:val="20"/>
              </w:rPr>
              <w:t xml:space="preserve"> scripts (epidemiological approach adjusted for trial-based utilisation). </w:t>
            </w:r>
            <w:r w:rsidR="000F1ED9" w:rsidRPr="0074342C">
              <w:rPr>
                <w:szCs w:val="20"/>
              </w:rPr>
              <w:t xml:space="preserve">It is unclear whether the </w:t>
            </w:r>
            <w:r w:rsidR="005C74D2" w:rsidRPr="0074342C">
              <w:rPr>
                <w:szCs w:val="20"/>
              </w:rPr>
              <w:t>two</w:t>
            </w:r>
            <w:r w:rsidR="000F1ED9" w:rsidRPr="0074342C">
              <w:rPr>
                <w:szCs w:val="20"/>
              </w:rPr>
              <w:t xml:space="preserve"> approaches produced </w:t>
            </w:r>
            <w:r w:rsidR="005C74D2" w:rsidRPr="0074342C">
              <w:rPr>
                <w:szCs w:val="20"/>
              </w:rPr>
              <w:t>consistent result</w:t>
            </w:r>
            <w:r w:rsidRPr="0074342C">
              <w:rPr>
                <w:szCs w:val="20"/>
              </w:rPr>
              <w:t>s.</w:t>
            </w:r>
          </w:p>
        </w:tc>
      </w:tr>
      <w:tr w:rsidR="006D27F5" w:rsidRPr="00A25C41" w14:paraId="2C9BA025" w14:textId="77777777" w:rsidTr="00F344EE">
        <w:tc>
          <w:tcPr>
            <w:tcW w:w="950" w:type="pct"/>
            <w:shd w:val="clear" w:color="auto" w:fill="auto"/>
          </w:tcPr>
          <w:p w14:paraId="4C746A13" w14:textId="77777777" w:rsidR="006D27F5" w:rsidRPr="00A25C41" w:rsidRDefault="006D27F5" w:rsidP="006D27F5">
            <w:pPr>
              <w:pStyle w:val="TableText"/>
              <w:keepNext w:val="0"/>
              <w:rPr>
                <w:szCs w:val="20"/>
              </w:rPr>
            </w:pPr>
            <w:r w:rsidRPr="00A25C41">
              <w:rPr>
                <w:szCs w:val="20"/>
              </w:rPr>
              <w:t xml:space="preserve">Acalabrutinib price </w:t>
            </w:r>
          </w:p>
        </w:tc>
        <w:tc>
          <w:tcPr>
            <w:tcW w:w="2270" w:type="pct"/>
            <w:shd w:val="clear" w:color="auto" w:fill="auto"/>
          </w:tcPr>
          <w:p w14:paraId="29162F33" w14:textId="77777777" w:rsidR="006D27F5" w:rsidRPr="00A25C41" w:rsidRDefault="006D27F5" w:rsidP="006D27F5">
            <w:pPr>
              <w:jc w:val="left"/>
              <w:rPr>
                <w:rFonts w:ascii="Arial Narrow" w:eastAsiaTheme="majorEastAsia" w:hAnsi="Arial Narrow" w:cstheme="majorBidi"/>
                <w:bCs/>
                <w:sz w:val="20"/>
                <w:szCs w:val="20"/>
              </w:rPr>
            </w:pPr>
            <w:r w:rsidRPr="00A25C41">
              <w:rPr>
                <w:rFonts w:ascii="Arial Narrow" w:hAnsi="Arial Narrow"/>
                <w:sz w:val="20"/>
                <w:szCs w:val="20"/>
              </w:rPr>
              <w:t>$</w:t>
            </w:r>
            <w:r w:rsidR="00BE0CB4">
              <w:rPr>
                <w:rFonts w:ascii="Arial Narrow" w:hAnsi="Arial Narrow"/>
                <w:noProof/>
                <w:color w:val="000000"/>
                <w:sz w:val="20"/>
                <w:szCs w:val="20"/>
                <w:highlight w:val="black"/>
              </w:rPr>
              <w:t>'''''''''''''''''''</w:t>
            </w:r>
            <w:r w:rsidR="00F57E9C" w:rsidRPr="00A25C41">
              <w:rPr>
                <w:rFonts w:ascii="Arial Narrow" w:hAnsi="Arial Narrow"/>
                <w:sz w:val="20"/>
                <w:szCs w:val="20"/>
              </w:rPr>
              <w:t>. Requested effective DPMQ.</w:t>
            </w:r>
          </w:p>
        </w:tc>
        <w:tc>
          <w:tcPr>
            <w:tcW w:w="1780" w:type="pct"/>
            <w:shd w:val="clear" w:color="auto" w:fill="auto"/>
          </w:tcPr>
          <w:p w14:paraId="531D7844" w14:textId="77777777" w:rsidR="006D27F5" w:rsidRPr="00A25C41" w:rsidRDefault="005D7255" w:rsidP="005D7255">
            <w:pPr>
              <w:pStyle w:val="TableText"/>
              <w:keepNext w:val="0"/>
              <w:jc w:val="center"/>
              <w:rPr>
                <w:szCs w:val="20"/>
              </w:rPr>
            </w:pPr>
            <w:r w:rsidRPr="00A25C41">
              <w:rPr>
                <w:szCs w:val="20"/>
              </w:rPr>
              <w:t>-</w:t>
            </w:r>
          </w:p>
        </w:tc>
      </w:tr>
      <w:tr w:rsidR="006D27F5" w:rsidRPr="00A25C41" w14:paraId="748F035E" w14:textId="77777777" w:rsidTr="00F344EE">
        <w:tc>
          <w:tcPr>
            <w:tcW w:w="950" w:type="pct"/>
            <w:shd w:val="clear" w:color="auto" w:fill="auto"/>
          </w:tcPr>
          <w:p w14:paraId="695B844E" w14:textId="77777777" w:rsidR="006D27F5" w:rsidRPr="00A25C41" w:rsidRDefault="006D27F5" w:rsidP="006D27F5">
            <w:pPr>
              <w:pStyle w:val="TableText"/>
              <w:keepNext w:val="0"/>
              <w:rPr>
                <w:szCs w:val="20"/>
              </w:rPr>
            </w:pPr>
            <w:r w:rsidRPr="00A25C41">
              <w:rPr>
                <w:szCs w:val="20"/>
              </w:rPr>
              <w:t>Chlorambucil price</w:t>
            </w:r>
          </w:p>
        </w:tc>
        <w:tc>
          <w:tcPr>
            <w:tcW w:w="2270" w:type="pct"/>
            <w:shd w:val="clear" w:color="auto" w:fill="auto"/>
          </w:tcPr>
          <w:p w14:paraId="76EF8E82" w14:textId="77777777" w:rsidR="006D27F5" w:rsidRPr="00A25C41" w:rsidRDefault="006D27F5" w:rsidP="006D27F5">
            <w:pPr>
              <w:jc w:val="left"/>
              <w:rPr>
                <w:rFonts w:ascii="Arial Narrow" w:eastAsiaTheme="majorEastAsia" w:hAnsi="Arial Narrow" w:cstheme="majorBidi"/>
                <w:bCs/>
                <w:sz w:val="20"/>
                <w:szCs w:val="20"/>
              </w:rPr>
            </w:pPr>
            <w:r w:rsidRPr="00A25C41">
              <w:rPr>
                <w:rFonts w:ascii="Arial Narrow" w:hAnsi="Arial Narrow"/>
                <w:sz w:val="20"/>
                <w:szCs w:val="20"/>
              </w:rPr>
              <w:t>$135.34</w:t>
            </w:r>
            <w:r w:rsidR="00F57E9C" w:rsidRPr="00A25C41">
              <w:rPr>
                <w:rFonts w:ascii="Arial Narrow" w:hAnsi="Arial Narrow"/>
                <w:sz w:val="20"/>
                <w:szCs w:val="20"/>
              </w:rPr>
              <w:t>. Published DPMQ.</w:t>
            </w:r>
          </w:p>
        </w:tc>
        <w:tc>
          <w:tcPr>
            <w:tcW w:w="1780" w:type="pct"/>
            <w:shd w:val="clear" w:color="auto" w:fill="auto"/>
          </w:tcPr>
          <w:p w14:paraId="5F3AF9D3" w14:textId="77777777" w:rsidR="006D27F5" w:rsidRPr="00A25C41" w:rsidRDefault="005D7255" w:rsidP="005D7255">
            <w:pPr>
              <w:pStyle w:val="TableText"/>
              <w:keepNext w:val="0"/>
              <w:jc w:val="center"/>
              <w:rPr>
                <w:szCs w:val="20"/>
              </w:rPr>
            </w:pPr>
            <w:r w:rsidRPr="00A25C41">
              <w:rPr>
                <w:szCs w:val="20"/>
              </w:rPr>
              <w:t>-</w:t>
            </w:r>
          </w:p>
        </w:tc>
      </w:tr>
      <w:tr w:rsidR="006D27F5" w:rsidRPr="00A25C41" w14:paraId="75546017" w14:textId="77777777" w:rsidTr="00F344EE">
        <w:tc>
          <w:tcPr>
            <w:tcW w:w="950" w:type="pct"/>
            <w:shd w:val="clear" w:color="auto" w:fill="auto"/>
          </w:tcPr>
          <w:p w14:paraId="2D8126AF" w14:textId="77777777" w:rsidR="006D27F5" w:rsidRPr="00A25C41" w:rsidRDefault="006D27F5" w:rsidP="006D27F5">
            <w:pPr>
              <w:pStyle w:val="TableText"/>
              <w:keepNext w:val="0"/>
              <w:rPr>
                <w:szCs w:val="20"/>
              </w:rPr>
            </w:pPr>
            <w:r w:rsidRPr="00A25C41">
              <w:rPr>
                <w:szCs w:val="20"/>
              </w:rPr>
              <w:t>Obinutuzumab price</w:t>
            </w:r>
          </w:p>
        </w:tc>
        <w:tc>
          <w:tcPr>
            <w:tcW w:w="2270" w:type="pct"/>
            <w:shd w:val="clear" w:color="auto" w:fill="auto"/>
          </w:tcPr>
          <w:p w14:paraId="4EB5D307" w14:textId="77777777" w:rsidR="006D27F5" w:rsidRPr="00A25C41" w:rsidRDefault="006D27F5" w:rsidP="006D27F5">
            <w:pPr>
              <w:jc w:val="left"/>
              <w:rPr>
                <w:rFonts w:ascii="Arial Narrow" w:eastAsiaTheme="majorEastAsia" w:hAnsi="Arial Narrow" w:cstheme="majorBidi"/>
                <w:bCs/>
                <w:sz w:val="20"/>
                <w:szCs w:val="20"/>
              </w:rPr>
            </w:pPr>
            <w:r w:rsidRPr="00A25C41">
              <w:rPr>
                <w:rFonts w:ascii="Arial Narrow" w:hAnsi="Arial Narrow"/>
                <w:sz w:val="20"/>
                <w:szCs w:val="20"/>
              </w:rPr>
              <w:t>$2,647.89 per script</w:t>
            </w:r>
            <w:r w:rsidR="00F57E9C" w:rsidRPr="00A25C41">
              <w:rPr>
                <w:rFonts w:ascii="Arial Narrow" w:hAnsi="Arial Narrow"/>
                <w:sz w:val="20"/>
                <w:szCs w:val="20"/>
              </w:rPr>
              <w:t xml:space="preserve">. Based on split between Item 10407R and 10418H (38%:62% </w:t>
            </w:r>
            <w:proofErr w:type="spellStart"/>
            <w:proofErr w:type="gramStart"/>
            <w:r w:rsidR="00F57E9C" w:rsidRPr="00A25C41">
              <w:rPr>
                <w:rFonts w:ascii="Arial Narrow" w:hAnsi="Arial Narrow"/>
                <w:sz w:val="20"/>
                <w:szCs w:val="20"/>
              </w:rPr>
              <w:t>public:private</w:t>
            </w:r>
            <w:proofErr w:type="spellEnd"/>
            <w:proofErr w:type="gramEnd"/>
            <w:r w:rsidR="00F57E9C" w:rsidRPr="00A25C41">
              <w:rPr>
                <w:rFonts w:ascii="Arial Narrow" w:hAnsi="Arial Narrow"/>
                <w:sz w:val="20"/>
                <w:szCs w:val="20"/>
              </w:rPr>
              <w:t>), Jan</w:t>
            </w:r>
            <w:r w:rsidR="008D761C" w:rsidRPr="00A25C41">
              <w:rPr>
                <w:rFonts w:ascii="Arial Narrow" w:hAnsi="Arial Narrow"/>
                <w:sz w:val="20"/>
                <w:szCs w:val="20"/>
              </w:rPr>
              <w:t>uary</w:t>
            </w:r>
            <w:r w:rsidR="00F57E9C" w:rsidRPr="00A25C41">
              <w:rPr>
                <w:rFonts w:ascii="Arial Narrow" w:hAnsi="Arial Narrow"/>
                <w:sz w:val="20"/>
                <w:szCs w:val="20"/>
              </w:rPr>
              <w:t xml:space="preserve"> to Dec</w:t>
            </w:r>
            <w:r w:rsidR="008D761C" w:rsidRPr="00A25C41">
              <w:rPr>
                <w:rFonts w:ascii="Arial Narrow" w:hAnsi="Arial Narrow"/>
                <w:sz w:val="20"/>
                <w:szCs w:val="20"/>
              </w:rPr>
              <w:t>ember</w:t>
            </w:r>
            <w:r w:rsidR="00F57E9C" w:rsidRPr="00A25C41">
              <w:rPr>
                <w:rFonts w:ascii="Arial Narrow" w:hAnsi="Arial Narrow"/>
                <w:sz w:val="20"/>
                <w:szCs w:val="20"/>
              </w:rPr>
              <w:t xml:space="preserve"> 2020. The resubmission assumed an effective price at a 50% discount to the published price.</w:t>
            </w:r>
          </w:p>
        </w:tc>
        <w:tc>
          <w:tcPr>
            <w:tcW w:w="1780" w:type="pct"/>
            <w:shd w:val="clear" w:color="auto" w:fill="auto"/>
          </w:tcPr>
          <w:p w14:paraId="306D8A03" w14:textId="77777777" w:rsidR="006D27F5" w:rsidRPr="00F176F5" w:rsidRDefault="00F57E9C" w:rsidP="006D27F5">
            <w:pPr>
              <w:pStyle w:val="TableText"/>
              <w:keepNext w:val="0"/>
              <w:rPr>
                <w:szCs w:val="20"/>
              </w:rPr>
            </w:pPr>
            <w:r w:rsidRPr="00F176F5">
              <w:rPr>
                <w:szCs w:val="20"/>
              </w:rPr>
              <w:t xml:space="preserve">Estimates based on the effective price of </w:t>
            </w:r>
            <w:proofErr w:type="spellStart"/>
            <w:r w:rsidRPr="00F176F5">
              <w:rPr>
                <w:szCs w:val="20"/>
              </w:rPr>
              <w:t>obinutuzumab</w:t>
            </w:r>
            <w:proofErr w:type="spellEnd"/>
            <w:r w:rsidRPr="00F176F5">
              <w:rPr>
                <w:szCs w:val="20"/>
              </w:rPr>
              <w:t xml:space="preserve"> are presented in the </w:t>
            </w:r>
            <w:r w:rsidRPr="009E7F27">
              <w:rPr>
                <w:szCs w:val="20"/>
              </w:rPr>
              <w:t xml:space="preserve">Committee-In-Confidence section of the </w:t>
            </w:r>
            <w:r w:rsidR="00F176F5" w:rsidRPr="00DF44A0">
              <w:rPr>
                <w:iCs/>
                <w:szCs w:val="20"/>
              </w:rPr>
              <w:t>ESC advice</w:t>
            </w:r>
            <w:r w:rsidRPr="009E7F27">
              <w:rPr>
                <w:szCs w:val="20"/>
              </w:rPr>
              <w:t>.</w:t>
            </w:r>
          </w:p>
        </w:tc>
      </w:tr>
      <w:tr w:rsidR="006D27F5" w:rsidRPr="00A25C41" w14:paraId="673E0DF0" w14:textId="77777777" w:rsidTr="00F57E9C">
        <w:tc>
          <w:tcPr>
            <w:tcW w:w="950" w:type="pct"/>
            <w:shd w:val="clear" w:color="auto" w:fill="auto"/>
          </w:tcPr>
          <w:p w14:paraId="40F74BBD" w14:textId="77777777" w:rsidR="006D27F5" w:rsidRPr="00A25C41" w:rsidRDefault="006D27F5" w:rsidP="006D27F5">
            <w:pPr>
              <w:pStyle w:val="TableText"/>
              <w:keepNext w:val="0"/>
              <w:rPr>
                <w:szCs w:val="20"/>
              </w:rPr>
            </w:pPr>
            <w:r w:rsidRPr="00A25C41">
              <w:rPr>
                <w:szCs w:val="20"/>
              </w:rPr>
              <w:t>Ibrutinib price</w:t>
            </w:r>
          </w:p>
        </w:tc>
        <w:tc>
          <w:tcPr>
            <w:tcW w:w="2270" w:type="pct"/>
            <w:shd w:val="clear" w:color="auto" w:fill="auto"/>
          </w:tcPr>
          <w:p w14:paraId="6A217563" w14:textId="77777777" w:rsidR="00B211E0" w:rsidRPr="00A25C41" w:rsidRDefault="0072430E" w:rsidP="008F08E0">
            <w:pPr>
              <w:jc w:val="left"/>
              <w:rPr>
                <w:rFonts w:ascii="Arial Narrow" w:hAnsi="Arial Narrow"/>
                <w:b/>
                <w:bCs/>
                <w:sz w:val="20"/>
                <w:szCs w:val="20"/>
              </w:rPr>
            </w:pPr>
            <w:r>
              <w:rPr>
                <w:rFonts w:ascii="Arial Narrow" w:hAnsi="Arial Narrow"/>
                <w:sz w:val="20"/>
                <w:szCs w:val="20"/>
              </w:rPr>
              <w:t>D</w:t>
            </w:r>
            <w:r w:rsidR="00F57E9C" w:rsidRPr="00A25C41">
              <w:rPr>
                <w:rFonts w:ascii="Arial Narrow" w:hAnsi="Arial Narrow"/>
                <w:sz w:val="20"/>
                <w:szCs w:val="20"/>
              </w:rPr>
              <w:t>erived from the effective AEMP for ibrutinib specified in the relapsed/refractory CLL deed.</w:t>
            </w:r>
            <w:r w:rsidR="00B211E0" w:rsidRPr="00A25C41">
              <w:rPr>
                <w:rFonts w:ascii="Arial Narrow" w:hAnsi="Arial Narrow"/>
                <w:sz w:val="20"/>
                <w:szCs w:val="20"/>
              </w:rPr>
              <w:t xml:space="preserve"> </w:t>
            </w:r>
          </w:p>
        </w:tc>
        <w:tc>
          <w:tcPr>
            <w:tcW w:w="1780" w:type="pct"/>
            <w:shd w:val="clear" w:color="auto" w:fill="auto"/>
            <w:vAlign w:val="center"/>
          </w:tcPr>
          <w:p w14:paraId="20A14E1A" w14:textId="77777777" w:rsidR="006D27F5" w:rsidRPr="00F176F5" w:rsidRDefault="00F57E9C" w:rsidP="00F57E9C">
            <w:pPr>
              <w:pStyle w:val="TableText"/>
              <w:keepNext w:val="0"/>
              <w:jc w:val="center"/>
              <w:rPr>
                <w:szCs w:val="20"/>
              </w:rPr>
            </w:pPr>
            <w:r w:rsidRPr="00F176F5">
              <w:rPr>
                <w:szCs w:val="20"/>
              </w:rPr>
              <w:t>-</w:t>
            </w:r>
          </w:p>
        </w:tc>
      </w:tr>
      <w:tr w:rsidR="006D27F5" w:rsidRPr="00A25C41" w14:paraId="00A19C23" w14:textId="77777777" w:rsidTr="00F344EE">
        <w:tc>
          <w:tcPr>
            <w:tcW w:w="950" w:type="pct"/>
            <w:shd w:val="clear" w:color="auto" w:fill="auto"/>
          </w:tcPr>
          <w:p w14:paraId="52A9AFDD" w14:textId="77777777" w:rsidR="006D27F5" w:rsidRPr="00A25C41" w:rsidRDefault="006D27F5" w:rsidP="006D27F5">
            <w:pPr>
              <w:pStyle w:val="TableText"/>
              <w:keepNext w:val="0"/>
              <w:rPr>
                <w:szCs w:val="20"/>
              </w:rPr>
            </w:pPr>
            <w:proofErr w:type="spellStart"/>
            <w:r w:rsidRPr="00A25C41">
              <w:rPr>
                <w:szCs w:val="20"/>
              </w:rPr>
              <w:t>Idelalisib</w:t>
            </w:r>
            <w:proofErr w:type="spellEnd"/>
            <w:r w:rsidRPr="00A25C41">
              <w:rPr>
                <w:szCs w:val="20"/>
              </w:rPr>
              <w:t xml:space="preserve"> price</w:t>
            </w:r>
          </w:p>
        </w:tc>
        <w:tc>
          <w:tcPr>
            <w:tcW w:w="2270" w:type="pct"/>
            <w:shd w:val="clear" w:color="auto" w:fill="auto"/>
          </w:tcPr>
          <w:p w14:paraId="52CC9EE8" w14:textId="77777777" w:rsidR="006D27F5" w:rsidRPr="00A25C41" w:rsidRDefault="006D27F5" w:rsidP="006D27F5">
            <w:pPr>
              <w:jc w:val="left"/>
              <w:rPr>
                <w:rFonts w:ascii="Arial Narrow" w:eastAsiaTheme="majorEastAsia" w:hAnsi="Arial Narrow" w:cstheme="majorBidi"/>
                <w:bCs/>
                <w:sz w:val="20"/>
                <w:szCs w:val="20"/>
              </w:rPr>
            </w:pPr>
            <w:r w:rsidRPr="00A25C41">
              <w:rPr>
                <w:rFonts w:ascii="Arial Narrow" w:hAnsi="Arial Narrow"/>
                <w:sz w:val="20"/>
                <w:szCs w:val="20"/>
              </w:rPr>
              <w:t>$2,770.10</w:t>
            </w:r>
            <w:r w:rsidR="00F57E9C" w:rsidRPr="00A25C41">
              <w:rPr>
                <w:rFonts w:ascii="Arial Narrow" w:hAnsi="Arial Narrow"/>
                <w:sz w:val="20"/>
                <w:szCs w:val="20"/>
              </w:rPr>
              <w:t xml:space="preserve">. PBS item 11162L. The resubmission noted that </w:t>
            </w:r>
            <w:proofErr w:type="spellStart"/>
            <w:r w:rsidR="00F57E9C" w:rsidRPr="00A25C41">
              <w:rPr>
                <w:rFonts w:ascii="Arial Narrow" w:hAnsi="Arial Narrow"/>
                <w:sz w:val="20"/>
                <w:szCs w:val="20"/>
              </w:rPr>
              <w:t>idelalisib</w:t>
            </w:r>
            <w:proofErr w:type="spellEnd"/>
            <w:r w:rsidR="00F57E9C" w:rsidRPr="00A25C41">
              <w:rPr>
                <w:rFonts w:ascii="Arial Narrow" w:hAnsi="Arial Narrow"/>
                <w:sz w:val="20"/>
                <w:szCs w:val="20"/>
              </w:rPr>
              <w:t xml:space="preserve"> is subject to an SPA and estimated the effective price to be 50% lower than the published price.</w:t>
            </w:r>
          </w:p>
        </w:tc>
        <w:tc>
          <w:tcPr>
            <w:tcW w:w="1780" w:type="pct"/>
            <w:shd w:val="clear" w:color="auto" w:fill="auto"/>
          </w:tcPr>
          <w:p w14:paraId="0EF8FA28" w14:textId="77777777" w:rsidR="006D27F5" w:rsidRPr="00F176F5" w:rsidRDefault="00F57E9C" w:rsidP="006D27F5">
            <w:pPr>
              <w:pStyle w:val="TableText"/>
              <w:keepNext w:val="0"/>
              <w:rPr>
                <w:szCs w:val="20"/>
              </w:rPr>
            </w:pPr>
            <w:r w:rsidRPr="00F176F5">
              <w:rPr>
                <w:szCs w:val="20"/>
              </w:rPr>
              <w:t xml:space="preserve">Estimates based on the effective price of </w:t>
            </w:r>
            <w:proofErr w:type="spellStart"/>
            <w:r w:rsidRPr="00F176F5">
              <w:rPr>
                <w:szCs w:val="20"/>
              </w:rPr>
              <w:t>idelalisib</w:t>
            </w:r>
            <w:proofErr w:type="spellEnd"/>
            <w:r w:rsidRPr="00F176F5">
              <w:rPr>
                <w:szCs w:val="20"/>
              </w:rPr>
              <w:t xml:space="preserve"> are </w:t>
            </w:r>
            <w:r w:rsidRPr="009E7F27">
              <w:rPr>
                <w:szCs w:val="20"/>
              </w:rPr>
              <w:t xml:space="preserve">presented in the Committee-In-Confidence section of the </w:t>
            </w:r>
            <w:r w:rsidR="00F176F5" w:rsidRPr="00DF44A0">
              <w:rPr>
                <w:iCs/>
                <w:szCs w:val="20"/>
              </w:rPr>
              <w:t>ESC advice</w:t>
            </w:r>
            <w:r w:rsidRPr="009E7F27">
              <w:rPr>
                <w:szCs w:val="20"/>
              </w:rPr>
              <w:t>.</w:t>
            </w:r>
          </w:p>
        </w:tc>
      </w:tr>
      <w:tr w:rsidR="006D27F5" w:rsidRPr="00A25C41" w14:paraId="2994935D" w14:textId="77777777" w:rsidTr="00F57E9C">
        <w:tc>
          <w:tcPr>
            <w:tcW w:w="950" w:type="pct"/>
            <w:shd w:val="clear" w:color="auto" w:fill="auto"/>
          </w:tcPr>
          <w:p w14:paraId="52EFA8C1" w14:textId="77777777" w:rsidR="006D27F5" w:rsidRPr="00A25C41" w:rsidRDefault="006D27F5" w:rsidP="006D27F5">
            <w:pPr>
              <w:pStyle w:val="TableText"/>
              <w:keepNext w:val="0"/>
              <w:rPr>
                <w:szCs w:val="20"/>
              </w:rPr>
            </w:pPr>
            <w:r w:rsidRPr="00A25C41">
              <w:rPr>
                <w:szCs w:val="20"/>
              </w:rPr>
              <w:t>Rituximab price</w:t>
            </w:r>
          </w:p>
        </w:tc>
        <w:tc>
          <w:tcPr>
            <w:tcW w:w="2270" w:type="pct"/>
            <w:shd w:val="clear" w:color="auto" w:fill="auto"/>
          </w:tcPr>
          <w:p w14:paraId="4F29DD3D" w14:textId="77777777" w:rsidR="006D27F5" w:rsidRPr="00A25C41" w:rsidRDefault="006D27F5" w:rsidP="006D27F5">
            <w:pPr>
              <w:jc w:val="left"/>
              <w:rPr>
                <w:rFonts w:ascii="Arial Narrow" w:eastAsiaTheme="majorEastAsia" w:hAnsi="Arial Narrow" w:cstheme="majorBidi"/>
                <w:bCs/>
                <w:sz w:val="20"/>
                <w:szCs w:val="20"/>
              </w:rPr>
            </w:pPr>
            <w:r w:rsidRPr="00A25C41">
              <w:rPr>
                <w:rFonts w:ascii="Arial Narrow" w:hAnsi="Arial Narrow"/>
                <w:sz w:val="20"/>
                <w:szCs w:val="20"/>
              </w:rPr>
              <w:t>$1,366.43</w:t>
            </w:r>
            <w:r w:rsidR="00F57E9C" w:rsidRPr="00A25C41">
              <w:rPr>
                <w:rFonts w:ascii="Arial Narrow" w:hAnsi="Arial Narrow"/>
                <w:sz w:val="20"/>
                <w:szCs w:val="20"/>
              </w:rPr>
              <w:t xml:space="preserve">. </w:t>
            </w:r>
            <w:r w:rsidR="00B211E0" w:rsidRPr="00A25C41">
              <w:rPr>
                <w:rFonts w:ascii="Arial Narrow" w:hAnsi="Arial Narrow"/>
                <w:sz w:val="20"/>
                <w:szCs w:val="20"/>
              </w:rPr>
              <w:t xml:space="preserve">Based on split between Item 4614W and 7257Y (34.9%:65.1% </w:t>
            </w:r>
            <w:proofErr w:type="spellStart"/>
            <w:proofErr w:type="gramStart"/>
            <w:r w:rsidR="00B211E0" w:rsidRPr="00A25C41">
              <w:rPr>
                <w:rFonts w:ascii="Arial Narrow" w:hAnsi="Arial Narrow"/>
                <w:sz w:val="20"/>
                <w:szCs w:val="20"/>
              </w:rPr>
              <w:t>public:private</w:t>
            </w:r>
            <w:proofErr w:type="spellEnd"/>
            <w:proofErr w:type="gramEnd"/>
            <w:r w:rsidR="00B211E0" w:rsidRPr="00A25C41">
              <w:rPr>
                <w:rFonts w:ascii="Arial Narrow" w:hAnsi="Arial Narrow"/>
                <w:sz w:val="20"/>
                <w:szCs w:val="20"/>
              </w:rPr>
              <w:t>), January to December 2020.</w:t>
            </w:r>
          </w:p>
        </w:tc>
        <w:tc>
          <w:tcPr>
            <w:tcW w:w="1780" w:type="pct"/>
            <w:shd w:val="clear" w:color="auto" w:fill="auto"/>
            <w:vAlign w:val="center"/>
          </w:tcPr>
          <w:p w14:paraId="14194C66" w14:textId="77777777" w:rsidR="006D27F5" w:rsidRPr="00F176F5" w:rsidRDefault="00F57E9C" w:rsidP="005D7255">
            <w:pPr>
              <w:pStyle w:val="TableText"/>
              <w:keepNext w:val="0"/>
              <w:rPr>
                <w:szCs w:val="20"/>
              </w:rPr>
            </w:pPr>
            <w:r w:rsidRPr="00F176F5">
              <w:rPr>
                <w:szCs w:val="20"/>
              </w:rPr>
              <w:t>This appeared reasonable.</w:t>
            </w:r>
          </w:p>
        </w:tc>
      </w:tr>
      <w:tr w:rsidR="00F57E9C" w:rsidRPr="00A25C41" w14:paraId="27A98158" w14:textId="77777777" w:rsidTr="00F57E9C">
        <w:tc>
          <w:tcPr>
            <w:tcW w:w="950" w:type="pct"/>
            <w:shd w:val="clear" w:color="auto" w:fill="auto"/>
          </w:tcPr>
          <w:p w14:paraId="43E61400" w14:textId="77777777" w:rsidR="00F57E9C" w:rsidRPr="00A25C41" w:rsidRDefault="00F57E9C" w:rsidP="00F57E9C">
            <w:pPr>
              <w:pStyle w:val="TableText"/>
              <w:keepNext w:val="0"/>
              <w:rPr>
                <w:szCs w:val="20"/>
              </w:rPr>
            </w:pPr>
            <w:r w:rsidRPr="00A25C41">
              <w:rPr>
                <w:szCs w:val="20"/>
              </w:rPr>
              <w:t>Allopurinol price</w:t>
            </w:r>
          </w:p>
        </w:tc>
        <w:tc>
          <w:tcPr>
            <w:tcW w:w="2270" w:type="pct"/>
            <w:shd w:val="clear" w:color="auto" w:fill="auto"/>
          </w:tcPr>
          <w:p w14:paraId="6C9A2D32" w14:textId="77777777" w:rsidR="00F57E9C" w:rsidRPr="00A25C41" w:rsidRDefault="00F57E9C" w:rsidP="00F57E9C">
            <w:pPr>
              <w:jc w:val="left"/>
              <w:rPr>
                <w:rFonts w:ascii="Arial Narrow" w:eastAsiaTheme="majorEastAsia" w:hAnsi="Arial Narrow" w:cstheme="majorBidi"/>
                <w:bCs/>
                <w:sz w:val="20"/>
                <w:szCs w:val="20"/>
              </w:rPr>
            </w:pPr>
            <w:r w:rsidRPr="00A25C41">
              <w:rPr>
                <w:rFonts w:ascii="Arial Narrow" w:hAnsi="Arial Narrow"/>
                <w:sz w:val="20"/>
                <w:szCs w:val="20"/>
              </w:rPr>
              <w:t>$17.01. Published DPMQ</w:t>
            </w:r>
          </w:p>
        </w:tc>
        <w:tc>
          <w:tcPr>
            <w:tcW w:w="1780" w:type="pct"/>
            <w:shd w:val="clear" w:color="auto" w:fill="auto"/>
            <w:vAlign w:val="center"/>
          </w:tcPr>
          <w:p w14:paraId="71C4D843" w14:textId="77777777" w:rsidR="00F57E9C" w:rsidRPr="00A25C41" w:rsidRDefault="00F57E9C" w:rsidP="00F57E9C">
            <w:pPr>
              <w:pStyle w:val="TableText"/>
              <w:keepNext w:val="0"/>
              <w:jc w:val="center"/>
              <w:rPr>
                <w:szCs w:val="20"/>
              </w:rPr>
            </w:pPr>
            <w:r w:rsidRPr="00A25C41">
              <w:rPr>
                <w:szCs w:val="20"/>
              </w:rPr>
              <w:t>-</w:t>
            </w:r>
          </w:p>
        </w:tc>
      </w:tr>
      <w:tr w:rsidR="005D7255" w:rsidRPr="00A25C41" w14:paraId="6D5CA97A" w14:textId="77777777" w:rsidTr="004026AA">
        <w:tc>
          <w:tcPr>
            <w:tcW w:w="950" w:type="pct"/>
            <w:shd w:val="clear" w:color="auto" w:fill="auto"/>
          </w:tcPr>
          <w:p w14:paraId="2CD3E250" w14:textId="77777777" w:rsidR="005D7255" w:rsidRPr="00A25C41" w:rsidRDefault="005D7255" w:rsidP="005D7255">
            <w:pPr>
              <w:pStyle w:val="TableText"/>
              <w:keepNext w:val="0"/>
              <w:rPr>
                <w:szCs w:val="20"/>
              </w:rPr>
            </w:pPr>
            <w:r w:rsidRPr="00A25C41">
              <w:rPr>
                <w:szCs w:val="20"/>
              </w:rPr>
              <w:t>Intravenous infusion of cytotoxic chemotherapy</w:t>
            </w:r>
          </w:p>
        </w:tc>
        <w:tc>
          <w:tcPr>
            <w:tcW w:w="2270" w:type="pct"/>
            <w:shd w:val="clear" w:color="auto" w:fill="auto"/>
          </w:tcPr>
          <w:p w14:paraId="579DECA1" w14:textId="77777777" w:rsidR="005D7255" w:rsidRPr="00A25C41" w:rsidRDefault="005D7255" w:rsidP="005D7255">
            <w:pPr>
              <w:jc w:val="left"/>
              <w:rPr>
                <w:rFonts w:ascii="Arial Narrow" w:hAnsi="Arial Narrow"/>
                <w:sz w:val="20"/>
                <w:szCs w:val="20"/>
              </w:rPr>
            </w:pPr>
            <w:r w:rsidRPr="00A25C41">
              <w:rPr>
                <w:rFonts w:ascii="Arial Narrow" w:hAnsi="Arial Narrow"/>
                <w:sz w:val="20"/>
                <w:szCs w:val="20"/>
              </w:rPr>
              <w:t>$89.12. MBS Item 13950 (parenteral administration of one or more antineoplastic agents by or on behalf of a specialist or consultant physician).</w:t>
            </w:r>
          </w:p>
        </w:tc>
        <w:tc>
          <w:tcPr>
            <w:tcW w:w="1780" w:type="pct"/>
            <w:shd w:val="clear" w:color="auto" w:fill="auto"/>
          </w:tcPr>
          <w:p w14:paraId="608BC6F6" w14:textId="77777777" w:rsidR="005D7255" w:rsidRPr="00A25C41" w:rsidRDefault="005D7255" w:rsidP="005D7255">
            <w:pPr>
              <w:pStyle w:val="TableText"/>
              <w:keepNext w:val="0"/>
              <w:rPr>
                <w:szCs w:val="20"/>
              </w:rPr>
            </w:pPr>
            <w:r w:rsidRPr="00A25C41">
              <w:rPr>
                <w:szCs w:val="20"/>
              </w:rPr>
              <w:t>Assumed 80% of the scheduled fee.</w:t>
            </w:r>
          </w:p>
        </w:tc>
      </w:tr>
    </w:tbl>
    <w:p w14:paraId="16DE8C8F" w14:textId="77777777" w:rsidR="005D7255" w:rsidRPr="00191822" w:rsidRDefault="005D7255" w:rsidP="005D7255">
      <w:pPr>
        <w:pStyle w:val="TableFigureFooter"/>
      </w:pPr>
      <w:r w:rsidRPr="00191822">
        <w:t>Source: Table 4.1, p187; Table 4.2, p189 of the resubmission; ‘Attachment 24_ACA_BIM_Section 4_Final’ Excel workbook, Attachment 24 of the resubmission.</w:t>
      </w:r>
    </w:p>
    <w:p w14:paraId="72C2F854" w14:textId="77777777" w:rsidR="000C34B9" w:rsidRPr="008D761C" w:rsidRDefault="005D7255" w:rsidP="000C34B9">
      <w:pPr>
        <w:pStyle w:val="TableFigureFooter"/>
      </w:pPr>
      <w:r w:rsidRPr="000C34B9">
        <w:t xml:space="preserve">ABS, Australian Bureau of Statistics; AEMP, approved ex-manufacture price; BTK, Bruton’s Tyrosine Kinase; CLL, chronic lymphocytic leukaemia; DPMQ, dispensed price for maximum quantity; MBS, Medicare Benefits Scheme; PBS, pharmaceutical Benefits Scheme; SPA, special pricing arrangement; </w:t>
      </w:r>
      <w:proofErr w:type="spellStart"/>
      <w:r w:rsidRPr="000C34B9">
        <w:t>Yr</w:t>
      </w:r>
      <w:proofErr w:type="spellEnd"/>
      <w:r w:rsidRPr="000C34B9">
        <w:t>, Year.</w:t>
      </w:r>
    </w:p>
    <w:p w14:paraId="3CBD9910" w14:textId="77777777" w:rsidR="005B5E98" w:rsidRPr="00191822" w:rsidRDefault="00BD60E3" w:rsidP="002D16FD">
      <w:pPr>
        <w:pStyle w:val="ExecSumBodyText"/>
      </w:pPr>
      <w:r>
        <w:t xml:space="preserve">Table </w:t>
      </w:r>
      <w:r>
        <w:rPr>
          <w:noProof/>
        </w:rPr>
        <w:t>17</w:t>
      </w:r>
      <w:r w:rsidR="005B5E98" w:rsidRPr="00191822">
        <w:t xml:space="preserve"> presents the estimated net cost to the PBS/RPBS of listing acalabrutinib</w:t>
      </w:r>
      <w:r w:rsidR="00365FBA" w:rsidRPr="00191822">
        <w:t>.</w:t>
      </w:r>
      <w:r w:rsidR="009C4CED">
        <w:t xml:space="preserve"> </w:t>
      </w:r>
      <w:r w:rsidR="009C4CED" w:rsidRPr="00A25C41">
        <w:rPr>
          <w:iCs/>
        </w:rPr>
        <w:t>Estimates using effective prices of all drugs</w:t>
      </w:r>
      <w:r w:rsidR="000C34B9" w:rsidRPr="00A25C41">
        <w:rPr>
          <w:iCs/>
        </w:rPr>
        <w:t xml:space="preserve"> and </w:t>
      </w:r>
      <w:r w:rsidR="009C4CED" w:rsidRPr="00A25C41">
        <w:rPr>
          <w:iCs/>
        </w:rPr>
        <w:t>are presented in the Committee-In-Confidence section.</w:t>
      </w:r>
    </w:p>
    <w:p w14:paraId="50A5E00A" w14:textId="77777777" w:rsidR="00FB019D" w:rsidRPr="00191822" w:rsidRDefault="004026AA" w:rsidP="004026AA">
      <w:pPr>
        <w:pStyle w:val="TableFigureCaption"/>
      </w:pPr>
      <w:bookmarkStart w:id="60" w:name="_Ref80373583"/>
      <w:r>
        <w:lastRenderedPageBreak/>
        <w:t xml:space="preserve">Table </w:t>
      </w:r>
      <w:r w:rsidR="00BD60E3">
        <w:rPr>
          <w:noProof/>
        </w:rPr>
        <w:t>17</w:t>
      </w:r>
      <w:bookmarkEnd w:id="60"/>
      <w:r w:rsidR="00FB019D" w:rsidRPr="00191822">
        <w:t>: Estimated number of treated patients and the cost of acalabrutinib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Estimated number of treated patients and the cost of acalabrutinib to the PBS/RPBS."/>
      </w:tblPr>
      <w:tblGrid>
        <w:gridCol w:w="2689"/>
        <w:gridCol w:w="1053"/>
        <w:gridCol w:w="1055"/>
        <w:gridCol w:w="1055"/>
        <w:gridCol w:w="1055"/>
        <w:gridCol w:w="1055"/>
        <w:gridCol w:w="1055"/>
      </w:tblGrid>
      <w:tr w:rsidR="00FB019D" w:rsidRPr="00191822" w14:paraId="2FF9DAB9" w14:textId="77777777" w:rsidTr="008F1BC8">
        <w:trPr>
          <w:tblHeader/>
        </w:trPr>
        <w:tc>
          <w:tcPr>
            <w:tcW w:w="1491" w:type="pct"/>
          </w:tcPr>
          <w:p w14:paraId="0690C8B0" w14:textId="77777777" w:rsidR="00FB019D" w:rsidRPr="00191822" w:rsidRDefault="00FB019D" w:rsidP="004026AA">
            <w:pPr>
              <w:pStyle w:val="TableText"/>
              <w:rPr>
                <w:b/>
                <w:szCs w:val="20"/>
              </w:rPr>
            </w:pPr>
          </w:p>
        </w:tc>
        <w:tc>
          <w:tcPr>
            <w:tcW w:w="584" w:type="pct"/>
            <w:vAlign w:val="center"/>
          </w:tcPr>
          <w:p w14:paraId="7B6FAE5F" w14:textId="77777777" w:rsidR="00FB019D" w:rsidRPr="00191822" w:rsidRDefault="00FB019D" w:rsidP="00F9001F">
            <w:pPr>
              <w:keepNext/>
              <w:jc w:val="center"/>
              <w:rPr>
                <w:b/>
                <w:szCs w:val="20"/>
              </w:rPr>
            </w:pPr>
            <w:r w:rsidRPr="00191822">
              <w:rPr>
                <w:rFonts w:ascii="Arial Narrow" w:hAnsi="Arial Narrow"/>
                <w:b/>
                <w:bCs/>
                <w:snapToGrid w:val="0"/>
                <w:sz w:val="20"/>
                <w:szCs w:val="20"/>
              </w:rPr>
              <w:t>Year 1</w:t>
            </w:r>
          </w:p>
        </w:tc>
        <w:tc>
          <w:tcPr>
            <w:tcW w:w="585" w:type="pct"/>
            <w:vAlign w:val="center"/>
          </w:tcPr>
          <w:p w14:paraId="068179B0" w14:textId="77777777" w:rsidR="00FB019D" w:rsidRPr="00191822" w:rsidRDefault="00FB019D" w:rsidP="00F9001F">
            <w:pPr>
              <w:keepNext/>
              <w:jc w:val="center"/>
              <w:rPr>
                <w:b/>
                <w:szCs w:val="20"/>
              </w:rPr>
            </w:pPr>
            <w:r w:rsidRPr="00191822">
              <w:rPr>
                <w:rFonts w:ascii="Arial Narrow" w:hAnsi="Arial Narrow"/>
                <w:b/>
                <w:bCs/>
                <w:snapToGrid w:val="0"/>
                <w:sz w:val="20"/>
                <w:szCs w:val="20"/>
              </w:rPr>
              <w:t>Year 2</w:t>
            </w:r>
          </w:p>
        </w:tc>
        <w:tc>
          <w:tcPr>
            <w:tcW w:w="585" w:type="pct"/>
            <w:vAlign w:val="center"/>
          </w:tcPr>
          <w:p w14:paraId="3025FC20" w14:textId="77777777" w:rsidR="00FB019D" w:rsidRPr="00191822" w:rsidRDefault="00FB019D" w:rsidP="004026AA">
            <w:pPr>
              <w:pStyle w:val="TableText"/>
              <w:jc w:val="center"/>
              <w:rPr>
                <w:b/>
                <w:szCs w:val="20"/>
              </w:rPr>
            </w:pPr>
            <w:r w:rsidRPr="00191822">
              <w:rPr>
                <w:rFonts w:eastAsia="Times New Roman" w:cs="Arial"/>
                <w:b/>
                <w:bCs w:val="0"/>
                <w:snapToGrid w:val="0"/>
                <w:szCs w:val="20"/>
              </w:rPr>
              <w:t>Year 3</w:t>
            </w:r>
          </w:p>
        </w:tc>
        <w:tc>
          <w:tcPr>
            <w:tcW w:w="585" w:type="pct"/>
            <w:vAlign w:val="center"/>
          </w:tcPr>
          <w:p w14:paraId="3C463164" w14:textId="77777777" w:rsidR="00FB019D" w:rsidRPr="00191822" w:rsidRDefault="00FB019D" w:rsidP="00F9001F">
            <w:pPr>
              <w:keepNext/>
              <w:jc w:val="center"/>
              <w:rPr>
                <w:b/>
                <w:szCs w:val="20"/>
              </w:rPr>
            </w:pPr>
            <w:r w:rsidRPr="00191822">
              <w:rPr>
                <w:rFonts w:ascii="Arial Narrow" w:hAnsi="Arial Narrow"/>
                <w:b/>
                <w:bCs/>
                <w:snapToGrid w:val="0"/>
                <w:sz w:val="20"/>
                <w:szCs w:val="20"/>
              </w:rPr>
              <w:t>Year 4</w:t>
            </w:r>
          </w:p>
        </w:tc>
        <w:tc>
          <w:tcPr>
            <w:tcW w:w="585" w:type="pct"/>
            <w:vAlign w:val="center"/>
          </w:tcPr>
          <w:p w14:paraId="6BE19407" w14:textId="77777777" w:rsidR="00FB019D" w:rsidRPr="00191822" w:rsidRDefault="00FB019D" w:rsidP="00F9001F">
            <w:pPr>
              <w:keepNext/>
              <w:jc w:val="center"/>
              <w:rPr>
                <w:b/>
                <w:szCs w:val="20"/>
              </w:rPr>
            </w:pPr>
            <w:r w:rsidRPr="00191822">
              <w:rPr>
                <w:rFonts w:ascii="Arial Narrow" w:hAnsi="Arial Narrow"/>
                <w:b/>
                <w:bCs/>
                <w:snapToGrid w:val="0"/>
                <w:sz w:val="20"/>
                <w:szCs w:val="20"/>
              </w:rPr>
              <w:t>Year 5</w:t>
            </w:r>
          </w:p>
        </w:tc>
        <w:tc>
          <w:tcPr>
            <w:tcW w:w="585" w:type="pct"/>
            <w:vAlign w:val="center"/>
          </w:tcPr>
          <w:p w14:paraId="47F8D46B" w14:textId="77777777" w:rsidR="00FB019D" w:rsidRPr="00191822" w:rsidRDefault="00FB019D" w:rsidP="00F9001F">
            <w:pPr>
              <w:keepNext/>
              <w:jc w:val="center"/>
              <w:rPr>
                <w:b/>
                <w:szCs w:val="20"/>
              </w:rPr>
            </w:pPr>
            <w:r w:rsidRPr="00191822">
              <w:rPr>
                <w:rFonts w:ascii="Arial Narrow" w:hAnsi="Arial Narrow"/>
                <w:b/>
                <w:bCs/>
                <w:snapToGrid w:val="0"/>
                <w:sz w:val="20"/>
                <w:szCs w:val="20"/>
              </w:rPr>
              <w:t>Year 6</w:t>
            </w:r>
          </w:p>
        </w:tc>
      </w:tr>
      <w:tr w:rsidR="00FB019D" w:rsidRPr="00191822" w14:paraId="4426E144" w14:textId="77777777" w:rsidTr="004026AA">
        <w:tc>
          <w:tcPr>
            <w:tcW w:w="5000" w:type="pct"/>
            <w:gridSpan w:val="7"/>
          </w:tcPr>
          <w:p w14:paraId="1F48BA7C" w14:textId="77777777" w:rsidR="00FB019D" w:rsidRPr="00191822" w:rsidRDefault="006B0D1E" w:rsidP="004026AA">
            <w:pPr>
              <w:pStyle w:val="TableText"/>
              <w:rPr>
                <w:b/>
                <w:szCs w:val="20"/>
              </w:rPr>
            </w:pPr>
            <w:r>
              <w:rPr>
                <w:b/>
                <w:szCs w:val="20"/>
              </w:rPr>
              <w:t>Estimated extent of use</w:t>
            </w:r>
          </w:p>
        </w:tc>
      </w:tr>
      <w:tr w:rsidR="00FB019D" w:rsidRPr="00191822" w14:paraId="635E9B1C" w14:textId="77777777" w:rsidTr="004026AA">
        <w:tc>
          <w:tcPr>
            <w:tcW w:w="1491" w:type="pct"/>
          </w:tcPr>
          <w:p w14:paraId="229CCCB7" w14:textId="77777777" w:rsidR="00FB019D" w:rsidRPr="00191822" w:rsidRDefault="00FB019D" w:rsidP="004026AA">
            <w:pPr>
              <w:pStyle w:val="TableText"/>
              <w:rPr>
                <w:szCs w:val="20"/>
              </w:rPr>
            </w:pPr>
            <w:r w:rsidRPr="00191822">
              <w:rPr>
                <w:szCs w:val="20"/>
              </w:rPr>
              <w:t>Australian population</w:t>
            </w:r>
          </w:p>
        </w:tc>
        <w:tc>
          <w:tcPr>
            <w:tcW w:w="584" w:type="pct"/>
            <w:vAlign w:val="center"/>
          </w:tcPr>
          <w:p w14:paraId="7466483E" w14:textId="77777777" w:rsidR="00FB019D" w:rsidRPr="00191822" w:rsidRDefault="00FB019D" w:rsidP="004026AA">
            <w:pPr>
              <w:pStyle w:val="TableText"/>
              <w:jc w:val="center"/>
              <w:rPr>
                <w:b/>
                <w:szCs w:val="20"/>
              </w:rPr>
            </w:pPr>
            <w:r w:rsidRPr="00191822">
              <w:t>26,727,025</w:t>
            </w:r>
          </w:p>
        </w:tc>
        <w:tc>
          <w:tcPr>
            <w:tcW w:w="585" w:type="pct"/>
            <w:vAlign w:val="center"/>
          </w:tcPr>
          <w:p w14:paraId="12EE6278" w14:textId="77777777" w:rsidR="00FB019D" w:rsidRPr="00191822" w:rsidRDefault="00FB019D" w:rsidP="004026AA">
            <w:pPr>
              <w:pStyle w:val="TableText"/>
              <w:jc w:val="center"/>
              <w:rPr>
                <w:b/>
                <w:szCs w:val="20"/>
              </w:rPr>
            </w:pPr>
            <w:r w:rsidRPr="00191822">
              <w:t>27,147,199</w:t>
            </w:r>
          </w:p>
        </w:tc>
        <w:tc>
          <w:tcPr>
            <w:tcW w:w="585" w:type="pct"/>
            <w:vAlign w:val="center"/>
          </w:tcPr>
          <w:p w14:paraId="5E445774" w14:textId="77777777" w:rsidR="00FB019D" w:rsidRPr="00191822" w:rsidRDefault="00FB019D" w:rsidP="004026AA">
            <w:pPr>
              <w:pStyle w:val="TableText"/>
              <w:jc w:val="center"/>
              <w:rPr>
                <w:b/>
                <w:szCs w:val="20"/>
              </w:rPr>
            </w:pPr>
            <w:r w:rsidRPr="00191822">
              <w:t>27,562,195</w:t>
            </w:r>
          </w:p>
        </w:tc>
        <w:tc>
          <w:tcPr>
            <w:tcW w:w="585" w:type="pct"/>
            <w:vAlign w:val="center"/>
          </w:tcPr>
          <w:p w14:paraId="7EDBF060" w14:textId="77777777" w:rsidR="00FB019D" w:rsidRPr="00191822" w:rsidRDefault="00FB019D" w:rsidP="004026AA">
            <w:pPr>
              <w:pStyle w:val="TableText"/>
              <w:jc w:val="center"/>
              <w:rPr>
                <w:b/>
                <w:szCs w:val="20"/>
              </w:rPr>
            </w:pPr>
            <w:r w:rsidRPr="00191822">
              <w:t>27,970,435</w:t>
            </w:r>
          </w:p>
        </w:tc>
        <w:tc>
          <w:tcPr>
            <w:tcW w:w="585" w:type="pct"/>
            <w:vAlign w:val="center"/>
          </w:tcPr>
          <w:p w14:paraId="56A1A103" w14:textId="77777777" w:rsidR="00FB019D" w:rsidRPr="00191822" w:rsidRDefault="00FB019D" w:rsidP="004026AA">
            <w:pPr>
              <w:pStyle w:val="TableText"/>
              <w:jc w:val="center"/>
              <w:rPr>
                <w:b/>
                <w:szCs w:val="20"/>
              </w:rPr>
            </w:pPr>
            <w:r w:rsidRPr="00191822">
              <w:t>28,372,315</w:t>
            </w:r>
          </w:p>
        </w:tc>
        <w:tc>
          <w:tcPr>
            <w:tcW w:w="585" w:type="pct"/>
            <w:vAlign w:val="center"/>
          </w:tcPr>
          <w:p w14:paraId="11AADFF6" w14:textId="77777777" w:rsidR="00FB019D" w:rsidRPr="00191822" w:rsidRDefault="00FB019D" w:rsidP="004026AA">
            <w:pPr>
              <w:pStyle w:val="TableText"/>
              <w:jc w:val="center"/>
              <w:rPr>
                <w:b/>
                <w:szCs w:val="20"/>
              </w:rPr>
            </w:pPr>
            <w:r w:rsidRPr="00191822">
              <w:t>28,765,734</w:t>
            </w:r>
          </w:p>
        </w:tc>
      </w:tr>
      <w:tr w:rsidR="00FB019D" w:rsidRPr="00191822" w14:paraId="092FE908" w14:textId="77777777" w:rsidTr="004026AA">
        <w:tc>
          <w:tcPr>
            <w:tcW w:w="1491" w:type="pct"/>
          </w:tcPr>
          <w:p w14:paraId="3F716A99" w14:textId="77777777" w:rsidR="00FB019D" w:rsidRPr="00191822" w:rsidRDefault="00FB019D" w:rsidP="004026AA">
            <w:pPr>
              <w:pStyle w:val="TableText"/>
              <w:rPr>
                <w:szCs w:val="20"/>
              </w:rPr>
            </w:pPr>
            <w:r w:rsidRPr="00191822">
              <w:rPr>
                <w:szCs w:val="20"/>
              </w:rPr>
              <w:t>CLL incidence (7.0/100,000)</w:t>
            </w:r>
          </w:p>
        </w:tc>
        <w:tc>
          <w:tcPr>
            <w:tcW w:w="584" w:type="pct"/>
            <w:vAlign w:val="center"/>
          </w:tcPr>
          <w:p w14:paraId="7D1338DC" w14:textId="77777777" w:rsidR="00FB019D" w:rsidRPr="00191822" w:rsidRDefault="00FB019D" w:rsidP="004026AA">
            <w:pPr>
              <w:pStyle w:val="TableText"/>
              <w:jc w:val="center"/>
              <w:rPr>
                <w:b/>
                <w:szCs w:val="20"/>
              </w:rPr>
            </w:pPr>
            <w:r w:rsidRPr="00191822">
              <w:t>1,871</w:t>
            </w:r>
          </w:p>
        </w:tc>
        <w:tc>
          <w:tcPr>
            <w:tcW w:w="585" w:type="pct"/>
            <w:vAlign w:val="center"/>
          </w:tcPr>
          <w:p w14:paraId="6579427C" w14:textId="77777777" w:rsidR="00FB019D" w:rsidRPr="00191822" w:rsidRDefault="00FB019D" w:rsidP="004026AA">
            <w:pPr>
              <w:pStyle w:val="TableText"/>
              <w:jc w:val="center"/>
              <w:rPr>
                <w:b/>
                <w:szCs w:val="20"/>
              </w:rPr>
            </w:pPr>
            <w:r w:rsidRPr="00191822">
              <w:t>1,900</w:t>
            </w:r>
          </w:p>
        </w:tc>
        <w:tc>
          <w:tcPr>
            <w:tcW w:w="585" w:type="pct"/>
            <w:vAlign w:val="center"/>
          </w:tcPr>
          <w:p w14:paraId="77F884E8" w14:textId="77777777" w:rsidR="00FB019D" w:rsidRPr="00191822" w:rsidRDefault="00FB019D" w:rsidP="004026AA">
            <w:pPr>
              <w:pStyle w:val="TableText"/>
              <w:jc w:val="center"/>
              <w:rPr>
                <w:b/>
                <w:szCs w:val="20"/>
              </w:rPr>
            </w:pPr>
            <w:r w:rsidRPr="00191822">
              <w:t>1,929</w:t>
            </w:r>
          </w:p>
        </w:tc>
        <w:tc>
          <w:tcPr>
            <w:tcW w:w="585" w:type="pct"/>
            <w:vAlign w:val="center"/>
          </w:tcPr>
          <w:p w14:paraId="140FADC6" w14:textId="77777777" w:rsidR="00FB019D" w:rsidRPr="00191822" w:rsidRDefault="00FB019D" w:rsidP="004026AA">
            <w:pPr>
              <w:pStyle w:val="TableText"/>
              <w:jc w:val="center"/>
              <w:rPr>
                <w:b/>
                <w:szCs w:val="20"/>
              </w:rPr>
            </w:pPr>
            <w:r w:rsidRPr="00191822">
              <w:t>1,958</w:t>
            </w:r>
          </w:p>
        </w:tc>
        <w:tc>
          <w:tcPr>
            <w:tcW w:w="585" w:type="pct"/>
            <w:vAlign w:val="center"/>
          </w:tcPr>
          <w:p w14:paraId="388A3137" w14:textId="77777777" w:rsidR="00FB019D" w:rsidRPr="00191822" w:rsidRDefault="00FB019D" w:rsidP="004026AA">
            <w:pPr>
              <w:pStyle w:val="TableText"/>
              <w:jc w:val="center"/>
              <w:rPr>
                <w:b/>
                <w:szCs w:val="20"/>
              </w:rPr>
            </w:pPr>
            <w:r w:rsidRPr="00191822">
              <w:t>1,986</w:t>
            </w:r>
          </w:p>
        </w:tc>
        <w:tc>
          <w:tcPr>
            <w:tcW w:w="585" w:type="pct"/>
            <w:vAlign w:val="center"/>
          </w:tcPr>
          <w:p w14:paraId="288ECBDF" w14:textId="77777777" w:rsidR="00FB019D" w:rsidRPr="00191822" w:rsidRDefault="00FB019D" w:rsidP="004026AA">
            <w:pPr>
              <w:pStyle w:val="TableText"/>
              <w:jc w:val="center"/>
              <w:rPr>
                <w:b/>
                <w:szCs w:val="20"/>
              </w:rPr>
            </w:pPr>
            <w:r w:rsidRPr="00191822">
              <w:t>2,014</w:t>
            </w:r>
          </w:p>
        </w:tc>
      </w:tr>
      <w:tr w:rsidR="00FB019D" w:rsidRPr="00191822" w14:paraId="635DC4E7" w14:textId="77777777" w:rsidTr="004026AA">
        <w:tc>
          <w:tcPr>
            <w:tcW w:w="1491" w:type="pct"/>
          </w:tcPr>
          <w:p w14:paraId="0E0B822B" w14:textId="77777777" w:rsidR="00FB019D" w:rsidRPr="00191822" w:rsidRDefault="00FB019D" w:rsidP="004026AA">
            <w:pPr>
              <w:pStyle w:val="TableText"/>
              <w:rPr>
                <w:szCs w:val="20"/>
              </w:rPr>
            </w:pPr>
            <w:r w:rsidRPr="00191822">
              <w:rPr>
                <w:szCs w:val="20"/>
              </w:rPr>
              <w:t>Initiate in year of diagnosis (30%)</w:t>
            </w:r>
          </w:p>
        </w:tc>
        <w:tc>
          <w:tcPr>
            <w:tcW w:w="584" w:type="pct"/>
            <w:vAlign w:val="center"/>
          </w:tcPr>
          <w:p w14:paraId="6A8D702E" w14:textId="77777777" w:rsidR="00FB019D" w:rsidRPr="00191822" w:rsidRDefault="00FB019D" w:rsidP="004026AA">
            <w:pPr>
              <w:pStyle w:val="TableText"/>
              <w:jc w:val="center"/>
            </w:pPr>
            <w:r w:rsidRPr="00191822">
              <w:t>561</w:t>
            </w:r>
          </w:p>
        </w:tc>
        <w:tc>
          <w:tcPr>
            <w:tcW w:w="585" w:type="pct"/>
            <w:vAlign w:val="center"/>
          </w:tcPr>
          <w:p w14:paraId="4F157644" w14:textId="77777777" w:rsidR="00FB019D" w:rsidRPr="00191822" w:rsidRDefault="00FB019D" w:rsidP="004026AA">
            <w:pPr>
              <w:pStyle w:val="TableText"/>
              <w:jc w:val="center"/>
            </w:pPr>
            <w:r w:rsidRPr="00191822">
              <w:t>570</w:t>
            </w:r>
          </w:p>
        </w:tc>
        <w:tc>
          <w:tcPr>
            <w:tcW w:w="585" w:type="pct"/>
            <w:vAlign w:val="center"/>
          </w:tcPr>
          <w:p w14:paraId="0566FB94" w14:textId="77777777" w:rsidR="00FB019D" w:rsidRPr="00191822" w:rsidRDefault="00FB019D" w:rsidP="004026AA">
            <w:pPr>
              <w:pStyle w:val="TableText"/>
              <w:jc w:val="center"/>
            </w:pPr>
            <w:r w:rsidRPr="00191822">
              <w:t>579</w:t>
            </w:r>
          </w:p>
        </w:tc>
        <w:tc>
          <w:tcPr>
            <w:tcW w:w="585" w:type="pct"/>
            <w:vAlign w:val="center"/>
          </w:tcPr>
          <w:p w14:paraId="5ACE0D51" w14:textId="77777777" w:rsidR="00FB019D" w:rsidRPr="00191822" w:rsidRDefault="00FB019D" w:rsidP="004026AA">
            <w:pPr>
              <w:pStyle w:val="TableText"/>
              <w:jc w:val="center"/>
            </w:pPr>
            <w:r w:rsidRPr="00191822">
              <w:t>587</w:t>
            </w:r>
          </w:p>
        </w:tc>
        <w:tc>
          <w:tcPr>
            <w:tcW w:w="585" w:type="pct"/>
            <w:vAlign w:val="center"/>
          </w:tcPr>
          <w:p w14:paraId="2DE1D13E" w14:textId="77777777" w:rsidR="00FB019D" w:rsidRPr="00191822" w:rsidRDefault="00FB019D" w:rsidP="004026AA">
            <w:pPr>
              <w:pStyle w:val="TableText"/>
              <w:jc w:val="center"/>
            </w:pPr>
            <w:r w:rsidRPr="00191822">
              <w:t>596</w:t>
            </w:r>
          </w:p>
        </w:tc>
        <w:tc>
          <w:tcPr>
            <w:tcW w:w="585" w:type="pct"/>
            <w:vAlign w:val="center"/>
          </w:tcPr>
          <w:p w14:paraId="4B24F1D1" w14:textId="77777777" w:rsidR="00FB019D" w:rsidRPr="00191822" w:rsidRDefault="00FB019D" w:rsidP="004026AA">
            <w:pPr>
              <w:pStyle w:val="TableText"/>
              <w:jc w:val="center"/>
            </w:pPr>
            <w:r w:rsidRPr="00191822">
              <w:t>604</w:t>
            </w:r>
          </w:p>
        </w:tc>
      </w:tr>
      <w:tr w:rsidR="00FB019D" w:rsidRPr="00191822" w14:paraId="590ABD66" w14:textId="77777777" w:rsidTr="004026AA">
        <w:tc>
          <w:tcPr>
            <w:tcW w:w="1491" w:type="pct"/>
          </w:tcPr>
          <w:p w14:paraId="1F57B3ED" w14:textId="77777777" w:rsidR="00FB019D" w:rsidRPr="00191822" w:rsidRDefault="00FB019D" w:rsidP="004026AA">
            <w:pPr>
              <w:pStyle w:val="TableText"/>
              <w:rPr>
                <w:szCs w:val="20"/>
              </w:rPr>
            </w:pPr>
            <w:r w:rsidRPr="00191822">
              <w:rPr>
                <w:szCs w:val="20"/>
              </w:rPr>
              <w:t>Initiate 1 year after diagnosis</w:t>
            </w:r>
          </w:p>
        </w:tc>
        <w:tc>
          <w:tcPr>
            <w:tcW w:w="584" w:type="pct"/>
            <w:vAlign w:val="center"/>
          </w:tcPr>
          <w:p w14:paraId="029E550E" w14:textId="77777777" w:rsidR="00FB019D" w:rsidRPr="00191822" w:rsidRDefault="00FB019D" w:rsidP="004026AA">
            <w:pPr>
              <w:pStyle w:val="TableText"/>
              <w:jc w:val="center"/>
              <w:rPr>
                <w:b/>
                <w:szCs w:val="20"/>
              </w:rPr>
            </w:pPr>
            <w:r w:rsidRPr="00191822">
              <w:t>138</w:t>
            </w:r>
          </w:p>
        </w:tc>
        <w:tc>
          <w:tcPr>
            <w:tcW w:w="585" w:type="pct"/>
            <w:vAlign w:val="center"/>
          </w:tcPr>
          <w:p w14:paraId="0F31B848" w14:textId="77777777" w:rsidR="00FB019D" w:rsidRPr="00191822" w:rsidRDefault="00FB019D" w:rsidP="004026AA">
            <w:pPr>
              <w:pStyle w:val="TableText"/>
              <w:jc w:val="center"/>
              <w:rPr>
                <w:b/>
                <w:szCs w:val="20"/>
              </w:rPr>
            </w:pPr>
            <w:r w:rsidRPr="00191822">
              <w:t>140</w:t>
            </w:r>
          </w:p>
        </w:tc>
        <w:tc>
          <w:tcPr>
            <w:tcW w:w="585" w:type="pct"/>
            <w:vAlign w:val="center"/>
          </w:tcPr>
          <w:p w14:paraId="01774C7F" w14:textId="77777777" w:rsidR="00FB019D" w:rsidRPr="00191822" w:rsidRDefault="00FB019D" w:rsidP="004026AA">
            <w:pPr>
              <w:pStyle w:val="TableText"/>
              <w:jc w:val="center"/>
              <w:rPr>
                <w:b/>
                <w:szCs w:val="20"/>
              </w:rPr>
            </w:pPr>
            <w:r w:rsidRPr="00191822">
              <w:t>143</w:t>
            </w:r>
          </w:p>
        </w:tc>
        <w:tc>
          <w:tcPr>
            <w:tcW w:w="585" w:type="pct"/>
            <w:vAlign w:val="center"/>
          </w:tcPr>
          <w:p w14:paraId="58BE604E" w14:textId="77777777" w:rsidR="00FB019D" w:rsidRPr="00191822" w:rsidRDefault="00FB019D" w:rsidP="004026AA">
            <w:pPr>
              <w:pStyle w:val="TableText"/>
              <w:jc w:val="center"/>
              <w:rPr>
                <w:b/>
                <w:szCs w:val="20"/>
              </w:rPr>
            </w:pPr>
            <w:r w:rsidRPr="00191822">
              <w:t>145</w:t>
            </w:r>
          </w:p>
        </w:tc>
        <w:tc>
          <w:tcPr>
            <w:tcW w:w="585" w:type="pct"/>
            <w:vAlign w:val="center"/>
          </w:tcPr>
          <w:p w14:paraId="1A8164B5" w14:textId="77777777" w:rsidR="00FB019D" w:rsidRPr="00191822" w:rsidRDefault="00FB019D" w:rsidP="004026AA">
            <w:pPr>
              <w:pStyle w:val="TableText"/>
              <w:jc w:val="center"/>
              <w:rPr>
                <w:b/>
                <w:szCs w:val="20"/>
              </w:rPr>
            </w:pPr>
            <w:r w:rsidRPr="00191822">
              <w:t>147</w:t>
            </w:r>
          </w:p>
        </w:tc>
        <w:tc>
          <w:tcPr>
            <w:tcW w:w="585" w:type="pct"/>
            <w:vAlign w:val="center"/>
          </w:tcPr>
          <w:p w14:paraId="710146EC" w14:textId="77777777" w:rsidR="00FB019D" w:rsidRPr="00191822" w:rsidRDefault="00FB019D" w:rsidP="004026AA">
            <w:pPr>
              <w:pStyle w:val="TableText"/>
              <w:jc w:val="center"/>
              <w:rPr>
                <w:b/>
                <w:szCs w:val="20"/>
              </w:rPr>
            </w:pPr>
            <w:r w:rsidRPr="00191822">
              <w:t>149</w:t>
            </w:r>
          </w:p>
        </w:tc>
      </w:tr>
      <w:tr w:rsidR="00FB019D" w:rsidRPr="00191822" w14:paraId="5BA4C5BF" w14:textId="77777777" w:rsidTr="004026AA">
        <w:tc>
          <w:tcPr>
            <w:tcW w:w="1491" w:type="pct"/>
          </w:tcPr>
          <w:p w14:paraId="0C10E107" w14:textId="77777777" w:rsidR="00FB019D" w:rsidRPr="00191822" w:rsidRDefault="00FB019D" w:rsidP="004026AA">
            <w:pPr>
              <w:pStyle w:val="TableText"/>
              <w:rPr>
                <w:szCs w:val="20"/>
              </w:rPr>
            </w:pPr>
            <w:r w:rsidRPr="00191822">
              <w:rPr>
                <w:szCs w:val="20"/>
              </w:rPr>
              <w:t>Initiate 2 years after diagnosis</w:t>
            </w:r>
          </w:p>
        </w:tc>
        <w:tc>
          <w:tcPr>
            <w:tcW w:w="584" w:type="pct"/>
            <w:vAlign w:val="center"/>
          </w:tcPr>
          <w:p w14:paraId="7E957D64" w14:textId="77777777" w:rsidR="00FB019D" w:rsidRPr="00191822" w:rsidRDefault="00FB019D" w:rsidP="004026AA">
            <w:pPr>
              <w:pStyle w:val="TableText"/>
              <w:jc w:val="center"/>
              <w:rPr>
                <w:b/>
                <w:szCs w:val="20"/>
              </w:rPr>
            </w:pPr>
            <w:r w:rsidRPr="00191822">
              <w:t>136</w:t>
            </w:r>
          </w:p>
        </w:tc>
        <w:tc>
          <w:tcPr>
            <w:tcW w:w="585" w:type="pct"/>
            <w:vAlign w:val="center"/>
          </w:tcPr>
          <w:p w14:paraId="47F859D7" w14:textId="77777777" w:rsidR="00FB019D" w:rsidRPr="00191822" w:rsidRDefault="00FB019D" w:rsidP="004026AA">
            <w:pPr>
              <w:pStyle w:val="TableText"/>
              <w:jc w:val="center"/>
              <w:rPr>
                <w:b/>
                <w:szCs w:val="20"/>
              </w:rPr>
            </w:pPr>
            <w:r w:rsidRPr="00191822">
              <w:t>138</w:t>
            </w:r>
          </w:p>
        </w:tc>
        <w:tc>
          <w:tcPr>
            <w:tcW w:w="585" w:type="pct"/>
            <w:vAlign w:val="center"/>
          </w:tcPr>
          <w:p w14:paraId="1D9B7855" w14:textId="77777777" w:rsidR="00FB019D" w:rsidRPr="00191822" w:rsidRDefault="00FB019D" w:rsidP="004026AA">
            <w:pPr>
              <w:pStyle w:val="TableText"/>
              <w:jc w:val="center"/>
              <w:rPr>
                <w:b/>
                <w:szCs w:val="20"/>
              </w:rPr>
            </w:pPr>
            <w:r w:rsidRPr="00191822">
              <w:t>140</w:t>
            </w:r>
          </w:p>
        </w:tc>
        <w:tc>
          <w:tcPr>
            <w:tcW w:w="585" w:type="pct"/>
            <w:vAlign w:val="center"/>
          </w:tcPr>
          <w:p w14:paraId="70640594" w14:textId="77777777" w:rsidR="00FB019D" w:rsidRPr="00191822" w:rsidRDefault="00FB019D" w:rsidP="004026AA">
            <w:pPr>
              <w:pStyle w:val="TableText"/>
              <w:jc w:val="center"/>
              <w:rPr>
                <w:b/>
                <w:szCs w:val="20"/>
              </w:rPr>
            </w:pPr>
            <w:r w:rsidRPr="00191822">
              <w:t>143</w:t>
            </w:r>
          </w:p>
        </w:tc>
        <w:tc>
          <w:tcPr>
            <w:tcW w:w="585" w:type="pct"/>
            <w:vAlign w:val="center"/>
          </w:tcPr>
          <w:p w14:paraId="48370184" w14:textId="77777777" w:rsidR="00FB019D" w:rsidRPr="00191822" w:rsidRDefault="00FB019D" w:rsidP="004026AA">
            <w:pPr>
              <w:pStyle w:val="TableText"/>
              <w:jc w:val="center"/>
              <w:rPr>
                <w:b/>
                <w:szCs w:val="20"/>
              </w:rPr>
            </w:pPr>
            <w:r w:rsidRPr="00191822">
              <w:t>145</w:t>
            </w:r>
          </w:p>
        </w:tc>
        <w:tc>
          <w:tcPr>
            <w:tcW w:w="585" w:type="pct"/>
            <w:vAlign w:val="center"/>
          </w:tcPr>
          <w:p w14:paraId="0141FD73" w14:textId="77777777" w:rsidR="00FB019D" w:rsidRPr="00191822" w:rsidRDefault="00FB019D" w:rsidP="004026AA">
            <w:pPr>
              <w:pStyle w:val="TableText"/>
              <w:jc w:val="center"/>
              <w:rPr>
                <w:b/>
                <w:szCs w:val="20"/>
              </w:rPr>
            </w:pPr>
            <w:r w:rsidRPr="00191822">
              <w:t>147</w:t>
            </w:r>
          </w:p>
        </w:tc>
      </w:tr>
      <w:tr w:rsidR="00FB019D" w:rsidRPr="00191822" w14:paraId="428BBCDF" w14:textId="77777777" w:rsidTr="004026AA">
        <w:tc>
          <w:tcPr>
            <w:tcW w:w="1491" w:type="pct"/>
          </w:tcPr>
          <w:p w14:paraId="5B43073A" w14:textId="77777777" w:rsidR="00FB019D" w:rsidRPr="00191822" w:rsidRDefault="00FB019D" w:rsidP="004026AA">
            <w:pPr>
              <w:pStyle w:val="TableText"/>
              <w:rPr>
                <w:szCs w:val="20"/>
              </w:rPr>
            </w:pPr>
            <w:r w:rsidRPr="00191822">
              <w:rPr>
                <w:szCs w:val="20"/>
              </w:rPr>
              <w:t>Initiate 3 years after diagnosis</w:t>
            </w:r>
          </w:p>
        </w:tc>
        <w:tc>
          <w:tcPr>
            <w:tcW w:w="584" w:type="pct"/>
            <w:vAlign w:val="center"/>
          </w:tcPr>
          <w:p w14:paraId="35793561" w14:textId="77777777" w:rsidR="00FB019D" w:rsidRPr="00191822" w:rsidRDefault="00FB019D" w:rsidP="004026AA">
            <w:pPr>
              <w:pStyle w:val="TableText"/>
              <w:jc w:val="center"/>
              <w:rPr>
                <w:b/>
                <w:szCs w:val="20"/>
              </w:rPr>
            </w:pPr>
            <w:r w:rsidRPr="00191822">
              <w:t>134</w:t>
            </w:r>
          </w:p>
        </w:tc>
        <w:tc>
          <w:tcPr>
            <w:tcW w:w="585" w:type="pct"/>
            <w:vAlign w:val="center"/>
          </w:tcPr>
          <w:p w14:paraId="0601A701" w14:textId="77777777" w:rsidR="00FB019D" w:rsidRPr="00191822" w:rsidRDefault="00FB019D" w:rsidP="004026AA">
            <w:pPr>
              <w:pStyle w:val="TableText"/>
              <w:jc w:val="center"/>
              <w:rPr>
                <w:b/>
                <w:szCs w:val="20"/>
              </w:rPr>
            </w:pPr>
            <w:r w:rsidRPr="00191822">
              <w:t>136</w:t>
            </w:r>
          </w:p>
        </w:tc>
        <w:tc>
          <w:tcPr>
            <w:tcW w:w="585" w:type="pct"/>
            <w:vAlign w:val="center"/>
          </w:tcPr>
          <w:p w14:paraId="08707FE6" w14:textId="77777777" w:rsidR="00FB019D" w:rsidRPr="00191822" w:rsidRDefault="00FB019D" w:rsidP="004026AA">
            <w:pPr>
              <w:pStyle w:val="TableText"/>
              <w:jc w:val="center"/>
              <w:rPr>
                <w:b/>
                <w:szCs w:val="20"/>
              </w:rPr>
            </w:pPr>
            <w:r w:rsidRPr="00191822">
              <w:t>138</w:t>
            </w:r>
          </w:p>
        </w:tc>
        <w:tc>
          <w:tcPr>
            <w:tcW w:w="585" w:type="pct"/>
            <w:vAlign w:val="center"/>
          </w:tcPr>
          <w:p w14:paraId="5EE74650" w14:textId="77777777" w:rsidR="00FB019D" w:rsidRPr="00191822" w:rsidRDefault="00FB019D" w:rsidP="004026AA">
            <w:pPr>
              <w:pStyle w:val="TableText"/>
              <w:jc w:val="center"/>
              <w:rPr>
                <w:b/>
                <w:szCs w:val="20"/>
              </w:rPr>
            </w:pPr>
            <w:r w:rsidRPr="00191822">
              <w:t>140</w:t>
            </w:r>
          </w:p>
        </w:tc>
        <w:tc>
          <w:tcPr>
            <w:tcW w:w="585" w:type="pct"/>
            <w:vAlign w:val="center"/>
          </w:tcPr>
          <w:p w14:paraId="698147E5" w14:textId="77777777" w:rsidR="00FB019D" w:rsidRPr="00191822" w:rsidRDefault="00FB019D" w:rsidP="004026AA">
            <w:pPr>
              <w:pStyle w:val="TableText"/>
              <w:jc w:val="center"/>
              <w:rPr>
                <w:b/>
                <w:szCs w:val="20"/>
              </w:rPr>
            </w:pPr>
            <w:r w:rsidRPr="00191822">
              <w:t>143</w:t>
            </w:r>
          </w:p>
        </w:tc>
        <w:tc>
          <w:tcPr>
            <w:tcW w:w="585" w:type="pct"/>
            <w:vAlign w:val="center"/>
          </w:tcPr>
          <w:p w14:paraId="1FB01E6B" w14:textId="77777777" w:rsidR="00FB019D" w:rsidRPr="00191822" w:rsidRDefault="00FB019D" w:rsidP="004026AA">
            <w:pPr>
              <w:pStyle w:val="TableText"/>
              <w:jc w:val="center"/>
              <w:rPr>
                <w:b/>
                <w:szCs w:val="20"/>
              </w:rPr>
            </w:pPr>
            <w:r w:rsidRPr="00191822">
              <w:t>145</w:t>
            </w:r>
          </w:p>
        </w:tc>
      </w:tr>
      <w:tr w:rsidR="00FB019D" w:rsidRPr="00191822" w14:paraId="013DBAD5" w14:textId="77777777" w:rsidTr="004026AA">
        <w:tc>
          <w:tcPr>
            <w:tcW w:w="1491" w:type="pct"/>
          </w:tcPr>
          <w:p w14:paraId="05D9943A" w14:textId="77777777" w:rsidR="00FB019D" w:rsidRPr="00191822" w:rsidRDefault="00FB019D" w:rsidP="004026AA">
            <w:pPr>
              <w:pStyle w:val="TableText"/>
              <w:rPr>
                <w:szCs w:val="20"/>
              </w:rPr>
            </w:pPr>
            <w:r w:rsidRPr="00191822">
              <w:rPr>
                <w:szCs w:val="20"/>
              </w:rPr>
              <w:t>Initiate 4 years after diagnosis</w:t>
            </w:r>
          </w:p>
        </w:tc>
        <w:tc>
          <w:tcPr>
            <w:tcW w:w="584" w:type="pct"/>
            <w:vAlign w:val="center"/>
          </w:tcPr>
          <w:p w14:paraId="0718270D" w14:textId="77777777" w:rsidR="00FB019D" w:rsidRPr="00191822" w:rsidRDefault="00FB019D" w:rsidP="004026AA">
            <w:pPr>
              <w:pStyle w:val="TableText"/>
              <w:jc w:val="center"/>
              <w:rPr>
                <w:b/>
                <w:szCs w:val="20"/>
              </w:rPr>
            </w:pPr>
            <w:r w:rsidRPr="00191822">
              <w:t>131</w:t>
            </w:r>
          </w:p>
        </w:tc>
        <w:tc>
          <w:tcPr>
            <w:tcW w:w="585" w:type="pct"/>
            <w:vAlign w:val="center"/>
          </w:tcPr>
          <w:p w14:paraId="449ED71E" w14:textId="77777777" w:rsidR="00FB019D" w:rsidRPr="00191822" w:rsidRDefault="00FB019D" w:rsidP="004026AA">
            <w:pPr>
              <w:pStyle w:val="TableText"/>
              <w:jc w:val="center"/>
              <w:rPr>
                <w:b/>
                <w:szCs w:val="20"/>
              </w:rPr>
            </w:pPr>
            <w:r w:rsidRPr="00191822">
              <w:t>134</w:t>
            </w:r>
          </w:p>
        </w:tc>
        <w:tc>
          <w:tcPr>
            <w:tcW w:w="585" w:type="pct"/>
            <w:vAlign w:val="center"/>
          </w:tcPr>
          <w:p w14:paraId="1CAF78FC" w14:textId="77777777" w:rsidR="00FB019D" w:rsidRPr="00191822" w:rsidRDefault="00FB019D" w:rsidP="004026AA">
            <w:pPr>
              <w:pStyle w:val="TableText"/>
              <w:jc w:val="center"/>
              <w:rPr>
                <w:b/>
                <w:szCs w:val="20"/>
              </w:rPr>
            </w:pPr>
            <w:r w:rsidRPr="00191822">
              <w:t>136</w:t>
            </w:r>
          </w:p>
        </w:tc>
        <w:tc>
          <w:tcPr>
            <w:tcW w:w="585" w:type="pct"/>
            <w:vAlign w:val="center"/>
          </w:tcPr>
          <w:p w14:paraId="12C12248" w14:textId="77777777" w:rsidR="00FB019D" w:rsidRPr="00191822" w:rsidRDefault="00FB019D" w:rsidP="004026AA">
            <w:pPr>
              <w:pStyle w:val="TableText"/>
              <w:jc w:val="center"/>
              <w:rPr>
                <w:b/>
                <w:szCs w:val="20"/>
              </w:rPr>
            </w:pPr>
            <w:r w:rsidRPr="00191822">
              <w:t>138</w:t>
            </w:r>
          </w:p>
        </w:tc>
        <w:tc>
          <w:tcPr>
            <w:tcW w:w="585" w:type="pct"/>
            <w:vAlign w:val="center"/>
          </w:tcPr>
          <w:p w14:paraId="164CE99E" w14:textId="77777777" w:rsidR="00FB019D" w:rsidRPr="00191822" w:rsidRDefault="00FB019D" w:rsidP="004026AA">
            <w:pPr>
              <w:pStyle w:val="TableText"/>
              <w:jc w:val="center"/>
              <w:rPr>
                <w:b/>
                <w:szCs w:val="20"/>
              </w:rPr>
            </w:pPr>
            <w:r w:rsidRPr="00191822">
              <w:t>140</w:t>
            </w:r>
          </w:p>
        </w:tc>
        <w:tc>
          <w:tcPr>
            <w:tcW w:w="585" w:type="pct"/>
            <w:vAlign w:val="center"/>
          </w:tcPr>
          <w:p w14:paraId="1FAB147D" w14:textId="77777777" w:rsidR="00FB019D" w:rsidRPr="00191822" w:rsidRDefault="00FB019D" w:rsidP="004026AA">
            <w:pPr>
              <w:pStyle w:val="TableText"/>
              <w:jc w:val="center"/>
              <w:rPr>
                <w:b/>
                <w:szCs w:val="20"/>
              </w:rPr>
            </w:pPr>
            <w:r w:rsidRPr="00191822">
              <w:t>143</w:t>
            </w:r>
          </w:p>
        </w:tc>
      </w:tr>
      <w:tr w:rsidR="00FB019D" w:rsidRPr="00191822" w14:paraId="1359C43F" w14:textId="77777777" w:rsidTr="004026AA">
        <w:tc>
          <w:tcPr>
            <w:tcW w:w="1491" w:type="pct"/>
          </w:tcPr>
          <w:p w14:paraId="3835326E" w14:textId="77777777" w:rsidR="00FB019D" w:rsidRPr="00191822" w:rsidRDefault="00FB019D" w:rsidP="004026AA">
            <w:pPr>
              <w:pStyle w:val="TableText"/>
              <w:rPr>
                <w:szCs w:val="20"/>
              </w:rPr>
            </w:pPr>
            <w:r w:rsidRPr="00191822">
              <w:rPr>
                <w:szCs w:val="20"/>
              </w:rPr>
              <w:t xml:space="preserve">Total initiating </w:t>
            </w:r>
            <w:r w:rsidR="00A9122A">
              <w:rPr>
                <w:szCs w:val="20"/>
              </w:rPr>
              <w:t xml:space="preserve">CLL </w:t>
            </w:r>
            <w:r w:rsidRPr="00191822">
              <w:rPr>
                <w:szCs w:val="20"/>
              </w:rPr>
              <w:t>patients</w:t>
            </w:r>
          </w:p>
        </w:tc>
        <w:tc>
          <w:tcPr>
            <w:tcW w:w="584" w:type="pct"/>
            <w:vAlign w:val="center"/>
          </w:tcPr>
          <w:p w14:paraId="6BDC7083" w14:textId="77777777" w:rsidR="00FB019D" w:rsidRPr="00191822" w:rsidRDefault="00FB019D" w:rsidP="004026AA">
            <w:pPr>
              <w:pStyle w:val="TableText"/>
              <w:jc w:val="center"/>
              <w:rPr>
                <w:b/>
                <w:szCs w:val="20"/>
              </w:rPr>
            </w:pPr>
            <w:r w:rsidRPr="00191822">
              <w:t>1,100</w:t>
            </w:r>
          </w:p>
        </w:tc>
        <w:tc>
          <w:tcPr>
            <w:tcW w:w="585" w:type="pct"/>
            <w:vAlign w:val="center"/>
          </w:tcPr>
          <w:p w14:paraId="02D552FF" w14:textId="77777777" w:rsidR="00FB019D" w:rsidRPr="00191822" w:rsidRDefault="00FB019D" w:rsidP="004026AA">
            <w:pPr>
              <w:pStyle w:val="TableText"/>
              <w:jc w:val="center"/>
              <w:rPr>
                <w:b/>
                <w:szCs w:val="20"/>
              </w:rPr>
            </w:pPr>
            <w:r w:rsidRPr="00191822">
              <w:t>1,118</w:t>
            </w:r>
          </w:p>
        </w:tc>
        <w:tc>
          <w:tcPr>
            <w:tcW w:w="585" w:type="pct"/>
            <w:vAlign w:val="center"/>
          </w:tcPr>
          <w:p w14:paraId="4CDDA86C" w14:textId="77777777" w:rsidR="00FB019D" w:rsidRPr="00191822" w:rsidRDefault="00FB019D" w:rsidP="004026AA">
            <w:pPr>
              <w:pStyle w:val="TableText"/>
              <w:jc w:val="center"/>
              <w:rPr>
                <w:b/>
                <w:szCs w:val="20"/>
              </w:rPr>
            </w:pPr>
            <w:r w:rsidRPr="00191822">
              <w:t>1,136</w:t>
            </w:r>
          </w:p>
        </w:tc>
        <w:tc>
          <w:tcPr>
            <w:tcW w:w="585" w:type="pct"/>
            <w:vAlign w:val="center"/>
          </w:tcPr>
          <w:p w14:paraId="6E932262" w14:textId="77777777" w:rsidR="00FB019D" w:rsidRPr="00191822" w:rsidRDefault="00FB019D" w:rsidP="004026AA">
            <w:pPr>
              <w:pStyle w:val="TableText"/>
              <w:jc w:val="center"/>
              <w:rPr>
                <w:b/>
                <w:szCs w:val="20"/>
              </w:rPr>
            </w:pPr>
            <w:r w:rsidRPr="00191822">
              <w:t>1,153</w:t>
            </w:r>
          </w:p>
        </w:tc>
        <w:tc>
          <w:tcPr>
            <w:tcW w:w="585" w:type="pct"/>
            <w:vAlign w:val="center"/>
          </w:tcPr>
          <w:p w14:paraId="1D9AF0B5" w14:textId="77777777" w:rsidR="00FB019D" w:rsidRPr="00191822" w:rsidRDefault="00FB019D" w:rsidP="004026AA">
            <w:pPr>
              <w:pStyle w:val="TableText"/>
              <w:jc w:val="center"/>
              <w:rPr>
                <w:b/>
                <w:szCs w:val="20"/>
              </w:rPr>
            </w:pPr>
            <w:r w:rsidRPr="00191822">
              <w:t>1,170</w:t>
            </w:r>
          </w:p>
        </w:tc>
        <w:tc>
          <w:tcPr>
            <w:tcW w:w="585" w:type="pct"/>
            <w:vAlign w:val="center"/>
          </w:tcPr>
          <w:p w14:paraId="5C1100D5" w14:textId="77777777" w:rsidR="00FB019D" w:rsidRPr="00191822" w:rsidRDefault="00FB019D" w:rsidP="004026AA">
            <w:pPr>
              <w:pStyle w:val="TableText"/>
              <w:jc w:val="center"/>
              <w:rPr>
                <w:b/>
                <w:szCs w:val="20"/>
              </w:rPr>
            </w:pPr>
            <w:r w:rsidRPr="00191822">
              <w:t>1,187</w:t>
            </w:r>
          </w:p>
        </w:tc>
      </w:tr>
      <w:tr w:rsidR="00FB019D" w:rsidRPr="00191822" w14:paraId="7A4838A3" w14:textId="77777777" w:rsidTr="004026AA">
        <w:tc>
          <w:tcPr>
            <w:tcW w:w="1491" w:type="pct"/>
          </w:tcPr>
          <w:p w14:paraId="75CA68B2" w14:textId="77777777" w:rsidR="00FB019D" w:rsidRPr="00191822" w:rsidRDefault="00FB019D" w:rsidP="004026AA">
            <w:pPr>
              <w:pStyle w:val="TableText"/>
              <w:rPr>
                <w:b/>
                <w:szCs w:val="20"/>
              </w:rPr>
            </w:pPr>
            <w:r w:rsidRPr="00191822">
              <w:t>Unfit for fludarabine (65%)</w:t>
            </w:r>
          </w:p>
        </w:tc>
        <w:tc>
          <w:tcPr>
            <w:tcW w:w="584" w:type="pct"/>
            <w:vAlign w:val="center"/>
          </w:tcPr>
          <w:p w14:paraId="711F5D43" w14:textId="77777777" w:rsidR="00FB019D" w:rsidRPr="00EB7EA3" w:rsidRDefault="00FB019D">
            <w:pPr>
              <w:pStyle w:val="TableText"/>
              <w:jc w:val="center"/>
              <w:rPr>
                <w:b/>
                <w:szCs w:val="20"/>
                <w:vertAlign w:val="superscript"/>
              </w:rPr>
            </w:pPr>
            <w:r w:rsidRPr="00191822">
              <w:t>715</w:t>
            </w:r>
          </w:p>
        </w:tc>
        <w:tc>
          <w:tcPr>
            <w:tcW w:w="585" w:type="pct"/>
            <w:vAlign w:val="center"/>
          </w:tcPr>
          <w:p w14:paraId="5B49C30E" w14:textId="77777777" w:rsidR="00FB019D" w:rsidRPr="00191822" w:rsidRDefault="00FB019D" w:rsidP="004026AA">
            <w:pPr>
              <w:pStyle w:val="TableText"/>
              <w:jc w:val="center"/>
              <w:rPr>
                <w:b/>
                <w:szCs w:val="20"/>
              </w:rPr>
            </w:pPr>
            <w:r w:rsidRPr="00191822">
              <w:t>727</w:t>
            </w:r>
          </w:p>
        </w:tc>
        <w:tc>
          <w:tcPr>
            <w:tcW w:w="585" w:type="pct"/>
            <w:vAlign w:val="center"/>
          </w:tcPr>
          <w:p w14:paraId="37CCE9B2" w14:textId="77777777" w:rsidR="00FB019D" w:rsidRPr="00191822" w:rsidRDefault="00FB019D" w:rsidP="004026AA">
            <w:pPr>
              <w:pStyle w:val="TableText"/>
              <w:jc w:val="center"/>
              <w:rPr>
                <w:b/>
                <w:szCs w:val="20"/>
              </w:rPr>
            </w:pPr>
            <w:r w:rsidRPr="00191822">
              <w:t>738</w:t>
            </w:r>
          </w:p>
        </w:tc>
        <w:tc>
          <w:tcPr>
            <w:tcW w:w="585" w:type="pct"/>
            <w:vAlign w:val="center"/>
          </w:tcPr>
          <w:p w14:paraId="4B2E23EF" w14:textId="77777777" w:rsidR="00FB019D" w:rsidRPr="00191822" w:rsidRDefault="00FB019D" w:rsidP="004026AA">
            <w:pPr>
              <w:pStyle w:val="TableText"/>
              <w:jc w:val="center"/>
              <w:rPr>
                <w:b/>
                <w:szCs w:val="20"/>
              </w:rPr>
            </w:pPr>
            <w:r w:rsidRPr="00191822">
              <w:t>749</w:t>
            </w:r>
          </w:p>
        </w:tc>
        <w:tc>
          <w:tcPr>
            <w:tcW w:w="585" w:type="pct"/>
            <w:vAlign w:val="center"/>
          </w:tcPr>
          <w:p w14:paraId="44257299" w14:textId="77777777" w:rsidR="00FB019D" w:rsidRPr="00191822" w:rsidRDefault="00FB019D" w:rsidP="004026AA">
            <w:pPr>
              <w:pStyle w:val="TableText"/>
              <w:jc w:val="center"/>
              <w:rPr>
                <w:b/>
                <w:szCs w:val="20"/>
              </w:rPr>
            </w:pPr>
            <w:r w:rsidRPr="00191822">
              <w:t>761</w:t>
            </w:r>
          </w:p>
        </w:tc>
        <w:tc>
          <w:tcPr>
            <w:tcW w:w="585" w:type="pct"/>
            <w:vAlign w:val="center"/>
          </w:tcPr>
          <w:p w14:paraId="6BAA2B33" w14:textId="77777777" w:rsidR="00FB019D" w:rsidRPr="00191822" w:rsidRDefault="00FB019D" w:rsidP="004026AA">
            <w:pPr>
              <w:pStyle w:val="TableText"/>
              <w:jc w:val="center"/>
              <w:rPr>
                <w:b/>
                <w:szCs w:val="20"/>
              </w:rPr>
            </w:pPr>
            <w:r w:rsidRPr="00191822">
              <w:t>772</w:t>
            </w:r>
          </w:p>
        </w:tc>
      </w:tr>
      <w:tr w:rsidR="00FB019D" w:rsidRPr="00191822" w14:paraId="40E253F6" w14:textId="77777777" w:rsidTr="004026AA">
        <w:trPr>
          <w:trHeight w:val="401"/>
        </w:trPr>
        <w:tc>
          <w:tcPr>
            <w:tcW w:w="1491" w:type="pct"/>
          </w:tcPr>
          <w:p w14:paraId="3FB1C1D2" w14:textId="77777777" w:rsidR="00FB019D" w:rsidRPr="00191822" w:rsidRDefault="00FB019D" w:rsidP="004026AA">
            <w:pPr>
              <w:pStyle w:val="TableText"/>
            </w:pPr>
            <w:r w:rsidRPr="00191822">
              <w:t>Total initiating</w:t>
            </w:r>
            <w:r w:rsidR="00A9122A">
              <w:t xml:space="preserve"> ACAL</w:t>
            </w:r>
            <w:r w:rsidRPr="00191822">
              <w:t xml:space="preserve"> patients</w:t>
            </w:r>
            <w:r w:rsidR="00A9122A">
              <w:t xml:space="preserve"> (30%)</w:t>
            </w:r>
          </w:p>
          <w:p w14:paraId="216571D4" w14:textId="77777777" w:rsidR="00FB019D" w:rsidRPr="00191822" w:rsidRDefault="00FB019D" w:rsidP="00E042B7">
            <w:pPr>
              <w:pStyle w:val="TableText"/>
              <w:numPr>
                <w:ilvl w:val="0"/>
                <w:numId w:val="6"/>
              </w:numPr>
              <w:ind w:left="164" w:hanging="88"/>
            </w:pPr>
            <w:r w:rsidRPr="00191822">
              <w:t>VEN + OBI unsuitable (14%)</w:t>
            </w:r>
          </w:p>
          <w:p w14:paraId="4BCC9201" w14:textId="77777777" w:rsidR="00FB019D" w:rsidRPr="00191822" w:rsidRDefault="00FB019D" w:rsidP="00E042B7">
            <w:pPr>
              <w:pStyle w:val="TableText"/>
              <w:numPr>
                <w:ilvl w:val="0"/>
                <w:numId w:val="6"/>
              </w:numPr>
              <w:ind w:left="164" w:hanging="88"/>
            </w:pPr>
            <w:r w:rsidRPr="00191822">
              <w:t>VEN + OBI intolerant (16%)</w:t>
            </w:r>
          </w:p>
        </w:tc>
        <w:tc>
          <w:tcPr>
            <w:tcW w:w="584" w:type="pct"/>
          </w:tcPr>
          <w:p w14:paraId="020A0EDA"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56E8768B" w14:textId="77777777" w:rsidR="00A9122A" w:rsidRPr="00BE0CB4" w:rsidRDefault="00A9122A" w:rsidP="004026AA">
            <w:pPr>
              <w:pStyle w:val="TableText"/>
              <w:jc w:val="center"/>
            </w:pPr>
          </w:p>
          <w:p w14:paraId="2F1898ED"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5DAF9230" w14:textId="77777777" w:rsidR="00FB019D" w:rsidRPr="00BE0CB4" w:rsidRDefault="00BE0CB4" w:rsidP="004026AA">
            <w:pPr>
              <w:pStyle w:val="TableText"/>
              <w:jc w:val="center"/>
            </w:pPr>
            <w:r>
              <w:rPr>
                <w:noProof/>
                <w:color w:val="000000"/>
                <w:highlight w:val="black"/>
              </w:rPr>
              <w:t>''''''''</w:t>
            </w:r>
            <w:r w:rsidR="00BF09BC">
              <w:rPr>
                <w:vertAlign w:val="superscript"/>
              </w:rPr>
              <w:t>1</w:t>
            </w:r>
          </w:p>
        </w:tc>
        <w:tc>
          <w:tcPr>
            <w:tcW w:w="585" w:type="pct"/>
          </w:tcPr>
          <w:p w14:paraId="33883054"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0AB2C7C8" w14:textId="77777777" w:rsidR="00A9122A" w:rsidRPr="00BE0CB4" w:rsidRDefault="00A9122A" w:rsidP="004026AA">
            <w:pPr>
              <w:pStyle w:val="TableText"/>
              <w:jc w:val="center"/>
            </w:pPr>
          </w:p>
          <w:p w14:paraId="07A6FF27"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2C973730" w14:textId="77777777" w:rsidR="00FB019D" w:rsidRPr="00BE0CB4" w:rsidRDefault="00BE0CB4" w:rsidP="004026AA">
            <w:pPr>
              <w:pStyle w:val="TableText"/>
              <w:jc w:val="center"/>
            </w:pPr>
            <w:r>
              <w:rPr>
                <w:noProof/>
                <w:color w:val="000000"/>
                <w:highlight w:val="black"/>
              </w:rPr>
              <w:t>''''''''</w:t>
            </w:r>
            <w:r w:rsidR="00BF09BC">
              <w:rPr>
                <w:vertAlign w:val="superscript"/>
              </w:rPr>
              <w:t>1</w:t>
            </w:r>
          </w:p>
        </w:tc>
        <w:tc>
          <w:tcPr>
            <w:tcW w:w="585" w:type="pct"/>
          </w:tcPr>
          <w:p w14:paraId="402CF2DF"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176E24F7" w14:textId="77777777" w:rsidR="00A9122A" w:rsidRPr="00BE0CB4" w:rsidRDefault="00A9122A" w:rsidP="004026AA">
            <w:pPr>
              <w:pStyle w:val="TableText"/>
              <w:jc w:val="center"/>
            </w:pPr>
          </w:p>
          <w:p w14:paraId="778CC3EF"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6E45AE78" w14:textId="77777777" w:rsidR="00FB019D" w:rsidRPr="00BE0CB4" w:rsidRDefault="00BE0CB4" w:rsidP="004026AA">
            <w:pPr>
              <w:pStyle w:val="TableText"/>
              <w:jc w:val="center"/>
            </w:pPr>
            <w:r>
              <w:rPr>
                <w:noProof/>
                <w:color w:val="000000"/>
                <w:highlight w:val="black"/>
              </w:rPr>
              <w:t>''''''''</w:t>
            </w:r>
            <w:r w:rsidR="00BF09BC">
              <w:rPr>
                <w:vertAlign w:val="superscript"/>
              </w:rPr>
              <w:t>1</w:t>
            </w:r>
          </w:p>
        </w:tc>
        <w:tc>
          <w:tcPr>
            <w:tcW w:w="585" w:type="pct"/>
          </w:tcPr>
          <w:p w14:paraId="02431B2C"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637617E9" w14:textId="77777777" w:rsidR="00A9122A" w:rsidRPr="00BE0CB4" w:rsidRDefault="00A9122A" w:rsidP="004026AA">
            <w:pPr>
              <w:pStyle w:val="TableText"/>
              <w:jc w:val="center"/>
            </w:pPr>
          </w:p>
          <w:p w14:paraId="448036F0"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05C8783F" w14:textId="77777777" w:rsidR="00FB019D" w:rsidRPr="00BE0CB4" w:rsidRDefault="00BE0CB4" w:rsidP="004026AA">
            <w:pPr>
              <w:pStyle w:val="TableText"/>
              <w:jc w:val="center"/>
            </w:pPr>
            <w:r>
              <w:rPr>
                <w:noProof/>
                <w:color w:val="000000"/>
                <w:highlight w:val="black"/>
              </w:rPr>
              <w:t>'''''''''</w:t>
            </w:r>
            <w:r w:rsidR="00BF09BC">
              <w:rPr>
                <w:vertAlign w:val="superscript"/>
              </w:rPr>
              <w:t>1</w:t>
            </w:r>
          </w:p>
        </w:tc>
        <w:tc>
          <w:tcPr>
            <w:tcW w:w="585" w:type="pct"/>
          </w:tcPr>
          <w:p w14:paraId="76B9C14E"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4F39C4EC" w14:textId="77777777" w:rsidR="00A9122A" w:rsidRPr="00BE0CB4" w:rsidRDefault="00A9122A" w:rsidP="004026AA">
            <w:pPr>
              <w:pStyle w:val="TableText"/>
              <w:jc w:val="center"/>
            </w:pPr>
          </w:p>
          <w:p w14:paraId="764467AD"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394A3ECD" w14:textId="77777777" w:rsidR="00FB019D" w:rsidRPr="00BE0CB4" w:rsidRDefault="00BE0CB4" w:rsidP="004026AA">
            <w:pPr>
              <w:pStyle w:val="TableText"/>
              <w:jc w:val="center"/>
            </w:pPr>
            <w:r>
              <w:rPr>
                <w:noProof/>
                <w:color w:val="000000"/>
                <w:highlight w:val="black"/>
              </w:rPr>
              <w:t>'''''''''</w:t>
            </w:r>
            <w:r w:rsidR="00BF09BC">
              <w:rPr>
                <w:vertAlign w:val="superscript"/>
              </w:rPr>
              <w:t>1</w:t>
            </w:r>
          </w:p>
        </w:tc>
        <w:tc>
          <w:tcPr>
            <w:tcW w:w="585" w:type="pct"/>
          </w:tcPr>
          <w:p w14:paraId="70580820"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7C3CA2AA" w14:textId="77777777" w:rsidR="00A9122A" w:rsidRPr="00BE0CB4" w:rsidRDefault="00A9122A" w:rsidP="004026AA">
            <w:pPr>
              <w:pStyle w:val="TableText"/>
              <w:jc w:val="center"/>
            </w:pPr>
          </w:p>
          <w:p w14:paraId="3D395B74" w14:textId="77777777" w:rsidR="00FB019D" w:rsidRPr="00BE0CB4" w:rsidRDefault="00BE0CB4" w:rsidP="004026AA">
            <w:pPr>
              <w:pStyle w:val="TableText"/>
              <w:jc w:val="center"/>
            </w:pPr>
            <w:r>
              <w:rPr>
                <w:noProof/>
                <w:color w:val="000000"/>
                <w:highlight w:val="black"/>
              </w:rPr>
              <w:t>'''''''''</w:t>
            </w:r>
            <w:r w:rsidR="00BF09BC">
              <w:rPr>
                <w:vertAlign w:val="superscript"/>
              </w:rPr>
              <w:t>1</w:t>
            </w:r>
          </w:p>
          <w:p w14:paraId="5C76492E" w14:textId="77777777" w:rsidR="00FB019D" w:rsidRPr="00BE0CB4" w:rsidRDefault="00BE0CB4" w:rsidP="004026AA">
            <w:pPr>
              <w:pStyle w:val="TableText"/>
              <w:jc w:val="center"/>
            </w:pPr>
            <w:r>
              <w:rPr>
                <w:noProof/>
                <w:color w:val="000000"/>
                <w:highlight w:val="black"/>
              </w:rPr>
              <w:t>''''''''''</w:t>
            </w:r>
            <w:r w:rsidR="00BF09BC">
              <w:rPr>
                <w:vertAlign w:val="superscript"/>
              </w:rPr>
              <w:t>1</w:t>
            </w:r>
          </w:p>
        </w:tc>
      </w:tr>
      <w:tr w:rsidR="00FB019D" w:rsidRPr="00191822" w14:paraId="126C6E3C" w14:textId="77777777" w:rsidTr="004026AA">
        <w:tc>
          <w:tcPr>
            <w:tcW w:w="1491" w:type="pct"/>
          </w:tcPr>
          <w:p w14:paraId="45BBCD92" w14:textId="77777777" w:rsidR="00FB019D" w:rsidRPr="00191822" w:rsidRDefault="00FB019D" w:rsidP="004026AA">
            <w:pPr>
              <w:pStyle w:val="TableText"/>
              <w:rPr>
                <w:bCs w:val="0"/>
              </w:rPr>
            </w:pPr>
            <w:r w:rsidRPr="00191822">
              <w:rPr>
                <w:bCs w:val="0"/>
              </w:rPr>
              <w:t>Total</w:t>
            </w:r>
            <w:r w:rsidR="00A9122A">
              <w:rPr>
                <w:bCs w:val="0"/>
              </w:rPr>
              <w:t xml:space="preserve"> ACAL</w:t>
            </w:r>
            <w:r w:rsidRPr="00191822">
              <w:rPr>
                <w:bCs w:val="0"/>
              </w:rPr>
              <w:t xml:space="preserve"> treated patients (initiating </w:t>
            </w:r>
            <w:r w:rsidR="00F9001F">
              <w:rPr>
                <w:bCs w:val="0"/>
              </w:rPr>
              <w:t>and</w:t>
            </w:r>
            <w:r w:rsidRPr="00191822">
              <w:rPr>
                <w:bCs w:val="0"/>
              </w:rPr>
              <w:t xml:space="preserve"> continuing)</w:t>
            </w:r>
          </w:p>
        </w:tc>
        <w:tc>
          <w:tcPr>
            <w:tcW w:w="584" w:type="pct"/>
            <w:vAlign w:val="center"/>
          </w:tcPr>
          <w:p w14:paraId="50CA45A3"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1</w:t>
            </w:r>
          </w:p>
        </w:tc>
        <w:tc>
          <w:tcPr>
            <w:tcW w:w="585" w:type="pct"/>
            <w:vAlign w:val="center"/>
          </w:tcPr>
          <w:p w14:paraId="7ADE51C2"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1</w:t>
            </w:r>
          </w:p>
        </w:tc>
        <w:tc>
          <w:tcPr>
            <w:tcW w:w="585" w:type="pct"/>
            <w:vAlign w:val="center"/>
          </w:tcPr>
          <w:p w14:paraId="3DF36D9F"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2</w:t>
            </w:r>
          </w:p>
        </w:tc>
        <w:tc>
          <w:tcPr>
            <w:tcW w:w="585" w:type="pct"/>
            <w:vAlign w:val="center"/>
          </w:tcPr>
          <w:p w14:paraId="3EC14733"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2</w:t>
            </w:r>
          </w:p>
        </w:tc>
        <w:tc>
          <w:tcPr>
            <w:tcW w:w="585" w:type="pct"/>
            <w:vAlign w:val="center"/>
          </w:tcPr>
          <w:p w14:paraId="17D55296"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2</w:t>
            </w:r>
          </w:p>
        </w:tc>
        <w:tc>
          <w:tcPr>
            <w:tcW w:w="585" w:type="pct"/>
            <w:vAlign w:val="center"/>
          </w:tcPr>
          <w:p w14:paraId="6DCDFCE9" w14:textId="77777777" w:rsidR="00FB019D" w:rsidRPr="00BE0CB4" w:rsidRDefault="00BE0CB4" w:rsidP="004026AA">
            <w:pPr>
              <w:pStyle w:val="TableText"/>
              <w:jc w:val="center"/>
              <w:rPr>
                <w:bCs w:val="0"/>
              </w:rPr>
            </w:pPr>
            <w:r>
              <w:rPr>
                <w:bCs w:val="0"/>
                <w:noProof/>
                <w:color w:val="000000"/>
                <w:highlight w:val="black"/>
              </w:rPr>
              <w:t>''''''''''</w:t>
            </w:r>
            <w:r w:rsidR="00BF09BC">
              <w:rPr>
                <w:vertAlign w:val="superscript"/>
              </w:rPr>
              <w:t>2</w:t>
            </w:r>
          </w:p>
        </w:tc>
      </w:tr>
      <w:tr w:rsidR="006B0D1E" w:rsidRPr="00191822" w14:paraId="1D87A9FC" w14:textId="77777777" w:rsidTr="00095920">
        <w:tc>
          <w:tcPr>
            <w:tcW w:w="1491" w:type="pct"/>
          </w:tcPr>
          <w:p w14:paraId="64CDA360" w14:textId="77777777" w:rsidR="006B0D1E" w:rsidRPr="00191822" w:rsidRDefault="006B0D1E" w:rsidP="00095920">
            <w:pPr>
              <w:pStyle w:val="TableText"/>
              <w:rPr>
                <w:b/>
                <w:i/>
                <w:iCs/>
              </w:rPr>
            </w:pPr>
            <w:r w:rsidRPr="00191822">
              <w:rPr>
                <w:szCs w:val="20"/>
              </w:rPr>
              <w:t xml:space="preserve">Total ACAL </w:t>
            </w:r>
            <w:r w:rsidR="00AA14CB">
              <w:rPr>
                <w:szCs w:val="20"/>
              </w:rPr>
              <w:t>scripts</w:t>
            </w:r>
            <w:r w:rsidR="00AA14CB" w:rsidRPr="00191822">
              <w:rPr>
                <w:szCs w:val="20"/>
              </w:rPr>
              <w:t xml:space="preserve"> </w:t>
            </w:r>
            <w:r w:rsidRPr="00191822">
              <w:rPr>
                <w:szCs w:val="20"/>
              </w:rPr>
              <w:t>(</w:t>
            </w:r>
            <w:r w:rsidR="00BE0CB4">
              <w:rPr>
                <w:noProof/>
                <w:color w:val="000000"/>
                <w:szCs w:val="20"/>
                <w:highlight w:val="black"/>
              </w:rPr>
              <w:t>'''''''''''''''</w:t>
            </w:r>
            <w:r w:rsidRPr="00191822">
              <w:rPr>
                <w:szCs w:val="20"/>
              </w:rPr>
              <w:t>/ year 96.8% adherence)</w:t>
            </w:r>
          </w:p>
        </w:tc>
        <w:tc>
          <w:tcPr>
            <w:tcW w:w="584" w:type="pct"/>
            <w:vAlign w:val="center"/>
          </w:tcPr>
          <w:p w14:paraId="400180D4"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2</w:t>
            </w:r>
          </w:p>
        </w:tc>
        <w:tc>
          <w:tcPr>
            <w:tcW w:w="585" w:type="pct"/>
            <w:vAlign w:val="center"/>
          </w:tcPr>
          <w:p w14:paraId="14B80E86"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3</w:t>
            </w:r>
          </w:p>
        </w:tc>
        <w:tc>
          <w:tcPr>
            <w:tcW w:w="585" w:type="pct"/>
            <w:vAlign w:val="center"/>
          </w:tcPr>
          <w:p w14:paraId="7411E56C"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3</w:t>
            </w:r>
          </w:p>
        </w:tc>
        <w:tc>
          <w:tcPr>
            <w:tcW w:w="585" w:type="pct"/>
            <w:vAlign w:val="center"/>
          </w:tcPr>
          <w:p w14:paraId="6D9B49A8"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3</w:t>
            </w:r>
          </w:p>
        </w:tc>
        <w:tc>
          <w:tcPr>
            <w:tcW w:w="585" w:type="pct"/>
            <w:vAlign w:val="center"/>
          </w:tcPr>
          <w:p w14:paraId="7965A1BF"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3</w:t>
            </w:r>
          </w:p>
        </w:tc>
        <w:tc>
          <w:tcPr>
            <w:tcW w:w="585" w:type="pct"/>
            <w:vAlign w:val="center"/>
          </w:tcPr>
          <w:p w14:paraId="4AFB15FF" w14:textId="77777777" w:rsidR="006B0D1E" w:rsidRPr="00BE0CB4" w:rsidRDefault="00BE0CB4" w:rsidP="00095920">
            <w:pPr>
              <w:pStyle w:val="TableText"/>
              <w:jc w:val="center"/>
              <w:rPr>
                <w:bCs w:val="0"/>
                <w:i/>
                <w:iCs/>
              </w:rPr>
            </w:pPr>
            <w:r>
              <w:rPr>
                <w:noProof/>
                <w:color w:val="000000"/>
                <w:highlight w:val="black"/>
              </w:rPr>
              <w:t>''''''''''''</w:t>
            </w:r>
            <w:r w:rsidR="00BF09BC">
              <w:rPr>
                <w:vertAlign w:val="superscript"/>
              </w:rPr>
              <w:t>3</w:t>
            </w:r>
          </w:p>
        </w:tc>
      </w:tr>
      <w:tr w:rsidR="00FB019D" w:rsidRPr="00191822" w14:paraId="6BEA9A98" w14:textId="77777777" w:rsidTr="004026AA">
        <w:tc>
          <w:tcPr>
            <w:tcW w:w="5000" w:type="pct"/>
            <w:gridSpan w:val="7"/>
          </w:tcPr>
          <w:p w14:paraId="7890F3EC" w14:textId="77777777" w:rsidR="00FB019D" w:rsidRPr="00191822" w:rsidRDefault="006B0D1E" w:rsidP="004026AA">
            <w:pPr>
              <w:pStyle w:val="TableText"/>
              <w:rPr>
                <w:b/>
              </w:rPr>
            </w:pPr>
            <w:r>
              <w:rPr>
                <w:b/>
              </w:rPr>
              <w:t>Estimated financial implications of acalabrutinib</w:t>
            </w:r>
          </w:p>
        </w:tc>
      </w:tr>
      <w:tr w:rsidR="00FB019D" w:rsidRPr="00191822" w14:paraId="53478C57" w14:textId="77777777" w:rsidTr="004026AA">
        <w:tc>
          <w:tcPr>
            <w:tcW w:w="1491" w:type="pct"/>
          </w:tcPr>
          <w:p w14:paraId="2239AEC9" w14:textId="77777777" w:rsidR="00FB019D" w:rsidRPr="00191822" w:rsidRDefault="006B0D1E" w:rsidP="004026AA">
            <w:pPr>
              <w:pStyle w:val="TableText"/>
              <w:rPr>
                <w:i/>
                <w:iCs/>
              </w:rPr>
            </w:pPr>
            <w:r>
              <w:rPr>
                <w:szCs w:val="20"/>
              </w:rPr>
              <w:t xml:space="preserve">Total </w:t>
            </w:r>
            <w:r w:rsidR="009C4CED">
              <w:rPr>
                <w:szCs w:val="20"/>
              </w:rPr>
              <w:t>ACAL cost ($</w:t>
            </w:r>
            <w:r w:rsidR="00BE0CB4">
              <w:rPr>
                <w:noProof/>
                <w:color w:val="000000"/>
                <w:szCs w:val="20"/>
                <w:highlight w:val="black"/>
              </w:rPr>
              <w:t>'''''''''''''''''''''</w:t>
            </w:r>
            <w:r w:rsidR="009C4CED">
              <w:rPr>
                <w:szCs w:val="20"/>
              </w:rPr>
              <w:t xml:space="preserve"> per script) less </w:t>
            </w:r>
            <w:proofErr w:type="spellStart"/>
            <w:r w:rsidR="009C4CED">
              <w:rPr>
                <w:szCs w:val="20"/>
              </w:rPr>
              <w:t>copayments</w:t>
            </w:r>
            <w:proofErr w:type="spellEnd"/>
          </w:p>
        </w:tc>
        <w:tc>
          <w:tcPr>
            <w:tcW w:w="584" w:type="pct"/>
            <w:vAlign w:val="center"/>
          </w:tcPr>
          <w:p w14:paraId="19F30859" w14:textId="77777777" w:rsidR="00FB019D" w:rsidRPr="00BE0CB4" w:rsidRDefault="00BE0CB4" w:rsidP="004026AA">
            <w:pPr>
              <w:pStyle w:val="TableText"/>
              <w:ind w:left="-85" w:right="-85"/>
              <w:jc w:val="center"/>
              <w:rPr>
                <w:i/>
                <w:iCs/>
              </w:rPr>
            </w:pPr>
            <w:r>
              <w:rPr>
                <w:noProof/>
                <w:color w:val="000000"/>
                <w:highlight w:val="black"/>
              </w:rPr>
              <w:t>'''''''''''''''''''''''''''''</w:t>
            </w:r>
            <w:r w:rsidR="00BF09BC">
              <w:rPr>
                <w:vertAlign w:val="superscript"/>
              </w:rPr>
              <w:t>4</w:t>
            </w:r>
          </w:p>
        </w:tc>
        <w:tc>
          <w:tcPr>
            <w:tcW w:w="585" w:type="pct"/>
            <w:vAlign w:val="center"/>
          </w:tcPr>
          <w:p w14:paraId="1B940212" w14:textId="77777777" w:rsidR="00FB019D" w:rsidRPr="00BE0CB4" w:rsidRDefault="00BE0CB4" w:rsidP="004026AA">
            <w:pPr>
              <w:pStyle w:val="TableText"/>
              <w:ind w:left="-85" w:right="-85"/>
              <w:jc w:val="center"/>
              <w:rPr>
                <w:i/>
                <w:iCs/>
              </w:rPr>
            </w:pPr>
            <w:r>
              <w:rPr>
                <w:noProof/>
                <w:color w:val="000000"/>
                <w:highlight w:val="black"/>
              </w:rPr>
              <w:t>'''''''''''''''''''''''''''''</w:t>
            </w:r>
            <w:r w:rsidR="00D90C26">
              <w:rPr>
                <w:vertAlign w:val="superscript"/>
              </w:rPr>
              <w:t>5</w:t>
            </w:r>
          </w:p>
        </w:tc>
        <w:tc>
          <w:tcPr>
            <w:tcW w:w="585" w:type="pct"/>
            <w:vAlign w:val="center"/>
          </w:tcPr>
          <w:p w14:paraId="182027CF" w14:textId="77777777" w:rsidR="00FB019D" w:rsidRPr="00BE0CB4" w:rsidRDefault="00BE0CB4" w:rsidP="004026AA">
            <w:pPr>
              <w:pStyle w:val="TableText"/>
              <w:ind w:left="-85" w:right="-85"/>
              <w:jc w:val="center"/>
              <w:rPr>
                <w:i/>
                <w:iCs/>
              </w:rPr>
            </w:pPr>
            <w:r>
              <w:rPr>
                <w:noProof/>
                <w:color w:val="000000"/>
                <w:highlight w:val="black"/>
              </w:rPr>
              <w:t>'''''''''''''''''''''''''''''</w:t>
            </w:r>
            <w:r w:rsidR="00D90C26">
              <w:rPr>
                <w:vertAlign w:val="superscript"/>
              </w:rPr>
              <w:t>6</w:t>
            </w:r>
          </w:p>
        </w:tc>
        <w:tc>
          <w:tcPr>
            <w:tcW w:w="585" w:type="pct"/>
            <w:vAlign w:val="center"/>
          </w:tcPr>
          <w:p w14:paraId="24A3FDAD" w14:textId="77777777" w:rsidR="00FB019D" w:rsidRPr="00BE0CB4" w:rsidRDefault="00BE0CB4" w:rsidP="004026AA">
            <w:pPr>
              <w:pStyle w:val="TableText"/>
              <w:ind w:left="-85" w:right="-85"/>
              <w:jc w:val="center"/>
              <w:rPr>
                <w:i/>
                <w:iCs/>
              </w:rPr>
            </w:pPr>
            <w:r>
              <w:rPr>
                <w:noProof/>
                <w:color w:val="000000"/>
                <w:highlight w:val="black"/>
              </w:rPr>
              <w:t>'''''''''''''''''''''''''''''</w:t>
            </w:r>
            <w:r w:rsidR="00D90C26">
              <w:rPr>
                <w:vertAlign w:val="superscript"/>
              </w:rPr>
              <w:t>6</w:t>
            </w:r>
          </w:p>
        </w:tc>
        <w:tc>
          <w:tcPr>
            <w:tcW w:w="585" w:type="pct"/>
            <w:vAlign w:val="center"/>
          </w:tcPr>
          <w:p w14:paraId="4247A8A5" w14:textId="77777777" w:rsidR="00FB019D" w:rsidRPr="00BE0CB4" w:rsidRDefault="00BE0CB4" w:rsidP="004026AA">
            <w:pPr>
              <w:pStyle w:val="TableText"/>
              <w:ind w:left="-85" w:right="-85"/>
              <w:jc w:val="center"/>
              <w:rPr>
                <w:i/>
                <w:iCs/>
              </w:rPr>
            </w:pPr>
            <w:r>
              <w:rPr>
                <w:noProof/>
                <w:color w:val="000000"/>
                <w:highlight w:val="black"/>
              </w:rPr>
              <w:t>'''''''''''''''''''''''''''''</w:t>
            </w:r>
            <w:r w:rsidR="00D90C26">
              <w:rPr>
                <w:vertAlign w:val="superscript"/>
              </w:rPr>
              <w:t>6</w:t>
            </w:r>
          </w:p>
        </w:tc>
        <w:tc>
          <w:tcPr>
            <w:tcW w:w="585" w:type="pct"/>
            <w:vAlign w:val="center"/>
          </w:tcPr>
          <w:p w14:paraId="521D90C4" w14:textId="77777777" w:rsidR="00FB019D" w:rsidRPr="00BE0CB4" w:rsidRDefault="00BE0CB4" w:rsidP="004026AA">
            <w:pPr>
              <w:pStyle w:val="TableText"/>
              <w:ind w:left="-85" w:right="-85"/>
              <w:jc w:val="center"/>
              <w:rPr>
                <w:i/>
                <w:iCs/>
              </w:rPr>
            </w:pPr>
            <w:r>
              <w:rPr>
                <w:noProof/>
                <w:color w:val="000000"/>
                <w:highlight w:val="black"/>
              </w:rPr>
              <w:t>'''''''''''''''''''''''''''''</w:t>
            </w:r>
            <w:r w:rsidR="00D90C26">
              <w:rPr>
                <w:vertAlign w:val="superscript"/>
              </w:rPr>
              <w:t>6</w:t>
            </w:r>
          </w:p>
        </w:tc>
      </w:tr>
      <w:tr w:rsidR="0060191D" w:rsidRPr="00191822" w14:paraId="737B78B2" w14:textId="77777777" w:rsidTr="0060191D">
        <w:tc>
          <w:tcPr>
            <w:tcW w:w="5000" w:type="pct"/>
            <w:gridSpan w:val="7"/>
          </w:tcPr>
          <w:p w14:paraId="7ADFB6F9" w14:textId="77777777" w:rsidR="0060191D" w:rsidRPr="00191822" w:rsidRDefault="006B0D1E" w:rsidP="0060191D">
            <w:pPr>
              <w:pStyle w:val="TableText"/>
              <w:ind w:right="-85"/>
              <w:rPr>
                <w:b/>
                <w:bCs w:val="0"/>
              </w:rPr>
            </w:pPr>
            <w:r>
              <w:rPr>
                <w:b/>
                <w:bCs w:val="0"/>
              </w:rPr>
              <w:t>Estimated financial implications for other medicines</w:t>
            </w:r>
          </w:p>
        </w:tc>
      </w:tr>
      <w:tr w:rsidR="00823C15" w:rsidRPr="00191822" w14:paraId="071F5E5A" w14:textId="77777777" w:rsidTr="004026AA">
        <w:tc>
          <w:tcPr>
            <w:tcW w:w="1491" w:type="pct"/>
          </w:tcPr>
          <w:p w14:paraId="62D249CF" w14:textId="77777777" w:rsidR="00823C15" w:rsidRPr="00191822" w:rsidRDefault="00823C15" w:rsidP="00823C15">
            <w:pPr>
              <w:pStyle w:val="TableText"/>
              <w:rPr>
                <w:b/>
                <w:bCs w:val="0"/>
                <w:szCs w:val="20"/>
              </w:rPr>
            </w:pPr>
            <w:r w:rsidRPr="00191822">
              <w:t xml:space="preserve">Net </w:t>
            </w:r>
            <w:r w:rsidR="00FB647F">
              <w:t>saving</w:t>
            </w:r>
            <w:r w:rsidR="00FB647F" w:rsidRPr="00191822">
              <w:t xml:space="preserve"> </w:t>
            </w:r>
            <w:r w:rsidR="00FB647F">
              <w:t>for</w:t>
            </w:r>
            <w:r w:rsidRPr="00191822">
              <w:t xml:space="preserve"> displaced OBI</w:t>
            </w:r>
          </w:p>
        </w:tc>
        <w:tc>
          <w:tcPr>
            <w:tcW w:w="584" w:type="pct"/>
          </w:tcPr>
          <w:p w14:paraId="386681DC"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4F90B1D5"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7D031B35"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7B37B07E"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227AD5E0"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5D6BAED7"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r>
      <w:tr w:rsidR="00823C15" w:rsidRPr="00191822" w14:paraId="01540311" w14:textId="77777777" w:rsidTr="004026AA">
        <w:tc>
          <w:tcPr>
            <w:tcW w:w="1491" w:type="pct"/>
          </w:tcPr>
          <w:p w14:paraId="597359EB" w14:textId="77777777" w:rsidR="00823C15" w:rsidRPr="00191822" w:rsidRDefault="00823C15" w:rsidP="00823C15">
            <w:pPr>
              <w:pStyle w:val="TableText"/>
              <w:rPr>
                <w:b/>
                <w:bCs w:val="0"/>
                <w:szCs w:val="20"/>
              </w:rPr>
            </w:pPr>
            <w:r w:rsidRPr="00191822">
              <w:t xml:space="preserve">Net </w:t>
            </w:r>
            <w:r w:rsidR="00FB647F">
              <w:t>saving for</w:t>
            </w:r>
            <w:r w:rsidRPr="00191822">
              <w:t xml:space="preserve"> displaced CHL</w:t>
            </w:r>
          </w:p>
        </w:tc>
        <w:tc>
          <w:tcPr>
            <w:tcW w:w="584" w:type="pct"/>
          </w:tcPr>
          <w:p w14:paraId="394D6131"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8965FF4"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BEBF498"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56136D12"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424C1D23"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7D069A22" w14:textId="77777777" w:rsidR="00823C15" w:rsidRPr="00BE0CB4" w:rsidRDefault="00BE0CB4" w:rsidP="00823C15">
            <w:pPr>
              <w:pStyle w:val="TableText"/>
              <w:ind w:left="-85" w:right="-85"/>
              <w:jc w:val="center"/>
              <w:rPr>
                <w:b/>
                <w:bCs w:val="0"/>
              </w:rPr>
            </w:pPr>
            <w:r>
              <w:rPr>
                <w:noProof/>
                <w:color w:val="000000"/>
                <w:highlight w:val="black"/>
              </w:rPr>
              <w:t>'''''''''''''''''</w:t>
            </w:r>
            <w:r w:rsidR="00D90C26">
              <w:rPr>
                <w:vertAlign w:val="superscript"/>
              </w:rPr>
              <w:t>7</w:t>
            </w:r>
          </w:p>
        </w:tc>
      </w:tr>
      <w:tr w:rsidR="00B50AC8" w:rsidRPr="00191822" w14:paraId="44338210" w14:textId="77777777" w:rsidTr="004026AA">
        <w:tc>
          <w:tcPr>
            <w:tcW w:w="1491" w:type="pct"/>
          </w:tcPr>
          <w:p w14:paraId="0F064845" w14:textId="77777777" w:rsidR="00B50AC8" w:rsidRPr="00191822" w:rsidRDefault="00B50AC8" w:rsidP="00B50AC8">
            <w:pPr>
              <w:pStyle w:val="TableText"/>
              <w:rPr>
                <w:b/>
                <w:bCs w:val="0"/>
                <w:szCs w:val="20"/>
              </w:rPr>
            </w:pPr>
            <w:r w:rsidRPr="00191822">
              <w:t xml:space="preserve">Net </w:t>
            </w:r>
            <w:r w:rsidR="00FB647F">
              <w:t xml:space="preserve">saving for </w:t>
            </w:r>
            <w:r w:rsidRPr="00191822">
              <w:t>displaced ALLO</w:t>
            </w:r>
          </w:p>
        </w:tc>
        <w:tc>
          <w:tcPr>
            <w:tcW w:w="584" w:type="pct"/>
          </w:tcPr>
          <w:p w14:paraId="7F0F2F2B"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0491817E"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5D217A31"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8598536"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4D585989"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516FAC58"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r>
      <w:tr w:rsidR="00B50AC8" w:rsidRPr="00191822" w14:paraId="1F2AB1B8" w14:textId="77777777" w:rsidTr="004026AA">
        <w:tc>
          <w:tcPr>
            <w:tcW w:w="1491" w:type="pct"/>
          </w:tcPr>
          <w:p w14:paraId="07116E57" w14:textId="77777777" w:rsidR="00B50AC8" w:rsidRPr="00191822" w:rsidRDefault="00B50AC8" w:rsidP="00B50AC8">
            <w:pPr>
              <w:pStyle w:val="TableText"/>
              <w:rPr>
                <w:b/>
                <w:bCs w:val="0"/>
                <w:szCs w:val="20"/>
              </w:rPr>
            </w:pPr>
            <w:r w:rsidRPr="00191822">
              <w:t xml:space="preserve">Net </w:t>
            </w:r>
            <w:r w:rsidR="00FB647F">
              <w:t xml:space="preserve">saving for </w:t>
            </w:r>
            <w:r w:rsidRPr="00191822">
              <w:t>displaced IBR</w:t>
            </w:r>
          </w:p>
        </w:tc>
        <w:tc>
          <w:tcPr>
            <w:tcW w:w="584" w:type="pct"/>
          </w:tcPr>
          <w:p w14:paraId="42C2C0DE" w14:textId="77777777" w:rsidR="00B50AC8" w:rsidRPr="00BE0CB4" w:rsidRDefault="00BE0CB4" w:rsidP="00B50A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446DE681" w14:textId="77777777" w:rsidR="00B50AC8" w:rsidRPr="00BE0CB4" w:rsidRDefault="00BE0CB4" w:rsidP="00B50A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4730C53E" w14:textId="77777777" w:rsidR="00B50AC8" w:rsidRPr="00BE0CB4" w:rsidRDefault="00BE0CB4" w:rsidP="00B50A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350BC852" w14:textId="77777777" w:rsidR="00B50AC8" w:rsidRPr="00BE0CB4" w:rsidRDefault="00BE0CB4" w:rsidP="00B50A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2010C1BD" w14:textId="77777777" w:rsidR="00B50AC8" w:rsidRPr="00BE0CB4" w:rsidRDefault="00BE0CB4" w:rsidP="00B50A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3DE5423B" w14:textId="77777777" w:rsidR="00B50AC8" w:rsidRPr="00BE0CB4" w:rsidRDefault="00BE0CB4" w:rsidP="00B50AC8">
            <w:pPr>
              <w:pStyle w:val="TableText"/>
              <w:ind w:left="-85" w:right="-85"/>
              <w:jc w:val="center"/>
              <w:rPr>
                <w:b/>
                <w:bCs w:val="0"/>
              </w:rPr>
            </w:pPr>
            <w:r>
              <w:rPr>
                <w:noProof/>
                <w:color w:val="000000"/>
                <w:highlight w:val="black"/>
              </w:rPr>
              <w:t>''''''''''''''''''''''''''''</w:t>
            </w:r>
            <w:r w:rsidR="00BF09BC">
              <w:rPr>
                <w:vertAlign w:val="superscript"/>
              </w:rPr>
              <w:t>4</w:t>
            </w:r>
          </w:p>
        </w:tc>
      </w:tr>
      <w:tr w:rsidR="008F1BC8" w:rsidRPr="00191822" w14:paraId="358AAD16" w14:textId="77777777" w:rsidTr="004026AA">
        <w:tc>
          <w:tcPr>
            <w:tcW w:w="1491" w:type="pct"/>
          </w:tcPr>
          <w:p w14:paraId="43F0A2FB" w14:textId="77777777" w:rsidR="008F1BC8" w:rsidRPr="00191822" w:rsidRDefault="008F1BC8" w:rsidP="008F1BC8">
            <w:pPr>
              <w:pStyle w:val="TableText"/>
              <w:rPr>
                <w:b/>
                <w:bCs w:val="0"/>
                <w:szCs w:val="20"/>
              </w:rPr>
            </w:pPr>
            <w:r w:rsidRPr="00191822">
              <w:rPr>
                <w:szCs w:val="20"/>
              </w:rPr>
              <w:t>Net cost of additional IDEL</w:t>
            </w:r>
          </w:p>
        </w:tc>
        <w:tc>
          <w:tcPr>
            <w:tcW w:w="584" w:type="pct"/>
            <w:vAlign w:val="center"/>
          </w:tcPr>
          <w:p w14:paraId="01A94770"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vAlign w:val="center"/>
          </w:tcPr>
          <w:p w14:paraId="56263567"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vAlign w:val="center"/>
          </w:tcPr>
          <w:p w14:paraId="12DBA696"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vAlign w:val="center"/>
          </w:tcPr>
          <w:p w14:paraId="0F92723B"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vAlign w:val="center"/>
          </w:tcPr>
          <w:p w14:paraId="0034FB95"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vAlign w:val="center"/>
          </w:tcPr>
          <w:p w14:paraId="0BA434CF"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r>
      <w:tr w:rsidR="008F1BC8" w:rsidRPr="00191822" w14:paraId="353ECE83" w14:textId="77777777" w:rsidTr="008F1BC8">
        <w:trPr>
          <w:trHeight w:val="70"/>
        </w:trPr>
        <w:tc>
          <w:tcPr>
            <w:tcW w:w="1491" w:type="pct"/>
          </w:tcPr>
          <w:p w14:paraId="241EFC93" w14:textId="77777777" w:rsidR="008F1BC8" w:rsidRPr="00191822" w:rsidRDefault="008F1BC8" w:rsidP="008F1BC8">
            <w:pPr>
              <w:pStyle w:val="TableText"/>
              <w:rPr>
                <w:b/>
                <w:bCs w:val="0"/>
                <w:szCs w:val="20"/>
              </w:rPr>
            </w:pPr>
            <w:r w:rsidRPr="00191822">
              <w:t>Net cost of additional RIT</w:t>
            </w:r>
          </w:p>
        </w:tc>
        <w:tc>
          <w:tcPr>
            <w:tcW w:w="584" w:type="pct"/>
          </w:tcPr>
          <w:p w14:paraId="53CC6AEB"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42E9934"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AB845F1"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3A601787"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13735BE1"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4B98854E"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r>
      <w:tr w:rsidR="008F1BC8" w:rsidRPr="00191822" w14:paraId="03D1DFE5" w14:textId="77777777" w:rsidTr="004026AA">
        <w:tc>
          <w:tcPr>
            <w:tcW w:w="1491" w:type="pct"/>
          </w:tcPr>
          <w:p w14:paraId="458554E0" w14:textId="77777777" w:rsidR="008F1BC8" w:rsidRPr="00191822" w:rsidRDefault="008F1BC8" w:rsidP="008F1BC8">
            <w:pPr>
              <w:pStyle w:val="TableText"/>
              <w:rPr>
                <w:b/>
                <w:bCs w:val="0"/>
                <w:szCs w:val="20"/>
              </w:rPr>
            </w:pPr>
            <w:r w:rsidRPr="00191822">
              <w:t>Net saving to the PBS/RPBS</w:t>
            </w:r>
          </w:p>
        </w:tc>
        <w:tc>
          <w:tcPr>
            <w:tcW w:w="584" w:type="pct"/>
          </w:tcPr>
          <w:p w14:paraId="2715F4B0" w14:textId="77777777" w:rsidR="008F1BC8" w:rsidRPr="00BE0CB4" w:rsidRDefault="00BE0CB4" w:rsidP="008F1BC8">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1058B937" w14:textId="77777777" w:rsidR="008F1BC8" w:rsidRPr="00BE0CB4" w:rsidRDefault="00BE0CB4" w:rsidP="008F1B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36C62C14" w14:textId="77777777" w:rsidR="008F1BC8" w:rsidRPr="00BE0CB4" w:rsidRDefault="00BE0CB4" w:rsidP="008F1B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6B95BE79" w14:textId="77777777" w:rsidR="008F1BC8" w:rsidRPr="00BE0CB4" w:rsidRDefault="00BE0CB4" w:rsidP="008F1B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6AB92589" w14:textId="77777777" w:rsidR="008F1BC8" w:rsidRPr="00BE0CB4" w:rsidRDefault="00BE0CB4" w:rsidP="008F1BC8">
            <w:pPr>
              <w:pStyle w:val="TableText"/>
              <w:ind w:left="-85" w:right="-85"/>
              <w:jc w:val="center"/>
              <w:rPr>
                <w:b/>
                <w:bCs w:val="0"/>
              </w:rPr>
            </w:pPr>
            <w:r>
              <w:rPr>
                <w:noProof/>
                <w:color w:val="000000"/>
                <w:highlight w:val="black"/>
              </w:rPr>
              <w:t>''''''''''''''''''''''''''''</w:t>
            </w:r>
            <w:r w:rsidR="00BF09BC">
              <w:rPr>
                <w:vertAlign w:val="superscript"/>
              </w:rPr>
              <w:t>4</w:t>
            </w:r>
          </w:p>
        </w:tc>
        <w:tc>
          <w:tcPr>
            <w:tcW w:w="585" w:type="pct"/>
          </w:tcPr>
          <w:p w14:paraId="5BE1E317" w14:textId="77777777" w:rsidR="008F1BC8" w:rsidRPr="00BE0CB4" w:rsidRDefault="00BE0CB4" w:rsidP="008F1BC8">
            <w:pPr>
              <w:pStyle w:val="TableText"/>
              <w:ind w:left="-85" w:right="-85"/>
              <w:jc w:val="center"/>
              <w:rPr>
                <w:b/>
                <w:bCs w:val="0"/>
              </w:rPr>
            </w:pPr>
            <w:r>
              <w:rPr>
                <w:noProof/>
                <w:color w:val="000000"/>
                <w:highlight w:val="black"/>
              </w:rPr>
              <w:t>''''''''''''''''''''''''''''''</w:t>
            </w:r>
            <w:r w:rsidR="00BF09BC">
              <w:rPr>
                <w:vertAlign w:val="superscript"/>
              </w:rPr>
              <w:t>4</w:t>
            </w:r>
          </w:p>
        </w:tc>
      </w:tr>
      <w:tr w:rsidR="00426647" w:rsidRPr="00191822" w14:paraId="4A492541" w14:textId="77777777" w:rsidTr="00426647">
        <w:tc>
          <w:tcPr>
            <w:tcW w:w="5000" w:type="pct"/>
            <w:gridSpan w:val="7"/>
          </w:tcPr>
          <w:p w14:paraId="2587154E" w14:textId="77777777" w:rsidR="00426647" w:rsidRPr="00191822" w:rsidRDefault="006B0D1E" w:rsidP="00426647">
            <w:pPr>
              <w:pStyle w:val="TableText"/>
              <w:ind w:left="-85" w:right="-85"/>
              <w:rPr>
                <w:b/>
                <w:bCs w:val="0"/>
              </w:rPr>
            </w:pPr>
            <w:r>
              <w:rPr>
                <w:b/>
                <w:bCs w:val="0"/>
              </w:rPr>
              <w:t>Net financial implications</w:t>
            </w:r>
          </w:p>
        </w:tc>
      </w:tr>
      <w:tr w:rsidR="004A7BAF" w:rsidRPr="00191822" w14:paraId="64437F82" w14:textId="77777777" w:rsidTr="004026AA">
        <w:tc>
          <w:tcPr>
            <w:tcW w:w="1491" w:type="pct"/>
          </w:tcPr>
          <w:p w14:paraId="7327193C" w14:textId="77777777" w:rsidR="004A7BAF" w:rsidRPr="00191822" w:rsidRDefault="004A7BAF" w:rsidP="004A7BAF">
            <w:pPr>
              <w:pStyle w:val="TableText"/>
              <w:rPr>
                <w:b/>
                <w:bCs w:val="0"/>
                <w:szCs w:val="20"/>
              </w:rPr>
            </w:pPr>
            <w:r w:rsidRPr="00191822">
              <w:rPr>
                <w:szCs w:val="20"/>
              </w:rPr>
              <w:t>Net cost to the PBS/RPBS</w:t>
            </w:r>
            <w:r w:rsidR="006B0D1E">
              <w:rPr>
                <w:szCs w:val="20"/>
              </w:rPr>
              <w:t xml:space="preserve"> </w:t>
            </w:r>
          </w:p>
        </w:tc>
        <w:tc>
          <w:tcPr>
            <w:tcW w:w="584" w:type="pct"/>
          </w:tcPr>
          <w:p w14:paraId="3DFFFED8"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20E07B9D"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5EF2F306"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4</w:t>
            </w:r>
          </w:p>
        </w:tc>
        <w:tc>
          <w:tcPr>
            <w:tcW w:w="585" w:type="pct"/>
          </w:tcPr>
          <w:p w14:paraId="296227D7"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5</w:t>
            </w:r>
          </w:p>
        </w:tc>
        <w:tc>
          <w:tcPr>
            <w:tcW w:w="585" w:type="pct"/>
          </w:tcPr>
          <w:p w14:paraId="359F23D8"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5</w:t>
            </w:r>
          </w:p>
        </w:tc>
        <w:tc>
          <w:tcPr>
            <w:tcW w:w="585" w:type="pct"/>
          </w:tcPr>
          <w:p w14:paraId="352EECE9"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5</w:t>
            </w:r>
          </w:p>
        </w:tc>
      </w:tr>
      <w:tr w:rsidR="004A7BAF" w:rsidRPr="00191822" w14:paraId="634B8709" w14:textId="77777777" w:rsidTr="004026AA">
        <w:tc>
          <w:tcPr>
            <w:tcW w:w="1491" w:type="pct"/>
          </w:tcPr>
          <w:p w14:paraId="0C7F8867" w14:textId="77777777" w:rsidR="004A7BAF" w:rsidRPr="00191822" w:rsidRDefault="004A7BAF" w:rsidP="004A7BAF">
            <w:pPr>
              <w:pStyle w:val="TableText"/>
              <w:rPr>
                <w:b/>
                <w:bCs w:val="0"/>
                <w:szCs w:val="20"/>
              </w:rPr>
            </w:pPr>
            <w:r w:rsidRPr="00191822">
              <w:rPr>
                <w:szCs w:val="20"/>
              </w:rPr>
              <w:t>Net saving to MBS</w:t>
            </w:r>
          </w:p>
        </w:tc>
        <w:tc>
          <w:tcPr>
            <w:tcW w:w="584" w:type="pct"/>
          </w:tcPr>
          <w:p w14:paraId="13A099A8"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13338B64"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3B772823"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654B9204"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1F2D9259"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c>
          <w:tcPr>
            <w:tcW w:w="585" w:type="pct"/>
          </w:tcPr>
          <w:p w14:paraId="32543394" w14:textId="77777777" w:rsidR="004A7BAF" w:rsidRPr="00BE0CB4" w:rsidRDefault="00BE0CB4" w:rsidP="004A7BAF">
            <w:pPr>
              <w:pStyle w:val="TableText"/>
              <w:ind w:left="-85" w:right="-85"/>
              <w:jc w:val="center"/>
              <w:rPr>
                <w:b/>
                <w:bCs w:val="0"/>
              </w:rPr>
            </w:pPr>
            <w:r>
              <w:rPr>
                <w:noProof/>
                <w:color w:val="000000"/>
                <w:highlight w:val="black"/>
              </w:rPr>
              <w:t>'''''''''''''''</w:t>
            </w:r>
            <w:r w:rsidR="00D90C26">
              <w:rPr>
                <w:vertAlign w:val="superscript"/>
              </w:rPr>
              <w:t>7</w:t>
            </w:r>
          </w:p>
        </w:tc>
      </w:tr>
      <w:tr w:rsidR="004A7BAF" w:rsidRPr="00191822" w14:paraId="63C24990" w14:textId="77777777" w:rsidTr="00367DCE">
        <w:tc>
          <w:tcPr>
            <w:tcW w:w="1491" w:type="pct"/>
          </w:tcPr>
          <w:p w14:paraId="63884F0A" w14:textId="77777777" w:rsidR="004A7BAF" w:rsidRPr="00661BA9" w:rsidRDefault="004A7BAF" w:rsidP="004A7BAF">
            <w:pPr>
              <w:pStyle w:val="TableText"/>
              <w:rPr>
                <w:szCs w:val="20"/>
              </w:rPr>
            </w:pPr>
            <w:r w:rsidRPr="00661BA9">
              <w:rPr>
                <w:szCs w:val="20"/>
              </w:rPr>
              <w:t xml:space="preserve">Net cost to </w:t>
            </w:r>
            <w:r w:rsidR="004F7657">
              <w:rPr>
                <w:szCs w:val="20"/>
              </w:rPr>
              <w:t xml:space="preserve">Australian </w:t>
            </w:r>
            <w:r w:rsidRPr="00661BA9">
              <w:rPr>
                <w:szCs w:val="20"/>
              </w:rPr>
              <w:t>Government</w:t>
            </w:r>
          </w:p>
        </w:tc>
        <w:tc>
          <w:tcPr>
            <w:tcW w:w="584" w:type="pct"/>
            <w:vAlign w:val="center"/>
          </w:tcPr>
          <w:p w14:paraId="7F4D2C9D"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7</w:t>
            </w:r>
          </w:p>
        </w:tc>
        <w:tc>
          <w:tcPr>
            <w:tcW w:w="585" w:type="pct"/>
            <w:vAlign w:val="center"/>
          </w:tcPr>
          <w:p w14:paraId="4EB57826"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7</w:t>
            </w:r>
          </w:p>
        </w:tc>
        <w:tc>
          <w:tcPr>
            <w:tcW w:w="585" w:type="pct"/>
            <w:vAlign w:val="center"/>
          </w:tcPr>
          <w:p w14:paraId="22CF200D"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4</w:t>
            </w:r>
          </w:p>
        </w:tc>
        <w:tc>
          <w:tcPr>
            <w:tcW w:w="585" w:type="pct"/>
            <w:vAlign w:val="center"/>
          </w:tcPr>
          <w:p w14:paraId="7F0D48D1"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5</w:t>
            </w:r>
          </w:p>
        </w:tc>
        <w:tc>
          <w:tcPr>
            <w:tcW w:w="585" w:type="pct"/>
            <w:vAlign w:val="center"/>
          </w:tcPr>
          <w:p w14:paraId="3BAF7FAC"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5</w:t>
            </w:r>
          </w:p>
        </w:tc>
        <w:tc>
          <w:tcPr>
            <w:tcW w:w="585" w:type="pct"/>
            <w:vAlign w:val="center"/>
          </w:tcPr>
          <w:p w14:paraId="56C1CC2A" w14:textId="77777777" w:rsidR="004A7BAF" w:rsidRPr="00BE0CB4" w:rsidRDefault="00BE0CB4" w:rsidP="00585091">
            <w:pPr>
              <w:pStyle w:val="TableText"/>
              <w:ind w:left="-85" w:right="-85"/>
              <w:jc w:val="center"/>
            </w:pPr>
            <w:r>
              <w:rPr>
                <w:noProof/>
                <w:color w:val="000000"/>
                <w:highlight w:val="black"/>
              </w:rPr>
              <w:t>''''''''''''''''''''''''''''''</w:t>
            </w:r>
            <w:r w:rsidR="00D90C26">
              <w:rPr>
                <w:vertAlign w:val="superscript"/>
              </w:rPr>
              <w:t>5</w:t>
            </w:r>
          </w:p>
        </w:tc>
      </w:tr>
      <w:tr w:rsidR="00D9270D" w:rsidRPr="00191822" w14:paraId="4F24DC26" w14:textId="77777777" w:rsidTr="00D9270D">
        <w:tc>
          <w:tcPr>
            <w:tcW w:w="5000" w:type="pct"/>
            <w:gridSpan w:val="7"/>
            <w:shd w:val="clear" w:color="auto" w:fill="C6D9F1" w:themeFill="text2" w:themeFillTint="33"/>
          </w:tcPr>
          <w:p w14:paraId="2F8CFF24" w14:textId="77777777" w:rsidR="00D9270D" w:rsidRPr="00191822" w:rsidRDefault="00D9270D" w:rsidP="00D9270D">
            <w:pPr>
              <w:pStyle w:val="TableText"/>
              <w:ind w:left="-85" w:right="-85"/>
              <w:rPr>
                <w:b/>
              </w:rPr>
            </w:pPr>
            <w:r w:rsidRPr="00191822">
              <w:rPr>
                <w:b/>
                <w:bCs w:val="0"/>
              </w:rPr>
              <w:t>July 2020 acalabrutinib submission</w:t>
            </w:r>
          </w:p>
        </w:tc>
      </w:tr>
      <w:tr w:rsidR="00D9270D" w:rsidRPr="00191822" w14:paraId="0535A345" w14:textId="77777777" w:rsidTr="00D9270D">
        <w:tc>
          <w:tcPr>
            <w:tcW w:w="1491" w:type="pct"/>
            <w:shd w:val="clear" w:color="auto" w:fill="C6D9F1" w:themeFill="text2" w:themeFillTint="33"/>
          </w:tcPr>
          <w:p w14:paraId="541E7000" w14:textId="77777777" w:rsidR="00D9270D" w:rsidRPr="00191822" w:rsidRDefault="00D9270D" w:rsidP="00D9270D">
            <w:pPr>
              <w:pStyle w:val="TableText"/>
              <w:rPr>
                <w:b/>
                <w:bCs w:val="0"/>
                <w:szCs w:val="20"/>
              </w:rPr>
            </w:pPr>
            <w:r w:rsidRPr="00191822">
              <w:rPr>
                <w:szCs w:val="20"/>
              </w:rPr>
              <w:t>Net cost to</w:t>
            </w:r>
            <w:r w:rsidR="004F7657">
              <w:rPr>
                <w:szCs w:val="20"/>
              </w:rPr>
              <w:t xml:space="preserve"> Australian </w:t>
            </w:r>
            <w:r w:rsidRPr="00191822">
              <w:rPr>
                <w:szCs w:val="20"/>
              </w:rPr>
              <w:t>Government</w:t>
            </w:r>
          </w:p>
        </w:tc>
        <w:tc>
          <w:tcPr>
            <w:tcW w:w="584" w:type="pct"/>
            <w:shd w:val="clear" w:color="auto" w:fill="C6D9F1" w:themeFill="text2" w:themeFillTint="33"/>
            <w:vAlign w:val="center"/>
          </w:tcPr>
          <w:p w14:paraId="2EBB93CE"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4</w:t>
            </w:r>
          </w:p>
        </w:tc>
        <w:tc>
          <w:tcPr>
            <w:tcW w:w="585" w:type="pct"/>
            <w:shd w:val="clear" w:color="auto" w:fill="C6D9F1" w:themeFill="text2" w:themeFillTint="33"/>
            <w:vAlign w:val="center"/>
          </w:tcPr>
          <w:p w14:paraId="6D221D93"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5</w:t>
            </w:r>
          </w:p>
        </w:tc>
        <w:tc>
          <w:tcPr>
            <w:tcW w:w="585" w:type="pct"/>
            <w:shd w:val="clear" w:color="auto" w:fill="C6D9F1" w:themeFill="text2" w:themeFillTint="33"/>
            <w:vAlign w:val="center"/>
          </w:tcPr>
          <w:p w14:paraId="50D58524"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8</w:t>
            </w:r>
          </w:p>
        </w:tc>
        <w:tc>
          <w:tcPr>
            <w:tcW w:w="585" w:type="pct"/>
            <w:shd w:val="clear" w:color="auto" w:fill="C6D9F1" w:themeFill="text2" w:themeFillTint="33"/>
            <w:vAlign w:val="center"/>
          </w:tcPr>
          <w:p w14:paraId="2A618FEB"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9</w:t>
            </w:r>
          </w:p>
        </w:tc>
        <w:tc>
          <w:tcPr>
            <w:tcW w:w="585" w:type="pct"/>
            <w:shd w:val="clear" w:color="auto" w:fill="C6D9F1" w:themeFill="text2" w:themeFillTint="33"/>
            <w:vAlign w:val="center"/>
          </w:tcPr>
          <w:p w14:paraId="7BDAFC0A"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10</w:t>
            </w:r>
          </w:p>
        </w:tc>
        <w:tc>
          <w:tcPr>
            <w:tcW w:w="585" w:type="pct"/>
            <w:shd w:val="clear" w:color="auto" w:fill="C6D9F1" w:themeFill="text2" w:themeFillTint="33"/>
            <w:vAlign w:val="center"/>
          </w:tcPr>
          <w:p w14:paraId="1B040B63" w14:textId="77777777" w:rsidR="00D9270D" w:rsidRPr="00BE0CB4" w:rsidRDefault="00BE0CB4" w:rsidP="00D9270D">
            <w:pPr>
              <w:pStyle w:val="TableText"/>
              <w:ind w:left="-85" w:right="-85"/>
              <w:jc w:val="center"/>
              <w:rPr>
                <w:b/>
              </w:rPr>
            </w:pPr>
            <w:r>
              <w:rPr>
                <w:noProof/>
                <w:color w:val="000000"/>
                <w:highlight w:val="black"/>
              </w:rPr>
              <w:t>''''''''''''''''''''''''''</w:t>
            </w:r>
            <w:r w:rsidR="00D90C26">
              <w:rPr>
                <w:vertAlign w:val="superscript"/>
              </w:rPr>
              <w:t>11</w:t>
            </w:r>
          </w:p>
        </w:tc>
      </w:tr>
    </w:tbl>
    <w:p w14:paraId="75C53A6C" w14:textId="77777777" w:rsidR="00FB019D" w:rsidRPr="00191822" w:rsidRDefault="00FB019D" w:rsidP="00FB019D">
      <w:pPr>
        <w:pStyle w:val="TableFooter"/>
        <w:spacing w:after="120"/>
      </w:pPr>
      <w:r w:rsidRPr="00191822">
        <w:t>Source: Attachment 24_ACA_BIM_Section 4_Final’ Excel workbook, Attachment 24 of the resubmission</w:t>
      </w:r>
      <w:r w:rsidR="008A2703" w:rsidRPr="00191822">
        <w:t>.</w:t>
      </w:r>
    </w:p>
    <w:p w14:paraId="2A5F2F75" w14:textId="77777777" w:rsidR="00FB019D" w:rsidRPr="00191822" w:rsidRDefault="00FB019D" w:rsidP="00FB019D">
      <w:pPr>
        <w:pStyle w:val="TableFooter"/>
        <w:spacing w:after="120"/>
      </w:pPr>
      <w:r w:rsidRPr="00191822">
        <w:t xml:space="preserve">ACAL, acalabrutinib; </w:t>
      </w:r>
      <w:r w:rsidR="00945450" w:rsidRPr="00191822">
        <w:t xml:space="preserve">ALLO, allopurinol; CHL, chlorambucil; CLL, chronic lymphocytic leukaemia; IBR, ibrutinib; IDEL, </w:t>
      </w:r>
      <w:proofErr w:type="spellStart"/>
      <w:r w:rsidR="00945450" w:rsidRPr="00191822">
        <w:t>idelalisib</w:t>
      </w:r>
      <w:proofErr w:type="spellEnd"/>
      <w:r w:rsidR="00945450" w:rsidRPr="00191822">
        <w:t xml:space="preserve">; OBI, </w:t>
      </w:r>
      <w:proofErr w:type="spellStart"/>
      <w:r w:rsidR="00945450" w:rsidRPr="00191822">
        <w:t>obinutuzumab</w:t>
      </w:r>
      <w:proofErr w:type="spellEnd"/>
      <w:r w:rsidR="00945450" w:rsidRPr="00191822">
        <w:t>; RIT, rituximab;</w:t>
      </w:r>
      <w:r w:rsidRPr="00191822">
        <w:t xml:space="preserve"> VEN, </w:t>
      </w:r>
      <w:proofErr w:type="spellStart"/>
      <w:r w:rsidRPr="00191822">
        <w:t>venetoclax</w:t>
      </w:r>
      <w:proofErr w:type="spellEnd"/>
      <w:r w:rsidRPr="00191822">
        <w:t>.</w:t>
      </w:r>
    </w:p>
    <w:p w14:paraId="20AC567A" w14:textId="77777777" w:rsidR="00FB019D" w:rsidRDefault="00FB019D" w:rsidP="00EB7EA3">
      <w:pPr>
        <w:pStyle w:val="TableFooter"/>
      </w:pPr>
      <w:r w:rsidRPr="00191822">
        <w:t>Blue highlighted cells indicate July 2020 estimates.</w:t>
      </w:r>
    </w:p>
    <w:p w14:paraId="0E7E37ED" w14:textId="77777777" w:rsidR="00BF09BC" w:rsidRDefault="00BF09BC">
      <w:pPr>
        <w:pStyle w:val="TableFigureFooter"/>
        <w:spacing w:after="0"/>
        <w:contextualSpacing w:val="0"/>
        <w:rPr>
          <w:i/>
        </w:rPr>
      </w:pPr>
      <w:r w:rsidRPr="009868C4">
        <w:rPr>
          <w:i/>
        </w:rPr>
        <w:t>The redacted values correspond to the following ranges</w:t>
      </w:r>
      <w:r>
        <w:rPr>
          <w:i/>
        </w:rPr>
        <w:t xml:space="preserve">: </w:t>
      </w:r>
    </w:p>
    <w:p w14:paraId="1B343C04" w14:textId="77777777" w:rsidR="00BF09BC" w:rsidRPr="00870C5D" w:rsidRDefault="00BF09BC" w:rsidP="00BF09BC">
      <w:pPr>
        <w:pStyle w:val="TableFigureFooter"/>
        <w:spacing w:after="0"/>
        <w:contextualSpacing w:val="0"/>
      </w:pPr>
      <w:r>
        <w:rPr>
          <w:i/>
          <w:vertAlign w:val="superscript"/>
        </w:rPr>
        <w:t>1</w:t>
      </w:r>
      <w:r>
        <w:rPr>
          <w:i/>
        </w:rPr>
        <w:t xml:space="preserve"> </w:t>
      </w:r>
      <w:r w:rsidRPr="00BF09BC">
        <w:rPr>
          <w:i/>
        </w:rPr>
        <w:t>&lt; 500</w:t>
      </w:r>
    </w:p>
    <w:p w14:paraId="3DEF32C8" w14:textId="77777777" w:rsidR="00BF09BC" w:rsidRPr="00870C5D" w:rsidRDefault="00BF09BC" w:rsidP="00BF09BC">
      <w:pPr>
        <w:pStyle w:val="TableFigureFooter"/>
        <w:spacing w:after="0"/>
        <w:contextualSpacing w:val="0"/>
      </w:pPr>
      <w:r>
        <w:rPr>
          <w:i/>
          <w:vertAlign w:val="superscript"/>
        </w:rPr>
        <w:t>2</w:t>
      </w:r>
      <w:r>
        <w:rPr>
          <w:i/>
        </w:rPr>
        <w:t xml:space="preserve"> </w:t>
      </w:r>
      <w:r w:rsidRPr="00BF09BC">
        <w:rPr>
          <w:i/>
        </w:rPr>
        <w:t>500 to &lt; 5,000</w:t>
      </w:r>
    </w:p>
    <w:p w14:paraId="1C7BE785" w14:textId="77777777" w:rsidR="00BF09BC" w:rsidRPr="00870C5D" w:rsidRDefault="00BF09BC" w:rsidP="00BF09BC">
      <w:pPr>
        <w:pStyle w:val="TableFigureFooter"/>
        <w:spacing w:after="0"/>
        <w:contextualSpacing w:val="0"/>
      </w:pPr>
      <w:r>
        <w:rPr>
          <w:i/>
          <w:vertAlign w:val="superscript"/>
        </w:rPr>
        <w:t>3</w:t>
      </w:r>
      <w:r>
        <w:rPr>
          <w:i/>
        </w:rPr>
        <w:t xml:space="preserve"> </w:t>
      </w:r>
      <w:r w:rsidRPr="00BF09BC">
        <w:rPr>
          <w:i/>
        </w:rPr>
        <w:t>5,000 to &lt; 10,000</w:t>
      </w:r>
    </w:p>
    <w:p w14:paraId="586D8A05" w14:textId="77777777" w:rsidR="00BF09BC" w:rsidRPr="00870C5D" w:rsidRDefault="00BF09BC" w:rsidP="00BF09BC">
      <w:pPr>
        <w:pStyle w:val="TableFigureFooter"/>
        <w:spacing w:after="0"/>
        <w:contextualSpacing w:val="0"/>
      </w:pPr>
      <w:r>
        <w:rPr>
          <w:i/>
          <w:vertAlign w:val="superscript"/>
        </w:rPr>
        <w:t>4</w:t>
      </w:r>
      <w:r>
        <w:rPr>
          <w:i/>
        </w:rPr>
        <w:t xml:space="preserve"> </w:t>
      </w:r>
      <w:r w:rsidRPr="00BF09BC">
        <w:rPr>
          <w:i/>
        </w:rPr>
        <w:t>$10 million to &lt; $20 million</w:t>
      </w:r>
    </w:p>
    <w:p w14:paraId="7D54BE33" w14:textId="77777777" w:rsidR="00BF09BC" w:rsidRPr="00870C5D" w:rsidRDefault="00BF09BC" w:rsidP="00BF09BC">
      <w:pPr>
        <w:pStyle w:val="TableFigureFooter"/>
        <w:spacing w:after="0"/>
        <w:contextualSpacing w:val="0"/>
      </w:pPr>
      <w:r>
        <w:rPr>
          <w:i/>
          <w:vertAlign w:val="superscript"/>
        </w:rPr>
        <w:t>5</w:t>
      </w:r>
      <w:r>
        <w:rPr>
          <w:i/>
        </w:rPr>
        <w:t xml:space="preserve"> </w:t>
      </w:r>
      <w:r w:rsidRPr="00BF09BC">
        <w:rPr>
          <w:i/>
        </w:rPr>
        <w:t>$20 million to &lt; $30 million</w:t>
      </w:r>
    </w:p>
    <w:p w14:paraId="3711A94F" w14:textId="77777777" w:rsidR="00BF09BC" w:rsidRPr="00870C5D" w:rsidRDefault="00BF09BC" w:rsidP="00BF09BC">
      <w:pPr>
        <w:pStyle w:val="TableFigureFooter"/>
        <w:spacing w:after="0"/>
        <w:contextualSpacing w:val="0"/>
      </w:pPr>
      <w:r>
        <w:rPr>
          <w:i/>
          <w:vertAlign w:val="superscript"/>
        </w:rPr>
        <w:t>6</w:t>
      </w:r>
      <w:r>
        <w:rPr>
          <w:i/>
        </w:rPr>
        <w:t xml:space="preserve"> </w:t>
      </w:r>
      <w:r w:rsidRPr="00BF09BC">
        <w:rPr>
          <w:i/>
        </w:rPr>
        <w:t>$30 million to &lt; $40 million</w:t>
      </w:r>
    </w:p>
    <w:p w14:paraId="3B98FC10" w14:textId="77777777" w:rsidR="00BF09BC" w:rsidRPr="00870C5D" w:rsidRDefault="00BF09BC" w:rsidP="00BF09BC">
      <w:pPr>
        <w:pStyle w:val="TableFigureFooter"/>
        <w:spacing w:after="0"/>
        <w:contextualSpacing w:val="0"/>
      </w:pPr>
      <w:r>
        <w:rPr>
          <w:i/>
          <w:vertAlign w:val="superscript"/>
        </w:rPr>
        <w:t>7</w:t>
      </w:r>
      <w:r>
        <w:rPr>
          <w:i/>
        </w:rPr>
        <w:t xml:space="preserve"> </w:t>
      </w:r>
      <w:r w:rsidRPr="00BF09BC">
        <w:rPr>
          <w:i/>
        </w:rPr>
        <w:t>$0 to &lt; $10 million</w:t>
      </w:r>
    </w:p>
    <w:p w14:paraId="770ACCC6" w14:textId="77777777" w:rsidR="00BF09BC" w:rsidRPr="00870C5D" w:rsidRDefault="00BF09BC" w:rsidP="00BF09BC">
      <w:pPr>
        <w:pStyle w:val="TableFigureFooter"/>
        <w:spacing w:after="0"/>
        <w:contextualSpacing w:val="0"/>
      </w:pPr>
      <w:r>
        <w:rPr>
          <w:i/>
          <w:vertAlign w:val="superscript"/>
        </w:rPr>
        <w:t>8</w:t>
      </w:r>
      <w:r>
        <w:rPr>
          <w:i/>
        </w:rPr>
        <w:t xml:space="preserve"> </w:t>
      </w:r>
      <w:r w:rsidRPr="00BF09BC">
        <w:rPr>
          <w:i/>
        </w:rPr>
        <w:t>$40 million to &lt; $50 million</w:t>
      </w:r>
    </w:p>
    <w:p w14:paraId="745EB566" w14:textId="77777777" w:rsidR="00BF09BC" w:rsidRPr="00870C5D" w:rsidRDefault="00BF09BC" w:rsidP="00BF09BC">
      <w:pPr>
        <w:pStyle w:val="TableFigureFooter"/>
        <w:spacing w:after="0"/>
        <w:contextualSpacing w:val="0"/>
      </w:pPr>
      <w:r>
        <w:rPr>
          <w:i/>
          <w:vertAlign w:val="superscript"/>
        </w:rPr>
        <w:t>9</w:t>
      </w:r>
      <w:r>
        <w:rPr>
          <w:i/>
        </w:rPr>
        <w:t xml:space="preserve"> </w:t>
      </w:r>
      <w:r w:rsidRPr="00BF09BC">
        <w:rPr>
          <w:i/>
        </w:rPr>
        <w:t>$60 million to &lt; $70 million</w:t>
      </w:r>
    </w:p>
    <w:p w14:paraId="7061F26D" w14:textId="77777777" w:rsidR="00BF09BC" w:rsidRDefault="00BF09BC" w:rsidP="00BF09BC">
      <w:pPr>
        <w:pStyle w:val="TableFigureFooter"/>
        <w:spacing w:after="0"/>
        <w:contextualSpacing w:val="0"/>
        <w:rPr>
          <w:i/>
        </w:rPr>
      </w:pPr>
      <w:r>
        <w:rPr>
          <w:i/>
          <w:vertAlign w:val="superscript"/>
        </w:rPr>
        <w:t>10</w:t>
      </w:r>
      <w:r>
        <w:rPr>
          <w:i/>
        </w:rPr>
        <w:t xml:space="preserve"> </w:t>
      </w:r>
      <w:r w:rsidRPr="00BF09BC">
        <w:rPr>
          <w:i/>
        </w:rPr>
        <w:t>$80 million to &lt; $90 million</w:t>
      </w:r>
    </w:p>
    <w:p w14:paraId="789E40D9" w14:textId="77777777" w:rsidR="00BF09BC" w:rsidRPr="00870C5D" w:rsidRDefault="00BF09BC" w:rsidP="00BF09BC">
      <w:pPr>
        <w:pStyle w:val="TableFigureFooter"/>
        <w:spacing w:after="0"/>
        <w:contextualSpacing w:val="0"/>
      </w:pPr>
      <w:r>
        <w:rPr>
          <w:i/>
          <w:vertAlign w:val="superscript"/>
        </w:rPr>
        <w:t xml:space="preserve">11 </w:t>
      </w:r>
      <w:r w:rsidRPr="00EB7EA3">
        <w:rPr>
          <w:i/>
        </w:rPr>
        <w:t>$100 million to &lt; $200 million</w:t>
      </w:r>
    </w:p>
    <w:p w14:paraId="6A2AAB68" w14:textId="77777777" w:rsidR="00BF09BC" w:rsidRPr="00191822" w:rsidRDefault="00BF09BC" w:rsidP="00FB019D">
      <w:pPr>
        <w:pStyle w:val="TableFooter"/>
        <w:spacing w:after="120"/>
      </w:pPr>
    </w:p>
    <w:p w14:paraId="01FEA840" w14:textId="77777777" w:rsidR="00365FBA" w:rsidRPr="00A25C41" w:rsidRDefault="00365FBA" w:rsidP="00BF09BC">
      <w:pPr>
        <w:pStyle w:val="ExecSumBodyText"/>
      </w:pPr>
      <w:r w:rsidRPr="00191822">
        <w:lastRenderedPageBreak/>
        <w:t xml:space="preserve">The estimated net cost to </w:t>
      </w:r>
      <w:r w:rsidR="004F7657">
        <w:t xml:space="preserve">the Australian </w:t>
      </w:r>
      <w:r w:rsidRPr="00191822">
        <w:t xml:space="preserve">Government was </w:t>
      </w:r>
      <w:r w:rsidR="00BF09BC" w:rsidRPr="00BF09BC">
        <w:t>$0 to &lt; $10 million</w:t>
      </w:r>
      <w:r w:rsidR="00BF09BC">
        <w:t xml:space="preserve"> </w:t>
      </w:r>
      <w:r w:rsidRPr="00191822">
        <w:t xml:space="preserve">in Year 1 of listing, increasing to </w:t>
      </w:r>
      <w:r w:rsidR="00BF09BC" w:rsidRPr="00BF09BC">
        <w:t>$20 million to &lt; $30 million</w:t>
      </w:r>
      <w:r w:rsidR="00BF09BC">
        <w:t xml:space="preserve"> </w:t>
      </w:r>
      <w:r w:rsidRPr="00191822">
        <w:t xml:space="preserve">in Year 6, an estimated net cost of </w:t>
      </w:r>
      <w:r w:rsidR="00BF09BC" w:rsidRPr="00BF09BC">
        <w:t>$100 million to &lt; $200 million</w:t>
      </w:r>
      <w:r w:rsidR="00BF09BC">
        <w:t xml:space="preserve"> </w:t>
      </w:r>
      <w:r w:rsidRPr="00191822">
        <w:t xml:space="preserve">over the first six years of listing. </w:t>
      </w:r>
      <w:r w:rsidRPr="00A25C41">
        <w:t>The July 2020 submission</w:t>
      </w:r>
      <w:r w:rsidR="009A016F" w:rsidRPr="00A25C41">
        <w:t xml:space="preserve"> (based on a broader requested patient population) </w:t>
      </w:r>
      <w:r w:rsidRPr="00A25C41">
        <w:t xml:space="preserve">estimated a net cost to </w:t>
      </w:r>
      <w:r w:rsidR="004F7657" w:rsidRPr="00A25C41">
        <w:t xml:space="preserve">the Australian </w:t>
      </w:r>
      <w:r w:rsidRPr="00A25C41">
        <w:t xml:space="preserve">Government of </w:t>
      </w:r>
      <w:r w:rsidR="00BF09BC" w:rsidRPr="00BF09BC">
        <w:t>$10 million to &lt; $20 million</w:t>
      </w:r>
      <w:r w:rsidR="00BF09BC">
        <w:t xml:space="preserve"> </w:t>
      </w:r>
      <w:r w:rsidRPr="00A25C41">
        <w:t xml:space="preserve">in Year 1 of listing, increasing to </w:t>
      </w:r>
      <w:r w:rsidR="00BF09BC" w:rsidRPr="00BF09BC">
        <w:t>$100 million to &lt; $200 million</w:t>
      </w:r>
      <w:r w:rsidR="00BF09BC">
        <w:t xml:space="preserve"> </w:t>
      </w:r>
      <w:r w:rsidRPr="00A25C41">
        <w:t>in Year 6.</w:t>
      </w:r>
    </w:p>
    <w:p w14:paraId="21894F35" w14:textId="77777777" w:rsidR="00365FBA" w:rsidRPr="00A25C41" w:rsidRDefault="00365FBA" w:rsidP="00365FBA">
      <w:pPr>
        <w:pStyle w:val="ExecSumBodyText"/>
      </w:pPr>
      <w:bookmarkStart w:id="61" w:name="_Ref89585138"/>
      <w:r w:rsidRPr="00A25C41">
        <w:t xml:space="preserve">The </w:t>
      </w:r>
      <w:r w:rsidR="00FB1C0D" w:rsidRPr="00A25C41">
        <w:t>estimated cost to the PBS/RPBS of listing acalabrutinib was considered uncertain due to the following reaso</w:t>
      </w:r>
      <w:r w:rsidRPr="00A25C41">
        <w:t>n</w:t>
      </w:r>
      <w:r w:rsidR="00FB1C0D" w:rsidRPr="00A25C41">
        <w:t>s:</w:t>
      </w:r>
      <w:bookmarkEnd w:id="61"/>
    </w:p>
    <w:p w14:paraId="2BB06153" w14:textId="77777777" w:rsidR="0011327E" w:rsidRPr="00A25C41" w:rsidRDefault="00365FBA" w:rsidP="00E042B7">
      <w:pPr>
        <w:pStyle w:val="ExecSumBodyText"/>
        <w:numPr>
          <w:ilvl w:val="0"/>
          <w:numId w:val="16"/>
        </w:numPr>
        <w:spacing w:after="0"/>
        <w:ind w:left="1077" w:hanging="357"/>
      </w:pPr>
      <w:r w:rsidRPr="00A25C41">
        <w:rPr>
          <w:iCs/>
        </w:rPr>
        <w:t xml:space="preserve">The size of the eligible population was highly uncertain due to a lack of clarity regarding the definition of unsuitability for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 xml:space="preserve"> treatment, and uncertainty regarding the proportion of patients who would discontinue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 xml:space="preserve"> due to intolerance.</w:t>
      </w:r>
      <w:r w:rsidR="00D35310">
        <w:rPr>
          <w:iCs/>
        </w:rPr>
        <w:t xml:space="preserve"> </w:t>
      </w:r>
      <w:r w:rsidR="00461452" w:rsidRPr="00DF44A0">
        <w:t xml:space="preserve">The size of the population would remain highly uncertain if the restriction requirements were based on subjective criteria. </w:t>
      </w:r>
    </w:p>
    <w:p w14:paraId="2892790E" w14:textId="77777777" w:rsidR="0011327E" w:rsidRPr="00A25C41" w:rsidRDefault="0011327E" w:rsidP="00E042B7">
      <w:pPr>
        <w:pStyle w:val="ExecSumBodyText"/>
        <w:numPr>
          <w:ilvl w:val="0"/>
          <w:numId w:val="16"/>
        </w:numPr>
        <w:spacing w:after="0"/>
        <w:ind w:left="1077" w:hanging="357"/>
        <w:rPr>
          <w:iCs/>
        </w:rPr>
      </w:pPr>
      <w:r w:rsidRPr="00A25C41">
        <w:rPr>
          <w:iCs/>
        </w:rPr>
        <w:t>The utilisation estimates were based on the age-standardised incidence of CLL rather than the age-specific (crude) incidence, which may have resulted in underestimation of the incident CLL population.</w:t>
      </w:r>
    </w:p>
    <w:p w14:paraId="163AE801" w14:textId="77777777" w:rsidR="00CF6465" w:rsidRPr="00A25C41" w:rsidRDefault="00CF6465" w:rsidP="00E042B7">
      <w:pPr>
        <w:pStyle w:val="ExecSumBodyText"/>
        <w:numPr>
          <w:ilvl w:val="0"/>
          <w:numId w:val="16"/>
        </w:numPr>
        <w:spacing w:after="0"/>
        <w:ind w:left="1077" w:hanging="357"/>
      </w:pPr>
      <w:r w:rsidRPr="00A25C41">
        <w:rPr>
          <w:iCs/>
        </w:rPr>
        <w:t>It was unclear whether the assumed treatment duration for acalabrutinib, which was estimated from extrapolated time to treatment discontinuation data from the ELEVATE-TN trial, would reflect the time on treatment in clinical practice.</w:t>
      </w:r>
    </w:p>
    <w:p w14:paraId="6CE320A3" w14:textId="77777777" w:rsidR="00B9571F" w:rsidRPr="00A25C41" w:rsidRDefault="00CF6465" w:rsidP="00E042B7">
      <w:pPr>
        <w:pStyle w:val="ExecSumBodyText"/>
        <w:numPr>
          <w:ilvl w:val="0"/>
          <w:numId w:val="16"/>
        </w:numPr>
        <w:ind w:left="1077" w:hanging="357"/>
      </w:pPr>
      <w:r w:rsidRPr="00A25C41">
        <w:rPr>
          <w:iCs/>
        </w:rPr>
        <w:t xml:space="preserve">There is a high risk of use among patients who are suitable for treatment with </w:t>
      </w:r>
      <w:proofErr w:type="spellStart"/>
      <w:r w:rsidRPr="00A25C41">
        <w:rPr>
          <w:iCs/>
        </w:rPr>
        <w:t>venetoclax</w:t>
      </w:r>
      <w:proofErr w:type="spellEnd"/>
      <w:r w:rsidRPr="00A25C41">
        <w:rPr>
          <w:iCs/>
        </w:rPr>
        <w:t xml:space="preserve"> + </w:t>
      </w:r>
      <w:proofErr w:type="spellStart"/>
      <w:r w:rsidRPr="00A25C41">
        <w:rPr>
          <w:iCs/>
        </w:rPr>
        <w:t>obinutuzumab</w:t>
      </w:r>
      <w:proofErr w:type="spellEnd"/>
      <w:r w:rsidRPr="00A25C41">
        <w:rPr>
          <w:iCs/>
        </w:rPr>
        <w:t>.</w:t>
      </w:r>
    </w:p>
    <w:p w14:paraId="606808D8" w14:textId="77777777" w:rsidR="00B9571F" w:rsidRPr="00834A7B" w:rsidRDefault="00A71278" w:rsidP="00A71278">
      <w:pPr>
        <w:pStyle w:val="ExecSumBodyText"/>
      </w:pPr>
      <w:bookmarkStart w:id="62" w:name="_Ref89585141"/>
      <w:r w:rsidRPr="00A25C41">
        <w:rPr>
          <w:iCs/>
        </w:rPr>
        <w:t xml:space="preserve">The estimated changes in use of other medicines </w:t>
      </w:r>
      <w:r w:rsidR="00CF6465" w:rsidRPr="00A25C41">
        <w:rPr>
          <w:iCs/>
        </w:rPr>
        <w:t>were</w:t>
      </w:r>
      <w:r w:rsidRPr="00A25C41">
        <w:rPr>
          <w:iCs/>
        </w:rPr>
        <w:t xml:space="preserve"> considered uncertain due to the following reasons:</w:t>
      </w:r>
      <w:bookmarkEnd w:id="62"/>
    </w:p>
    <w:p w14:paraId="12283B96" w14:textId="77777777" w:rsidR="00A71278" w:rsidRPr="00A25C41" w:rsidRDefault="00A71278" w:rsidP="00E042B7">
      <w:pPr>
        <w:pStyle w:val="ExecSumBodyText"/>
        <w:numPr>
          <w:ilvl w:val="0"/>
          <w:numId w:val="16"/>
        </w:numPr>
        <w:spacing w:after="0"/>
        <w:ind w:left="1077" w:hanging="357"/>
      </w:pPr>
      <w:r w:rsidRPr="00A25C41">
        <w:rPr>
          <w:iCs/>
        </w:rPr>
        <w:t xml:space="preserve">The approach used to estimate changes in ibrutinib and </w:t>
      </w:r>
      <w:proofErr w:type="spellStart"/>
      <w:r w:rsidRPr="00A25C41">
        <w:rPr>
          <w:iCs/>
        </w:rPr>
        <w:t>obinutuzumab</w:t>
      </w:r>
      <w:proofErr w:type="spellEnd"/>
      <w:r w:rsidRPr="00A25C41">
        <w:rPr>
          <w:iCs/>
        </w:rPr>
        <w:t xml:space="preserve"> script counts (based on a market share approach using PBS dispensing data) differed from the approach used to estimate the number of acalabrutinib and </w:t>
      </w:r>
      <w:proofErr w:type="spellStart"/>
      <w:r w:rsidRPr="00A25C41">
        <w:rPr>
          <w:iCs/>
        </w:rPr>
        <w:t>idelalisib</w:t>
      </w:r>
      <w:proofErr w:type="spellEnd"/>
      <w:r w:rsidRPr="00A25C41">
        <w:rPr>
          <w:iCs/>
        </w:rPr>
        <w:t xml:space="preserve"> scripts (epidemiological approach adjusted for trial-based utilisation). It </w:t>
      </w:r>
      <w:r w:rsidR="00461452">
        <w:rPr>
          <w:iCs/>
        </w:rPr>
        <w:t>was</w:t>
      </w:r>
      <w:r w:rsidR="00461452" w:rsidRPr="00A25C41">
        <w:rPr>
          <w:iCs/>
        </w:rPr>
        <w:t xml:space="preserve"> </w:t>
      </w:r>
      <w:r w:rsidRPr="00A25C41">
        <w:rPr>
          <w:iCs/>
        </w:rPr>
        <w:t>unclear whether the two approaches produced consistent results.</w:t>
      </w:r>
    </w:p>
    <w:p w14:paraId="2C82994C" w14:textId="77777777" w:rsidR="00A71278" w:rsidRPr="00A25C41" w:rsidRDefault="00A71278" w:rsidP="00E042B7">
      <w:pPr>
        <w:pStyle w:val="ExecSumBodyText"/>
        <w:numPr>
          <w:ilvl w:val="0"/>
          <w:numId w:val="16"/>
        </w:numPr>
        <w:spacing w:after="0"/>
        <w:ind w:left="1077" w:hanging="357"/>
      </w:pPr>
      <w:r w:rsidRPr="00A25C41">
        <w:rPr>
          <w:iCs/>
        </w:rPr>
        <w:t xml:space="preserve">A proportion of patients treated with acalabrutinib in the first-line treatment setting may receive treatment with </w:t>
      </w:r>
      <w:proofErr w:type="spellStart"/>
      <w:r w:rsidRPr="00A25C41">
        <w:rPr>
          <w:iCs/>
        </w:rPr>
        <w:t>venetoclax</w:t>
      </w:r>
      <w:proofErr w:type="spellEnd"/>
      <w:r w:rsidRPr="00A25C41">
        <w:rPr>
          <w:iCs/>
        </w:rPr>
        <w:t xml:space="preserve"> + rituximab as a subsequent treatment, given the limited available options, and likely superiority of </w:t>
      </w:r>
      <w:proofErr w:type="spellStart"/>
      <w:r w:rsidRPr="00A25C41">
        <w:rPr>
          <w:iCs/>
        </w:rPr>
        <w:t>venetoclax</w:t>
      </w:r>
      <w:proofErr w:type="spellEnd"/>
      <w:r w:rsidRPr="00A25C41">
        <w:rPr>
          <w:iCs/>
        </w:rPr>
        <w:t xml:space="preserve"> + rituximab compared to </w:t>
      </w:r>
      <w:proofErr w:type="spellStart"/>
      <w:r w:rsidRPr="00A25C41">
        <w:rPr>
          <w:iCs/>
        </w:rPr>
        <w:t>idelalisib</w:t>
      </w:r>
      <w:proofErr w:type="spellEnd"/>
      <w:r w:rsidRPr="00A25C41">
        <w:rPr>
          <w:iCs/>
        </w:rPr>
        <w:t xml:space="preserve"> + rituximab.</w:t>
      </w:r>
    </w:p>
    <w:p w14:paraId="293FCE1B" w14:textId="77777777" w:rsidR="00CF6465" w:rsidRPr="00787CD9" w:rsidRDefault="00CF6465" w:rsidP="00E042B7">
      <w:pPr>
        <w:pStyle w:val="ExecSumBodyText"/>
        <w:numPr>
          <w:ilvl w:val="0"/>
          <w:numId w:val="16"/>
        </w:numPr>
        <w:ind w:left="1077" w:hanging="357"/>
      </w:pPr>
      <w:r w:rsidRPr="00A25C41">
        <w:rPr>
          <w:iCs/>
        </w:rPr>
        <w:t xml:space="preserve">The resubmission estimated the impact of RSAs for </w:t>
      </w:r>
      <w:proofErr w:type="spellStart"/>
      <w:r w:rsidRPr="00A25C41">
        <w:rPr>
          <w:iCs/>
        </w:rPr>
        <w:t>idelalisib</w:t>
      </w:r>
      <w:proofErr w:type="spellEnd"/>
      <w:r w:rsidRPr="00A25C41">
        <w:rPr>
          <w:iCs/>
        </w:rPr>
        <w:t xml:space="preserve"> and ibrutinib by assuming maximum treatment duration caps of 12 and 26 months, respectively. The assumed maximum treatment caps may not reflect the underlying RSA parameters.</w:t>
      </w:r>
    </w:p>
    <w:p w14:paraId="0FD29EF4" w14:textId="77777777" w:rsidR="00576972" w:rsidRPr="00191822" w:rsidRDefault="00576972" w:rsidP="00606FBA">
      <w:pPr>
        <w:pStyle w:val="3-SubsectionHeading"/>
      </w:pPr>
      <w:bookmarkStart w:id="63" w:name="_Toc22897648"/>
      <w:bookmarkStart w:id="64" w:name="_Toc82613393"/>
      <w:r w:rsidRPr="00191822">
        <w:t>Quality Use of Medicines</w:t>
      </w:r>
      <w:bookmarkEnd w:id="63"/>
      <w:bookmarkEnd w:id="64"/>
    </w:p>
    <w:p w14:paraId="1E28B283" w14:textId="77777777" w:rsidR="0054673A" w:rsidRPr="00191822" w:rsidRDefault="0054673A" w:rsidP="0054673A">
      <w:pPr>
        <w:pStyle w:val="ExecSumBodyText"/>
      </w:pPr>
      <w:r w:rsidRPr="00191822">
        <w:t xml:space="preserve">No quality use of medicines issues </w:t>
      </w:r>
      <w:proofErr w:type="gramStart"/>
      <w:r w:rsidRPr="00191822">
        <w:t>were</w:t>
      </w:r>
      <w:proofErr w:type="gramEnd"/>
      <w:r w:rsidRPr="00191822">
        <w:t xml:space="preserve"> raised in the </w:t>
      </w:r>
      <w:r w:rsidR="003D448B">
        <w:t>re</w:t>
      </w:r>
      <w:r w:rsidRPr="00191822">
        <w:t>submission, and no activities to support the quality use of medicines were proposed.</w:t>
      </w:r>
    </w:p>
    <w:p w14:paraId="1A550417" w14:textId="77777777" w:rsidR="00576972" w:rsidRPr="00191822" w:rsidRDefault="00576972" w:rsidP="00606FBA">
      <w:pPr>
        <w:pStyle w:val="3-SubsectionHeading"/>
      </w:pPr>
      <w:bookmarkStart w:id="65" w:name="_Toc22897649"/>
      <w:bookmarkStart w:id="66" w:name="_Toc82613394"/>
      <w:r w:rsidRPr="00191822">
        <w:lastRenderedPageBreak/>
        <w:t>Financial Management – Risk Sharing Arrangements</w:t>
      </w:r>
      <w:bookmarkEnd w:id="65"/>
      <w:bookmarkEnd w:id="66"/>
    </w:p>
    <w:p w14:paraId="4A8A982F" w14:textId="77777777" w:rsidR="005D5927" w:rsidRDefault="0054673A" w:rsidP="005D5927">
      <w:pPr>
        <w:pStyle w:val="ExecSumBodyText"/>
      </w:pPr>
      <w:bookmarkStart w:id="67" w:name="_Ref89590596"/>
      <w:r w:rsidRPr="00191822">
        <w:t>The resubmission proposed a</w:t>
      </w:r>
      <w:r w:rsidR="0036266D">
        <w:t xml:space="preserve">n </w:t>
      </w:r>
      <w:r w:rsidRPr="00191822">
        <w:t>RSA in which the cost of acalabrutinib for each patient is capped at 48 months of treatment.</w:t>
      </w:r>
      <w:r w:rsidR="00D0637E">
        <w:t xml:space="preserve"> The resubmission stated that the financial impact estimates, which incorporate</w:t>
      </w:r>
      <w:r w:rsidR="00183A99">
        <w:t>d</w:t>
      </w:r>
      <w:r w:rsidR="00D0637E">
        <w:t xml:space="preserve"> time to treatment discontinuation data from the economic model </w:t>
      </w:r>
      <w:r w:rsidR="005D5927">
        <w:t xml:space="preserve">(assuming a maximum treatment duration of 48 months), could be used to </w:t>
      </w:r>
      <w:r w:rsidR="00D0637E" w:rsidRPr="00D0637E">
        <w:t xml:space="preserve">inform a cohort volume-based RSA </w:t>
      </w:r>
      <w:r w:rsidR="005D5927">
        <w:t xml:space="preserve">with a </w:t>
      </w:r>
      <w:r w:rsidR="00D0637E" w:rsidRPr="00D0637E">
        <w:t>total expenditure cap</w:t>
      </w:r>
      <w:r w:rsidR="005D5927">
        <w:t xml:space="preserve">. </w:t>
      </w:r>
      <w:r w:rsidR="005D5927" w:rsidRPr="00A25C41">
        <w:rPr>
          <w:iCs/>
        </w:rPr>
        <w:t xml:space="preserve">The PBAC </w:t>
      </w:r>
      <w:r w:rsidR="00183A99" w:rsidRPr="00A25C41">
        <w:rPr>
          <w:iCs/>
        </w:rPr>
        <w:t>ha</w:t>
      </w:r>
      <w:r w:rsidR="00696D8E">
        <w:rPr>
          <w:iCs/>
        </w:rPr>
        <w:t>d</w:t>
      </w:r>
      <w:r w:rsidR="00183A99" w:rsidRPr="00A25C41">
        <w:rPr>
          <w:iCs/>
        </w:rPr>
        <w:t xml:space="preserve"> </w:t>
      </w:r>
      <w:r w:rsidR="006D0E1A" w:rsidRPr="00A25C41">
        <w:rPr>
          <w:iCs/>
        </w:rPr>
        <w:t xml:space="preserve">previously </w:t>
      </w:r>
      <w:r w:rsidR="005D5927" w:rsidRPr="00A25C41">
        <w:rPr>
          <w:iCs/>
        </w:rPr>
        <w:t>considered that for assessments of cost-effectiveness to rely on RSA rebates, the PBAC would need to have a high level of confidence in the utilisation estimates underpinning the RSA</w:t>
      </w:r>
      <w:r w:rsidR="007D6F94" w:rsidRPr="00A25C41">
        <w:rPr>
          <w:iCs/>
        </w:rPr>
        <w:t xml:space="preserve"> (</w:t>
      </w:r>
      <w:r w:rsidR="003D547D" w:rsidRPr="00A25C41">
        <w:rPr>
          <w:iCs/>
        </w:rPr>
        <w:t>paragraph 10.56, ibrutinib, PSD, March 2018 PBAC meeting)</w:t>
      </w:r>
      <w:r w:rsidR="005D5927" w:rsidRPr="00A25C41">
        <w:rPr>
          <w:iCs/>
        </w:rPr>
        <w:t>.</w:t>
      </w:r>
      <w:r w:rsidR="008127CC" w:rsidRPr="00DF44A0">
        <w:t xml:space="preserve"> </w:t>
      </w:r>
      <w:r w:rsidR="00637494" w:rsidRPr="00DF44A0">
        <w:t xml:space="preserve"> This proposal seemingly would require such an RSA to continue indefinitely </w:t>
      </w:r>
      <w:proofErr w:type="gramStart"/>
      <w:r w:rsidR="00637494" w:rsidRPr="00DF44A0">
        <w:t>in order to</w:t>
      </w:r>
      <w:proofErr w:type="gramEnd"/>
      <w:r w:rsidR="00637494" w:rsidRPr="00DF44A0">
        <w:t xml:space="preserve"> ensure that expenditure beyond the initial 48 months (4 years) of listing is capped at this treatment duration. The ESC considered that this proposal was problematic given the lack of justification for the basis of the 48-month cap, </w:t>
      </w:r>
      <w:proofErr w:type="gramStart"/>
      <w:r w:rsidR="00637494" w:rsidRPr="00DF44A0">
        <w:t>and also</w:t>
      </w:r>
      <w:proofErr w:type="gramEnd"/>
      <w:r w:rsidR="00637494" w:rsidRPr="00DF44A0">
        <w:t xml:space="preserve"> that this was not a robust mechanism to achieve cost-effectiveness, especially given that the mean duration of treatment is likely to be much longer.</w:t>
      </w:r>
      <w:bookmarkEnd w:id="67"/>
    </w:p>
    <w:p w14:paraId="41FD14E5" w14:textId="77777777" w:rsidR="00787CD9" w:rsidRDefault="00787CD9" w:rsidP="002F7B74">
      <w:pPr>
        <w:pStyle w:val="ExecSumBodyText"/>
      </w:pPr>
      <w:r>
        <w:t xml:space="preserve">The pre-PBAC response noted the 48-month cap would only impact the last two years of the six-year estimates. To address this, the sponsor proposed a moving average in which the duration of subsidised treatment could be applied equally </w:t>
      </w:r>
      <w:proofErr w:type="spellStart"/>
      <w:r>
        <w:t>over all</w:t>
      </w:r>
      <w:proofErr w:type="spellEnd"/>
      <w:r>
        <w:t xml:space="preserve"> years within a Deed of Agreement, which would allow the improved cost-effectiveness benefits to be realised more rapidly. </w:t>
      </w:r>
      <w:r w:rsidR="0051483D">
        <w:t xml:space="preserve">The Secretariat noted that agreements typically run for five years. </w:t>
      </w:r>
    </w:p>
    <w:p w14:paraId="25177C85" w14:textId="77777777" w:rsidR="00787CD9" w:rsidRPr="005D5927" w:rsidRDefault="00787CD9" w:rsidP="005D5927">
      <w:pPr>
        <w:pStyle w:val="ExecSumBodyText"/>
      </w:pPr>
      <w:r>
        <w:t xml:space="preserve">The pre-PBAC also noted that it would be acceptable to the sponsor to have an agreement specifically for </w:t>
      </w:r>
      <w:proofErr w:type="gramStart"/>
      <w:r>
        <w:t>first-line</w:t>
      </w:r>
      <w:proofErr w:type="gramEnd"/>
      <w:r>
        <w:t xml:space="preserve"> acalabrutinib only, or </w:t>
      </w:r>
      <w:r w:rsidR="0051483D">
        <w:t xml:space="preserve">alternatively </w:t>
      </w:r>
      <w:r>
        <w:t>to be incorporated within a broader first-line CLL agreement that accounted for different prices and durations of treatment.</w:t>
      </w:r>
    </w:p>
    <w:p w14:paraId="1110C04D" w14:textId="77777777" w:rsidR="00760721" w:rsidRPr="00760721" w:rsidRDefault="00760721" w:rsidP="00C864A4">
      <w:pPr>
        <w:pStyle w:val="2-SectionHeading"/>
        <w:jc w:val="both"/>
      </w:pPr>
      <w:bookmarkStart w:id="68" w:name="_Hlk76381249"/>
      <w:bookmarkStart w:id="69" w:name="_Hlk76377955"/>
      <w:r w:rsidRPr="00760721">
        <w:t>PBAC Outcome</w:t>
      </w:r>
    </w:p>
    <w:p w14:paraId="4AAE1679" w14:textId="77777777" w:rsidR="00464985" w:rsidRPr="00464985" w:rsidRDefault="00760721" w:rsidP="00464985">
      <w:pPr>
        <w:pStyle w:val="ExecSumBodyText"/>
        <w:rPr>
          <w:lang w:val="en-GB" w:eastAsia="en-US"/>
        </w:rPr>
      </w:pPr>
      <w:r w:rsidRPr="00760721">
        <w:rPr>
          <w:lang w:val="en-GB" w:eastAsia="en-US"/>
        </w:rPr>
        <w:t>The PBAC did not recommend</w:t>
      </w:r>
      <w:r w:rsidR="00464985" w:rsidRPr="00464985">
        <w:t xml:space="preserve"> </w:t>
      </w:r>
      <w:r w:rsidR="00464985">
        <w:t xml:space="preserve">the </w:t>
      </w:r>
      <w:r w:rsidR="00464985" w:rsidRPr="00464985">
        <w:rPr>
          <w:lang w:val="en-GB" w:eastAsia="en-US"/>
        </w:rPr>
        <w:t xml:space="preserve">listing of acalabrutinib for the treatment of patients with previously untreated chronic lymphocytic leukaemia (CLL) or small lymphocytic lymphoma (SLL), who are considered unsuitable for treatment with fludarabine-based chemoimmunotherapy and </w:t>
      </w:r>
      <w:proofErr w:type="spellStart"/>
      <w:r w:rsidR="00464985" w:rsidRPr="00464985">
        <w:rPr>
          <w:lang w:val="en-GB" w:eastAsia="en-US"/>
        </w:rPr>
        <w:t>venetoclax</w:t>
      </w:r>
      <w:proofErr w:type="spellEnd"/>
      <w:r w:rsidR="00464985" w:rsidRPr="00464985">
        <w:rPr>
          <w:lang w:val="en-GB" w:eastAsia="en-US"/>
        </w:rPr>
        <w:t xml:space="preserve"> + </w:t>
      </w:r>
      <w:proofErr w:type="spellStart"/>
      <w:r w:rsidR="00464985" w:rsidRPr="00464985">
        <w:rPr>
          <w:lang w:val="en-GB" w:eastAsia="en-US"/>
        </w:rPr>
        <w:t>obinutuzumab</w:t>
      </w:r>
      <w:proofErr w:type="spellEnd"/>
      <w:r w:rsidR="00464985" w:rsidRPr="00464985">
        <w:rPr>
          <w:lang w:val="en-GB" w:eastAsia="en-US"/>
        </w:rPr>
        <w:t xml:space="preserve">, and for patients who permanently discontinue </w:t>
      </w:r>
      <w:proofErr w:type="spellStart"/>
      <w:r w:rsidR="00464985" w:rsidRPr="00464985">
        <w:rPr>
          <w:lang w:val="en-GB" w:eastAsia="en-US"/>
        </w:rPr>
        <w:t>venetoclax</w:t>
      </w:r>
      <w:proofErr w:type="spellEnd"/>
      <w:r w:rsidR="00464985" w:rsidRPr="00464985">
        <w:rPr>
          <w:lang w:val="en-GB" w:eastAsia="en-US"/>
        </w:rPr>
        <w:t xml:space="preserve"> + </w:t>
      </w:r>
      <w:proofErr w:type="spellStart"/>
      <w:r w:rsidR="00464985" w:rsidRPr="00464985">
        <w:rPr>
          <w:lang w:val="en-GB" w:eastAsia="en-US"/>
        </w:rPr>
        <w:t>obinutuzumab</w:t>
      </w:r>
      <w:proofErr w:type="spellEnd"/>
      <w:r w:rsidR="00464985" w:rsidRPr="00464985">
        <w:rPr>
          <w:lang w:val="en-GB" w:eastAsia="en-US"/>
        </w:rPr>
        <w:t xml:space="preserve"> due to intolerance.</w:t>
      </w:r>
    </w:p>
    <w:p w14:paraId="13A10B42" w14:textId="77777777" w:rsidR="00760721" w:rsidRPr="00763865" w:rsidRDefault="00763865" w:rsidP="00C864A4">
      <w:pPr>
        <w:widowControl w:val="0"/>
        <w:numPr>
          <w:ilvl w:val="1"/>
          <w:numId w:val="1"/>
        </w:numPr>
        <w:spacing w:after="120"/>
        <w:rPr>
          <w:rFonts w:asciiTheme="minorHAnsi" w:hAnsiTheme="minorHAnsi"/>
          <w:snapToGrid w:val="0"/>
          <w:lang w:val="en-GB" w:eastAsia="en-US"/>
        </w:rPr>
      </w:pPr>
      <w:r w:rsidRPr="00763865">
        <w:rPr>
          <w:rFonts w:asciiTheme="minorHAnsi" w:hAnsiTheme="minorHAnsi"/>
          <w:snapToGrid w:val="0"/>
          <w:lang w:val="en-GB" w:eastAsia="en-US"/>
        </w:rPr>
        <w:t xml:space="preserve">The PBAC considered that the </w:t>
      </w:r>
      <w:r>
        <w:rPr>
          <w:rFonts w:asciiTheme="minorHAnsi" w:hAnsiTheme="minorHAnsi"/>
          <w:snapToGrid w:val="0"/>
          <w:lang w:val="en-GB" w:eastAsia="en-US"/>
        </w:rPr>
        <w:t>clinical evidence supported a benefit in this subgroup of CLL/SLL patients, but that the PBS restriction was subjective and patient numbers were unclear. The economic analysis was highly uncertain</w:t>
      </w:r>
      <w:r w:rsidR="00F815F7">
        <w:rPr>
          <w:rFonts w:asciiTheme="minorHAnsi" w:hAnsiTheme="minorHAnsi"/>
          <w:snapToGrid w:val="0"/>
          <w:lang w:val="en-GB" w:eastAsia="en-US"/>
        </w:rPr>
        <w:t>,</w:t>
      </w:r>
      <w:r>
        <w:rPr>
          <w:rFonts w:asciiTheme="minorHAnsi" w:hAnsiTheme="minorHAnsi"/>
          <w:snapToGrid w:val="0"/>
          <w:lang w:val="en-GB" w:eastAsia="en-US"/>
        </w:rPr>
        <w:t xml:space="preserve"> and </w:t>
      </w:r>
      <w:r w:rsidR="00490A79">
        <w:rPr>
          <w:rFonts w:asciiTheme="minorHAnsi" w:hAnsiTheme="minorHAnsi"/>
          <w:snapToGrid w:val="0"/>
          <w:lang w:val="en-GB" w:eastAsia="en-US"/>
        </w:rPr>
        <w:t xml:space="preserve">the incremental </w:t>
      </w:r>
      <w:r>
        <w:rPr>
          <w:rFonts w:asciiTheme="minorHAnsi" w:hAnsiTheme="minorHAnsi"/>
          <w:snapToGrid w:val="0"/>
          <w:lang w:val="en-GB" w:eastAsia="en-US"/>
        </w:rPr>
        <w:t xml:space="preserve">cost-effectiveness </w:t>
      </w:r>
      <w:r w:rsidR="00490A79">
        <w:rPr>
          <w:rFonts w:asciiTheme="minorHAnsi" w:hAnsiTheme="minorHAnsi"/>
          <w:snapToGrid w:val="0"/>
          <w:lang w:val="en-GB" w:eastAsia="en-US"/>
        </w:rPr>
        <w:t xml:space="preserve">ratio </w:t>
      </w:r>
      <w:r>
        <w:rPr>
          <w:rFonts w:asciiTheme="minorHAnsi" w:hAnsiTheme="minorHAnsi"/>
          <w:snapToGrid w:val="0"/>
          <w:lang w:val="en-GB" w:eastAsia="en-US"/>
        </w:rPr>
        <w:t xml:space="preserve">was likely </w:t>
      </w:r>
      <w:r w:rsidR="00490A79">
        <w:rPr>
          <w:rFonts w:asciiTheme="minorHAnsi" w:hAnsiTheme="minorHAnsi"/>
          <w:snapToGrid w:val="0"/>
          <w:lang w:val="en-GB" w:eastAsia="en-US"/>
        </w:rPr>
        <w:t>under</w:t>
      </w:r>
      <w:r w:rsidR="00AA032D">
        <w:rPr>
          <w:rFonts w:asciiTheme="minorHAnsi" w:hAnsiTheme="minorHAnsi"/>
          <w:snapToGrid w:val="0"/>
          <w:lang w:val="en-GB" w:eastAsia="en-US"/>
        </w:rPr>
        <w:t>estimated</w:t>
      </w:r>
      <w:r>
        <w:rPr>
          <w:rFonts w:asciiTheme="minorHAnsi" w:hAnsiTheme="minorHAnsi"/>
          <w:snapToGrid w:val="0"/>
          <w:lang w:val="en-GB" w:eastAsia="en-US"/>
        </w:rPr>
        <w:t xml:space="preserve">. A revised model, with a price reduction and reduced time horizon, would be required for PBAC decision making. Additionally, the sponsor would be required to provide further evidence that </w:t>
      </w:r>
      <w:r w:rsidR="00E74A27">
        <w:rPr>
          <w:rFonts w:asciiTheme="minorHAnsi" w:hAnsiTheme="minorHAnsi"/>
          <w:snapToGrid w:val="0"/>
          <w:lang w:val="en-GB" w:eastAsia="en-US"/>
        </w:rPr>
        <w:t>the</w:t>
      </w:r>
      <w:r>
        <w:rPr>
          <w:rFonts w:asciiTheme="minorHAnsi" w:hAnsiTheme="minorHAnsi"/>
          <w:snapToGrid w:val="0"/>
          <w:lang w:val="en-GB" w:eastAsia="en-US"/>
        </w:rPr>
        <w:t xml:space="preserve"> proposed 48-month expenditure cap </w:t>
      </w:r>
      <w:r w:rsidR="00AA032D">
        <w:rPr>
          <w:rFonts w:asciiTheme="minorHAnsi" w:hAnsiTheme="minorHAnsi"/>
          <w:snapToGrid w:val="0"/>
          <w:lang w:val="en-GB" w:eastAsia="en-US"/>
        </w:rPr>
        <w:t>could</w:t>
      </w:r>
      <w:r>
        <w:rPr>
          <w:rFonts w:asciiTheme="minorHAnsi" w:hAnsiTheme="minorHAnsi"/>
          <w:snapToGrid w:val="0"/>
          <w:lang w:val="en-GB" w:eastAsia="en-US"/>
        </w:rPr>
        <w:t xml:space="preserve"> be realised in practice, as this was critical to the resubmission’s cost-effectiveness estimates and financial impact. </w:t>
      </w:r>
    </w:p>
    <w:p w14:paraId="24399AA6" w14:textId="77777777" w:rsidR="00840945" w:rsidRDefault="00840945" w:rsidP="00C864A4">
      <w:pPr>
        <w:widowControl w:val="0"/>
        <w:numPr>
          <w:ilvl w:val="1"/>
          <w:numId w:val="1"/>
        </w:numPr>
        <w:spacing w:after="120"/>
        <w:rPr>
          <w:rFonts w:asciiTheme="minorHAnsi" w:hAnsiTheme="minorHAnsi"/>
          <w:snapToGrid w:val="0"/>
          <w:lang w:val="en-GB" w:eastAsia="en-US"/>
        </w:rPr>
      </w:pPr>
      <w:r w:rsidRPr="00840945">
        <w:rPr>
          <w:rFonts w:asciiTheme="minorHAnsi" w:hAnsiTheme="minorHAnsi"/>
          <w:snapToGrid w:val="0"/>
          <w:lang w:val="en-GB" w:eastAsia="en-US"/>
        </w:rPr>
        <w:lastRenderedPageBreak/>
        <w:t>The PBA</w:t>
      </w:r>
      <w:r>
        <w:rPr>
          <w:rFonts w:asciiTheme="minorHAnsi" w:hAnsiTheme="minorHAnsi"/>
          <w:snapToGrid w:val="0"/>
          <w:lang w:val="en-GB" w:eastAsia="en-US"/>
        </w:rPr>
        <w:t xml:space="preserve">C noted that the consumer comments </w:t>
      </w:r>
      <w:r w:rsidR="00192A56">
        <w:rPr>
          <w:rFonts w:asciiTheme="minorHAnsi" w:hAnsiTheme="minorHAnsi"/>
          <w:snapToGrid w:val="0"/>
          <w:lang w:val="en-GB" w:eastAsia="en-US"/>
        </w:rPr>
        <w:t xml:space="preserve">and sponsor hearing </w:t>
      </w:r>
      <w:r>
        <w:rPr>
          <w:rFonts w:asciiTheme="minorHAnsi" w:hAnsiTheme="minorHAnsi"/>
          <w:snapToGrid w:val="0"/>
          <w:lang w:val="en-GB" w:eastAsia="en-US"/>
        </w:rPr>
        <w:t xml:space="preserve">had described the convenience of an oral treatment as a benefit over alternative infusion-based regimens, highlighting the </w:t>
      </w:r>
      <w:r w:rsidR="00C96D6E">
        <w:rPr>
          <w:rFonts w:asciiTheme="minorHAnsi" w:hAnsiTheme="minorHAnsi"/>
          <w:snapToGrid w:val="0"/>
          <w:lang w:val="en-GB" w:eastAsia="en-US"/>
        </w:rPr>
        <w:t>likelihood of</w:t>
      </w:r>
      <w:r>
        <w:rPr>
          <w:rFonts w:asciiTheme="minorHAnsi" w:hAnsiTheme="minorHAnsi"/>
          <w:snapToGrid w:val="0"/>
          <w:lang w:val="en-GB" w:eastAsia="en-US"/>
        </w:rPr>
        <w:t xml:space="preserve"> improved access in rural and remote settings. The PBAC considered that the impact of the oral form was unclear as treated CLL/SLL patients </w:t>
      </w:r>
      <w:r w:rsidR="00AB7F67" w:rsidRPr="00AB7F67">
        <w:rPr>
          <w:rFonts w:asciiTheme="minorHAnsi" w:hAnsiTheme="minorHAnsi"/>
          <w:snapToGrid w:val="0"/>
          <w:lang w:val="en-GB" w:eastAsia="en-US"/>
        </w:rPr>
        <w:t>all require monitoring</w:t>
      </w:r>
      <w:r w:rsidR="00AB7F67">
        <w:rPr>
          <w:rFonts w:asciiTheme="minorHAnsi" w:hAnsiTheme="minorHAnsi"/>
          <w:snapToGrid w:val="0"/>
          <w:lang w:val="en-GB" w:eastAsia="en-US"/>
        </w:rPr>
        <w:t>,</w:t>
      </w:r>
      <w:r w:rsidR="00AB7F67" w:rsidRPr="00AB7F67">
        <w:rPr>
          <w:rFonts w:asciiTheme="minorHAnsi" w:hAnsiTheme="minorHAnsi"/>
          <w:snapToGrid w:val="0"/>
          <w:lang w:val="en-GB" w:eastAsia="en-US"/>
        </w:rPr>
        <w:t xml:space="preserve"> the intensity of which is determined not only </w:t>
      </w:r>
      <w:r w:rsidR="00AB7F67">
        <w:rPr>
          <w:rFonts w:asciiTheme="minorHAnsi" w:hAnsiTheme="minorHAnsi"/>
          <w:snapToGrid w:val="0"/>
          <w:lang w:val="en-GB" w:eastAsia="en-US"/>
        </w:rPr>
        <w:t xml:space="preserve">by </w:t>
      </w:r>
      <w:r w:rsidR="00AB7F67" w:rsidRPr="00AB7F67">
        <w:rPr>
          <w:rFonts w:asciiTheme="minorHAnsi" w:hAnsiTheme="minorHAnsi"/>
          <w:snapToGrid w:val="0"/>
          <w:lang w:val="en-GB" w:eastAsia="en-US"/>
        </w:rPr>
        <w:t xml:space="preserve">treatment type but also </w:t>
      </w:r>
      <w:r w:rsidR="00AB7F67">
        <w:rPr>
          <w:rFonts w:asciiTheme="minorHAnsi" w:hAnsiTheme="minorHAnsi"/>
          <w:snapToGrid w:val="0"/>
          <w:lang w:val="en-GB" w:eastAsia="en-US"/>
        </w:rPr>
        <w:t xml:space="preserve">by </w:t>
      </w:r>
      <w:r w:rsidR="00AB7F67" w:rsidRPr="00AB7F67">
        <w:rPr>
          <w:rFonts w:asciiTheme="minorHAnsi" w:hAnsiTheme="minorHAnsi"/>
          <w:snapToGrid w:val="0"/>
          <w:lang w:val="en-GB" w:eastAsia="en-US"/>
        </w:rPr>
        <w:t>treatment</w:t>
      </w:r>
      <w:r w:rsidR="00AB7F67">
        <w:rPr>
          <w:rFonts w:asciiTheme="minorHAnsi" w:hAnsiTheme="minorHAnsi"/>
          <w:snapToGrid w:val="0"/>
          <w:lang w:val="en-GB" w:eastAsia="en-US"/>
        </w:rPr>
        <w:t xml:space="preserve"> phase</w:t>
      </w:r>
      <w:r w:rsidR="00AB7F67" w:rsidRPr="00AB7F67">
        <w:rPr>
          <w:rFonts w:asciiTheme="minorHAnsi" w:hAnsiTheme="minorHAnsi"/>
          <w:snapToGrid w:val="0"/>
          <w:lang w:val="en-GB" w:eastAsia="en-US"/>
        </w:rPr>
        <w:t xml:space="preserve"> and patient factors</w:t>
      </w:r>
      <w:r w:rsidR="00AA032D">
        <w:rPr>
          <w:rFonts w:asciiTheme="minorHAnsi" w:hAnsiTheme="minorHAnsi"/>
          <w:snapToGrid w:val="0"/>
          <w:lang w:val="en-GB" w:eastAsia="en-US"/>
        </w:rPr>
        <w:t>.</w:t>
      </w:r>
      <w:r>
        <w:rPr>
          <w:rFonts w:asciiTheme="minorHAnsi" w:hAnsiTheme="minorHAnsi"/>
          <w:snapToGrid w:val="0"/>
          <w:lang w:val="en-GB" w:eastAsia="en-US"/>
        </w:rPr>
        <w:t xml:space="preserve"> </w:t>
      </w:r>
      <w:r w:rsidR="00AA032D">
        <w:rPr>
          <w:rFonts w:asciiTheme="minorHAnsi" w:hAnsiTheme="minorHAnsi"/>
          <w:snapToGrid w:val="0"/>
          <w:lang w:val="en-GB" w:eastAsia="en-US"/>
        </w:rPr>
        <w:t xml:space="preserve">The PBAC also considered </w:t>
      </w:r>
      <w:r w:rsidR="00490A79">
        <w:rPr>
          <w:rFonts w:asciiTheme="minorHAnsi" w:hAnsiTheme="minorHAnsi"/>
          <w:snapToGrid w:val="0"/>
          <w:lang w:val="en-GB" w:eastAsia="en-US"/>
        </w:rPr>
        <w:t xml:space="preserve">that the oral form presented </w:t>
      </w:r>
      <w:r>
        <w:rPr>
          <w:rFonts w:asciiTheme="minorHAnsi" w:hAnsiTheme="minorHAnsi"/>
          <w:snapToGrid w:val="0"/>
          <w:lang w:val="en-GB" w:eastAsia="en-US"/>
        </w:rPr>
        <w:t xml:space="preserve">a potential risk of </w:t>
      </w:r>
      <w:r w:rsidR="008A3684">
        <w:rPr>
          <w:rFonts w:asciiTheme="minorHAnsi" w:hAnsiTheme="minorHAnsi"/>
          <w:snapToGrid w:val="0"/>
          <w:lang w:val="en-GB" w:eastAsia="en-US"/>
        </w:rPr>
        <w:t xml:space="preserve">inappropriate </w:t>
      </w:r>
      <w:r>
        <w:rPr>
          <w:rFonts w:asciiTheme="minorHAnsi" w:hAnsiTheme="minorHAnsi"/>
          <w:snapToGrid w:val="0"/>
          <w:lang w:val="en-GB" w:eastAsia="en-US"/>
        </w:rPr>
        <w:t xml:space="preserve">prescribing </w:t>
      </w:r>
      <w:r w:rsidR="008A3684">
        <w:rPr>
          <w:rFonts w:asciiTheme="minorHAnsi" w:hAnsiTheme="minorHAnsi"/>
          <w:snapToGrid w:val="0"/>
          <w:lang w:val="en-GB" w:eastAsia="en-US"/>
        </w:rPr>
        <w:t>for non-symptomatic disease,</w:t>
      </w:r>
      <w:r>
        <w:rPr>
          <w:rFonts w:asciiTheme="minorHAnsi" w:hAnsiTheme="minorHAnsi"/>
          <w:snapToGrid w:val="0"/>
          <w:lang w:val="en-GB" w:eastAsia="en-US"/>
        </w:rPr>
        <w:t xml:space="preserve"> when </w:t>
      </w:r>
      <w:r w:rsidR="008A3684">
        <w:rPr>
          <w:rFonts w:asciiTheme="minorHAnsi" w:hAnsiTheme="minorHAnsi"/>
          <w:snapToGrid w:val="0"/>
          <w:lang w:val="en-GB" w:eastAsia="en-US"/>
        </w:rPr>
        <w:t>the evidence suggests most patients should be</w:t>
      </w:r>
      <w:r>
        <w:rPr>
          <w:rFonts w:asciiTheme="minorHAnsi" w:hAnsiTheme="minorHAnsi"/>
          <w:snapToGrid w:val="0"/>
          <w:lang w:val="en-GB" w:eastAsia="en-US"/>
        </w:rPr>
        <w:t xml:space="preserve"> managed with a “watch and wait”</w:t>
      </w:r>
      <w:r w:rsidR="008A3684">
        <w:rPr>
          <w:rFonts w:asciiTheme="minorHAnsi" w:hAnsiTheme="minorHAnsi"/>
          <w:snapToGrid w:val="0"/>
          <w:lang w:val="en-GB" w:eastAsia="en-US"/>
        </w:rPr>
        <w:t xml:space="preserve"> approach. Overall, the PBAC considered it unclear what impact the oral form would have on treatment access and prescriber behaviour. </w:t>
      </w:r>
    </w:p>
    <w:p w14:paraId="50EEAA92" w14:textId="77777777" w:rsidR="006B54FE" w:rsidRPr="00840945" w:rsidRDefault="006B54FE" w:rsidP="00C864A4">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that the requested restriction was difficult to interpret, but that even with </w:t>
      </w:r>
      <w:r w:rsidR="00DD5550">
        <w:rPr>
          <w:rFonts w:asciiTheme="minorHAnsi" w:hAnsiTheme="minorHAnsi"/>
          <w:snapToGrid w:val="0"/>
          <w:lang w:val="en-GB" w:eastAsia="en-US"/>
        </w:rPr>
        <w:t>refinement and further definition</w:t>
      </w:r>
      <w:r>
        <w:rPr>
          <w:rFonts w:asciiTheme="minorHAnsi" w:hAnsiTheme="minorHAnsi"/>
          <w:snapToGrid w:val="0"/>
          <w:lang w:val="en-GB" w:eastAsia="en-US"/>
        </w:rPr>
        <w:t xml:space="preserve">, the key clinical criteria </w:t>
      </w:r>
      <w:r w:rsidR="00A41F66">
        <w:rPr>
          <w:rFonts w:asciiTheme="minorHAnsi" w:hAnsiTheme="minorHAnsi"/>
          <w:snapToGrid w:val="0"/>
          <w:lang w:val="en-GB" w:eastAsia="en-US"/>
        </w:rPr>
        <w:t xml:space="preserve">around unsuitability for </w:t>
      </w:r>
      <w:proofErr w:type="spellStart"/>
      <w:r w:rsidR="00A41F66">
        <w:rPr>
          <w:rFonts w:asciiTheme="minorHAnsi" w:hAnsiTheme="minorHAnsi"/>
          <w:snapToGrid w:val="0"/>
          <w:lang w:val="en-GB" w:eastAsia="en-US"/>
        </w:rPr>
        <w:t>venetoclax</w:t>
      </w:r>
      <w:proofErr w:type="spellEnd"/>
      <w:r w:rsidR="00A41F66">
        <w:rPr>
          <w:rFonts w:asciiTheme="minorHAnsi" w:hAnsiTheme="minorHAnsi"/>
          <w:snapToGrid w:val="0"/>
          <w:lang w:val="en-GB" w:eastAsia="en-US"/>
        </w:rPr>
        <w:t xml:space="preserve"> + </w:t>
      </w:r>
      <w:proofErr w:type="spellStart"/>
      <w:r w:rsidR="00A41F66">
        <w:rPr>
          <w:rFonts w:asciiTheme="minorHAnsi" w:hAnsiTheme="minorHAnsi"/>
          <w:snapToGrid w:val="0"/>
          <w:lang w:val="en-GB" w:eastAsia="en-US"/>
        </w:rPr>
        <w:t>obinutuzumab</w:t>
      </w:r>
      <w:proofErr w:type="spellEnd"/>
      <w:r w:rsidR="00A41F66">
        <w:rPr>
          <w:rFonts w:asciiTheme="minorHAnsi" w:hAnsiTheme="minorHAnsi"/>
          <w:snapToGrid w:val="0"/>
          <w:lang w:val="en-GB" w:eastAsia="en-US"/>
        </w:rPr>
        <w:t xml:space="preserve"> treatment would remain subjective</w:t>
      </w:r>
      <w:r w:rsidR="00A82DA2">
        <w:rPr>
          <w:rFonts w:asciiTheme="minorHAnsi" w:hAnsiTheme="minorHAnsi"/>
          <w:snapToGrid w:val="0"/>
          <w:lang w:val="en-GB" w:eastAsia="en-US"/>
        </w:rPr>
        <w:t xml:space="preserve"> and i</w:t>
      </w:r>
      <w:r w:rsidR="00A41F66">
        <w:rPr>
          <w:rFonts w:asciiTheme="minorHAnsi" w:hAnsiTheme="minorHAnsi"/>
          <w:snapToGrid w:val="0"/>
          <w:lang w:val="en-GB" w:eastAsia="en-US"/>
        </w:rPr>
        <w:t xml:space="preserve">t was unclear </w:t>
      </w:r>
      <w:r w:rsidR="00C96D6E">
        <w:rPr>
          <w:rFonts w:asciiTheme="minorHAnsi" w:hAnsiTheme="minorHAnsi"/>
          <w:snapToGrid w:val="0"/>
          <w:lang w:val="en-GB" w:eastAsia="en-US"/>
        </w:rPr>
        <w:t>how</w:t>
      </w:r>
      <w:r w:rsidR="00A41F66">
        <w:rPr>
          <w:rFonts w:asciiTheme="minorHAnsi" w:hAnsiTheme="minorHAnsi"/>
          <w:snapToGrid w:val="0"/>
          <w:lang w:val="en-GB" w:eastAsia="en-US"/>
        </w:rPr>
        <w:t xml:space="preserve"> the availability of acalabrutinib would </w:t>
      </w:r>
      <w:r w:rsidR="00C96D6E">
        <w:rPr>
          <w:rFonts w:asciiTheme="minorHAnsi" w:hAnsiTheme="minorHAnsi"/>
          <w:snapToGrid w:val="0"/>
          <w:lang w:val="en-GB" w:eastAsia="en-US"/>
        </w:rPr>
        <w:t>affect</w:t>
      </w:r>
      <w:r w:rsidR="00A41F66">
        <w:rPr>
          <w:rFonts w:asciiTheme="minorHAnsi" w:hAnsiTheme="minorHAnsi"/>
          <w:snapToGrid w:val="0"/>
          <w:lang w:val="en-GB" w:eastAsia="en-US"/>
        </w:rPr>
        <w:t xml:space="preserve"> prescrib</w:t>
      </w:r>
      <w:r w:rsidR="00C96D6E">
        <w:rPr>
          <w:rFonts w:asciiTheme="minorHAnsi" w:hAnsiTheme="minorHAnsi"/>
          <w:snapToGrid w:val="0"/>
          <w:lang w:val="en-GB" w:eastAsia="en-US"/>
        </w:rPr>
        <w:t xml:space="preserve">ing choices. </w:t>
      </w:r>
    </w:p>
    <w:p w14:paraId="6F127BD4" w14:textId="77777777" w:rsidR="00C96D6E" w:rsidRPr="003D286E" w:rsidRDefault="00C96D6E" w:rsidP="00B621B1">
      <w:pPr>
        <w:pStyle w:val="ExecSumBodyText"/>
        <w:rPr>
          <w:color w:val="0070C0"/>
          <w:lang w:val="en-GB" w:eastAsia="en-US"/>
        </w:rPr>
      </w:pPr>
      <w:r w:rsidRPr="00A82DA2">
        <w:rPr>
          <w:lang w:val="en-GB" w:eastAsia="en-US"/>
        </w:rPr>
        <w:t xml:space="preserve">The PBAC noted that the resubmission had proposed listing in a narrower population that the original submission, and that the PSCR had explained </w:t>
      </w:r>
      <w:r w:rsidR="003275EA">
        <w:rPr>
          <w:lang w:val="en-GB" w:eastAsia="en-US"/>
        </w:rPr>
        <w:t xml:space="preserve">that </w:t>
      </w:r>
      <w:r w:rsidRPr="00A82DA2">
        <w:rPr>
          <w:lang w:val="en-GB" w:eastAsia="en-US"/>
        </w:rPr>
        <w:t xml:space="preserve">the different durations of therapy between acalabrutinib and </w:t>
      </w:r>
      <w:proofErr w:type="spellStart"/>
      <w:r w:rsidRPr="00A82DA2">
        <w:rPr>
          <w:lang w:val="en-GB" w:eastAsia="en-US"/>
        </w:rPr>
        <w:t>venetoclax</w:t>
      </w:r>
      <w:proofErr w:type="spellEnd"/>
      <w:r w:rsidRPr="00A82DA2">
        <w:rPr>
          <w:lang w:val="en-GB" w:eastAsia="en-US"/>
        </w:rPr>
        <w:t xml:space="preserve"> + </w:t>
      </w:r>
      <w:proofErr w:type="spellStart"/>
      <w:r w:rsidRPr="00A82DA2">
        <w:rPr>
          <w:lang w:val="en-GB" w:eastAsia="en-US"/>
        </w:rPr>
        <w:t>obinutuzumab</w:t>
      </w:r>
      <w:proofErr w:type="spellEnd"/>
      <w:r w:rsidRPr="00A82DA2">
        <w:rPr>
          <w:lang w:val="en-GB" w:eastAsia="en-US"/>
        </w:rPr>
        <w:t xml:space="preserve"> would make it challenging to achieve cost-effectiveness </w:t>
      </w:r>
      <w:r w:rsidR="00A82DA2" w:rsidRPr="00A82DA2">
        <w:rPr>
          <w:lang w:val="en-GB" w:eastAsia="en-US"/>
        </w:rPr>
        <w:t>for acalabrutinib</w:t>
      </w:r>
      <w:r w:rsidRPr="00A82DA2">
        <w:rPr>
          <w:lang w:val="en-GB" w:eastAsia="en-US"/>
        </w:rPr>
        <w:t xml:space="preserve"> </w:t>
      </w:r>
      <w:r w:rsidR="00A82DA2" w:rsidRPr="00A82DA2">
        <w:rPr>
          <w:lang w:val="en-GB" w:eastAsia="en-US"/>
        </w:rPr>
        <w:t xml:space="preserve">in </w:t>
      </w:r>
      <w:r w:rsidRPr="00A82DA2">
        <w:rPr>
          <w:lang w:val="en-GB" w:eastAsia="en-US"/>
        </w:rPr>
        <w:t xml:space="preserve">a comparison between these agents for the broader </w:t>
      </w:r>
      <w:r w:rsidR="00A82DA2" w:rsidRPr="00A82DA2">
        <w:rPr>
          <w:lang w:val="en-GB" w:eastAsia="en-US"/>
        </w:rPr>
        <w:t>group of patients with previously untreated CLL/SLL</w:t>
      </w:r>
      <w:r w:rsidR="003D286E">
        <w:rPr>
          <w:lang w:val="en-GB" w:eastAsia="en-US"/>
        </w:rPr>
        <w:t xml:space="preserve"> (and unsuitable for a purine analogue)</w:t>
      </w:r>
      <w:r w:rsidR="00A82DA2" w:rsidRPr="00A82DA2">
        <w:rPr>
          <w:lang w:val="en-GB" w:eastAsia="en-US"/>
        </w:rPr>
        <w:t xml:space="preserve">. </w:t>
      </w:r>
      <w:r w:rsidRPr="00A82DA2">
        <w:rPr>
          <w:lang w:val="en-GB" w:eastAsia="en-US"/>
        </w:rPr>
        <w:t>Hence, the sponsor had identified a narrower population in which there was a clinical need for alternative treatment options.</w:t>
      </w:r>
      <w:r w:rsidR="00A82DA2" w:rsidRPr="00A82DA2">
        <w:rPr>
          <w:lang w:val="en-GB" w:eastAsia="en-US"/>
        </w:rPr>
        <w:t xml:space="preserve"> The PBAC agreed with the ESC that there was a clinical rationale for the narrower listing, but that the clinical need </w:t>
      </w:r>
      <w:r w:rsidR="003D286E">
        <w:rPr>
          <w:lang w:val="en-GB" w:eastAsia="en-US"/>
        </w:rPr>
        <w:t>c</w:t>
      </w:r>
      <w:r w:rsidR="00A82DA2" w:rsidRPr="00A82DA2">
        <w:rPr>
          <w:lang w:val="en-GB" w:eastAsia="en-US"/>
        </w:rPr>
        <w:t>ould also be addressed with a broader listing</w:t>
      </w:r>
      <w:r w:rsidR="00C06CFE">
        <w:rPr>
          <w:lang w:val="en-GB" w:eastAsia="en-US"/>
        </w:rPr>
        <w:t xml:space="preserve"> </w:t>
      </w:r>
      <w:r w:rsidR="00C06CFE">
        <w:rPr>
          <w:iCs/>
        </w:rPr>
        <w:t>extended to</w:t>
      </w:r>
      <w:r w:rsidR="00C06CFE" w:rsidRPr="005D08C6">
        <w:rPr>
          <w:iCs/>
        </w:rPr>
        <w:t xml:space="preserve"> the population who are unsuitable for fludarabine</w:t>
      </w:r>
      <w:r w:rsidR="00F815F7">
        <w:rPr>
          <w:iCs/>
        </w:rPr>
        <w:t>-</w:t>
      </w:r>
      <w:r w:rsidR="00C06CFE" w:rsidRPr="005D08C6">
        <w:rPr>
          <w:iCs/>
        </w:rPr>
        <w:t>based chemotherapy</w:t>
      </w:r>
      <w:r w:rsidR="00A82DA2" w:rsidRPr="00A82DA2">
        <w:rPr>
          <w:lang w:val="en-GB" w:eastAsia="en-US"/>
        </w:rPr>
        <w:t xml:space="preserve">. </w:t>
      </w:r>
      <w:r w:rsidR="00217D19">
        <w:t xml:space="preserve">Overall, the PBAC considered that there was scope for further refinement in the restrictions to improve clarity and remove </w:t>
      </w:r>
      <w:r w:rsidR="002C73E0">
        <w:t>duplication if</w:t>
      </w:r>
      <w:r w:rsidR="00217D19">
        <w:t xml:space="preserve"> the narrower listing was to be reconsidered.</w:t>
      </w:r>
    </w:p>
    <w:p w14:paraId="33255739" w14:textId="77777777" w:rsidR="003D286E" w:rsidRPr="00A82DA2" w:rsidRDefault="003D286E" w:rsidP="00B621B1">
      <w:pPr>
        <w:pStyle w:val="ExecSumBodyText"/>
        <w:rPr>
          <w:color w:val="0070C0"/>
          <w:lang w:val="en-GB" w:eastAsia="en-US"/>
        </w:rPr>
      </w:pPr>
      <w:r>
        <w:rPr>
          <w:lang w:val="en-GB" w:eastAsia="en-US"/>
        </w:rPr>
        <w:t xml:space="preserve">The PBAC noted that the resubmission’s main proposed comparator was chlorambucil + </w:t>
      </w:r>
      <w:proofErr w:type="spellStart"/>
      <w:r>
        <w:rPr>
          <w:lang w:val="en-GB" w:eastAsia="en-US"/>
        </w:rPr>
        <w:t>obinutuzumab</w:t>
      </w:r>
      <w:proofErr w:type="spellEnd"/>
      <w:r>
        <w:rPr>
          <w:lang w:val="en-GB" w:eastAsia="en-US"/>
        </w:rPr>
        <w:t>. The PBAC agreed that this was the main comparator for the</w:t>
      </w:r>
      <w:r w:rsidR="00305310">
        <w:rPr>
          <w:lang w:val="en-GB" w:eastAsia="en-US"/>
        </w:rPr>
        <w:t xml:space="preserve"> </w:t>
      </w:r>
      <w:r>
        <w:rPr>
          <w:lang w:val="en-GB" w:eastAsia="en-US"/>
        </w:rPr>
        <w:t xml:space="preserve">proposed </w:t>
      </w:r>
      <w:r w:rsidR="00305310">
        <w:rPr>
          <w:lang w:val="en-GB" w:eastAsia="en-US"/>
        </w:rPr>
        <w:t xml:space="preserve">PBS </w:t>
      </w:r>
      <w:r>
        <w:rPr>
          <w:lang w:val="en-GB" w:eastAsia="en-US"/>
        </w:rPr>
        <w:t xml:space="preserve">population. </w:t>
      </w:r>
      <w:r w:rsidR="00B82762">
        <w:rPr>
          <w:lang w:val="en-GB" w:eastAsia="en-US"/>
        </w:rPr>
        <w:t>Although</w:t>
      </w:r>
      <w:r w:rsidR="00D70145">
        <w:rPr>
          <w:lang w:val="en-GB" w:eastAsia="en-US"/>
        </w:rPr>
        <w:t xml:space="preserve"> i</w:t>
      </w:r>
      <w:r w:rsidR="00305310">
        <w:rPr>
          <w:lang w:val="en-GB" w:eastAsia="en-US"/>
        </w:rPr>
        <w:t xml:space="preserve">t </w:t>
      </w:r>
      <w:r w:rsidR="003D43F4">
        <w:rPr>
          <w:lang w:val="en-GB" w:eastAsia="en-US"/>
        </w:rPr>
        <w:t xml:space="preserve">was noted this </w:t>
      </w:r>
      <w:r w:rsidR="00305310">
        <w:rPr>
          <w:lang w:val="en-GB" w:eastAsia="en-US"/>
        </w:rPr>
        <w:t>would not be the comparator for p</w:t>
      </w:r>
      <w:r>
        <w:rPr>
          <w:lang w:val="en-GB" w:eastAsia="en-US"/>
        </w:rPr>
        <w:t xml:space="preserve">atients </w:t>
      </w:r>
      <w:r w:rsidRPr="00DA39CA">
        <w:rPr>
          <w:lang w:val="en-GB" w:eastAsia="en-US"/>
        </w:rPr>
        <w:t xml:space="preserve">who discontinued </w:t>
      </w:r>
      <w:proofErr w:type="spellStart"/>
      <w:r w:rsidRPr="00DA39CA">
        <w:rPr>
          <w:lang w:val="en-GB" w:eastAsia="en-US"/>
        </w:rPr>
        <w:t>venetoclax</w:t>
      </w:r>
      <w:proofErr w:type="spellEnd"/>
      <w:r w:rsidRPr="00DA39CA">
        <w:rPr>
          <w:lang w:val="en-GB" w:eastAsia="en-US"/>
        </w:rPr>
        <w:t xml:space="preserve"> + </w:t>
      </w:r>
      <w:proofErr w:type="spellStart"/>
      <w:r w:rsidRPr="00DA39CA">
        <w:rPr>
          <w:lang w:val="en-GB" w:eastAsia="en-US"/>
        </w:rPr>
        <w:t>obinutuzumab</w:t>
      </w:r>
      <w:proofErr w:type="spellEnd"/>
      <w:r w:rsidRPr="00DA39CA">
        <w:rPr>
          <w:lang w:val="en-GB" w:eastAsia="en-US"/>
        </w:rPr>
        <w:t xml:space="preserve"> due to </w:t>
      </w:r>
      <w:proofErr w:type="spellStart"/>
      <w:r w:rsidR="00305310" w:rsidRPr="00DA39CA">
        <w:rPr>
          <w:lang w:val="en-GB" w:eastAsia="en-US"/>
        </w:rPr>
        <w:t>obinutuzumab</w:t>
      </w:r>
      <w:proofErr w:type="spellEnd"/>
      <w:r w:rsidR="00305310" w:rsidRPr="00DA39CA">
        <w:rPr>
          <w:lang w:val="en-GB" w:eastAsia="en-US"/>
        </w:rPr>
        <w:t xml:space="preserve"> intolerance, this </w:t>
      </w:r>
      <w:r w:rsidR="003D43F4" w:rsidRPr="00DA39CA">
        <w:rPr>
          <w:lang w:val="en-GB" w:eastAsia="en-US"/>
        </w:rPr>
        <w:t>was considered</w:t>
      </w:r>
      <w:r w:rsidR="00305310" w:rsidRPr="00DA39CA">
        <w:rPr>
          <w:lang w:val="en-GB" w:eastAsia="en-US"/>
        </w:rPr>
        <w:t xml:space="preserve"> unlikely to affect the clinical or cost-effectiveness comparisons to a significant degree.</w:t>
      </w:r>
      <w:r w:rsidR="00192A56" w:rsidRPr="00DA39CA">
        <w:rPr>
          <w:lang w:val="en-GB" w:eastAsia="en-US"/>
        </w:rPr>
        <w:t xml:space="preserve"> Ibrutinib </w:t>
      </w:r>
      <w:r w:rsidR="00D70145" w:rsidRPr="00DA39CA">
        <w:rPr>
          <w:lang w:val="en-GB" w:eastAsia="en-US"/>
        </w:rPr>
        <w:t xml:space="preserve">was </w:t>
      </w:r>
      <w:r w:rsidR="00192A56" w:rsidRPr="00DA39CA">
        <w:rPr>
          <w:lang w:val="en-GB" w:eastAsia="en-US"/>
        </w:rPr>
        <w:t xml:space="preserve">not a main comparator </w:t>
      </w:r>
      <w:r w:rsidR="00D70145" w:rsidRPr="00DA39CA">
        <w:rPr>
          <w:lang w:val="en-GB" w:eastAsia="en-US"/>
        </w:rPr>
        <w:t xml:space="preserve">for this resubmission given </w:t>
      </w:r>
      <w:r w:rsidR="00192A56" w:rsidRPr="00DA39CA">
        <w:rPr>
          <w:lang w:val="en-GB" w:eastAsia="en-US"/>
        </w:rPr>
        <w:t>the proposed PBS population.</w:t>
      </w:r>
      <w:r w:rsidR="00305310" w:rsidRPr="00DA39CA">
        <w:rPr>
          <w:lang w:val="en-GB" w:eastAsia="en-US"/>
        </w:rPr>
        <w:t xml:space="preserve"> As the </w:t>
      </w:r>
      <w:r w:rsidR="00192A56" w:rsidRPr="00DA39CA">
        <w:rPr>
          <w:lang w:val="en-GB" w:eastAsia="en-US"/>
        </w:rPr>
        <w:t>requested</w:t>
      </w:r>
      <w:r w:rsidR="00305310" w:rsidRPr="00DA39CA">
        <w:rPr>
          <w:lang w:val="en-GB" w:eastAsia="en-US"/>
        </w:rPr>
        <w:t xml:space="preserve"> PBS listing was for patients unsuitable for </w:t>
      </w:r>
      <w:proofErr w:type="spellStart"/>
      <w:r w:rsidR="00305310" w:rsidRPr="00DA39CA">
        <w:rPr>
          <w:lang w:val="en-GB" w:eastAsia="en-US"/>
        </w:rPr>
        <w:t>venetoclax</w:t>
      </w:r>
      <w:proofErr w:type="spellEnd"/>
      <w:r w:rsidR="00305310" w:rsidRPr="00DA39CA">
        <w:rPr>
          <w:lang w:val="en-GB" w:eastAsia="en-US"/>
        </w:rPr>
        <w:t xml:space="preserve"> + </w:t>
      </w:r>
      <w:proofErr w:type="spellStart"/>
      <w:r w:rsidR="00305310" w:rsidRPr="00DA39CA">
        <w:rPr>
          <w:lang w:val="en-GB" w:eastAsia="en-US"/>
        </w:rPr>
        <w:t>obinutuzumab</w:t>
      </w:r>
      <w:proofErr w:type="spellEnd"/>
      <w:r w:rsidR="00305310" w:rsidRPr="00DA39CA">
        <w:rPr>
          <w:lang w:val="en-GB" w:eastAsia="en-US"/>
        </w:rPr>
        <w:t xml:space="preserve">, </w:t>
      </w:r>
      <w:r w:rsidR="00B82762" w:rsidRPr="00DA39CA">
        <w:rPr>
          <w:lang w:val="en-GB" w:eastAsia="en-US"/>
        </w:rPr>
        <w:t>this combination was not</w:t>
      </w:r>
      <w:r w:rsidR="00305310" w:rsidRPr="00DA39CA">
        <w:rPr>
          <w:lang w:val="en-GB" w:eastAsia="en-US"/>
        </w:rPr>
        <w:t xml:space="preserve"> a comparator</w:t>
      </w:r>
      <w:r w:rsidR="00C1150E" w:rsidRPr="00DA39CA">
        <w:rPr>
          <w:lang w:val="en-GB" w:eastAsia="en-US"/>
        </w:rPr>
        <w:t xml:space="preserve"> in the resubmission</w:t>
      </w:r>
      <w:r w:rsidR="00FF2565">
        <w:rPr>
          <w:lang w:val="en-GB" w:eastAsia="en-US"/>
        </w:rPr>
        <w:t>, however</w:t>
      </w:r>
      <w:r w:rsidR="00DA39CA">
        <w:rPr>
          <w:lang w:val="en-GB" w:eastAsia="en-US"/>
        </w:rPr>
        <w:t>,</w:t>
      </w:r>
      <w:r w:rsidR="00FF2565">
        <w:rPr>
          <w:lang w:val="en-GB" w:eastAsia="en-US"/>
        </w:rPr>
        <w:t xml:space="preserve"> </w:t>
      </w:r>
      <w:bookmarkStart w:id="70" w:name="_Hlk89779345"/>
      <w:r w:rsidR="00FF2565">
        <w:rPr>
          <w:lang w:val="en-GB" w:eastAsia="en-US"/>
        </w:rPr>
        <w:t>the PBAC recognise</w:t>
      </w:r>
      <w:r w:rsidR="00B82762">
        <w:rPr>
          <w:lang w:val="en-GB" w:eastAsia="en-US"/>
        </w:rPr>
        <w:t>d</w:t>
      </w:r>
      <w:r w:rsidR="00FF2565">
        <w:rPr>
          <w:lang w:val="en-GB" w:eastAsia="en-US"/>
        </w:rPr>
        <w:t xml:space="preserve"> the issue that some patients/prescribers may prefer acalabrutinib</w:t>
      </w:r>
      <w:r w:rsidR="00B82762">
        <w:rPr>
          <w:lang w:val="en-GB" w:eastAsia="en-US"/>
        </w:rPr>
        <w:t xml:space="preserve"> as an oral therapy</w:t>
      </w:r>
      <w:r w:rsidR="00FF2565">
        <w:rPr>
          <w:lang w:val="en-GB" w:eastAsia="en-US"/>
        </w:rPr>
        <w:t xml:space="preserve"> despite not being truly unsuitable for </w:t>
      </w:r>
      <w:proofErr w:type="spellStart"/>
      <w:r w:rsidR="00FF2565">
        <w:rPr>
          <w:lang w:val="en-GB" w:eastAsia="en-US"/>
        </w:rPr>
        <w:t>venetoclax</w:t>
      </w:r>
      <w:proofErr w:type="spellEnd"/>
      <w:r w:rsidR="00FF2565">
        <w:rPr>
          <w:lang w:val="en-GB" w:eastAsia="en-US"/>
        </w:rPr>
        <w:t xml:space="preserve"> + </w:t>
      </w:r>
      <w:proofErr w:type="spellStart"/>
      <w:r w:rsidR="00FF2565">
        <w:rPr>
          <w:lang w:val="en-GB" w:eastAsia="en-US"/>
        </w:rPr>
        <w:t>obinutuzumab</w:t>
      </w:r>
      <w:proofErr w:type="spellEnd"/>
      <w:r w:rsidR="00C1150E">
        <w:rPr>
          <w:lang w:val="en-GB" w:eastAsia="en-US"/>
        </w:rPr>
        <w:t xml:space="preserve"> (</w:t>
      </w:r>
      <w:r w:rsidR="00DA39CA">
        <w:rPr>
          <w:lang w:val="en-GB" w:eastAsia="en-US"/>
        </w:rPr>
        <w:t xml:space="preserve">as raised by the evaluation, </w:t>
      </w:r>
      <w:r w:rsidR="00C1150E">
        <w:rPr>
          <w:lang w:val="en-GB" w:eastAsia="en-US"/>
        </w:rPr>
        <w:t xml:space="preserve">see paragraph </w:t>
      </w:r>
      <w:r w:rsidR="00BD60E3">
        <w:rPr>
          <w:lang w:val="en-GB" w:eastAsia="en-US"/>
        </w:rPr>
        <w:t>5.2</w:t>
      </w:r>
      <w:r w:rsidR="00C1150E">
        <w:rPr>
          <w:lang w:val="en-GB" w:eastAsia="en-US"/>
        </w:rPr>
        <w:t>)</w:t>
      </w:r>
      <w:r w:rsidR="00B82762">
        <w:rPr>
          <w:lang w:val="en-GB" w:eastAsia="en-US"/>
        </w:rPr>
        <w:t>.</w:t>
      </w:r>
      <w:bookmarkEnd w:id="70"/>
      <w:r w:rsidR="00FF2565">
        <w:rPr>
          <w:lang w:val="en-GB" w:eastAsia="en-US"/>
        </w:rPr>
        <w:t xml:space="preserve"> </w:t>
      </w:r>
      <w:r w:rsidR="00EC02E2">
        <w:rPr>
          <w:lang w:val="en-GB" w:eastAsia="en-US"/>
        </w:rPr>
        <w:t>Based on the proposed restriction</w:t>
      </w:r>
      <w:r w:rsidR="008C5161">
        <w:rPr>
          <w:lang w:val="en-GB" w:eastAsia="en-US"/>
        </w:rPr>
        <w:t>,</w:t>
      </w:r>
      <w:r w:rsidR="00EC02E2">
        <w:rPr>
          <w:lang w:val="en-GB" w:eastAsia="en-US"/>
        </w:rPr>
        <w:t xml:space="preserve"> the PBAC considered </w:t>
      </w:r>
      <w:proofErr w:type="spellStart"/>
      <w:r w:rsidR="00EC02E2">
        <w:rPr>
          <w:lang w:val="en-GB" w:eastAsia="en-US"/>
        </w:rPr>
        <w:t>venetoclax</w:t>
      </w:r>
      <w:proofErr w:type="spellEnd"/>
      <w:r w:rsidR="00EC02E2">
        <w:rPr>
          <w:lang w:val="en-GB" w:eastAsia="en-US"/>
        </w:rPr>
        <w:t xml:space="preserve"> + </w:t>
      </w:r>
      <w:proofErr w:type="spellStart"/>
      <w:r w:rsidR="00EC02E2">
        <w:rPr>
          <w:lang w:val="en-GB" w:eastAsia="en-US"/>
        </w:rPr>
        <w:t>obinutuzumab</w:t>
      </w:r>
      <w:proofErr w:type="spellEnd"/>
      <w:r w:rsidR="00EC02E2">
        <w:rPr>
          <w:lang w:val="en-GB" w:eastAsia="en-US"/>
        </w:rPr>
        <w:t xml:space="preserve"> to be a relevant comparator.</w:t>
      </w:r>
    </w:p>
    <w:p w14:paraId="3A8FEC11" w14:textId="77777777" w:rsidR="00760721" w:rsidRPr="00760721" w:rsidRDefault="00464985" w:rsidP="00C864A4">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recalled </w:t>
      </w:r>
      <w:r w:rsidR="00E21139">
        <w:rPr>
          <w:rFonts w:asciiTheme="minorHAnsi" w:hAnsiTheme="minorHAnsi"/>
          <w:snapToGrid w:val="0"/>
          <w:lang w:val="en-GB" w:eastAsia="en-US"/>
        </w:rPr>
        <w:t xml:space="preserve">that </w:t>
      </w:r>
      <w:r>
        <w:rPr>
          <w:rFonts w:asciiTheme="minorHAnsi" w:hAnsiTheme="minorHAnsi"/>
          <w:snapToGrid w:val="0"/>
          <w:lang w:val="en-GB" w:eastAsia="en-US"/>
        </w:rPr>
        <w:t xml:space="preserve">it had previously considered the </w:t>
      </w:r>
      <w:r w:rsidR="00E21139">
        <w:rPr>
          <w:rFonts w:asciiTheme="minorHAnsi" w:hAnsiTheme="minorHAnsi"/>
          <w:snapToGrid w:val="0"/>
          <w:lang w:val="en-GB" w:eastAsia="en-US"/>
        </w:rPr>
        <w:t xml:space="preserve">open-label phase 3 head-to-head randomised </w:t>
      </w:r>
      <w:r>
        <w:rPr>
          <w:rFonts w:asciiTheme="minorHAnsi" w:hAnsiTheme="minorHAnsi"/>
          <w:snapToGrid w:val="0"/>
          <w:lang w:val="en-GB" w:eastAsia="en-US"/>
        </w:rPr>
        <w:t xml:space="preserve">ELEVATE-TN trial </w:t>
      </w:r>
      <w:r w:rsidR="00E21139">
        <w:rPr>
          <w:rFonts w:asciiTheme="minorHAnsi" w:hAnsiTheme="minorHAnsi"/>
          <w:snapToGrid w:val="0"/>
          <w:lang w:val="en-GB" w:eastAsia="en-US"/>
        </w:rPr>
        <w:t xml:space="preserve">at the July 2020 meeting, and it noted that the </w:t>
      </w:r>
      <w:r w:rsidR="00E21139">
        <w:rPr>
          <w:rFonts w:asciiTheme="minorHAnsi" w:hAnsiTheme="minorHAnsi"/>
          <w:snapToGrid w:val="0"/>
          <w:lang w:val="en-GB" w:eastAsia="en-US"/>
        </w:rPr>
        <w:lastRenderedPageBreak/>
        <w:t>resubmission had presented a later (September 2020) data cut with a median duration of follow up of 46.9 months. The PBAC noted the evaluation’s concerns about applicability to the proposed PBS population. However, it agreed with the</w:t>
      </w:r>
      <w:r w:rsidR="000F73CA">
        <w:rPr>
          <w:rFonts w:asciiTheme="minorHAnsi" w:hAnsiTheme="minorHAnsi"/>
          <w:snapToGrid w:val="0"/>
          <w:lang w:val="en-GB" w:eastAsia="en-US"/>
        </w:rPr>
        <w:t xml:space="preserve"> PSCR and the</w:t>
      </w:r>
      <w:r w:rsidR="00E21139">
        <w:rPr>
          <w:rFonts w:asciiTheme="minorHAnsi" w:hAnsiTheme="minorHAnsi"/>
          <w:snapToGrid w:val="0"/>
          <w:lang w:val="en-GB" w:eastAsia="en-US"/>
        </w:rPr>
        <w:t xml:space="preserve"> ESC that the </w:t>
      </w:r>
      <w:r w:rsidR="000F73CA">
        <w:rPr>
          <w:rFonts w:asciiTheme="minorHAnsi" w:hAnsiTheme="minorHAnsi"/>
          <w:snapToGrid w:val="0"/>
          <w:lang w:val="en-GB" w:eastAsia="en-US"/>
        </w:rPr>
        <w:t>trial would likely be applicable to the PBS population, commenting that the proposed PBS population could reasonably be considered a subgroup of ELEVATE-TN patients, and</w:t>
      </w:r>
      <w:r w:rsidR="003275EA">
        <w:rPr>
          <w:rFonts w:asciiTheme="minorHAnsi" w:hAnsiTheme="minorHAnsi"/>
          <w:snapToGrid w:val="0"/>
          <w:lang w:val="en-GB" w:eastAsia="en-US"/>
        </w:rPr>
        <w:t xml:space="preserve"> that</w:t>
      </w:r>
      <w:r w:rsidR="000F73CA">
        <w:rPr>
          <w:rFonts w:asciiTheme="minorHAnsi" w:hAnsiTheme="minorHAnsi"/>
          <w:snapToGrid w:val="0"/>
          <w:lang w:val="en-GB" w:eastAsia="en-US"/>
        </w:rPr>
        <w:t xml:space="preserve"> the reasons for </w:t>
      </w:r>
      <w:proofErr w:type="spellStart"/>
      <w:r w:rsidR="000F73CA">
        <w:rPr>
          <w:rFonts w:asciiTheme="minorHAnsi" w:hAnsiTheme="minorHAnsi"/>
          <w:snapToGrid w:val="0"/>
          <w:lang w:val="en-GB" w:eastAsia="en-US"/>
        </w:rPr>
        <w:t>venetoclax</w:t>
      </w:r>
      <w:proofErr w:type="spellEnd"/>
      <w:r w:rsidR="000F73CA">
        <w:rPr>
          <w:rFonts w:asciiTheme="minorHAnsi" w:hAnsiTheme="minorHAnsi"/>
          <w:snapToGrid w:val="0"/>
          <w:lang w:val="en-GB" w:eastAsia="en-US"/>
        </w:rPr>
        <w:t xml:space="preserve"> + </w:t>
      </w:r>
      <w:proofErr w:type="spellStart"/>
      <w:r w:rsidR="000F73CA">
        <w:rPr>
          <w:rFonts w:asciiTheme="minorHAnsi" w:hAnsiTheme="minorHAnsi"/>
          <w:snapToGrid w:val="0"/>
          <w:lang w:val="en-GB" w:eastAsia="en-US"/>
        </w:rPr>
        <w:t>obinutuzumab</w:t>
      </w:r>
      <w:proofErr w:type="spellEnd"/>
      <w:r w:rsidR="000F73CA">
        <w:rPr>
          <w:rFonts w:asciiTheme="minorHAnsi" w:hAnsiTheme="minorHAnsi"/>
          <w:snapToGrid w:val="0"/>
          <w:lang w:val="en-GB" w:eastAsia="en-US"/>
        </w:rPr>
        <w:t xml:space="preserve"> unsuitability would not necessarily impact clinical response to therapy. </w:t>
      </w:r>
    </w:p>
    <w:p w14:paraId="3E601128" w14:textId="77777777" w:rsidR="00760721" w:rsidRPr="004449D8" w:rsidRDefault="000F73CA" w:rsidP="00C864A4">
      <w:pPr>
        <w:widowControl w:val="0"/>
        <w:numPr>
          <w:ilvl w:val="1"/>
          <w:numId w:val="1"/>
        </w:numPr>
        <w:spacing w:after="120"/>
        <w:rPr>
          <w:rFonts w:asciiTheme="minorHAnsi" w:hAnsiTheme="minorHAnsi"/>
          <w:snapToGrid w:val="0"/>
          <w:lang w:val="en-GB" w:eastAsia="en-US"/>
        </w:rPr>
      </w:pPr>
      <w:r w:rsidRPr="00EE60D7">
        <w:rPr>
          <w:rFonts w:asciiTheme="minorHAnsi" w:hAnsiTheme="minorHAnsi"/>
          <w:snapToGrid w:val="0"/>
          <w:lang w:val="en-GB" w:eastAsia="en-US"/>
        </w:rPr>
        <w:t xml:space="preserve">The PBAC recalled that, based on ELEVATE-TN, it had previously considered that </w:t>
      </w:r>
      <w:r w:rsidR="00EE60D7" w:rsidRPr="00EE60D7">
        <w:rPr>
          <w:rFonts w:asciiTheme="minorHAnsi" w:hAnsiTheme="minorHAnsi"/>
          <w:snapToGrid w:val="0"/>
          <w:lang w:val="en-GB" w:eastAsia="en-US"/>
        </w:rPr>
        <w:t xml:space="preserve">a claim of superior comparative effectiveness between </w:t>
      </w:r>
      <w:r w:rsidRPr="00EE60D7">
        <w:rPr>
          <w:rFonts w:asciiTheme="minorHAnsi" w:hAnsiTheme="minorHAnsi"/>
          <w:snapToGrid w:val="0"/>
          <w:lang w:val="en-GB" w:eastAsia="en-US"/>
        </w:rPr>
        <w:t xml:space="preserve">acalabrutinib </w:t>
      </w:r>
      <w:r w:rsidR="00EE60D7" w:rsidRPr="00EE60D7">
        <w:rPr>
          <w:rFonts w:asciiTheme="minorHAnsi" w:hAnsiTheme="minorHAnsi"/>
          <w:snapToGrid w:val="0"/>
          <w:lang w:val="en-GB" w:eastAsia="en-US"/>
        </w:rPr>
        <w:t xml:space="preserve">and chlorambucil + </w:t>
      </w:r>
      <w:proofErr w:type="spellStart"/>
      <w:r w:rsidR="00EE60D7" w:rsidRPr="00EE60D7">
        <w:rPr>
          <w:rFonts w:asciiTheme="minorHAnsi" w:hAnsiTheme="minorHAnsi"/>
          <w:snapToGrid w:val="0"/>
          <w:lang w:val="en-GB" w:eastAsia="en-US"/>
        </w:rPr>
        <w:t>obinutuzumab</w:t>
      </w:r>
      <w:proofErr w:type="spellEnd"/>
      <w:r w:rsidR="00EE60D7" w:rsidRPr="00EE60D7">
        <w:rPr>
          <w:rFonts w:asciiTheme="minorHAnsi" w:hAnsiTheme="minorHAnsi"/>
          <w:snapToGrid w:val="0"/>
          <w:lang w:val="en-GB" w:eastAsia="en-US"/>
        </w:rPr>
        <w:t xml:space="preserve"> was reasonable, although the magnitude of the benefit had been uncertain at that time due to the immaturity of the data. </w:t>
      </w:r>
      <w:bookmarkStart w:id="71" w:name="_Hlk89766460"/>
      <w:r w:rsidR="001322FE">
        <w:rPr>
          <w:rFonts w:asciiTheme="minorHAnsi" w:hAnsiTheme="minorHAnsi"/>
          <w:snapToGrid w:val="0"/>
          <w:lang w:val="en-GB" w:eastAsia="en-US"/>
        </w:rPr>
        <w:t xml:space="preserve">The PBAC was more confident this claim was reasonable </w:t>
      </w:r>
      <w:r w:rsidR="00AA0CB3">
        <w:rPr>
          <w:rFonts w:asciiTheme="minorHAnsi" w:hAnsiTheme="minorHAnsi"/>
          <w:snapToGrid w:val="0"/>
          <w:lang w:val="en-GB" w:eastAsia="en-US"/>
        </w:rPr>
        <w:t>in relation to PFS</w:t>
      </w:r>
      <w:r w:rsidR="005A5C1D">
        <w:rPr>
          <w:rFonts w:asciiTheme="minorHAnsi" w:hAnsiTheme="minorHAnsi"/>
          <w:snapToGrid w:val="0"/>
          <w:lang w:val="en-GB" w:eastAsia="en-US"/>
        </w:rPr>
        <w:t>,</w:t>
      </w:r>
      <w:r w:rsidR="00AA0CB3">
        <w:rPr>
          <w:rFonts w:asciiTheme="minorHAnsi" w:hAnsiTheme="minorHAnsi"/>
          <w:snapToGrid w:val="0"/>
          <w:lang w:val="en-GB" w:eastAsia="en-US"/>
        </w:rPr>
        <w:t xml:space="preserve"> </w:t>
      </w:r>
      <w:r w:rsidR="001322FE">
        <w:rPr>
          <w:rFonts w:asciiTheme="minorHAnsi" w:hAnsiTheme="minorHAnsi"/>
          <w:snapToGrid w:val="0"/>
          <w:lang w:val="en-GB" w:eastAsia="en-US"/>
        </w:rPr>
        <w:t>noting that the more mature data in the resubmission with follow-up over approximately four years showed consistency of effect.</w:t>
      </w:r>
      <w:r w:rsidR="00907396">
        <w:rPr>
          <w:rFonts w:asciiTheme="minorHAnsi" w:hAnsiTheme="minorHAnsi"/>
          <w:snapToGrid w:val="0"/>
          <w:lang w:val="en-GB" w:eastAsia="en-US"/>
        </w:rPr>
        <w:t xml:space="preserve"> </w:t>
      </w:r>
      <w:bookmarkStart w:id="72" w:name="_Hlk89779354"/>
      <w:r w:rsidR="00AA0CB3">
        <w:rPr>
          <w:rFonts w:asciiTheme="minorHAnsi" w:hAnsiTheme="minorHAnsi"/>
          <w:snapToGrid w:val="0"/>
          <w:lang w:val="en-GB" w:eastAsia="en-US"/>
        </w:rPr>
        <w:t xml:space="preserve">At the same time, it remained of the view that it would be inappropriate to model an overall survival gain in the economic evaluation as this data remained immature and </w:t>
      </w:r>
      <w:r w:rsidR="00EC02E2">
        <w:rPr>
          <w:rFonts w:asciiTheme="minorHAnsi" w:hAnsiTheme="minorHAnsi"/>
          <w:snapToGrid w:val="0"/>
          <w:lang w:val="en-GB" w:eastAsia="en-US"/>
        </w:rPr>
        <w:t>there may not be a difference over the longer term</w:t>
      </w:r>
      <w:r w:rsidR="00AA0CB3">
        <w:rPr>
          <w:rFonts w:asciiTheme="minorHAnsi" w:hAnsiTheme="minorHAnsi"/>
          <w:snapToGrid w:val="0"/>
          <w:lang w:val="en-GB" w:eastAsia="en-US"/>
        </w:rPr>
        <w:t xml:space="preserve"> given subsequent line</w:t>
      </w:r>
      <w:r w:rsidR="000A44DE">
        <w:rPr>
          <w:rFonts w:asciiTheme="minorHAnsi" w:hAnsiTheme="minorHAnsi"/>
          <w:snapToGrid w:val="0"/>
          <w:lang w:val="en-GB" w:eastAsia="en-US"/>
        </w:rPr>
        <w:t>s</w:t>
      </w:r>
      <w:r w:rsidR="00AA0CB3">
        <w:rPr>
          <w:rFonts w:asciiTheme="minorHAnsi" w:hAnsiTheme="minorHAnsi"/>
          <w:snapToGrid w:val="0"/>
          <w:lang w:val="en-GB" w:eastAsia="en-US"/>
        </w:rPr>
        <w:t xml:space="preserve"> of effective therapy are available. </w:t>
      </w:r>
      <w:bookmarkEnd w:id="71"/>
      <w:r w:rsidR="00907396">
        <w:rPr>
          <w:rFonts w:asciiTheme="minorHAnsi" w:hAnsiTheme="minorHAnsi"/>
          <w:snapToGrid w:val="0"/>
          <w:lang w:val="en-GB" w:eastAsia="en-US"/>
        </w:rPr>
        <w:t xml:space="preserve">It considered </w:t>
      </w:r>
      <w:r w:rsidR="00E1266D">
        <w:rPr>
          <w:rFonts w:asciiTheme="minorHAnsi" w:hAnsiTheme="minorHAnsi"/>
          <w:snapToGrid w:val="0"/>
          <w:lang w:val="en-GB" w:eastAsia="en-US"/>
        </w:rPr>
        <w:t xml:space="preserve">the </w:t>
      </w:r>
      <w:r w:rsidR="00E1266D" w:rsidRPr="003275EA">
        <w:rPr>
          <w:rFonts w:asciiTheme="minorHAnsi" w:hAnsiTheme="minorHAnsi"/>
          <w:snapToGrid w:val="0"/>
          <w:lang w:val="en-GB" w:eastAsia="en-US"/>
        </w:rPr>
        <w:t>overall</w:t>
      </w:r>
      <w:r w:rsidR="00E1266D">
        <w:rPr>
          <w:rFonts w:asciiTheme="minorHAnsi" w:hAnsiTheme="minorHAnsi"/>
          <w:snapToGrid w:val="0"/>
          <w:lang w:val="en-GB" w:eastAsia="en-US"/>
        </w:rPr>
        <w:t xml:space="preserve"> superiority </w:t>
      </w:r>
      <w:r w:rsidR="00907396">
        <w:rPr>
          <w:rFonts w:asciiTheme="minorHAnsi" w:hAnsiTheme="minorHAnsi"/>
          <w:snapToGrid w:val="0"/>
          <w:lang w:val="en-GB" w:eastAsia="en-US"/>
        </w:rPr>
        <w:t xml:space="preserve">claim would be </w:t>
      </w:r>
      <w:r w:rsidR="00907396" w:rsidRPr="004449D8">
        <w:rPr>
          <w:rFonts w:asciiTheme="minorHAnsi" w:hAnsiTheme="minorHAnsi"/>
          <w:snapToGrid w:val="0"/>
          <w:lang w:val="en-GB" w:eastAsia="en-US"/>
        </w:rPr>
        <w:t>applicable to the narrower population proposed in the resubmission.</w:t>
      </w:r>
      <w:r w:rsidR="009F0202" w:rsidRPr="004449D8">
        <w:rPr>
          <w:rFonts w:asciiTheme="minorHAnsi" w:hAnsiTheme="minorHAnsi"/>
          <w:snapToGrid w:val="0"/>
          <w:lang w:val="en-GB" w:eastAsia="en-US"/>
        </w:rPr>
        <w:t xml:space="preserve"> </w:t>
      </w:r>
      <w:bookmarkEnd w:id="72"/>
    </w:p>
    <w:p w14:paraId="067F023A" w14:textId="77777777" w:rsidR="00EE60D7" w:rsidRPr="00EE60D7" w:rsidRDefault="00B621B1" w:rsidP="00C864A4">
      <w:pPr>
        <w:widowControl w:val="0"/>
        <w:numPr>
          <w:ilvl w:val="1"/>
          <w:numId w:val="1"/>
        </w:numPr>
        <w:spacing w:after="120"/>
        <w:rPr>
          <w:rFonts w:asciiTheme="minorHAnsi" w:hAnsiTheme="minorHAnsi"/>
          <w:snapToGrid w:val="0"/>
          <w:lang w:val="en-GB" w:eastAsia="en-US"/>
        </w:rPr>
      </w:pPr>
      <w:r w:rsidRPr="004449D8">
        <w:rPr>
          <w:rFonts w:asciiTheme="minorHAnsi" w:hAnsiTheme="minorHAnsi"/>
          <w:snapToGrid w:val="0"/>
          <w:lang w:val="en-GB" w:eastAsia="en-US"/>
        </w:rPr>
        <w:t>Similarly, t</w:t>
      </w:r>
      <w:r w:rsidR="00907396" w:rsidRPr="004449D8">
        <w:rPr>
          <w:rFonts w:asciiTheme="minorHAnsi" w:hAnsiTheme="minorHAnsi"/>
          <w:snapToGrid w:val="0"/>
          <w:lang w:val="en-GB" w:eastAsia="en-US"/>
        </w:rPr>
        <w:t xml:space="preserve">he PBAC </w:t>
      </w:r>
      <w:r w:rsidRPr="004449D8">
        <w:rPr>
          <w:rFonts w:asciiTheme="minorHAnsi" w:hAnsiTheme="minorHAnsi"/>
          <w:snapToGrid w:val="0"/>
          <w:lang w:val="en-GB" w:eastAsia="en-US"/>
        </w:rPr>
        <w:t>reiterated its previous opinion</w:t>
      </w:r>
      <w:r w:rsidR="00907396" w:rsidRPr="004449D8">
        <w:rPr>
          <w:rFonts w:asciiTheme="minorHAnsi" w:hAnsiTheme="minorHAnsi"/>
          <w:snapToGrid w:val="0"/>
          <w:lang w:val="en-GB" w:eastAsia="en-US"/>
        </w:rPr>
        <w:t xml:space="preserve"> that ELEVATE-TN demonstrated likely superior safety</w:t>
      </w:r>
      <w:r w:rsidR="00907396">
        <w:rPr>
          <w:rFonts w:asciiTheme="minorHAnsi" w:hAnsiTheme="minorHAnsi"/>
          <w:snapToGrid w:val="0"/>
          <w:lang w:val="en-GB" w:eastAsia="en-US"/>
        </w:rPr>
        <w:t xml:space="preserve"> of acalabrutinib over chlorambucil + </w:t>
      </w:r>
      <w:proofErr w:type="spellStart"/>
      <w:r w:rsidR="00907396">
        <w:rPr>
          <w:rFonts w:asciiTheme="minorHAnsi" w:hAnsiTheme="minorHAnsi"/>
          <w:snapToGrid w:val="0"/>
          <w:lang w:val="en-GB" w:eastAsia="en-US"/>
        </w:rPr>
        <w:t>obinutuzumab</w:t>
      </w:r>
      <w:proofErr w:type="spellEnd"/>
      <w:r w:rsidR="009307B1">
        <w:rPr>
          <w:rFonts w:asciiTheme="minorHAnsi" w:hAnsiTheme="minorHAnsi"/>
          <w:snapToGrid w:val="0"/>
          <w:lang w:val="en-GB" w:eastAsia="en-US"/>
        </w:rPr>
        <w:t xml:space="preserve">, noting that although acalabrutinib was associated with a higher incidence of serious adverse events, </w:t>
      </w:r>
      <w:r w:rsidR="00705CB6" w:rsidRPr="00705CB6">
        <w:rPr>
          <w:rFonts w:asciiTheme="minorHAnsi" w:hAnsiTheme="minorHAnsi"/>
          <w:snapToGrid w:val="0"/>
          <w:lang w:val="en-GB" w:eastAsia="en-US"/>
        </w:rPr>
        <w:t xml:space="preserve">Grade ≥3 adverse events </w:t>
      </w:r>
      <w:r w:rsidR="00705CB6">
        <w:rPr>
          <w:rFonts w:asciiTheme="minorHAnsi" w:hAnsiTheme="minorHAnsi"/>
          <w:snapToGrid w:val="0"/>
          <w:lang w:val="en-GB" w:eastAsia="en-US"/>
        </w:rPr>
        <w:t xml:space="preserve">were lower, and </w:t>
      </w:r>
      <w:r w:rsidR="009307B1">
        <w:rPr>
          <w:rFonts w:asciiTheme="minorHAnsi" w:hAnsiTheme="minorHAnsi"/>
          <w:snapToGrid w:val="0"/>
          <w:lang w:val="en-GB" w:eastAsia="en-US"/>
        </w:rPr>
        <w:t xml:space="preserve">the longer duration of treatment </w:t>
      </w:r>
      <w:r w:rsidR="004449D8">
        <w:rPr>
          <w:rFonts w:asciiTheme="minorHAnsi" w:hAnsiTheme="minorHAnsi"/>
          <w:snapToGrid w:val="0"/>
          <w:lang w:val="en-GB" w:eastAsia="en-US"/>
        </w:rPr>
        <w:t xml:space="preserve">with acalabrutinib </w:t>
      </w:r>
      <w:r w:rsidR="009307B1">
        <w:rPr>
          <w:rFonts w:asciiTheme="minorHAnsi" w:hAnsiTheme="minorHAnsi"/>
          <w:snapToGrid w:val="0"/>
          <w:lang w:val="en-GB" w:eastAsia="en-US"/>
        </w:rPr>
        <w:t>would be expected to have impacted the overall number of adverse events.</w:t>
      </w:r>
      <w:r>
        <w:rPr>
          <w:rFonts w:asciiTheme="minorHAnsi" w:hAnsiTheme="minorHAnsi"/>
          <w:snapToGrid w:val="0"/>
          <w:lang w:val="en-GB" w:eastAsia="en-US"/>
        </w:rPr>
        <w:t xml:space="preserve"> It also considered that this claim applied to the narrower proposed PBS population.</w:t>
      </w:r>
    </w:p>
    <w:p w14:paraId="5185249D" w14:textId="77777777" w:rsidR="00825B70" w:rsidRPr="00825B70" w:rsidRDefault="007F7A7C" w:rsidP="003D0E12">
      <w:pPr>
        <w:widowControl w:val="0"/>
        <w:numPr>
          <w:ilvl w:val="1"/>
          <w:numId w:val="1"/>
        </w:numPr>
        <w:spacing w:after="120"/>
        <w:rPr>
          <w:rFonts w:asciiTheme="minorHAnsi" w:hAnsiTheme="minorHAnsi"/>
          <w:snapToGrid w:val="0"/>
          <w:color w:val="0070C0"/>
          <w:lang w:val="en-GB" w:eastAsia="en-US"/>
        </w:rPr>
      </w:pPr>
      <w:bookmarkStart w:id="73" w:name="_Ref89784787"/>
      <w:r w:rsidRPr="001918CD">
        <w:rPr>
          <w:rFonts w:asciiTheme="minorHAnsi" w:hAnsiTheme="minorHAnsi"/>
          <w:snapToGrid w:val="0"/>
          <w:lang w:val="en-GB" w:eastAsia="en-US"/>
        </w:rPr>
        <w:t>In</w:t>
      </w:r>
      <w:r w:rsidR="004C6E93" w:rsidRPr="001918CD">
        <w:rPr>
          <w:rFonts w:asciiTheme="minorHAnsi" w:hAnsiTheme="minorHAnsi"/>
          <w:snapToGrid w:val="0"/>
          <w:lang w:val="en-GB" w:eastAsia="en-US"/>
        </w:rPr>
        <w:t xml:space="preserve"> terms of the economic analysis, the PBAC noted</w:t>
      </w:r>
      <w:r w:rsidR="00B621B1" w:rsidRPr="001918CD">
        <w:rPr>
          <w:rFonts w:asciiTheme="minorHAnsi" w:hAnsiTheme="minorHAnsi"/>
          <w:snapToGrid w:val="0"/>
          <w:lang w:val="en-GB" w:eastAsia="en-US"/>
        </w:rPr>
        <w:t xml:space="preserve"> the resubmission had revised its evaluation from using a Markov model to </w:t>
      </w:r>
      <w:r w:rsidR="00E52ED1" w:rsidRPr="001918CD">
        <w:rPr>
          <w:rFonts w:asciiTheme="minorHAnsi" w:hAnsiTheme="minorHAnsi"/>
          <w:snapToGrid w:val="0"/>
          <w:lang w:val="en-GB" w:eastAsia="en-US"/>
        </w:rPr>
        <w:t xml:space="preserve">using </w:t>
      </w:r>
      <w:r w:rsidR="00B621B1" w:rsidRPr="001918CD">
        <w:rPr>
          <w:rFonts w:asciiTheme="minorHAnsi" w:hAnsiTheme="minorHAnsi"/>
          <w:snapToGrid w:val="0"/>
          <w:lang w:val="en-GB" w:eastAsia="en-US"/>
        </w:rPr>
        <w:t xml:space="preserve">a three-state partitioned survival model. </w:t>
      </w:r>
      <w:r w:rsidR="00E52ED1" w:rsidRPr="001918CD">
        <w:rPr>
          <w:rFonts w:asciiTheme="minorHAnsi" w:hAnsiTheme="minorHAnsi"/>
          <w:snapToGrid w:val="0"/>
          <w:lang w:val="en-GB" w:eastAsia="en-US"/>
        </w:rPr>
        <w:t xml:space="preserve">The PBAC </w:t>
      </w:r>
      <w:r w:rsidR="00287E78">
        <w:rPr>
          <w:rFonts w:asciiTheme="minorHAnsi" w:hAnsiTheme="minorHAnsi"/>
          <w:snapToGrid w:val="0"/>
          <w:lang w:val="en-GB" w:eastAsia="en-US"/>
        </w:rPr>
        <w:t xml:space="preserve">noted </w:t>
      </w:r>
      <w:r w:rsidR="00E52ED1" w:rsidRPr="001918CD">
        <w:rPr>
          <w:rFonts w:asciiTheme="minorHAnsi" w:hAnsiTheme="minorHAnsi"/>
          <w:snapToGrid w:val="0"/>
          <w:lang w:val="en-GB" w:eastAsia="en-US"/>
        </w:rPr>
        <w:t xml:space="preserve">that a key limitation of the model </w:t>
      </w:r>
      <w:r w:rsidR="00287E78">
        <w:rPr>
          <w:rFonts w:asciiTheme="minorHAnsi" w:hAnsiTheme="minorHAnsi"/>
          <w:snapToGrid w:val="0"/>
          <w:lang w:val="en-GB" w:eastAsia="en-US"/>
        </w:rPr>
        <w:t xml:space="preserve">structure </w:t>
      </w:r>
      <w:r w:rsidR="00E52ED1" w:rsidRPr="001918CD">
        <w:rPr>
          <w:rFonts w:asciiTheme="minorHAnsi" w:hAnsiTheme="minorHAnsi"/>
          <w:snapToGrid w:val="0"/>
          <w:lang w:val="en-GB" w:eastAsia="en-US"/>
        </w:rPr>
        <w:t>was that</w:t>
      </w:r>
      <w:r w:rsidR="00E52ED1" w:rsidRPr="001918CD">
        <w:rPr>
          <w:iCs/>
          <w:szCs w:val="20"/>
        </w:rPr>
        <w:t xml:space="preserve"> the</w:t>
      </w:r>
      <w:r w:rsidR="00E52ED1" w:rsidRPr="001918CD">
        <w:rPr>
          <w:szCs w:val="20"/>
        </w:rPr>
        <w:t xml:space="preserve"> assumed progressed disease health state cost and utility may not adequately reflect the cost and quality of life experienced by patients with CLL/SLL over time, given multiple lines of subsequent therapy, and periods of disease remission.</w:t>
      </w:r>
      <w:r w:rsidR="00AB3409" w:rsidRPr="001918CD">
        <w:rPr>
          <w:szCs w:val="20"/>
        </w:rPr>
        <w:t xml:space="preserve"> The PBAC </w:t>
      </w:r>
      <w:r w:rsidR="00287E78">
        <w:rPr>
          <w:szCs w:val="20"/>
        </w:rPr>
        <w:t xml:space="preserve">also </w:t>
      </w:r>
      <w:r w:rsidR="001918CD" w:rsidRPr="001918CD">
        <w:rPr>
          <w:szCs w:val="20"/>
        </w:rPr>
        <w:t xml:space="preserve">noted underlying uncertainty with subsequent treatment costs and utilities as they were not informed by ELEVATE-TN data. </w:t>
      </w:r>
      <w:r w:rsidR="001918CD">
        <w:rPr>
          <w:szCs w:val="20"/>
        </w:rPr>
        <w:t>M</w:t>
      </w:r>
      <w:r w:rsidR="001918CD" w:rsidRPr="001918CD">
        <w:rPr>
          <w:szCs w:val="20"/>
        </w:rPr>
        <w:t xml:space="preserve">ore importantly, the assumption applied in </w:t>
      </w:r>
      <w:r w:rsidR="00C26577">
        <w:rPr>
          <w:szCs w:val="20"/>
        </w:rPr>
        <w:t xml:space="preserve">the acalabrutinib </w:t>
      </w:r>
      <w:r w:rsidR="001918CD" w:rsidRPr="001918CD">
        <w:rPr>
          <w:szCs w:val="20"/>
        </w:rPr>
        <w:t>model arm</w:t>
      </w:r>
      <w:r w:rsidR="00825B70">
        <w:rPr>
          <w:szCs w:val="20"/>
        </w:rPr>
        <w:t xml:space="preserve"> did</w:t>
      </w:r>
      <w:r w:rsidR="00AB3409" w:rsidRPr="001918CD">
        <w:rPr>
          <w:szCs w:val="20"/>
        </w:rPr>
        <w:t xml:space="preserve"> not reflect likely use in the PBS population, as many patients who were considered unsuitable for </w:t>
      </w:r>
      <w:proofErr w:type="gramStart"/>
      <w:r w:rsidR="00AB3409" w:rsidRPr="001918CD">
        <w:rPr>
          <w:szCs w:val="20"/>
        </w:rPr>
        <w:t>first-line</w:t>
      </w:r>
      <w:proofErr w:type="gramEnd"/>
      <w:r w:rsidR="00AB3409" w:rsidRPr="001918CD">
        <w:rPr>
          <w:szCs w:val="20"/>
        </w:rPr>
        <w:t xml:space="preserve"> </w:t>
      </w:r>
      <w:proofErr w:type="spellStart"/>
      <w:r w:rsidR="00AB3409" w:rsidRPr="001918CD">
        <w:rPr>
          <w:szCs w:val="20"/>
        </w:rPr>
        <w:t>venetoclax</w:t>
      </w:r>
      <w:proofErr w:type="spellEnd"/>
      <w:r w:rsidR="00AB3409" w:rsidRPr="001918CD">
        <w:rPr>
          <w:szCs w:val="20"/>
        </w:rPr>
        <w:t xml:space="preserve"> + </w:t>
      </w:r>
      <w:proofErr w:type="spellStart"/>
      <w:r w:rsidR="00AB3409" w:rsidRPr="001918CD">
        <w:rPr>
          <w:szCs w:val="20"/>
        </w:rPr>
        <w:t>obinutuzumab</w:t>
      </w:r>
      <w:proofErr w:type="spellEnd"/>
      <w:r w:rsidR="00AB3409" w:rsidRPr="001918CD">
        <w:rPr>
          <w:szCs w:val="20"/>
        </w:rPr>
        <w:t xml:space="preserve"> may use later-line</w:t>
      </w:r>
      <w:r w:rsidR="00E52ED1" w:rsidRPr="001918CD">
        <w:rPr>
          <w:szCs w:val="20"/>
        </w:rPr>
        <w:t xml:space="preserve"> </w:t>
      </w:r>
      <w:proofErr w:type="spellStart"/>
      <w:r w:rsidR="00AB3409" w:rsidRPr="001918CD">
        <w:rPr>
          <w:szCs w:val="20"/>
        </w:rPr>
        <w:t>venetoclax</w:t>
      </w:r>
      <w:proofErr w:type="spellEnd"/>
      <w:r w:rsidR="00AB3409" w:rsidRPr="001918CD">
        <w:rPr>
          <w:szCs w:val="20"/>
        </w:rPr>
        <w:t xml:space="preserve"> + rituximab</w:t>
      </w:r>
      <w:r w:rsidR="001918CD" w:rsidRPr="001918CD">
        <w:rPr>
          <w:szCs w:val="20"/>
        </w:rPr>
        <w:t xml:space="preserve">, given </w:t>
      </w:r>
      <w:r w:rsidR="00E733F6">
        <w:rPr>
          <w:szCs w:val="20"/>
        </w:rPr>
        <w:t>it would provide reduced toxicity over</w:t>
      </w:r>
      <w:r w:rsidR="00C26577">
        <w:rPr>
          <w:szCs w:val="20"/>
        </w:rPr>
        <w:t xml:space="preserve"> </w:t>
      </w:r>
      <w:proofErr w:type="spellStart"/>
      <w:r w:rsidR="00C26577">
        <w:rPr>
          <w:szCs w:val="20"/>
        </w:rPr>
        <w:t>idelalisi</w:t>
      </w:r>
      <w:r w:rsidR="00A22B21">
        <w:rPr>
          <w:szCs w:val="20"/>
        </w:rPr>
        <w:t>b</w:t>
      </w:r>
      <w:proofErr w:type="spellEnd"/>
      <w:r w:rsidR="00E733F6">
        <w:rPr>
          <w:szCs w:val="20"/>
        </w:rPr>
        <w:t xml:space="preserve"> + rituximab (see paragraph 7.4, </w:t>
      </w:r>
      <w:proofErr w:type="spellStart"/>
      <w:r w:rsidR="00E733F6">
        <w:rPr>
          <w:szCs w:val="20"/>
        </w:rPr>
        <w:t>venetoclax</w:t>
      </w:r>
      <w:proofErr w:type="spellEnd"/>
      <w:r w:rsidR="00E733F6">
        <w:rPr>
          <w:szCs w:val="20"/>
        </w:rPr>
        <w:t>, PSD, November 2018 PBAC meeting)</w:t>
      </w:r>
      <w:r w:rsidR="001918CD" w:rsidRPr="001918CD">
        <w:rPr>
          <w:szCs w:val="20"/>
        </w:rPr>
        <w:t xml:space="preserve">. </w:t>
      </w:r>
      <w:r w:rsidR="001918CD">
        <w:rPr>
          <w:szCs w:val="20"/>
        </w:rPr>
        <w:t xml:space="preserve">The PBAC </w:t>
      </w:r>
      <w:r w:rsidR="00287E78">
        <w:rPr>
          <w:szCs w:val="20"/>
        </w:rPr>
        <w:t>further</w:t>
      </w:r>
      <w:r w:rsidR="001918CD">
        <w:rPr>
          <w:szCs w:val="20"/>
        </w:rPr>
        <w:t xml:space="preserve"> noted the key model sensitivities identified by the ESC in paragraph </w:t>
      </w:r>
      <w:r w:rsidR="00BD60E3">
        <w:rPr>
          <w:szCs w:val="20"/>
        </w:rPr>
        <w:t>6.53</w:t>
      </w:r>
      <w:r w:rsidR="001918CD">
        <w:rPr>
          <w:szCs w:val="20"/>
        </w:rPr>
        <w:t xml:space="preserve"> (time horizon, extrapolation of progression-free survival curve, the progressed state utility, and assumption of a treatment cap). The PBAC considered</w:t>
      </w:r>
      <w:r w:rsidR="00825B70">
        <w:rPr>
          <w:szCs w:val="20"/>
        </w:rPr>
        <w:t>:</w:t>
      </w:r>
      <w:bookmarkEnd w:id="73"/>
    </w:p>
    <w:p w14:paraId="7BDA880D" w14:textId="77777777" w:rsidR="001918CD" w:rsidRPr="00825B70" w:rsidRDefault="001918CD" w:rsidP="00825B70">
      <w:pPr>
        <w:pStyle w:val="ExecSumBodyText"/>
        <w:numPr>
          <w:ilvl w:val="0"/>
          <w:numId w:val="15"/>
        </w:numPr>
        <w:spacing w:after="0"/>
        <w:ind w:left="1077" w:hanging="357"/>
        <w:rPr>
          <w:color w:val="0070C0"/>
          <w:lang w:val="en-GB" w:eastAsia="en-US"/>
        </w:rPr>
      </w:pPr>
      <w:r>
        <w:rPr>
          <w:szCs w:val="20"/>
        </w:rPr>
        <w:lastRenderedPageBreak/>
        <w:t xml:space="preserve">a 10-year time horizon would be more reasonable than a 15-year horizon, </w:t>
      </w:r>
      <w:r w:rsidR="00825B70">
        <w:rPr>
          <w:szCs w:val="20"/>
        </w:rPr>
        <w:t xml:space="preserve">as it would be consistent with previous decisions in the </w:t>
      </w:r>
      <w:proofErr w:type="gramStart"/>
      <w:r w:rsidR="00825B70">
        <w:rPr>
          <w:szCs w:val="20"/>
        </w:rPr>
        <w:t>first-line</w:t>
      </w:r>
      <w:proofErr w:type="gramEnd"/>
      <w:r w:rsidR="00825B70">
        <w:rPr>
          <w:szCs w:val="20"/>
        </w:rPr>
        <w:t xml:space="preserve"> CLL/SLL setting,</w:t>
      </w:r>
      <w:r w:rsidR="00287E78">
        <w:rPr>
          <w:szCs w:val="20"/>
        </w:rPr>
        <w:t xml:space="preserve"> </w:t>
      </w:r>
      <w:r w:rsidR="00A94533">
        <w:rPr>
          <w:szCs w:val="20"/>
        </w:rPr>
        <w:t xml:space="preserve">the proposed PBS population was likely to be somewhat more frail than the general fludarabine-unsuitable first-line population, </w:t>
      </w:r>
      <w:r w:rsidR="00825B70">
        <w:rPr>
          <w:szCs w:val="20"/>
        </w:rPr>
        <w:t xml:space="preserve">and </w:t>
      </w:r>
      <w:r>
        <w:rPr>
          <w:szCs w:val="20"/>
        </w:rPr>
        <w:t>given that a longer extrapolation would be subject to considerable uncertainty</w:t>
      </w:r>
      <w:r w:rsidR="00825B70">
        <w:rPr>
          <w:szCs w:val="20"/>
        </w:rPr>
        <w:t xml:space="preserve">. </w:t>
      </w:r>
    </w:p>
    <w:p w14:paraId="09A265F1" w14:textId="77777777" w:rsidR="00825B70" w:rsidRDefault="00825B70" w:rsidP="00825B70">
      <w:pPr>
        <w:pStyle w:val="ExecSumBodyText"/>
        <w:numPr>
          <w:ilvl w:val="0"/>
          <w:numId w:val="15"/>
        </w:numPr>
        <w:spacing w:after="0"/>
        <w:ind w:left="1077" w:hanging="357"/>
        <w:rPr>
          <w:lang w:val="en-GB" w:eastAsia="en-US"/>
        </w:rPr>
      </w:pPr>
      <w:r w:rsidRPr="00825B70">
        <w:rPr>
          <w:lang w:val="en-GB" w:eastAsia="en-US"/>
        </w:rPr>
        <w:t>the extrapolated progression-free survival curve was subject to substantial uncertainty.</w:t>
      </w:r>
    </w:p>
    <w:p w14:paraId="362D94E9" w14:textId="77777777" w:rsidR="00825B70" w:rsidRDefault="00825B70" w:rsidP="00825B70">
      <w:pPr>
        <w:pStyle w:val="ExecSumBodyText"/>
        <w:numPr>
          <w:ilvl w:val="0"/>
          <w:numId w:val="15"/>
        </w:numPr>
        <w:spacing w:after="0"/>
        <w:ind w:left="1077" w:hanging="357"/>
        <w:rPr>
          <w:lang w:val="en-GB" w:eastAsia="en-US"/>
        </w:rPr>
      </w:pPr>
      <w:r>
        <w:rPr>
          <w:lang w:val="en-GB" w:eastAsia="en-US"/>
        </w:rPr>
        <w:t xml:space="preserve">the progressed disease state utility was consistent with the approach previously </w:t>
      </w:r>
      <w:r w:rsidR="00CC6F68">
        <w:rPr>
          <w:lang w:val="en-GB" w:eastAsia="en-US"/>
        </w:rPr>
        <w:t xml:space="preserve">advised by the PBAC, although lower than that reported in the interim ELEVATE-TN trial analysis. The PBAC agreed with the ESC that it would have been informative to know when updated results will be available. </w:t>
      </w:r>
    </w:p>
    <w:p w14:paraId="0DB677A1" w14:textId="77777777" w:rsidR="00CC6F68" w:rsidRPr="00825B70" w:rsidRDefault="00CC6F68" w:rsidP="00825B70">
      <w:pPr>
        <w:pStyle w:val="ExecSumBodyText"/>
        <w:numPr>
          <w:ilvl w:val="0"/>
          <w:numId w:val="15"/>
        </w:numPr>
        <w:spacing w:after="0"/>
        <w:ind w:left="1077" w:hanging="357"/>
        <w:rPr>
          <w:lang w:val="en-GB" w:eastAsia="en-US"/>
        </w:rPr>
      </w:pPr>
      <w:r>
        <w:rPr>
          <w:lang w:val="en-GB" w:eastAsia="en-US"/>
        </w:rPr>
        <w:t>The use of a treatment cap to achieve cost-effectiveness was not a robust approach, and t</w:t>
      </w:r>
      <w:r w:rsidR="00F76AC3">
        <w:rPr>
          <w:lang w:val="en-GB" w:eastAsia="en-US"/>
        </w:rPr>
        <w:t>hat t</w:t>
      </w:r>
      <w:r>
        <w:rPr>
          <w:lang w:val="en-GB" w:eastAsia="en-US"/>
        </w:rPr>
        <w:t xml:space="preserve">he ICER would be much higher if patient numbers used to inform the caps were lower than estimated. </w:t>
      </w:r>
    </w:p>
    <w:p w14:paraId="2C180BD2" w14:textId="77777777" w:rsidR="00CC6F68" w:rsidRPr="006753D4" w:rsidRDefault="00CC6F68" w:rsidP="00B00368">
      <w:pPr>
        <w:widowControl w:val="0"/>
        <w:numPr>
          <w:ilvl w:val="1"/>
          <w:numId w:val="1"/>
        </w:numPr>
        <w:spacing w:before="240" w:after="120"/>
        <w:rPr>
          <w:snapToGrid w:val="0"/>
          <w:color w:val="0070C0"/>
          <w:lang w:val="en-GB" w:eastAsia="en-US"/>
        </w:rPr>
      </w:pPr>
      <w:r>
        <w:rPr>
          <w:snapToGrid w:val="0"/>
          <w:lang w:val="en-GB" w:eastAsia="en-US"/>
        </w:rPr>
        <w:t xml:space="preserve">Overall, the PBAC considered that the resulting incremental cost-effectiveness ratio was highly uncertain, and likely underestimated. </w:t>
      </w:r>
      <w:r w:rsidR="0086703B">
        <w:rPr>
          <w:snapToGrid w:val="0"/>
          <w:lang w:val="en-GB" w:eastAsia="en-US"/>
        </w:rPr>
        <w:t xml:space="preserve">Given the large uncertainty with respect to who will be considered unsuitable for </w:t>
      </w:r>
      <w:proofErr w:type="spellStart"/>
      <w:r w:rsidR="0086703B">
        <w:rPr>
          <w:snapToGrid w:val="0"/>
          <w:lang w:val="en-GB" w:eastAsia="en-US"/>
        </w:rPr>
        <w:t>venetoclax</w:t>
      </w:r>
      <w:proofErr w:type="spellEnd"/>
      <w:r w:rsidR="0086703B">
        <w:rPr>
          <w:snapToGrid w:val="0"/>
          <w:lang w:val="en-GB" w:eastAsia="en-US"/>
        </w:rPr>
        <w:t xml:space="preserve"> + </w:t>
      </w:r>
      <w:proofErr w:type="spellStart"/>
      <w:r w:rsidR="0086703B">
        <w:rPr>
          <w:snapToGrid w:val="0"/>
          <w:lang w:val="en-GB" w:eastAsia="en-US"/>
        </w:rPr>
        <w:t>obinutuzumab</w:t>
      </w:r>
      <w:proofErr w:type="spellEnd"/>
      <w:r w:rsidR="0086703B">
        <w:rPr>
          <w:snapToGrid w:val="0"/>
          <w:lang w:val="en-GB" w:eastAsia="en-US"/>
        </w:rPr>
        <w:t>, the PBAC expected that a drug cost per patient more in line with this regimen would be required to achieve acceptable cost-effectiveness.</w:t>
      </w:r>
    </w:p>
    <w:p w14:paraId="318A30D6" w14:textId="77777777" w:rsidR="002F5577" w:rsidRPr="002F5577" w:rsidRDefault="006753D4" w:rsidP="00C864A4">
      <w:pPr>
        <w:widowControl w:val="0"/>
        <w:numPr>
          <w:ilvl w:val="1"/>
          <w:numId w:val="1"/>
        </w:numPr>
        <w:spacing w:after="120"/>
        <w:rPr>
          <w:rFonts w:asciiTheme="minorHAnsi" w:hAnsiTheme="minorHAnsi"/>
          <w:snapToGrid w:val="0"/>
          <w:color w:val="0070C0"/>
          <w:lang w:val="en-GB" w:eastAsia="en-US"/>
        </w:rPr>
      </w:pPr>
      <w:r>
        <w:rPr>
          <w:rFonts w:asciiTheme="minorHAnsi" w:hAnsiTheme="minorHAnsi"/>
          <w:snapToGrid w:val="0"/>
          <w:lang w:val="en-GB" w:eastAsia="en-US"/>
        </w:rPr>
        <w:t xml:space="preserve">The PBAC agreed with the comments in paragraph </w:t>
      </w:r>
      <w:r w:rsidR="00BD60E3">
        <w:rPr>
          <w:rFonts w:asciiTheme="minorHAnsi" w:hAnsiTheme="minorHAnsi"/>
          <w:snapToGrid w:val="0"/>
          <w:lang w:val="en-GB" w:eastAsia="en-US"/>
        </w:rPr>
        <w:t>6.63</w:t>
      </w:r>
      <w:r>
        <w:rPr>
          <w:rFonts w:asciiTheme="minorHAnsi" w:hAnsiTheme="minorHAnsi"/>
          <w:snapToGrid w:val="0"/>
          <w:lang w:val="en-GB" w:eastAsia="en-US"/>
        </w:rPr>
        <w:t xml:space="preserve"> and </w:t>
      </w:r>
      <w:r w:rsidR="00BD60E3">
        <w:rPr>
          <w:rFonts w:asciiTheme="minorHAnsi" w:hAnsiTheme="minorHAnsi"/>
          <w:snapToGrid w:val="0"/>
          <w:lang w:val="en-GB" w:eastAsia="en-US"/>
        </w:rPr>
        <w:t>6.64</w:t>
      </w:r>
      <w:r>
        <w:rPr>
          <w:rFonts w:asciiTheme="minorHAnsi" w:hAnsiTheme="minorHAnsi"/>
          <w:snapToGrid w:val="0"/>
          <w:lang w:val="en-GB" w:eastAsia="en-US"/>
        </w:rPr>
        <w:t xml:space="preserve"> that the estimated </w:t>
      </w:r>
      <w:r w:rsidR="00040100">
        <w:rPr>
          <w:rFonts w:asciiTheme="minorHAnsi" w:hAnsiTheme="minorHAnsi"/>
          <w:snapToGrid w:val="0"/>
          <w:lang w:val="en-GB" w:eastAsia="en-US"/>
        </w:rPr>
        <w:t xml:space="preserve">cost to the PBS/RPBS of listing acalabrutinib and the estimated changes in use of other medicines were highly uncertain. </w:t>
      </w:r>
      <w:r w:rsidR="0053264B">
        <w:rPr>
          <w:rFonts w:asciiTheme="minorHAnsi" w:hAnsiTheme="minorHAnsi"/>
          <w:snapToGrid w:val="0"/>
          <w:lang w:val="en-GB" w:eastAsia="en-US"/>
        </w:rPr>
        <w:t xml:space="preserve">The PBAC also noted </w:t>
      </w:r>
      <w:r w:rsidR="00B00368">
        <w:rPr>
          <w:rFonts w:asciiTheme="minorHAnsi" w:hAnsiTheme="minorHAnsi"/>
          <w:snapToGrid w:val="0"/>
          <w:lang w:val="en-GB" w:eastAsia="en-US"/>
        </w:rPr>
        <w:t xml:space="preserve">the ESC’s concerns about the proposed risk-sharing arrangement in paragraph </w:t>
      </w:r>
      <w:r w:rsidR="00BD60E3">
        <w:rPr>
          <w:rFonts w:asciiTheme="minorHAnsi" w:hAnsiTheme="minorHAnsi"/>
          <w:snapToGrid w:val="0"/>
          <w:lang w:val="en-GB" w:eastAsia="en-US"/>
        </w:rPr>
        <w:t>6.66</w:t>
      </w:r>
      <w:r w:rsidR="00B00368">
        <w:rPr>
          <w:rFonts w:asciiTheme="minorHAnsi" w:hAnsiTheme="minorHAnsi"/>
          <w:snapToGrid w:val="0"/>
          <w:lang w:val="en-GB" w:eastAsia="en-US"/>
        </w:rPr>
        <w:t xml:space="preserve">, and the sponsor’s proposed alternative arrangements, but considered that it was unclear </w:t>
      </w:r>
      <w:r w:rsidR="002F5577">
        <w:rPr>
          <w:rFonts w:asciiTheme="minorHAnsi" w:hAnsiTheme="minorHAnsi"/>
          <w:snapToGrid w:val="0"/>
          <w:lang w:val="en-GB" w:eastAsia="en-US"/>
        </w:rPr>
        <w:t xml:space="preserve">what scenario would </w:t>
      </w:r>
      <w:r w:rsidR="00A22B21">
        <w:rPr>
          <w:rFonts w:asciiTheme="minorHAnsi" w:hAnsiTheme="minorHAnsi"/>
          <w:snapToGrid w:val="0"/>
          <w:lang w:val="en-GB" w:eastAsia="en-US"/>
        </w:rPr>
        <w:t>ensure</w:t>
      </w:r>
      <w:r w:rsidR="002F5577">
        <w:rPr>
          <w:rFonts w:asciiTheme="minorHAnsi" w:hAnsiTheme="minorHAnsi"/>
          <w:snapToGrid w:val="0"/>
          <w:lang w:val="en-GB" w:eastAsia="en-US"/>
        </w:rPr>
        <w:t xml:space="preserve"> that the modelled cost-effectiveness would be realised in practice.</w:t>
      </w:r>
    </w:p>
    <w:p w14:paraId="1D804867" w14:textId="77777777" w:rsidR="002F5577" w:rsidRPr="002F5577" w:rsidRDefault="002F5577" w:rsidP="002F5577">
      <w:pPr>
        <w:widowControl w:val="0"/>
        <w:spacing w:after="120"/>
        <w:ind w:left="720"/>
        <w:jc w:val="center"/>
        <w:rPr>
          <w:rFonts w:asciiTheme="minorHAnsi" w:hAnsiTheme="minorHAnsi"/>
          <w:b/>
          <w:bCs/>
          <w:snapToGrid w:val="0"/>
          <w:lang w:val="en-GB" w:eastAsia="en-US"/>
        </w:rPr>
      </w:pPr>
      <w:r w:rsidRPr="002F5577">
        <w:rPr>
          <w:rFonts w:asciiTheme="minorHAnsi" w:hAnsiTheme="minorHAnsi"/>
          <w:b/>
          <w:bCs/>
          <w:snapToGrid w:val="0"/>
          <w:lang w:val="en-GB" w:eastAsia="en-US"/>
        </w:rPr>
        <w:t>Committee-In-Confidence</w:t>
      </w:r>
    </w:p>
    <w:p w14:paraId="5D6655E8" w14:textId="77777777" w:rsidR="002F5577" w:rsidRPr="004414F9" w:rsidRDefault="004414F9" w:rsidP="004414F9">
      <w:pPr>
        <w:widowControl w:val="0"/>
        <w:spacing w:after="120"/>
        <w:ind w:left="720" w:hanging="720"/>
        <w:rPr>
          <w:rFonts w:asciiTheme="minorHAnsi" w:hAnsiTheme="minorHAnsi"/>
          <w:snapToGrid w:val="0"/>
          <w:color w:val="0070C0"/>
          <w:highlight w:val="black"/>
          <w:lang w:val="en-GB" w:eastAsia="en-US"/>
        </w:rPr>
      </w:pPr>
      <w:r>
        <w:rPr>
          <w:rFonts w:asciiTheme="minorHAnsi" w:hAnsiTheme="minorHAnsi" w:cstheme="minorHAnsi"/>
          <w:noProof/>
          <w:snapToGrid w:val="0"/>
          <w:color w:val="000000"/>
          <w:highlight w:val="black"/>
          <w:lang w:val="en-GB" w:eastAsia="en-US"/>
          <w14:scene3d>
            <w14:camera w14:prst="orthographicFront"/>
            <w14:lightRig w14:rig="threePt" w14:dir="t">
              <w14:rot w14:lat="0" w14:lon="0" w14:rev="0"/>
            </w14:lightRig>
          </w14:scene3d>
        </w:rPr>
        <w:t>'''''''''''''' '''''''''' '''''''''''' ''''''''''''''''''''''''''''''' ''''''''''' ''''''''' ''''''''''''' '''''''''' ''''''' ''''''''''''''' '''' ''''''''''''''''''''' ''''''''''''''' '''''' ''''''' ''''''''''''''''''''' '''''''''''''' '''''''' ''''' '''''''' '''''''' '''''''''''' ''''''''''''''''''''' ''''''''' ''''''''''''''' ''''''''''''''''' '''''''' ''''''''' '''''''' ''''''''''''''''' '''''''''''''''''''' ''''''''''''''''''' '''''' ''''''''''''''' '''''''' ''''''''''''''''''''''''' '''''' ''''''''''''''' '''' '''''''''' '''''''''''''''' '''''''''''''''' ''''''''' '''''''''''' ''''''' '''''''' ''' ''''''' ''''''''''''''' '''' '''''''''''''' ''''''''''''''''''''' ''' ''''''''''''''''''''''''''''' '''' '''''' '''''''''''''''''''' '''''''' ''''''''''' ''''''''''''''''''' '''''''' '''''''' '''''''''''''''''' ''''' ''' ''''''''''''''''''''' ''''''''''''''''''</w:t>
      </w:r>
    </w:p>
    <w:p w14:paraId="39FA91DA" w14:textId="77777777" w:rsidR="002F5577" w:rsidRPr="002F5577" w:rsidRDefault="002F5577" w:rsidP="002F5577">
      <w:pPr>
        <w:widowControl w:val="0"/>
        <w:spacing w:after="120"/>
        <w:ind w:left="720"/>
        <w:jc w:val="center"/>
        <w:rPr>
          <w:rFonts w:asciiTheme="minorHAnsi" w:hAnsiTheme="minorHAnsi"/>
          <w:b/>
          <w:bCs/>
          <w:snapToGrid w:val="0"/>
          <w:color w:val="0070C0"/>
          <w:lang w:val="en-GB" w:eastAsia="en-US"/>
        </w:rPr>
      </w:pPr>
      <w:r w:rsidRPr="002F5577">
        <w:rPr>
          <w:rFonts w:asciiTheme="minorHAnsi" w:hAnsiTheme="minorHAnsi"/>
          <w:b/>
          <w:bCs/>
          <w:snapToGrid w:val="0"/>
          <w:lang w:val="en-GB" w:eastAsia="en-US"/>
        </w:rPr>
        <w:t>End Committee-In-Confidence</w:t>
      </w:r>
    </w:p>
    <w:p w14:paraId="5CBA399A" w14:textId="77777777" w:rsidR="005E2F68" w:rsidRPr="004414F9" w:rsidRDefault="00ED5FAE" w:rsidP="004414F9">
      <w:pPr>
        <w:pStyle w:val="ExecSumBodyText"/>
        <w:widowControl w:val="0"/>
        <w:numPr>
          <w:ilvl w:val="1"/>
          <w:numId w:val="39"/>
        </w:numPr>
        <w:rPr>
          <w:bCs/>
          <w:lang w:val="en-GB" w:eastAsia="en-US"/>
        </w:rPr>
      </w:pPr>
      <w:r>
        <w:t xml:space="preserve">The PBAC considered that a resubmission would need to, </w:t>
      </w:r>
      <w:r w:rsidRPr="004414F9">
        <w:rPr>
          <w:lang w:val="en-GB" w:eastAsia="en-US"/>
        </w:rPr>
        <w:t xml:space="preserve">ideally, revise the restriction to include a broader population of patients to enable choice between the first-line treatment options. For either a broad or narrow listing, the PBAC noted the economic evaluation and financial forecasts would need to be revised based on the population proposed and to address the issues identified by </w:t>
      </w:r>
      <w:proofErr w:type="gramStart"/>
      <w:r w:rsidRPr="004414F9">
        <w:rPr>
          <w:lang w:val="en-GB" w:eastAsia="en-US"/>
        </w:rPr>
        <w:t>ESC, and</w:t>
      </w:r>
      <w:proofErr w:type="gramEnd"/>
      <w:r w:rsidRPr="004414F9">
        <w:rPr>
          <w:lang w:val="en-GB" w:eastAsia="en-US"/>
        </w:rPr>
        <w:t xml:space="preserve"> outlined in paragraph </w:t>
      </w:r>
      <w:r w:rsidR="00BD60E3" w:rsidRPr="004414F9">
        <w:rPr>
          <w:lang w:val="en-GB" w:eastAsia="en-US"/>
        </w:rPr>
        <w:t>7.10</w:t>
      </w:r>
      <w:r w:rsidRPr="004414F9">
        <w:rPr>
          <w:lang w:val="en-GB" w:eastAsia="en-US"/>
        </w:rPr>
        <w:t xml:space="preserve">. </w:t>
      </w:r>
    </w:p>
    <w:p w14:paraId="6F40A7E0" w14:textId="77777777" w:rsidR="005231A2" w:rsidRPr="00464985" w:rsidRDefault="00760721" w:rsidP="005E2F68">
      <w:pPr>
        <w:widowControl w:val="0"/>
        <w:numPr>
          <w:ilvl w:val="1"/>
          <w:numId w:val="1"/>
        </w:numPr>
        <w:spacing w:after="120"/>
        <w:rPr>
          <w:rFonts w:asciiTheme="minorHAnsi" w:hAnsiTheme="minorHAnsi"/>
          <w:bCs/>
          <w:snapToGrid w:val="0"/>
          <w:lang w:val="en-GB" w:eastAsia="en-US"/>
        </w:rPr>
      </w:pPr>
      <w:r w:rsidRPr="00464985">
        <w:rPr>
          <w:rFonts w:asciiTheme="minorHAnsi" w:hAnsiTheme="minorHAnsi"/>
          <w:bCs/>
          <w:snapToGrid w:val="0"/>
          <w:lang w:val="en-GB" w:eastAsia="en-US"/>
        </w:rPr>
        <w:t xml:space="preserve">The PBAC noted that this submission is eligible for an Independent Review. </w:t>
      </w:r>
    </w:p>
    <w:p w14:paraId="1E7541E6" w14:textId="77777777" w:rsidR="00760721" w:rsidRPr="00760721" w:rsidRDefault="00760721" w:rsidP="00760721">
      <w:pPr>
        <w:spacing w:before="240"/>
        <w:rPr>
          <w:rFonts w:asciiTheme="minorHAnsi" w:hAnsiTheme="minorHAnsi"/>
          <w:b/>
          <w:bCs/>
          <w:snapToGrid w:val="0"/>
          <w:lang w:val="en-GB" w:eastAsia="en-US"/>
        </w:rPr>
      </w:pPr>
      <w:r w:rsidRPr="00760721">
        <w:rPr>
          <w:rFonts w:asciiTheme="minorHAnsi" w:hAnsiTheme="minorHAnsi"/>
          <w:b/>
          <w:bCs/>
          <w:snapToGrid w:val="0"/>
          <w:lang w:val="en-GB" w:eastAsia="en-US"/>
        </w:rPr>
        <w:lastRenderedPageBreak/>
        <w:t>Outcome:</w:t>
      </w:r>
    </w:p>
    <w:p w14:paraId="136DE269" w14:textId="77777777" w:rsidR="00A25C41" w:rsidRDefault="00760721" w:rsidP="009B7C01">
      <w:pPr>
        <w:spacing w:after="120"/>
        <w:rPr>
          <w:rFonts w:asciiTheme="minorHAnsi" w:hAnsiTheme="minorHAnsi"/>
          <w:bCs/>
          <w:snapToGrid w:val="0"/>
          <w:lang w:val="en-GB" w:eastAsia="en-US"/>
        </w:rPr>
      </w:pPr>
      <w:r w:rsidRPr="00760721">
        <w:rPr>
          <w:rFonts w:asciiTheme="minorHAnsi" w:hAnsiTheme="minorHAnsi"/>
          <w:bCs/>
          <w:snapToGrid w:val="0"/>
          <w:lang w:val="en-GB" w:eastAsia="en-US"/>
        </w:rPr>
        <w:t>Not recommended</w:t>
      </w:r>
      <w:bookmarkEnd w:id="68"/>
      <w:bookmarkEnd w:id="69"/>
    </w:p>
    <w:p w14:paraId="79937F0D" w14:textId="77777777" w:rsidR="00136348" w:rsidRPr="00EB7EA3" w:rsidRDefault="00136348" w:rsidP="00EB7EA3">
      <w:pPr>
        <w:pStyle w:val="2-SectionHeading"/>
        <w:jc w:val="both"/>
      </w:pPr>
      <w:r w:rsidRPr="00C07617">
        <w:t>Context for Decision</w:t>
      </w:r>
    </w:p>
    <w:p w14:paraId="2A7E1CAC" w14:textId="77777777" w:rsidR="00136348" w:rsidRPr="007129F2" w:rsidRDefault="00136348" w:rsidP="00EB7EA3">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1EAB35" w14:textId="77777777" w:rsidR="00136348" w:rsidRPr="00EB7EA3" w:rsidRDefault="00136348" w:rsidP="00EB7EA3">
      <w:pPr>
        <w:pStyle w:val="2-SectionHeading"/>
        <w:jc w:val="both"/>
        <w:rPr>
          <w:b w:val="0"/>
        </w:rPr>
      </w:pPr>
      <w:r>
        <w:t>Sponsor’s Comment</w:t>
      </w:r>
    </w:p>
    <w:p w14:paraId="0A9AD6FD" w14:textId="77777777" w:rsidR="00136348" w:rsidRPr="001179AC" w:rsidRDefault="00136348" w:rsidP="00EB7EA3">
      <w:pPr>
        <w:spacing w:after="120"/>
        <w:ind w:left="426" w:firstLine="294"/>
        <w:rPr>
          <w:bCs/>
        </w:rPr>
      </w:pPr>
      <w:r w:rsidRPr="00C07617">
        <w:rPr>
          <w:bCs/>
        </w:rPr>
        <w:t>The sponsor had no comment.</w:t>
      </w:r>
    </w:p>
    <w:p w14:paraId="71366D5E" w14:textId="77777777" w:rsidR="00136348" w:rsidRPr="00191822" w:rsidRDefault="00136348" w:rsidP="009B7C01">
      <w:pPr>
        <w:spacing w:after="120"/>
      </w:pPr>
    </w:p>
    <w:sectPr w:rsidR="00136348" w:rsidRPr="00191822"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20C0" w14:textId="77777777" w:rsidR="008F1D9F" w:rsidRDefault="008F1D9F" w:rsidP="00124A51">
      <w:r>
        <w:separator/>
      </w:r>
    </w:p>
    <w:p w14:paraId="6804540B" w14:textId="77777777" w:rsidR="008F1D9F" w:rsidRDefault="008F1D9F"/>
  </w:endnote>
  <w:endnote w:type="continuationSeparator" w:id="0">
    <w:p w14:paraId="21DCE196" w14:textId="77777777" w:rsidR="008F1D9F" w:rsidRDefault="008F1D9F" w:rsidP="00124A51">
      <w:r>
        <w:continuationSeparator/>
      </w:r>
    </w:p>
    <w:p w14:paraId="31C6F8E8" w14:textId="77777777" w:rsidR="008F1D9F" w:rsidRDefault="008F1D9F"/>
  </w:endnote>
  <w:endnote w:type="continuationNotice" w:id="1">
    <w:p w14:paraId="0CAD1142" w14:textId="77777777" w:rsidR="008F1D9F" w:rsidRDefault="008F1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CDBE" w14:textId="77777777" w:rsidR="00330E7C" w:rsidRDefault="00330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4635" w14:textId="77777777" w:rsidR="008F1D9F" w:rsidRDefault="008F1D9F" w:rsidP="00A25C41">
    <w:pPr>
      <w:ind w:left="709"/>
      <w:contextualSpacing/>
      <w:jc w:val="center"/>
      <w:rPr>
        <w:rFonts w:eastAsia="Calibri"/>
        <w:szCs w:val="22"/>
      </w:rPr>
    </w:pPr>
  </w:p>
  <w:bookmarkStart w:id="75" w:name="_Hlk76375156"/>
  <w:p w14:paraId="27FD325A" w14:textId="6999B556" w:rsidR="008F1D9F" w:rsidRPr="00474062" w:rsidRDefault="008F1D9F" w:rsidP="00474062">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782982">
      <w:rPr>
        <w:b/>
        <w:noProof/>
      </w:rPr>
      <w:t>42</w:t>
    </w:r>
    <w:r w:rsidRPr="00836F75">
      <w:rPr>
        <w:b/>
        <w:noProof/>
      </w:rPr>
      <w:fldChar w:fldCharType="end"/>
    </w:r>
    <w:bookmarkEnd w:id="7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9A2F" w14:textId="77777777" w:rsidR="00330E7C" w:rsidRDefault="00330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C7F5" w14:textId="77777777" w:rsidR="008F1D9F" w:rsidRDefault="008F1D9F" w:rsidP="00124A51">
      <w:r>
        <w:separator/>
      </w:r>
    </w:p>
    <w:p w14:paraId="5D52FC83" w14:textId="77777777" w:rsidR="008F1D9F" w:rsidRDefault="008F1D9F"/>
  </w:footnote>
  <w:footnote w:type="continuationSeparator" w:id="0">
    <w:p w14:paraId="5648D9AB" w14:textId="77777777" w:rsidR="008F1D9F" w:rsidRDefault="008F1D9F" w:rsidP="00124A51">
      <w:r>
        <w:continuationSeparator/>
      </w:r>
    </w:p>
    <w:p w14:paraId="43D3491E" w14:textId="77777777" w:rsidR="008F1D9F" w:rsidRDefault="008F1D9F"/>
  </w:footnote>
  <w:footnote w:type="continuationNotice" w:id="1">
    <w:p w14:paraId="361EE68D" w14:textId="77777777" w:rsidR="008F1D9F" w:rsidRDefault="008F1D9F"/>
  </w:footnote>
  <w:footnote w:id="2">
    <w:p w14:paraId="3BB08398" w14:textId="77777777" w:rsidR="008F1D9F" w:rsidRDefault="008F1D9F">
      <w:pPr>
        <w:pStyle w:val="FootnoteText"/>
      </w:pPr>
      <w:r>
        <w:rPr>
          <w:rStyle w:val="FootnoteReference"/>
        </w:rPr>
        <w:footnoteRef/>
      </w:r>
      <w:r>
        <w:t xml:space="preserve"> </w:t>
      </w:r>
      <w:proofErr w:type="spellStart"/>
      <w:r w:rsidRPr="007B0243">
        <w:t>Venetoclax</w:t>
      </w:r>
      <w:proofErr w:type="spellEnd"/>
      <w:r w:rsidRPr="007B0243">
        <w:t xml:space="preserve"> plus </w:t>
      </w:r>
      <w:proofErr w:type="spellStart"/>
      <w:r w:rsidRPr="007B0243">
        <w:t>obinutuzumab</w:t>
      </w:r>
      <w:proofErr w:type="spellEnd"/>
      <w:r w:rsidRPr="007B0243">
        <w:t xml:space="preserve"> versus chlorambucil plus </w:t>
      </w:r>
      <w:proofErr w:type="spellStart"/>
      <w:r w:rsidRPr="007B0243">
        <w:t>obinutuzumab</w:t>
      </w:r>
      <w:proofErr w:type="spellEnd"/>
      <w:r w:rsidRPr="007B0243">
        <w:t xml:space="preserve"> for previously untreated chronic lymphocytic leukaemia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0CF2" w14:textId="77777777" w:rsidR="00330E7C" w:rsidRDefault="00330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1731" w14:textId="77777777" w:rsidR="008F1D9F" w:rsidRPr="00056684" w:rsidRDefault="008F1D9F" w:rsidP="00DF44A0">
    <w:pPr>
      <w:pStyle w:val="Header"/>
      <w:keepNext/>
      <w:ind w:left="360"/>
      <w:jc w:val="center"/>
      <w:rPr>
        <w:rFonts w:asciiTheme="minorHAnsi" w:hAnsiTheme="minorHAnsi"/>
        <w:i/>
        <w:color w:val="808080"/>
      </w:rPr>
    </w:pPr>
    <w:bookmarkStart w:id="74" w:name="_Hlk76375146"/>
    <w:r w:rsidRPr="00136348">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74"/>
  <w:p w14:paraId="0F279F73" w14:textId="77777777" w:rsidR="008F1D9F" w:rsidRDefault="008F1D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9C46" w14:textId="77777777" w:rsidR="00330E7C" w:rsidRDefault="0033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32D8D"/>
    <w:multiLevelType w:val="hybridMultilevel"/>
    <w:tmpl w:val="5B5AF720"/>
    <w:lvl w:ilvl="0" w:tplc="A7503890">
      <w:start w:val="1"/>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E70E91"/>
    <w:multiLevelType w:val="hybridMultilevel"/>
    <w:tmpl w:val="F03E2028"/>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0664C"/>
    <w:multiLevelType w:val="hybridMultilevel"/>
    <w:tmpl w:val="58D68260"/>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4D6527"/>
    <w:multiLevelType w:val="hybridMultilevel"/>
    <w:tmpl w:val="3DCE8B06"/>
    <w:lvl w:ilvl="0" w:tplc="A750389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6944B4"/>
    <w:multiLevelType w:val="hybridMultilevel"/>
    <w:tmpl w:val="3A88F4A4"/>
    <w:lvl w:ilvl="0" w:tplc="C8B0BE0A">
      <w:numFmt w:val="bullet"/>
      <w:lvlText w:val="-"/>
      <w:lvlJc w:val="left"/>
      <w:pPr>
        <w:ind w:left="720" w:hanging="360"/>
      </w:pPr>
      <w:rPr>
        <w:rFonts w:ascii="Times New Roman" w:eastAsia="Times New Roman" w:hAnsi="Times New Roman" w:cs="Times New Roman"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B5E0F"/>
    <w:multiLevelType w:val="hybridMultilevel"/>
    <w:tmpl w:val="49BE8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76647"/>
    <w:multiLevelType w:val="hybridMultilevel"/>
    <w:tmpl w:val="F2F2D462"/>
    <w:lvl w:ilvl="0" w:tplc="5EC2D736">
      <w:start w:val="1"/>
      <w:numFmt w:val="bullet"/>
      <w:lvlText w:val="•"/>
      <w:lvlJc w:val="left"/>
      <w:pPr>
        <w:tabs>
          <w:tab w:val="num" w:pos="720"/>
        </w:tabs>
        <w:ind w:left="720" w:hanging="360"/>
      </w:pPr>
      <w:rPr>
        <w:rFonts w:ascii="Arial" w:hAnsi="Arial" w:hint="default"/>
      </w:rPr>
    </w:lvl>
    <w:lvl w:ilvl="1" w:tplc="C290B486">
      <w:start w:val="1"/>
      <w:numFmt w:val="bullet"/>
      <w:lvlText w:val="•"/>
      <w:lvlJc w:val="left"/>
      <w:pPr>
        <w:tabs>
          <w:tab w:val="num" w:pos="1440"/>
        </w:tabs>
        <w:ind w:left="1440" w:hanging="360"/>
      </w:pPr>
      <w:rPr>
        <w:rFonts w:ascii="Arial" w:hAnsi="Arial" w:hint="default"/>
      </w:rPr>
    </w:lvl>
    <w:lvl w:ilvl="2" w:tplc="19CC23FE">
      <w:numFmt w:val="bullet"/>
      <w:lvlText w:val="•"/>
      <w:lvlJc w:val="left"/>
      <w:pPr>
        <w:tabs>
          <w:tab w:val="num" w:pos="2160"/>
        </w:tabs>
        <w:ind w:left="2160" w:hanging="360"/>
      </w:pPr>
      <w:rPr>
        <w:rFonts w:ascii="Arial" w:hAnsi="Arial" w:hint="default"/>
      </w:rPr>
    </w:lvl>
    <w:lvl w:ilvl="3" w:tplc="33FA5012" w:tentative="1">
      <w:start w:val="1"/>
      <w:numFmt w:val="bullet"/>
      <w:lvlText w:val="•"/>
      <w:lvlJc w:val="left"/>
      <w:pPr>
        <w:tabs>
          <w:tab w:val="num" w:pos="2880"/>
        </w:tabs>
        <w:ind w:left="2880" w:hanging="360"/>
      </w:pPr>
      <w:rPr>
        <w:rFonts w:ascii="Arial" w:hAnsi="Arial" w:hint="default"/>
      </w:rPr>
    </w:lvl>
    <w:lvl w:ilvl="4" w:tplc="4ED010E6" w:tentative="1">
      <w:start w:val="1"/>
      <w:numFmt w:val="bullet"/>
      <w:lvlText w:val="•"/>
      <w:lvlJc w:val="left"/>
      <w:pPr>
        <w:tabs>
          <w:tab w:val="num" w:pos="3600"/>
        </w:tabs>
        <w:ind w:left="3600" w:hanging="360"/>
      </w:pPr>
      <w:rPr>
        <w:rFonts w:ascii="Arial" w:hAnsi="Arial" w:hint="default"/>
      </w:rPr>
    </w:lvl>
    <w:lvl w:ilvl="5" w:tplc="B75A7A3C" w:tentative="1">
      <w:start w:val="1"/>
      <w:numFmt w:val="bullet"/>
      <w:lvlText w:val="•"/>
      <w:lvlJc w:val="left"/>
      <w:pPr>
        <w:tabs>
          <w:tab w:val="num" w:pos="4320"/>
        </w:tabs>
        <w:ind w:left="4320" w:hanging="360"/>
      </w:pPr>
      <w:rPr>
        <w:rFonts w:ascii="Arial" w:hAnsi="Arial" w:hint="default"/>
      </w:rPr>
    </w:lvl>
    <w:lvl w:ilvl="6" w:tplc="D5E67BF8" w:tentative="1">
      <w:start w:val="1"/>
      <w:numFmt w:val="bullet"/>
      <w:lvlText w:val="•"/>
      <w:lvlJc w:val="left"/>
      <w:pPr>
        <w:tabs>
          <w:tab w:val="num" w:pos="5040"/>
        </w:tabs>
        <w:ind w:left="5040" w:hanging="360"/>
      </w:pPr>
      <w:rPr>
        <w:rFonts w:ascii="Arial" w:hAnsi="Arial" w:hint="default"/>
      </w:rPr>
    </w:lvl>
    <w:lvl w:ilvl="7" w:tplc="75BE6446" w:tentative="1">
      <w:start w:val="1"/>
      <w:numFmt w:val="bullet"/>
      <w:lvlText w:val="•"/>
      <w:lvlJc w:val="left"/>
      <w:pPr>
        <w:tabs>
          <w:tab w:val="num" w:pos="5760"/>
        </w:tabs>
        <w:ind w:left="5760" w:hanging="360"/>
      </w:pPr>
      <w:rPr>
        <w:rFonts w:ascii="Arial" w:hAnsi="Arial" w:hint="default"/>
      </w:rPr>
    </w:lvl>
    <w:lvl w:ilvl="8" w:tplc="562E7B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74C6D"/>
    <w:multiLevelType w:val="multilevel"/>
    <w:tmpl w:val="71845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B454E"/>
    <w:multiLevelType w:val="hybridMultilevel"/>
    <w:tmpl w:val="1BB2C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2127C0"/>
    <w:multiLevelType w:val="hybridMultilevel"/>
    <w:tmpl w:val="1CC2BF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D167E9"/>
    <w:multiLevelType w:val="hybridMultilevel"/>
    <w:tmpl w:val="5D8E65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805CD"/>
    <w:multiLevelType w:val="hybridMultilevel"/>
    <w:tmpl w:val="A4EC99CE"/>
    <w:lvl w:ilvl="0" w:tplc="00000004">
      <w:numFmt w:val="bullet"/>
      <w:lvlText w:val="-"/>
      <w:lvlJc w:val="left"/>
      <w:pPr>
        <w:ind w:left="1080" w:hanging="360"/>
      </w:pPr>
      <w:rPr>
        <w:rFonts w:ascii="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55C38BB"/>
    <w:multiLevelType w:val="hybridMultilevel"/>
    <w:tmpl w:val="E4DA0128"/>
    <w:lvl w:ilvl="0" w:tplc="C0C48FE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EE14C5"/>
    <w:multiLevelType w:val="hybridMultilevel"/>
    <w:tmpl w:val="A686D292"/>
    <w:lvl w:ilvl="0" w:tplc="A56CA428">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447F55"/>
    <w:multiLevelType w:val="hybridMultilevel"/>
    <w:tmpl w:val="864697A0"/>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7F1D3EE1"/>
    <w:multiLevelType w:val="hybridMultilevel"/>
    <w:tmpl w:val="6E0E80EE"/>
    <w:lvl w:ilvl="0" w:tplc="B6660A38">
      <w:start w:val="1"/>
      <w:numFmt w:val="decimal"/>
      <w:lvlText w:val="%1."/>
      <w:lvlJc w:val="left"/>
      <w:pPr>
        <w:ind w:left="1146" w:hanging="360"/>
      </w:pPr>
      <w:rPr>
        <w:b w:val="0"/>
        <w:bCs/>
      </w:rPr>
    </w:lvl>
    <w:lvl w:ilvl="1" w:tplc="C8AE6146">
      <w:start w:val="1"/>
      <w:numFmt w:val="lowerLetter"/>
      <w:lvlText w:val="%2."/>
      <w:lvlJc w:val="left"/>
      <w:pPr>
        <w:ind w:left="1866" w:hanging="360"/>
      </w:pPr>
      <w:rPr>
        <w:i/>
        <w:iCs/>
      </w:r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27"/>
  </w:num>
  <w:num w:numId="2">
    <w:abstractNumId w:val="14"/>
  </w:num>
  <w:num w:numId="3">
    <w:abstractNumId w:val="0"/>
  </w:num>
  <w:num w:numId="4">
    <w:abstractNumId w:val="27"/>
  </w:num>
  <w:num w:numId="5">
    <w:abstractNumId w:val="6"/>
  </w:num>
  <w:num w:numId="6">
    <w:abstractNumId w:val="24"/>
  </w:num>
  <w:num w:numId="7">
    <w:abstractNumId w:val="7"/>
  </w:num>
  <w:num w:numId="8">
    <w:abstractNumId w:val="5"/>
  </w:num>
  <w:num w:numId="9">
    <w:abstractNumId w:val="4"/>
  </w:num>
  <w:num w:numId="10">
    <w:abstractNumId w:val="17"/>
  </w:num>
  <w:num w:numId="11">
    <w:abstractNumId w:val="23"/>
  </w:num>
  <w:num w:numId="12">
    <w:abstractNumId w:val="21"/>
  </w:num>
  <w:num w:numId="13">
    <w:abstractNumId w:val="3"/>
  </w:num>
  <w:num w:numId="14">
    <w:abstractNumId w:val="18"/>
  </w:num>
  <w:num w:numId="15">
    <w:abstractNumId w:val="26"/>
  </w:num>
  <w:num w:numId="16">
    <w:abstractNumId w:val="10"/>
  </w:num>
  <w:num w:numId="17">
    <w:abstractNumId w:val="29"/>
  </w:num>
  <w:num w:numId="18">
    <w:abstractNumId w:val="13"/>
  </w:num>
  <w:num w:numId="19">
    <w:abstractNumId w:val="14"/>
  </w:num>
  <w:num w:numId="20">
    <w:abstractNumId w:val="19"/>
  </w:num>
  <w:num w:numId="21">
    <w:abstractNumId w:val="28"/>
  </w:num>
  <w:num w:numId="22">
    <w:abstractNumId w:val="20"/>
  </w:num>
  <w:num w:numId="23">
    <w:abstractNumId w:val="2"/>
  </w:num>
  <w:num w:numId="24">
    <w:abstractNumId w:val="1"/>
  </w:num>
  <w:num w:numId="25">
    <w:abstractNumId w:val="9"/>
  </w:num>
  <w:num w:numId="26">
    <w:abstractNumId w:val="12"/>
  </w:num>
  <w:num w:numId="27">
    <w:abstractNumId w:val="8"/>
  </w:num>
  <w:num w:numId="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7"/>
  </w:num>
  <w:num w:numId="31">
    <w:abstractNumId w:val="27"/>
  </w:num>
  <w:num w:numId="32">
    <w:abstractNumId w:val="11"/>
  </w:num>
  <w:num w:numId="33">
    <w:abstractNumId w:val="15"/>
  </w:num>
  <w:num w:numId="34">
    <w:abstractNumId w:val="27"/>
  </w:num>
  <w:num w:numId="35">
    <w:abstractNumId w:val="27"/>
  </w:num>
  <w:num w:numId="36">
    <w:abstractNumId w:val="27"/>
  </w:num>
  <w:num w:numId="37">
    <w:abstractNumId w:val="16"/>
  </w:num>
  <w:num w:numId="38">
    <w:abstractNumId w:val="27"/>
  </w:num>
  <w:num w:numId="39">
    <w:abstractNumId w:val="27"/>
    <w:lvlOverride w:ilvl="0">
      <w:startOverride w:val="7"/>
    </w:lvlOverride>
    <w:lvlOverride w:ilvl="1">
      <w:startOverride w:val="14"/>
    </w:lvlOverride>
  </w:num>
  <w:num w:numId="40">
    <w:abstractNumId w:val="27"/>
  </w:num>
  <w:num w:numId="4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F0A"/>
    <w:rsid w:val="00001F2B"/>
    <w:rsid w:val="00002167"/>
    <w:rsid w:val="00002807"/>
    <w:rsid w:val="00002845"/>
    <w:rsid w:val="00003352"/>
    <w:rsid w:val="00003499"/>
    <w:rsid w:val="000036B1"/>
    <w:rsid w:val="000039B7"/>
    <w:rsid w:val="00003A90"/>
    <w:rsid w:val="00003FCA"/>
    <w:rsid w:val="000041B8"/>
    <w:rsid w:val="00004950"/>
    <w:rsid w:val="000049E7"/>
    <w:rsid w:val="00004BA1"/>
    <w:rsid w:val="00004C6C"/>
    <w:rsid w:val="00005CF6"/>
    <w:rsid w:val="0000639A"/>
    <w:rsid w:val="00006B37"/>
    <w:rsid w:val="00006B60"/>
    <w:rsid w:val="00007430"/>
    <w:rsid w:val="00007596"/>
    <w:rsid w:val="000104C1"/>
    <w:rsid w:val="00012804"/>
    <w:rsid w:val="0001286C"/>
    <w:rsid w:val="00012BB4"/>
    <w:rsid w:val="00012CEB"/>
    <w:rsid w:val="00013247"/>
    <w:rsid w:val="000147D5"/>
    <w:rsid w:val="00014CCC"/>
    <w:rsid w:val="00015213"/>
    <w:rsid w:val="00015809"/>
    <w:rsid w:val="00015886"/>
    <w:rsid w:val="000162EF"/>
    <w:rsid w:val="00016D53"/>
    <w:rsid w:val="00017654"/>
    <w:rsid w:val="00017F4C"/>
    <w:rsid w:val="0002038F"/>
    <w:rsid w:val="000204BE"/>
    <w:rsid w:val="000207C9"/>
    <w:rsid w:val="00020C3D"/>
    <w:rsid w:val="00021193"/>
    <w:rsid w:val="00021593"/>
    <w:rsid w:val="000219AD"/>
    <w:rsid w:val="000219BB"/>
    <w:rsid w:val="00021D1A"/>
    <w:rsid w:val="00021E12"/>
    <w:rsid w:val="00021F23"/>
    <w:rsid w:val="00021FF5"/>
    <w:rsid w:val="0002225F"/>
    <w:rsid w:val="000223AF"/>
    <w:rsid w:val="00022758"/>
    <w:rsid w:val="00023763"/>
    <w:rsid w:val="000258C6"/>
    <w:rsid w:val="00025B96"/>
    <w:rsid w:val="00025C1D"/>
    <w:rsid w:val="00025FF5"/>
    <w:rsid w:val="000263B8"/>
    <w:rsid w:val="00026413"/>
    <w:rsid w:val="00026686"/>
    <w:rsid w:val="00026F98"/>
    <w:rsid w:val="000274B8"/>
    <w:rsid w:val="00030172"/>
    <w:rsid w:val="00030E8C"/>
    <w:rsid w:val="00031077"/>
    <w:rsid w:val="0003190E"/>
    <w:rsid w:val="0003280D"/>
    <w:rsid w:val="00032C24"/>
    <w:rsid w:val="00032EED"/>
    <w:rsid w:val="00033863"/>
    <w:rsid w:val="000347EF"/>
    <w:rsid w:val="000357B1"/>
    <w:rsid w:val="00035DC0"/>
    <w:rsid w:val="000364CF"/>
    <w:rsid w:val="00036829"/>
    <w:rsid w:val="000369EA"/>
    <w:rsid w:val="00036A30"/>
    <w:rsid w:val="00036DF1"/>
    <w:rsid w:val="0004001B"/>
    <w:rsid w:val="00040100"/>
    <w:rsid w:val="00040154"/>
    <w:rsid w:val="00040895"/>
    <w:rsid w:val="000415B6"/>
    <w:rsid w:val="000418F4"/>
    <w:rsid w:val="00042892"/>
    <w:rsid w:val="000435EE"/>
    <w:rsid w:val="00043C37"/>
    <w:rsid w:val="00045017"/>
    <w:rsid w:val="0004573E"/>
    <w:rsid w:val="00045A2B"/>
    <w:rsid w:val="0004698F"/>
    <w:rsid w:val="00046B73"/>
    <w:rsid w:val="0004710C"/>
    <w:rsid w:val="00047A01"/>
    <w:rsid w:val="00047CA7"/>
    <w:rsid w:val="00047D52"/>
    <w:rsid w:val="000506D4"/>
    <w:rsid w:val="00050845"/>
    <w:rsid w:val="000508F8"/>
    <w:rsid w:val="00050F9C"/>
    <w:rsid w:val="00051169"/>
    <w:rsid w:val="00052B32"/>
    <w:rsid w:val="000539D0"/>
    <w:rsid w:val="00053CF6"/>
    <w:rsid w:val="000541A7"/>
    <w:rsid w:val="00054621"/>
    <w:rsid w:val="000546D7"/>
    <w:rsid w:val="00054DE1"/>
    <w:rsid w:val="00054F9B"/>
    <w:rsid w:val="00055278"/>
    <w:rsid w:val="0005574C"/>
    <w:rsid w:val="00056533"/>
    <w:rsid w:val="0005699F"/>
    <w:rsid w:val="00056ECF"/>
    <w:rsid w:val="00057182"/>
    <w:rsid w:val="00057659"/>
    <w:rsid w:val="000602CD"/>
    <w:rsid w:val="000604DF"/>
    <w:rsid w:val="0006079B"/>
    <w:rsid w:val="00061C40"/>
    <w:rsid w:val="000623BB"/>
    <w:rsid w:val="0006407A"/>
    <w:rsid w:val="00064A5D"/>
    <w:rsid w:val="00064AF7"/>
    <w:rsid w:val="000653B5"/>
    <w:rsid w:val="0006554A"/>
    <w:rsid w:val="00066360"/>
    <w:rsid w:val="00066AF8"/>
    <w:rsid w:val="00066DEC"/>
    <w:rsid w:val="000673ED"/>
    <w:rsid w:val="00067BD7"/>
    <w:rsid w:val="000708E8"/>
    <w:rsid w:val="00071248"/>
    <w:rsid w:val="0007173E"/>
    <w:rsid w:val="000720B9"/>
    <w:rsid w:val="000737F7"/>
    <w:rsid w:val="0007544F"/>
    <w:rsid w:val="000758FA"/>
    <w:rsid w:val="00075CDD"/>
    <w:rsid w:val="0007636A"/>
    <w:rsid w:val="000764BC"/>
    <w:rsid w:val="00076532"/>
    <w:rsid w:val="0007672F"/>
    <w:rsid w:val="00076B24"/>
    <w:rsid w:val="00076B54"/>
    <w:rsid w:val="000774F0"/>
    <w:rsid w:val="0008039E"/>
    <w:rsid w:val="00080909"/>
    <w:rsid w:val="00080B2C"/>
    <w:rsid w:val="000810EA"/>
    <w:rsid w:val="000812CA"/>
    <w:rsid w:val="00081E63"/>
    <w:rsid w:val="0008258D"/>
    <w:rsid w:val="00083066"/>
    <w:rsid w:val="000839F1"/>
    <w:rsid w:val="00083C15"/>
    <w:rsid w:val="00083E99"/>
    <w:rsid w:val="00084E58"/>
    <w:rsid w:val="00084FA8"/>
    <w:rsid w:val="000856C5"/>
    <w:rsid w:val="00085C31"/>
    <w:rsid w:val="00085D57"/>
    <w:rsid w:val="000862C8"/>
    <w:rsid w:val="000867F8"/>
    <w:rsid w:val="0008689B"/>
    <w:rsid w:val="00087CE2"/>
    <w:rsid w:val="000902D9"/>
    <w:rsid w:val="000906EA"/>
    <w:rsid w:val="00090C7E"/>
    <w:rsid w:val="000918D2"/>
    <w:rsid w:val="00092600"/>
    <w:rsid w:val="0009262B"/>
    <w:rsid w:val="00092B59"/>
    <w:rsid w:val="00093310"/>
    <w:rsid w:val="00093572"/>
    <w:rsid w:val="00093C52"/>
    <w:rsid w:val="00093EF6"/>
    <w:rsid w:val="0009445C"/>
    <w:rsid w:val="00094DCB"/>
    <w:rsid w:val="00095200"/>
    <w:rsid w:val="0009536B"/>
    <w:rsid w:val="00095920"/>
    <w:rsid w:val="00095FE5"/>
    <w:rsid w:val="00096218"/>
    <w:rsid w:val="00096284"/>
    <w:rsid w:val="000963C7"/>
    <w:rsid w:val="00096B8C"/>
    <w:rsid w:val="00097891"/>
    <w:rsid w:val="000A05BC"/>
    <w:rsid w:val="000A1AD2"/>
    <w:rsid w:val="000A1BC0"/>
    <w:rsid w:val="000A1BE9"/>
    <w:rsid w:val="000A29FE"/>
    <w:rsid w:val="000A33C0"/>
    <w:rsid w:val="000A3CC1"/>
    <w:rsid w:val="000A44DE"/>
    <w:rsid w:val="000A54F5"/>
    <w:rsid w:val="000A5590"/>
    <w:rsid w:val="000A6039"/>
    <w:rsid w:val="000A61EE"/>
    <w:rsid w:val="000A7116"/>
    <w:rsid w:val="000A7271"/>
    <w:rsid w:val="000A7443"/>
    <w:rsid w:val="000A7453"/>
    <w:rsid w:val="000A7D08"/>
    <w:rsid w:val="000A7EA2"/>
    <w:rsid w:val="000B0121"/>
    <w:rsid w:val="000B0176"/>
    <w:rsid w:val="000B0670"/>
    <w:rsid w:val="000B0E75"/>
    <w:rsid w:val="000B0FE7"/>
    <w:rsid w:val="000B18E7"/>
    <w:rsid w:val="000B1C66"/>
    <w:rsid w:val="000B2348"/>
    <w:rsid w:val="000B2DCB"/>
    <w:rsid w:val="000B4E95"/>
    <w:rsid w:val="000B5CA6"/>
    <w:rsid w:val="000B5CE0"/>
    <w:rsid w:val="000B6A91"/>
    <w:rsid w:val="000B6CAC"/>
    <w:rsid w:val="000B72E4"/>
    <w:rsid w:val="000B7612"/>
    <w:rsid w:val="000B765D"/>
    <w:rsid w:val="000B788D"/>
    <w:rsid w:val="000B78AE"/>
    <w:rsid w:val="000B7A96"/>
    <w:rsid w:val="000B7C59"/>
    <w:rsid w:val="000C1C94"/>
    <w:rsid w:val="000C34B9"/>
    <w:rsid w:val="000C3570"/>
    <w:rsid w:val="000C3DF9"/>
    <w:rsid w:val="000C47C2"/>
    <w:rsid w:val="000C4E3D"/>
    <w:rsid w:val="000C5541"/>
    <w:rsid w:val="000C5D3E"/>
    <w:rsid w:val="000C6713"/>
    <w:rsid w:val="000C7C97"/>
    <w:rsid w:val="000D0C6C"/>
    <w:rsid w:val="000D1BFC"/>
    <w:rsid w:val="000D1D5D"/>
    <w:rsid w:val="000D274F"/>
    <w:rsid w:val="000D281A"/>
    <w:rsid w:val="000D2848"/>
    <w:rsid w:val="000D326A"/>
    <w:rsid w:val="000D3D5F"/>
    <w:rsid w:val="000D44F1"/>
    <w:rsid w:val="000D50B6"/>
    <w:rsid w:val="000D51FB"/>
    <w:rsid w:val="000D5FF1"/>
    <w:rsid w:val="000D6C81"/>
    <w:rsid w:val="000E018D"/>
    <w:rsid w:val="000E0640"/>
    <w:rsid w:val="000E0E23"/>
    <w:rsid w:val="000E135D"/>
    <w:rsid w:val="000E1498"/>
    <w:rsid w:val="000E1CA5"/>
    <w:rsid w:val="000E23F3"/>
    <w:rsid w:val="000E3BCA"/>
    <w:rsid w:val="000E3FFA"/>
    <w:rsid w:val="000E41ED"/>
    <w:rsid w:val="000E540A"/>
    <w:rsid w:val="000E691C"/>
    <w:rsid w:val="000E6FB0"/>
    <w:rsid w:val="000E7761"/>
    <w:rsid w:val="000F00BA"/>
    <w:rsid w:val="000F1ED9"/>
    <w:rsid w:val="000F316A"/>
    <w:rsid w:val="000F38AD"/>
    <w:rsid w:val="000F39AA"/>
    <w:rsid w:val="000F3C74"/>
    <w:rsid w:val="000F46B1"/>
    <w:rsid w:val="000F4BB8"/>
    <w:rsid w:val="000F4BF6"/>
    <w:rsid w:val="000F4FA9"/>
    <w:rsid w:val="000F53FB"/>
    <w:rsid w:val="000F594B"/>
    <w:rsid w:val="000F5CF6"/>
    <w:rsid w:val="000F5DAE"/>
    <w:rsid w:val="000F7127"/>
    <w:rsid w:val="000F73CA"/>
    <w:rsid w:val="000F789A"/>
    <w:rsid w:val="000F7B54"/>
    <w:rsid w:val="0010068E"/>
    <w:rsid w:val="00100E6D"/>
    <w:rsid w:val="00100F8A"/>
    <w:rsid w:val="00101B52"/>
    <w:rsid w:val="00102510"/>
    <w:rsid w:val="00103E7A"/>
    <w:rsid w:val="00104340"/>
    <w:rsid w:val="0010452E"/>
    <w:rsid w:val="001048FF"/>
    <w:rsid w:val="00105511"/>
    <w:rsid w:val="00105783"/>
    <w:rsid w:val="00105AE2"/>
    <w:rsid w:val="00105E0E"/>
    <w:rsid w:val="001060C6"/>
    <w:rsid w:val="00106B80"/>
    <w:rsid w:val="00107176"/>
    <w:rsid w:val="00107324"/>
    <w:rsid w:val="0010788B"/>
    <w:rsid w:val="0011032E"/>
    <w:rsid w:val="0011185B"/>
    <w:rsid w:val="00111E30"/>
    <w:rsid w:val="00112756"/>
    <w:rsid w:val="00112784"/>
    <w:rsid w:val="0011327E"/>
    <w:rsid w:val="001132C2"/>
    <w:rsid w:val="0011348B"/>
    <w:rsid w:val="00114AB5"/>
    <w:rsid w:val="00115982"/>
    <w:rsid w:val="00116368"/>
    <w:rsid w:val="001164D5"/>
    <w:rsid w:val="00116709"/>
    <w:rsid w:val="00116C53"/>
    <w:rsid w:val="00116F29"/>
    <w:rsid w:val="00116FE3"/>
    <w:rsid w:val="0012033B"/>
    <w:rsid w:val="001205DE"/>
    <w:rsid w:val="00121799"/>
    <w:rsid w:val="001217B0"/>
    <w:rsid w:val="001222FC"/>
    <w:rsid w:val="001228F4"/>
    <w:rsid w:val="00122F1A"/>
    <w:rsid w:val="00122F23"/>
    <w:rsid w:val="00123143"/>
    <w:rsid w:val="0012348F"/>
    <w:rsid w:val="00123902"/>
    <w:rsid w:val="00124A51"/>
    <w:rsid w:val="00124CFF"/>
    <w:rsid w:val="00124E2C"/>
    <w:rsid w:val="00125C42"/>
    <w:rsid w:val="00125E64"/>
    <w:rsid w:val="00126621"/>
    <w:rsid w:val="00126B1D"/>
    <w:rsid w:val="001271F4"/>
    <w:rsid w:val="00127759"/>
    <w:rsid w:val="0013014B"/>
    <w:rsid w:val="001301E9"/>
    <w:rsid w:val="00131483"/>
    <w:rsid w:val="00131617"/>
    <w:rsid w:val="00131B3B"/>
    <w:rsid w:val="00131C14"/>
    <w:rsid w:val="00131D82"/>
    <w:rsid w:val="00131F06"/>
    <w:rsid w:val="00131F89"/>
    <w:rsid w:val="001322FE"/>
    <w:rsid w:val="001324A2"/>
    <w:rsid w:val="00132B22"/>
    <w:rsid w:val="00132DB8"/>
    <w:rsid w:val="00133C8D"/>
    <w:rsid w:val="00133D36"/>
    <w:rsid w:val="00134B84"/>
    <w:rsid w:val="00136348"/>
    <w:rsid w:val="00137645"/>
    <w:rsid w:val="0013777A"/>
    <w:rsid w:val="0013792C"/>
    <w:rsid w:val="0014015A"/>
    <w:rsid w:val="001409A8"/>
    <w:rsid w:val="00140E99"/>
    <w:rsid w:val="001421D7"/>
    <w:rsid w:val="00143B6B"/>
    <w:rsid w:val="00143E39"/>
    <w:rsid w:val="00143F67"/>
    <w:rsid w:val="00144295"/>
    <w:rsid w:val="0014453E"/>
    <w:rsid w:val="00144AF5"/>
    <w:rsid w:val="00144C50"/>
    <w:rsid w:val="001451C4"/>
    <w:rsid w:val="00145540"/>
    <w:rsid w:val="00145592"/>
    <w:rsid w:val="001455AC"/>
    <w:rsid w:val="001456B0"/>
    <w:rsid w:val="00146DDC"/>
    <w:rsid w:val="0015004E"/>
    <w:rsid w:val="00150254"/>
    <w:rsid w:val="00150577"/>
    <w:rsid w:val="00151AD4"/>
    <w:rsid w:val="001520BD"/>
    <w:rsid w:val="00152673"/>
    <w:rsid w:val="00154C2E"/>
    <w:rsid w:val="001550EE"/>
    <w:rsid w:val="001558C9"/>
    <w:rsid w:val="0015590C"/>
    <w:rsid w:val="00155B5B"/>
    <w:rsid w:val="001568FB"/>
    <w:rsid w:val="00156A05"/>
    <w:rsid w:val="00156E21"/>
    <w:rsid w:val="00156F8F"/>
    <w:rsid w:val="0015706F"/>
    <w:rsid w:val="00157130"/>
    <w:rsid w:val="0015769E"/>
    <w:rsid w:val="001576B1"/>
    <w:rsid w:val="00157CED"/>
    <w:rsid w:val="00160436"/>
    <w:rsid w:val="0016047B"/>
    <w:rsid w:val="0016073B"/>
    <w:rsid w:val="00160A4C"/>
    <w:rsid w:val="00160CC1"/>
    <w:rsid w:val="001612CC"/>
    <w:rsid w:val="00162913"/>
    <w:rsid w:val="00162B05"/>
    <w:rsid w:val="00162D99"/>
    <w:rsid w:val="00163395"/>
    <w:rsid w:val="00163E8A"/>
    <w:rsid w:val="00163EFF"/>
    <w:rsid w:val="00163F66"/>
    <w:rsid w:val="00164F69"/>
    <w:rsid w:val="00165C6C"/>
    <w:rsid w:val="001661FB"/>
    <w:rsid w:val="001671A0"/>
    <w:rsid w:val="00167224"/>
    <w:rsid w:val="0016767F"/>
    <w:rsid w:val="00167D76"/>
    <w:rsid w:val="001703F5"/>
    <w:rsid w:val="00170632"/>
    <w:rsid w:val="00171384"/>
    <w:rsid w:val="00171E3A"/>
    <w:rsid w:val="001733C6"/>
    <w:rsid w:val="00173469"/>
    <w:rsid w:val="00173565"/>
    <w:rsid w:val="00173B07"/>
    <w:rsid w:val="00174850"/>
    <w:rsid w:val="001751FA"/>
    <w:rsid w:val="00175286"/>
    <w:rsid w:val="00175442"/>
    <w:rsid w:val="00175570"/>
    <w:rsid w:val="00175F87"/>
    <w:rsid w:val="00176486"/>
    <w:rsid w:val="00180AB2"/>
    <w:rsid w:val="00180D67"/>
    <w:rsid w:val="001814A8"/>
    <w:rsid w:val="00181D9C"/>
    <w:rsid w:val="00182586"/>
    <w:rsid w:val="00182B12"/>
    <w:rsid w:val="001839A7"/>
    <w:rsid w:val="00183A99"/>
    <w:rsid w:val="001841A6"/>
    <w:rsid w:val="00184B0E"/>
    <w:rsid w:val="00184B1F"/>
    <w:rsid w:val="001853D9"/>
    <w:rsid w:val="00185C94"/>
    <w:rsid w:val="00185E59"/>
    <w:rsid w:val="001860FD"/>
    <w:rsid w:val="0018752F"/>
    <w:rsid w:val="001908CC"/>
    <w:rsid w:val="00191822"/>
    <w:rsid w:val="001918CD"/>
    <w:rsid w:val="00191AE4"/>
    <w:rsid w:val="00191FF3"/>
    <w:rsid w:val="00192074"/>
    <w:rsid w:val="001925E5"/>
    <w:rsid w:val="001928AC"/>
    <w:rsid w:val="00192A56"/>
    <w:rsid w:val="00192D70"/>
    <w:rsid w:val="00193838"/>
    <w:rsid w:val="00193E38"/>
    <w:rsid w:val="00193EFF"/>
    <w:rsid w:val="00194AD8"/>
    <w:rsid w:val="00194E91"/>
    <w:rsid w:val="00194F88"/>
    <w:rsid w:val="001951CE"/>
    <w:rsid w:val="00195222"/>
    <w:rsid w:val="001956F2"/>
    <w:rsid w:val="00195B1E"/>
    <w:rsid w:val="0019655F"/>
    <w:rsid w:val="00196813"/>
    <w:rsid w:val="00196AEF"/>
    <w:rsid w:val="00196F9D"/>
    <w:rsid w:val="001970EA"/>
    <w:rsid w:val="001975D8"/>
    <w:rsid w:val="00197AC7"/>
    <w:rsid w:val="001A03C2"/>
    <w:rsid w:val="001A10BD"/>
    <w:rsid w:val="001A178E"/>
    <w:rsid w:val="001A215A"/>
    <w:rsid w:val="001A2654"/>
    <w:rsid w:val="001A2DC9"/>
    <w:rsid w:val="001A43FA"/>
    <w:rsid w:val="001A47C5"/>
    <w:rsid w:val="001A48EC"/>
    <w:rsid w:val="001A4973"/>
    <w:rsid w:val="001A52B2"/>
    <w:rsid w:val="001A565C"/>
    <w:rsid w:val="001A59FB"/>
    <w:rsid w:val="001A5E9E"/>
    <w:rsid w:val="001A62E9"/>
    <w:rsid w:val="001A6354"/>
    <w:rsid w:val="001A6366"/>
    <w:rsid w:val="001A7AE8"/>
    <w:rsid w:val="001A7D5F"/>
    <w:rsid w:val="001B1446"/>
    <w:rsid w:val="001B1988"/>
    <w:rsid w:val="001B204E"/>
    <w:rsid w:val="001B2372"/>
    <w:rsid w:val="001B3443"/>
    <w:rsid w:val="001B384D"/>
    <w:rsid w:val="001B4D20"/>
    <w:rsid w:val="001B4F07"/>
    <w:rsid w:val="001B55BB"/>
    <w:rsid w:val="001B6712"/>
    <w:rsid w:val="001C1E56"/>
    <w:rsid w:val="001C2303"/>
    <w:rsid w:val="001C2A9B"/>
    <w:rsid w:val="001C3067"/>
    <w:rsid w:val="001C3CB4"/>
    <w:rsid w:val="001C4299"/>
    <w:rsid w:val="001C4874"/>
    <w:rsid w:val="001C492E"/>
    <w:rsid w:val="001C4D82"/>
    <w:rsid w:val="001C5008"/>
    <w:rsid w:val="001C5F94"/>
    <w:rsid w:val="001C655F"/>
    <w:rsid w:val="001C65BE"/>
    <w:rsid w:val="001C6E66"/>
    <w:rsid w:val="001C73EB"/>
    <w:rsid w:val="001D1100"/>
    <w:rsid w:val="001D1235"/>
    <w:rsid w:val="001D1391"/>
    <w:rsid w:val="001D1784"/>
    <w:rsid w:val="001D18A0"/>
    <w:rsid w:val="001D1A0D"/>
    <w:rsid w:val="001D2104"/>
    <w:rsid w:val="001D25D7"/>
    <w:rsid w:val="001D290C"/>
    <w:rsid w:val="001D2BB3"/>
    <w:rsid w:val="001D4212"/>
    <w:rsid w:val="001D4358"/>
    <w:rsid w:val="001D472E"/>
    <w:rsid w:val="001D4D76"/>
    <w:rsid w:val="001D50B2"/>
    <w:rsid w:val="001D7132"/>
    <w:rsid w:val="001D7645"/>
    <w:rsid w:val="001D7782"/>
    <w:rsid w:val="001D7B69"/>
    <w:rsid w:val="001D7C3A"/>
    <w:rsid w:val="001D7D8B"/>
    <w:rsid w:val="001E0A2A"/>
    <w:rsid w:val="001E0CAB"/>
    <w:rsid w:val="001E1E86"/>
    <w:rsid w:val="001E238E"/>
    <w:rsid w:val="001E2483"/>
    <w:rsid w:val="001E27FF"/>
    <w:rsid w:val="001E2B1E"/>
    <w:rsid w:val="001E2CFF"/>
    <w:rsid w:val="001E2F24"/>
    <w:rsid w:val="001E30D4"/>
    <w:rsid w:val="001E3469"/>
    <w:rsid w:val="001E34DF"/>
    <w:rsid w:val="001E40A9"/>
    <w:rsid w:val="001E494C"/>
    <w:rsid w:val="001E5109"/>
    <w:rsid w:val="001E52EB"/>
    <w:rsid w:val="001E61D2"/>
    <w:rsid w:val="001E740C"/>
    <w:rsid w:val="001E7601"/>
    <w:rsid w:val="001F0BA0"/>
    <w:rsid w:val="001F0DA8"/>
    <w:rsid w:val="001F1235"/>
    <w:rsid w:val="001F1437"/>
    <w:rsid w:val="001F1CB3"/>
    <w:rsid w:val="001F38B5"/>
    <w:rsid w:val="001F4081"/>
    <w:rsid w:val="001F458A"/>
    <w:rsid w:val="001F4800"/>
    <w:rsid w:val="001F5279"/>
    <w:rsid w:val="001F55D7"/>
    <w:rsid w:val="001F6BF3"/>
    <w:rsid w:val="001F7361"/>
    <w:rsid w:val="001F7B37"/>
    <w:rsid w:val="001F7DBC"/>
    <w:rsid w:val="0020087B"/>
    <w:rsid w:val="00200EF8"/>
    <w:rsid w:val="002011B0"/>
    <w:rsid w:val="00201B07"/>
    <w:rsid w:val="002020CD"/>
    <w:rsid w:val="00202470"/>
    <w:rsid w:val="002024D7"/>
    <w:rsid w:val="00203181"/>
    <w:rsid w:val="00203783"/>
    <w:rsid w:val="0020385F"/>
    <w:rsid w:val="00203D3F"/>
    <w:rsid w:val="00203E1D"/>
    <w:rsid w:val="00203FAC"/>
    <w:rsid w:val="0020421C"/>
    <w:rsid w:val="00204BBF"/>
    <w:rsid w:val="002053B2"/>
    <w:rsid w:val="00206438"/>
    <w:rsid w:val="002068A0"/>
    <w:rsid w:val="00207021"/>
    <w:rsid w:val="002070F3"/>
    <w:rsid w:val="0020732F"/>
    <w:rsid w:val="0020755F"/>
    <w:rsid w:val="00207986"/>
    <w:rsid w:val="00207D00"/>
    <w:rsid w:val="002102AE"/>
    <w:rsid w:val="002105C1"/>
    <w:rsid w:val="0021114C"/>
    <w:rsid w:val="00211B1A"/>
    <w:rsid w:val="00211B7B"/>
    <w:rsid w:val="00212486"/>
    <w:rsid w:val="002126FE"/>
    <w:rsid w:val="00213772"/>
    <w:rsid w:val="00213C79"/>
    <w:rsid w:val="00213EF5"/>
    <w:rsid w:val="00214069"/>
    <w:rsid w:val="00215601"/>
    <w:rsid w:val="00215A0F"/>
    <w:rsid w:val="00216152"/>
    <w:rsid w:val="002166AC"/>
    <w:rsid w:val="002168A8"/>
    <w:rsid w:val="00216BF5"/>
    <w:rsid w:val="00217C35"/>
    <w:rsid w:val="00217D19"/>
    <w:rsid w:val="00220E5F"/>
    <w:rsid w:val="002217AB"/>
    <w:rsid w:val="00221864"/>
    <w:rsid w:val="00222060"/>
    <w:rsid w:val="00222D87"/>
    <w:rsid w:val="00223490"/>
    <w:rsid w:val="00223B49"/>
    <w:rsid w:val="00223D5A"/>
    <w:rsid w:val="00224162"/>
    <w:rsid w:val="0022416E"/>
    <w:rsid w:val="00224521"/>
    <w:rsid w:val="00224B43"/>
    <w:rsid w:val="00224C71"/>
    <w:rsid w:val="00224DB4"/>
    <w:rsid w:val="00224DD4"/>
    <w:rsid w:val="002251BD"/>
    <w:rsid w:val="0022537D"/>
    <w:rsid w:val="002257ED"/>
    <w:rsid w:val="00225ADE"/>
    <w:rsid w:val="00226BD8"/>
    <w:rsid w:val="00227389"/>
    <w:rsid w:val="002278A0"/>
    <w:rsid w:val="00227C94"/>
    <w:rsid w:val="002309CC"/>
    <w:rsid w:val="00230A1E"/>
    <w:rsid w:val="00230DB1"/>
    <w:rsid w:val="0023209F"/>
    <w:rsid w:val="00232212"/>
    <w:rsid w:val="0023381F"/>
    <w:rsid w:val="00233A93"/>
    <w:rsid w:val="00233C01"/>
    <w:rsid w:val="0023413C"/>
    <w:rsid w:val="0023425F"/>
    <w:rsid w:val="002346F0"/>
    <w:rsid w:val="00234765"/>
    <w:rsid w:val="00234A50"/>
    <w:rsid w:val="00235AB0"/>
    <w:rsid w:val="0023629D"/>
    <w:rsid w:val="002369B6"/>
    <w:rsid w:val="00237255"/>
    <w:rsid w:val="00237773"/>
    <w:rsid w:val="002405C7"/>
    <w:rsid w:val="002409C6"/>
    <w:rsid w:val="0024107C"/>
    <w:rsid w:val="002412A9"/>
    <w:rsid w:val="00241C22"/>
    <w:rsid w:val="002424AF"/>
    <w:rsid w:val="002426A4"/>
    <w:rsid w:val="00242C79"/>
    <w:rsid w:val="002431F4"/>
    <w:rsid w:val="002432AB"/>
    <w:rsid w:val="0024348C"/>
    <w:rsid w:val="002439DC"/>
    <w:rsid w:val="00243CD8"/>
    <w:rsid w:val="002441D2"/>
    <w:rsid w:val="00244DC8"/>
    <w:rsid w:val="002458BA"/>
    <w:rsid w:val="00245CE9"/>
    <w:rsid w:val="00245FBE"/>
    <w:rsid w:val="0024604A"/>
    <w:rsid w:val="0024636C"/>
    <w:rsid w:val="0024686E"/>
    <w:rsid w:val="0024719F"/>
    <w:rsid w:val="00247584"/>
    <w:rsid w:val="00247925"/>
    <w:rsid w:val="00247DF3"/>
    <w:rsid w:val="0025054B"/>
    <w:rsid w:val="002505D7"/>
    <w:rsid w:val="002505E5"/>
    <w:rsid w:val="00250AE9"/>
    <w:rsid w:val="00251006"/>
    <w:rsid w:val="00251266"/>
    <w:rsid w:val="0025158F"/>
    <w:rsid w:val="00251F08"/>
    <w:rsid w:val="002524D5"/>
    <w:rsid w:val="002525BB"/>
    <w:rsid w:val="00252BB6"/>
    <w:rsid w:val="0025308E"/>
    <w:rsid w:val="00253683"/>
    <w:rsid w:val="00253B1D"/>
    <w:rsid w:val="00254BA5"/>
    <w:rsid w:val="00254DCF"/>
    <w:rsid w:val="00254EA6"/>
    <w:rsid w:val="0025534B"/>
    <w:rsid w:val="00255BB7"/>
    <w:rsid w:val="002566B4"/>
    <w:rsid w:val="00256BEF"/>
    <w:rsid w:val="00257541"/>
    <w:rsid w:val="00257A39"/>
    <w:rsid w:val="00257AC4"/>
    <w:rsid w:val="002602C5"/>
    <w:rsid w:val="002607DD"/>
    <w:rsid w:val="0026153D"/>
    <w:rsid w:val="00261EAC"/>
    <w:rsid w:val="00261EEF"/>
    <w:rsid w:val="00262535"/>
    <w:rsid w:val="002629B3"/>
    <w:rsid w:val="00262A1A"/>
    <w:rsid w:val="00262A87"/>
    <w:rsid w:val="00262E49"/>
    <w:rsid w:val="002635FD"/>
    <w:rsid w:val="00263C93"/>
    <w:rsid w:val="00264B74"/>
    <w:rsid w:val="00264C1B"/>
    <w:rsid w:val="00264D26"/>
    <w:rsid w:val="00265094"/>
    <w:rsid w:val="00265678"/>
    <w:rsid w:val="0026596A"/>
    <w:rsid w:val="00265D20"/>
    <w:rsid w:val="0026609E"/>
    <w:rsid w:val="00266464"/>
    <w:rsid w:val="002668D5"/>
    <w:rsid w:val="00267642"/>
    <w:rsid w:val="00267AEA"/>
    <w:rsid w:val="002700E6"/>
    <w:rsid w:val="00270891"/>
    <w:rsid w:val="00270A56"/>
    <w:rsid w:val="002713EA"/>
    <w:rsid w:val="00271C25"/>
    <w:rsid w:val="00271DC5"/>
    <w:rsid w:val="00271E70"/>
    <w:rsid w:val="0027294B"/>
    <w:rsid w:val="00272A2B"/>
    <w:rsid w:val="00272CE4"/>
    <w:rsid w:val="002732AA"/>
    <w:rsid w:val="00273560"/>
    <w:rsid w:val="002738DF"/>
    <w:rsid w:val="00273EB4"/>
    <w:rsid w:val="00273FD2"/>
    <w:rsid w:val="00274682"/>
    <w:rsid w:val="00274FAA"/>
    <w:rsid w:val="00275866"/>
    <w:rsid w:val="002758AA"/>
    <w:rsid w:val="00275C5A"/>
    <w:rsid w:val="00277029"/>
    <w:rsid w:val="00277525"/>
    <w:rsid w:val="00277C24"/>
    <w:rsid w:val="00277DF1"/>
    <w:rsid w:val="002800BF"/>
    <w:rsid w:val="002806A3"/>
    <w:rsid w:val="00281014"/>
    <w:rsid w:val="00281663"/>
    <w:rsid w:val="002828CF"/>
    <w:rsid w:val="002832C7"/>
    <w:rsid w:val="002844FE"/>
    <w:rsid w:val="00284736"/>
    <w:rsid w:val="00285081"/>
    <w:rsid w:val="0028653B"/>
    <w:rsid w:val="0028665D"/>
    <w:rsid w:val="0028665F"/>
    <w:rsid w:val="00286890"/>
    <w:rsid w:val="00286A69"/>
    <w:rsid w:val="002874FE"/>
    <w:rsid w:val="0028752A"/>
    <w:rsid w:val="00287C66"/>
    <w:rsid w:val="00287E78"/>
    <w:rsid w:val="00287E87"/>
    <w:rsid w:val="0029005A"/>
    <w:rsid w:val="00290495"/>
    <w:rsid w:val="00292214"/>
    <w:rsid w:val="00292F2A"/>
    <w:rsid w:val="00293A11"/>
    <w:rsid w:val="00293C7A"/>
    <w:rsid w:val="002951AB"/>
    <w:rsid w:val="002951CD"/>
    <w:rsid w:val="00295665"/>
    <w:rsid w:val="00296618"/>
    <w:rsid w:val="0029670E"/>
    <w:rsid w:val="002972B1"/>
    <w:rsid w:val="002975C2"/>
    <w:rsid w:val="002977C5"/>
    <w:rsid w:val="002A026D"/>
    <w:rsid w:val="002A0811"/>
    <w:rsid w:val="002A0F6B"/>
    <w:rsid w:val="002A14AB"/>
    <w:rsid w:val="002A269B"/>
    <w:rsid w:val="002A288C"/>
    <w:rsid w:val="002A2ADE"/>
    <w:rsid w:val="002A2BC2"/>
    <w:rsid w:val="002A2F50"/>
    <w:rsid w:val="002A324B"/>
    <w:rsid w:val="002A4D0F"/>
    <w:rsid w:val="002A5492"/>
    <w:rsid w:val="002A5906"/>
    <w:rsid w:val="002A7804"/>
    <w:rsid w:val="002A7813"/>
    <w:rsid w:val="002A797D"/>
    <w:rsid w:val="002A7D18"/>
    <w:rsid w:val="002A7F9F"/>
    <w:rsid w:val="002B05A1"/>
    <w:rsid w:val="002B088A"/>
    <w:rsid w:val="002B09A4"/>
    <w:rsid w:val="002B0B16"/>
    <w:rsid w:val="002B112F"/>
    <w:rsid w:val="002B1804"/>
    <w:rsid w:val="002B1C1F"/>
    <w:rsid w:val="002B1ED1"/>
    <w:rsid w:val="002B21AA"/>
    <w:rsid w:val="002B25E0"/>
    <w:rsid w:val="002B432F"/>
    <w:rsid w:val="002B4A4A"/>
    <w:rsid w:val="002B4D06"/>
    <w:rsid w:val="002B522D"/>
    <w:rsid w:val="002B622F"/>
    <w:rsid w:val="002B6243"/>
    <w:rsid w:val="002B62B3"/>
    <w:rsid w:val="002B6630"/>
    <w:rsid w:val="002B669D"/>
    <w:rsid w:val="002B6754"/>
    <w:rsid w:val="002B6CCE"/>
    <w:rsid w:val="002B796E"/>
    <w:rsid w:val="002C118B"/>
    <w:rsid w:val="002C1E7C"/>
    <w:rsid w:val="002C2071"/>
    <w:rsid w:val="002C2510"/>
    <w:rsid w:val="002C2775"/>
    <w:rsid w:val="002C27C1"/>
    <w:rsid w:val="002C3603"/>
    <w:rsid w:val="002C36F8"/>
    <w:rsid w:val="002C5099"/>
    <w:rsid w:val="002C5889"/>
    <w:rsid w:val="002C6169"/>
    <w:rsid w:val="002C64F0"/>
    <w:rsid w:val="002C6DCB"/>
    <w:rsid w:val="002C71CE"/>
    <w:rsid w:val="002C7272"/>
    <w:rsid w:val="002C73E0"/>
    <w:rsid w:val="002D08F8"/>
    <w:rsid w:val="002D0EFB"/>
    <w:rsid w:val="002D0FB6"/>
    <w:rsid w:val="002D16FD"/>
    <w:rsid w:val="002D2341"/>
    <w:rsid w:val="002D2797"/>
    <w:rsid w:val="002D2C43"/>
    <w:rsid w:val="002D2C81"/>
    <w:rsid w:val="002D2DE0"/>
    <w:rsid w:val="002D35DC"/>
    <w:rsid w:val="002D3FC0"/>
    <w:rsid w:val="002D41A9"/>
    <w:rsid w:val="002D4DB9"/>
    <w:rsid w:val="002D506A"/>
    <w:rsid w:val="002D577C"/>
    <w:rsid w:val="002D647D"/>
    <w:rsid w:val="002D6E9D"/>
    <w:rsid w:val="002D7270"/>
    <w:rsid w:val="002D7703"/>
    <w:rsid w:val="002D7761"/>
    <w:rsid w:val="002E0672"/>
    <w:rsid w:val="002E0A10"/>
    <w:rsid w:val="002E0D52"/>
    <w:rsid w:val="002E1071"/>
    <w:rsid w:val="002E15B9"/>
    <w:rsid w:val="002E1921"/>
    <w:rsid w:val="002E1AE1"/>
    <w:rsid w:val="002E2158"/>
    <w:rsid w:val="002E21C6"/>
    <w:rsid w:val="002E25C8"/>
    <w:rsid w:val="002E27AA"/>
    <w:rsid w:val="002E2986"/>
    <w:rsid w:val="002E31E1"/>
    <w:rsid w:val="002E3377"/>
    <w:rsid w:val="002E37CA"/>
    <w:rsid w:val="002E43D0"/>
    <w:rsid w:val="002E4C7B"/>
    <w:rsid w:val="002E4D10"/>
    <w:rsid w:val="002E4F02"/>
    <w:rsid w:val="002E62C8"/>
    <w:rsid w:val="002E6846"/>
    <w:rsid w:val="002E6B51"/>
    <w:rsid w:val="002E7276"/>
    <w:rsid w:val="002E75C7"/>
    <w:rsid w:val="002E7722"/>
    <w:rsid w:val="002F00C2"/>
    <w:rsid w:val="002F023B"/>
    <w:rsid w:val="002F047A"/>
    <w:rsid w:val="002F07BA"/>
    <w:rsid w:val="002F09FA"/>
    <w:rsid w:val="002F0DA9"/>
    <w:rsid w:val="002F1014"/>
    <w:rsid w:val="002F139E"/>
    <w:rsid w:val="002F2214"/>
    <w:rsid w:val="002F26FF"/>
    <w:rsid w:val="002F276D"/>
    <w:rsid w:val="002F2814"/>
    <w:rsid w:val="002F2B03"/>
    <w:rsid w:val="002F2D7F"/>
    <w:rsid w:val="002F312C"/>
    <w:rsid w:val="002F3185"/>
    <w:rsid w:val="002F3FF9"/>
    <w:rsid w:val="002F4417"/>
    <w:rsid w:val="002F4AD5"/>
    <w:rsid w:val="002F5577"/>
    <w:rsid w:val="002F5893"/>
    <w:rsid w:val="002F5AFF"/>
    <w:rsid w:val="002F5D48"/>
    <w:rsid w:val="002F6221"/>
    <w:rsid w:val="002F643C"/>
    <w:rsid w:val="002F643E"/>
    <w:rsid w:val="002F71C0"/>
    <w:rsid w:val="002F74F1"/>
    <w:rsid w:val="002F7B74"/>
    <w:rsid w:val="00300024"/>
    <w:rsid w:val="003002D4"/>
    <w:rsid w:val="00300DFE"/>
    <w:rsid w:val="00301017"/>
    <w:rsid w:val="0030155F"/>
    <w:rsid w:val="003017B0"/>
    <w:rsid w:val="00302041"/>
    <w:rsid w:val="003036C1"/>
    <w:rsid w:val="00303DEA"/>
    <w:rsid w:val="00304B24"/>
    <w:rsid w:val="00304E1C"/>
    <w:rsid w:val="00304FF5"/>
    <w:rsid w:val="00305310"/>
    <w:rsid w:val="0030534F"/>
    <w:rsid w:val="0030587B"/>
    <w:rsid w:val="00305B0B"/>
    <w:rsid w:val="00306A8E"/>
    <w:rsid w:val="00306D98"/>
    <w:rsid w:val="0030772F"/>
    <w:rsid w:val="0030786C"/>
    <w:rsid w:val="0031031A"/>
    <w:rsid w:val="00310333"/>
    <w:rsid w:val="00310981"/>
    <w:rsid w:val="00310B62"/>
    <w:rsid w:val="0031114C"/>
    <w:rsid w:val="00311F29"/>
    <w:rsid w:val="00312022"/>
    <w:rsid w:val="0031229C"/>
    <w:rsid w:val="003124D9"/>
    <w:rsid w:val="00312594"/>
    <w:rsid w:val="003127F5"/>
    <w:rsid w:val="00312F6C"/>
    <w:rsid w:val="003130E0"/>
    <w:rsid w:val="0031368A"/>
    <w:rsid w:val="00313D1D"/>
    <w:rsid w:val="00314307"/>
    <w:rsid w:val="00314460"/>
    <w:rsid w:val="00314C5C"/>
    <w:rsid w:val="00314D5A"/>
    <w:rsid w:val="00314E6D"/>
    <w:rsid w:val="00315498"/>
    <w:rsid w:val="00315691"/>
    <w:rsid w:val="00315A11"/>
    <w:rsid w:val="00316474"/>
    <w:rsid w:val="00316CD1"/>
    <w:rsid w:val="00317413"/>
    <w:rsid w:val="00317CF2"/>
    <w:rsid w:val="0032002A"/>
    <w:rsid w:val="003219BE"/>
    <w:rsid w:val="00321CAF"/>
    <w:rsid w:val="00322107"/>
    <w:rsid w:val="00322355"/>
    <w:rsid w:val="00322846"/>
    <w:rsid w:val="00322C1E"/>
    <w:rsid w:val="00322F9C"/>
    <w:rsid w:val="00325C58"/>
    <w:rsid w:val="00326DA7"/>
    <w:rsid w:val="00326DC4"/>
    <w:rsid w:val="003270E4"/>
    <w:rsid w:val="003275EA"/>
    <w:rsid w:val="003277C8"/>
    <w:rsid w:val="003279E9"/>
    <w:rsid w:val="00330BFB"/>
    <w:rsid w:val="00330DAA"/>
    <w:rsid w:val="00330E7C"/>
    <w:rsid w:val="00330F5C"/>
    <w:rsid w:val="003316CB"/>
    <w:rsid w:val="003318E3"/>
    <w:rsid w:val="00331F70"/>
    <w:rsid w:val="003323A9"/>
    <w:rsid w:val="00332EBA"/>
    <w:rsid w:val="00332F60"/>
    <w:rsid w:val="00333674"/>
    <w:rsid w:val="003339AB"/>
    <w:rsid w:val="00334728"/>
    <w:rsid w:val="00334F84"/>
    <w:rsid w:val="00335316"/>
    <w:rsid w:val="003359E9"/>
    <w:rsid w:val="003366C9"/>
    <w:rsid w:val="003368D9"/>
    <w:rsid w:val="00336C66"/>
    <w:rsid w:val="003371B0"/>
    <w:rsid w:val="00340C71"/>
    <w:rsid w:val="00340D24"/>
    <w:rsid w:val="00340DF1"/>
    <w:rsid w:val="003417E2"/>
    <w:rsid w:val="0034212A"/>
    <w:rsid w:val="003421B1"/>
    <w:rsid w:val="00342C35"/>
    <w:rsid w:val="00343193"/>
    <w:rsid w:val="003436BB"/>
    <w:rsid w:val="00345418"/>
    <w:rsid w:val="0034601E"/>
    <w:rsid w:val="00347062"/>
    <w:rsid w:val="00347142"/>
    <w:rsid w:val="0034771C"/>
    <w:rsid w:val="00347989"/>
    <w:rsid w:val="0035011A"/>
    <w:rsid w:val="0035041F"/>
    <w:rsid w:val="00350DBE"/>
    <w:rsid w:val="00350F32"/>
    <w:rsid w:val="003517F9"/>
    <w:rsid w:val="00351A80"/>
    <w:rsid w:val="00351B22"/>
    <w:rsid w:val="00351BA9"/>
    <w:rsid w:val="0035220F"/>
    <w:rsid w:val="0035241E"/>
    <w:rsid w:val="00352B39"/>
    <w:rsid w:val="00353066"/>
    <w:rsid w:val="0035358D"/>
    <w:rsid w:val="00353748"/>
    <w:rsid w:val="00354F64"/>
    <w:rsid w:val="0035620E"/>
    <w:rsid w:val="00356269"/>
    <w:rsid w:val="0035639D"/>
    <w:rsid w:val="0035662D"/>
    <w:rsid w:val="0035695B"/>
    <w:rsid w:val="00356988"/>
    <w:rsid w:val="00356F49"/>
    <w:rsid w:val="00360345"/>
    <w:rsid w:val="003608C8"/>
    <w:rsid w:val="0036103B"/>
    <w:rsid w:val="0036183E"/>
    <w:rsid w:val="00361900"/>
    <w:rsid w:val="00361A05"/>
    <w:rsid w:val="00361F98"/>
    <w:rsid w:val="003624C4"/>
    <w:rsid w:val="0036266D"/>
    <w:rsid w:val="00363B00"/>
    <w:rsid w:val="00364D70"/>
    <w:rsid w:val="00364E30"/>
    <w:rsid w:val="0036502B"/>
    <w:rsid w:val="003654AC"/>
    <w:rsid w:val="00365D67"/>
    <w:rsid w:val="00365DF2"/>
    <w:rsid w:val="00365FBA"/>
    <w:rsid w:val="00366154"/>
    <w:rsid w:val="00366CF5"/>
    <w:rsid w:val="00366D96"/>
    <w:rsid w:val="00367DCE"/>
    <w:rsid w:val="00367E40"/>
    <w:rsid w:val="00367FB3"/>
    <w:rsid w:val="0037002E"/>
    <w:rsid w:val="003709AE"/>
    <w:rsid w:val="00370B26"/>
    <w:rsid w:val="003710CF"/>
    <w:rsid w:val="00373169"/>
    <w:rsid w:val="00373507"/>
    <w:rsid w:val="0037358A"/>
    <w:rsid w:val="00374566"/>
    <w:rsid w:val="003747FE"/>
    <w:rsid w:val="00374BBE"/>
    <w:rsid w:val="003750F6"/>
    <w:rsid w:val="00375934"/>
    <w:rsid w:val="00375DFF"/>
    <w:rsid w:val="003760FC"/>
    <w:rsid w:val="003765DD"/>
    <w:rsid w:val="003767D1"/>
    <w:rsid w:val="00376BAA"/>
    <w:rsid w:val="00376FC7"/>
    <w:rsid w:val="003778C7"/>
    <w:rsid w:val="00377B7B"/>
    <w:rsid w:val="00380699"/>
    <w:rsid w:val="00381A26"/>
    <w:rsid w:val="00382070"/>
    <w:rsid w:val="0038219B"/>
    <w:rsid w:val="00382BDD"/>
    <w:rsid w:val="00382EEE"/>
    <w:rsid w:val="0038365C"/>
    <w:rsid w:val="0038369B"/>
    <w:rsid w:val="00383B78"/>
    <w:rsid w:val="003850AA"/>
    <w:rsid w:val="0038589E"/>
    <w:rsid w:val="00385A9D"/>
    <w:rsid w:val="00386335"/>
    <w:rsid w:val="0038744C"/>
    <w:rsid w:val="003875F1"/>
    <w:rsid w:val="003902B1"/>
    <w:rsid w:val="0039179C"/>
    <w:rsid w:val="00391888"/>
    <w:rsid w:val="00393CF8"/>
    <w:rsid w:val="00393DE5"/>
    <w:rsid w:val="00394230"/>
    <w:rsid w:val="00394472"/>
    <w:rsid w:val="003945C8"/>
    <w:rsid w:val="00394C14"/>
    <w:rsid w:val="00394DFA"/>
    <w:rsid w:val="0039514E"/>
    <w:rsid w:val="0039536D"/>
    <w:rsid w:val="0039581A"/>
    <w:rsid w:val="00395EF5"/>
    <w:rsid w:val="003962F5"/>
    <w:rsid w:val="003963A5"/>
    <w:rsid w:val="00396896"/>
    <w:rsid w:val="00396FD0"/>
    <w:rsid w:val="00397BA6"/>
    <w:rsid w:val="00397F72"/>
    <w:rsid w:val="00397FED"/>
    <w:rsid w:val="003A12D9"/>
    <w:rsid w:val="003A1A7A"/>
    <w:rsid w:val="003A2392"/>
    <w:rsid w:val="003A2831"/>
    <w:rsid w:val="003A2E3E"/>
    <w:rsid w:val="003A3633"/>
    <w:rsid w:val="003A3A4D"/>
    <w:rsid w:val="003A3B04"/>
    <w:rsid w:val="003A3CB6"/>
    <w:rsid w:val="003A3ED1"/>
    <w:rsid w:val="003A44DB"/>
    <w:rsid w:val="003A45C9"/>
    <w:rsid w:val="003A4753"/>
    <w:rsid w:val="003A4AE2"/>
    <w:rsid w:val="003A5929"/>
    <w:rsid w:val="003A703E"/>
    <w:rsid w:val="003A70AB"/>
    <w:rsid w:val="003A7A90"/>
    <w:rsid w:val="003B10FC"/>
    <w:rsid w:val="003B1936"/>
    <w:rsid w:val="003B23B0"/>
    <w:rsid w:val="003B23F1"/>
    <w:rsid w:val="003B264C"/>
    <w:rsid w:val="003B289D"/>
    <w:rsid w:val="003B2B7C"/>
    <w:rsid w:val="003B3971"/>
    <w:rsid w:val="003B3FF7"/>
    <w:rsid w:val="003B40F3"/>
    <w:rsid w:val="003B422B"/>
    <w:rsid w:val="003B5567"/>
    <w:rsid w:val="003B55D1"/>
    <w:rsid w:val="003B5B61"/>
    <w:rsid w:val="003B5BC5"/>
    <w:rsid w:val="003B5D47"/>
    <w:rsid w:val="003B5E2B"/>
    <w:rsid w:val="003B60FC"/>
    <w:rsid w:val="003B7EE7"/>
    <w:rsid w:val="003B7F99"/>
    <w:rsid w:val="003C043B"/>
    <w:rsid w:val="003C0D3A"/>
    <w:rsid w:val="003C0EE7"/>
    <w:rsid w:val="003C1654"/>
    <w:rsid w:val="003C1C55"/>
    <w:rsid w:val="003C269D"/>
    <w:rsid w:val="003C2A66"/>
    <w:rsid w:val="003C3203"/>
    <w:rsid w:val="003C3DB8"/>
    <w:rsid w:val="003C3E81"/>
    <w:rsid w:val="003C5542"/>
    <w:rsid w:val="003C5CA0"/>
    <w:rsid w:val="003C642C"/>
    <w:rsid w:val="003C7D19"/>
    <w:rsid w:val="003C7D2F"/>
    <w:rsid w:val="003D0108"/>
    <w:rsid w:val="003D0B78"/>
    <w:rsid w:val="003D0E12"/>
    <w:rsid w:val="003D1828"/>
    <w:rsid w:val="003D1DE4"/>
    <w:rsid w:val="003D1E9A"/>
    <w:rsid w:val="003D2422"/>
    <w:rsid w:val="003D25FB"/>
    <w:rsid w:val="003D286E"/>
    <w:rsid w:val="003D2898"/>
    <w:rsid w:val="003D2F20"/>
    <w:rsid w:val="003D378C"/>
    <w:rsid w:val="003D39A1"/>
    <w:rsid w:val="003D3B1B"/>
    <w:rsid w:val="003D3FBF"/>
    <w:rsid w:val="003D43F4"/>
    <w:rsid w:val="003D448B"/>
    <w:rsid w:val="003D459B"/>
    <w:rsid w:val="003D4A30"/>
    <w:rsid w:val="003D4E3A"/>
    <w:rsid w:val="003D4F82"/>
    <w:rsid w:val="003D513D"/>
    <w:rsid w:val="003D547D"/>
    <w:rsid w:val="003D6304"/>
    <w:rsid w:val="003D6F11"/>
    <w:rsid w:val="003D7452"/>
    <w:rsid w:val="003D79BB"/>
    <w:rsid w:val="003D7C01"/>
    <w:rsid w:val="003D7C98"/>
    <w:rsid w:val="003D7D7F"/>
    <w:rsid w:val="003D7D9D"/>
    <w:rsid w:val="003E00BC"/>
    <w:rsid w:val="003E0321"/>
    <w:rsid w:val="003E053C"/>
    <w:rsid w:val="003E0543"/>
    <w:rsid w:val="003E0656"/>
    <w:rsid w:val="003E10D3"/>
    <w:rsid w:val="003E19B0"/>
    <w:rsid w:val="003E2CAC"/>
    <w:rsid w:val="003E3598"/>
    <w:rsid w:val="003E44AB"/>
    <w:rsid w:val="003E4CA0"/>
    <w:rsid w:val="003E594D"/>
    <w:rsid w:val="003E73F9"/>
    <w:rsid w:val="003E749E"/>
    <w:rsid w:val="003E7AB8"/>
    <w:rsid w:val="003F00CB"/>
    <w:rsid w:val="003F043F"/>
    <w:rsid w:val="003F077D"/>
    <w:rsid w:val="003F0AC8"/>
    <w:rsid w:val="003F0DAE"/>
    <w:rsid w:val="003F165B"/>
    <w:rsid w:val="003F17CE"/>
    <w:rsid w:val="003F26F6"/>
    <w:rsid w:val="003F28F8"/>
    <w:rsid w:val="003F3A0C"/>
    <w:rsid w:val="003F4033"/>
    <w:rsid w:val="003F4156"/>
    <w:rsid w:val="003F52E6"/>
    <w:rsid w:val="003F56BD"/>
    <w:rsid w:val="003F58F8"/>
    <w:rsid w:val="003F5ADF"/>
    <w:rsid w:val="003F67FD"/>
    <w:rsid w:val="003F734F"/>
    <w:rsid w:val="003F7467"/>
    <w:rsid w:val="003F7814"/>
    <w:rsid w:val="00400B29"/>
    <w:rsid w:val="00400D04"/>
    <w:rsid w:val="004021CE"/>
    <w:rsid w:val="004026AA"/>
    <w:rsid w:val="0040462C"/>
    <w:rsid w:val="0040504B"/>
    <w:rsid w:val="004053F2"/>
    <w:rsid w:val="00405796"/>
    <w:rsid w:val="0040591F"/>
    <w:rsid w:val="004059F4"/>
    <w:rsid w:val="0040644B"/>
    <w:rsid w:val="004067F4"/>
    <w:rsid w:val="004078B1"/>
    <w:rsid w:val="00407D1D"/>
    <w:rsid w:val="00407FE5"/>
    <w:rsid w:val="004101B0"/>
    <w:rsid w:val="0041031E"/>
    <w:rsid w:val="00410326"/>
    <w:rsid w:val="00410708"/>
    <w:rsid w:val="00410E9E"/>
    <w:rsid w:val="00410EC7"/>
    <w:rsid w:val="00410F8A"/>
    <w:rsid w:val="004110A9"/>
    <w:rsid w:val="00411898"/>
    <w:rsid w:val="00411B39"/>
    <w:rsid w:val="004127A7"/>
    <w:rsid w:val="00413A1E"/>
    <w:rsid w:val="00414476"/>
    <w:rsid w:val="00414C2E"/>
    <w:rsid w:val="00414E2B"/>
    <w:rsid w:val="00414EAE"/>
    <w:rsid w:val="004151CF"/>
    <w:rsid w:val="00416266"/>
    <w:rsid w:val="00416364"/>
    <w:rsid w:val="0041751D"/>
    <w:rsid w:val="00420089"/>
    <w:rsid w:val="0042047F"/>
    <w:rsid w:val="004206B7"/>
    <w:rsid w:val="0042095F"/>
    <w:rsid w:val="00420AA6"/>
    <w:rsid w:val="00420B9F"/>
    <w:rsid w:val="0042140B"/>
    <w:rsid w:val="00421737"/>
    <w:rsid w:val="0042192C"/>
    <w:rsid w:val="00422260"/>
    <w:rsid w:val="00422876"/>
    <w:rsid w:val="00422BFE"/>
    <w:rsid w:val="00422CAE"/>
    <w:rsid w:val="00422FF6"/>
    <w:rsid w:val="004231C4"/>
    <w:rsid w:val="0042413F"/>
    <w:rsid w:val="00424DC2"/>
    <w:rsid w:val="00426613"/>
    <w:rsid w:val="00426647"/>
    <w:rsid w:val="00426B1C"/>
    <w:rsid w:val="00427099"/>
    <w:rsid w:val="0042799C"/>
    <w:rsid w:val="00430C5F"/>
    <w:rsid w:val="004310CB"/>
    <w:rsid w:val="004319F8"/>
    <w:rsid w:val="00431E55"/>
    <w:rsid w:val="004321F6"/>
    <w:rsid w:val="00432A6C"/>
    <w:rsid w:val="00432BB2"/>
    <w:rsid w:val="00433044"/>
    <w:rsid w:val="004337BF"/>
    <w:rsid w:val="00433DFD"/>
    <w:rsid w:val="00434088"/>
    <w:rsid w:val="004340A6"/>
    <w:rsid w:val="00434448"/>
    <w:rsid w:val="00434AF0"/>
    <w:rsid w:val="00434DF2"/>
    <w:rsid w:val="0043543A"/>
    <w:rsid w:val="0043582A"/>
    <w:rsid w:val="004365E6"/>
    <w:rsid w:val="00436924"/>
    <w:rsid w:val="00436EFE"/>
    <w:rsid w:val="00437441"/>
    <w:rsid w:val="00437451"/>
    <w:rsid w:val="004375B9"/>
    <w:rsid w:val="00437AD7"/>
    <w:rsid w:val="004402DA"/>
    <w:rsid w:val="00440FE9"/>
    <w:rsid w:val="00441096"/>
    <w:rsid w:val="0044148C"/>
    <w:rsid w:val="004414F9"/>
    <w:rsid w:val="00441950"/>
    <w:rsid w:val="00441E05"/>
    <w:rsid w:val="00441F10"/>
    <w:rsid w:val="004428D0"/>
    <w:rsid w:val="00442D88"/>
    <w:rsid w:val="00443574"/>
    <w:rsid w:val="0044364D"/>
    <w:rsid w:val="00443995"/>
    <w:rsid w:val="00444185"/>
    <w:rsid w:val="004443A7"/>
    <w:rsid w:val="0044442C"/>
    <w:rsid w:val="00444883"/>
    <w:rsid w:val="004449D8"/>
    <w:rsid w:val="00444B1A"/>
    <w:rsid w:val="00444BF9"/>
    <w:rsid w:val="00444EB5"/>
    <w:rsid w:val="00445941"/>
    <w:rsid w:val="00445C19"/>
    <w:rsid w:val="00446402"/>
    <w:rsid w:val="004464EB"/>
    <w:rsid w:val="004469C0"/>
    <w:rsid w:val="00446D1C"/>
    <w:rsid w:val="00446EE5"/>
    <w:rsid w:val="00447D26"/>
    <w:rsid w:val="00447DFC"/>
    <w:rsid w:val="004507CF"/>
    <w:rsid w:val="004510A5"/>
    <w:rsid w:val="004519AA"/>
    <w:rsid w:val="004520E6"/>
    <w:rsid w:val="00452D2D"/>
    <w:rsid w:val="00453F3D"/>
    <w:rsid w:val="004546B2"/>
    <w:rsid w:val="004551BE"/>
    <w:rsid w:val="0045526B"/>
    <w:rsid w:val="0045596D"/>
    <w:rsid w:val="00455991"/>
    <w:rsid w:val="00455D45"/>
    <w:rsid w:val="0045623F"/>
    <w:rsid w:val="004564B3"/>
    <w:rsid w:val="00457189"/>
    <w:rsid w:val="0045750E"/>
    <w:rsid w:val="00457CA7"/>
    <w:rsid w:val="00457FA7"/>
    <w:rsid w:val="00460421"/>
    <w:rsid w:val="00460602"/>
    <w:rsid w:val="004613AD"/>
    <w:rsid w:val="00461452"/>
    <w:rsid w:val="00461B15"/>
    <w:rsid w:val="00461DD1"/>
    <w:rsid w:val="00461E68"/>
    <w:rsid w:val="0046296F"/>
    <w:rsid w:val="00462A5D"/>
    <w:rsid w:val="00462D50"/>
    <w:rsid w:val="0046429D"/>
    <w:rsid w:val="00464595"/>
    <w:rsid w:val="00464985"/>
    <w:rsid w:val="004658B5"/>
    <w:rsid w:val="0046681C"/>
    <w:rsid w:val="00466BD6"/>
    <w:rsid w:val="00467260"/>
    <w:rsid w:val="0047054E"/>
    <w:rsid w:val="00470BD6"/>
    <w:rsid w:val="00471CD3"/>
    <w:rsid w:val="00471D93"/>
    <w:rsid w:val="00471EA5"/>
    <w:rsid w:val="00472395"/>
    <w:rsid w:val="004723E8"/>
    <w:rsid w:val="00472A79"/>
    <w:rsid w:val="00472AB3"/>
    <w:rsid w:val="00473554"/>
    <w:rsid w:val="00473F19"/>
    <w:rsid w:val="00474062"/>
    <w:rsid w:val="0047409E"/>
    <w:rsid w:val="004746C4"/>
    <w:rsid w:val="00474B8D"/>
    <w:rsid w:val="0047575E"/>
    <w:rsid w:val="00475CD4"/>
    <w:rsid w:val="00475E00"/>
    <w:rsid w:val="00475E22"/>
    <w:rsid w:val="0047602C"/>
    <w:rsid w:val="00476887"/>
    <w:rsid w:val="00476BC2"/>
    <w:rsid w:val="00476F67"/>
    <w:rsid w:val="0048088E"/>
    <w:rsid w:val="00480B16"/>
    <w:rsid w:val="00480F2B"/>
    <w:rsid w:val="004812F9"/>
    <w:rsid w:val="0048155C"/>
    <w:rsid w:val="00482219"/>
    <w:rsid w:val="00482235"/>
    <w:rsid w:val="00482517"/>
    <w:rsid w:val="00482720"/>
    <w:rsid w:val="004835E7"/>
    <w:rsid w:val="00484F16"/>
    <w:rsid w:val="0048548C"/>
    <w:rsid w:val="00485FB7"/>
    <w:rsid w:val="004867E2"/>
    <w:rsid w:val="00486E89"/>
    <w:rsid w:val="0048717F"/>
    <w:rsid w:val="0048722B"/>
    <w:rsid w:val="0048795D"/>
    <w:rsid w:val="00487B0D"/>
    <w:rsid w:val="004900A7"/>
    <w:rsid w:val="0049082B"/>
    <w:rsid w:val="00490916"/>
    <w:rsid w:val="00490A79"/>
    <w:rsid w:val="00490B17"/>
    <w:rsid w:val="004913F7"/>
    <w:rsid w:val="004914A5"/>
    <w:rsid w:val="0049164F"/>
    <w:rsid w:val="00491B3A"/>
    <w:rsid w:val="00492B2F"/>
    <w:rsid w:val="00492CFD"/>
    <w:rsid w:val="00493035"/>
    <w:rsid w:val="00493093"/>
    <w:rsid w:val="00493610"/>
    <w:rsid w:val="00494207"/>
    <w:rsid w:val="004949AC"/>
    <w:rsid w:val="00494DAB"/>
    <w:rsid w:val="00494DD5"/>
    <w:rsid w:val="004962D2"/>
    <w:rsid w:val="0049654A"/>
    <w:rsid w:val="00496A4D"/>
    <w:rsid w:val="004974AB"/>
    <w:rsid w:val="00497A95"/>
    <w:rsid w:val="00497C30"/>
    <w:rsid w:val="004A016B"/>
    <w:rsid w:val="004A0B33"/>
    <w:rsid w:val="004A0DA1"/>
    <w:rsid w:val="004A0F6F"/>
    <w:rsid w:val="004A13D6"/>
    <w:rsid w:val="004A193D"/>
    <w:rsid w:val="004A1CBB"/>
    <w:rsid w:val="004A30EE"/>
    <w:rsid w:val="004A35FB"/>
    <w:rsid w:val="004A3B12"/>
    <w:rsid w:val="004A51E6"/>
    <w:rsid w:val="004A52E9"/>
    <w:rsid w:val="004A5A96"/>
    <w:rsid w:val="004A5EF4"/>
    <w:rsid w:val="004A6040"/>
    <w:rsid w:val="004A6597"/>
    <w:rsid w:val="004A6672"/>
    <w:rsid w:val="004A69D8"/>
    <w:rsid w:val="004A7020"/>
    <w:rsid w:val="004A702D"/>
    <w:rsid w:val="004A7848"/>
    <w:rsid w:val="004A7BAF"/>
    <w:rsid w:val="004B0D1B"/>
    <w:rsid w:val="004B1069"/>
    <w:rsid w:val="004B172A"/>
    <w:rsid w:val="004B1CB4"/>
    <w:rsid w:val="004B2446"/>
    <w:rsid w:val="004B2704"/>
    <w:rsid w:val="004B2949"/>
    <w:rsid w:val="004B29E2"/>
    <w:rsid w:val="004B2F18"/>
    <w:rsid w:val="004B3DDB"/>
    <w:rsid w:val="004B44FD"/>
    <w:rsid w:val="004B4658"/>
    <w:rsid w:val="004B48C0"/>
    <w:rsid w:val="004B5CFC"/>
    <w:rsid w:val="004B66C7"/>
    <w:rsid w:val="004B6CD0"/>
    <w:rsid w:val="004B6F79"/>
    <w:rsid w:val="004B7471"/>
    <w:rsid w:val="004B774D"/>
    <w:rsid w:val="004C1343"/>
    <w:rsid w:val="004C155A"/>
    <w:rsid w:val="004C2809"/>
    <w:rsid w:val="004C3C69"/>
    <w:rsid w:val="004C4533"/>
    <w:rsid w:val="004C48BB"/>
    <w:rsid w:val="004C4AED"/>
    <w:rsid w:val="004C4D58"/>
    <w:rsid w:val="004C6990"/>
    <w:rsid w:val="004C6BD1"/>
    <w:rsid w:val="004C6E7C"/>
    <w:rsid w:val="004C6E93"/>
    <w:rsid w:val="004C74BF"/>
    <w:rsid w:val="004D1235"/>
    <w:rsid w:val="004D1AE0"/>
    <w:rsid w:val="004D1E36"/>
    <w:rsid w:val="004D2794"/>
    <w:rsid w:val="004D2B8C"/>
    <w:rsid w:val="004D2C2D"/>
    <w:rsid w:val="004D37B2"/>
    <w:rsid w:val="004D48E3"/>
    <w:rsid w:val="004D5279"/>
    <w:rsid w:val="004D5333"/>
    <w:rsid w:val="004D54CC"/>
    <w:rsid w:val="004D68DE"/>
    <w:rsid w:val="004D69B5"/>
    <w:rsid w:val="004D6B85"/>
    <w:rsid w:val="004D7227"/>
    <w:rsid w:val="004E0DFD"/>
    <w:rsid w:val="004E0E7F"/>
    <w:rsid w:val="004E0EB8"/>
    <w:rsid w:val="004E1603"/>
    <w:rsid w:val="004E18E9"/>
    <w:rsid w:val="004E220E"/>
    <w:rsid w:val="004E2ADC"/>
    <w:rsid w:val="004E2F71"/>
    <w:rsid w:val="004E32C0"/>
    <w:rsid w:val="004E43B2"/>
    <w:rsid w:val="004E4559"/>
    <w:rsid w:val="004E45EA"/>
    <w:rsid w:val="004E4EE8"/>
    <w:rsid w:val="004E557B"/>
    <w:rsid w:val="004E5CD7"/>
    <w:rsid w:val="004E73C0"/>
    <w:rsid w:val="004E76D8"/>
    <w:rsid w:val="004F0D25"/>
    <w:rsid w:val="004F0EC7"/>
    <w:rsid w:val="004F134F"/>
    <w:rsid w:val="004F146B"/>
    <w:rsid w:val="004F1D02"/>
    <w:rsid w:val="004F2679"/>
    <w:rsid w:val="004F2C06"/>
    <w:rsid w:val="004F2F21"/>
    <w:rsid w:val="004F324C"/>
    <w:rsid w:val="004F3DE5"/>
    <w:rsid w:val="004F43CB"/>
    <w:rsid w:val="004F476D"/>
    <w:rsid w:val="004F4A7E"/>
    <w:rsid w:val="004F4ADF"/>
    <w:rsid w:val="004F4CBD"/>
    <w:rsid w:val="004F5976"/>
    <w:rsid w:val="004F5C2D"/>
    <w:rsid w:val="004F689D"/>
    <w:rsid w:val="004F6913"/>
    <w:rsid w:val="004F6BEB"/>
    <w:rsid w:val="004F75E2"/>
    <w:rsid w:val="004F7657"/>
    <w:rsid w:val="004F7865"/>
    <w:rsid w:val="00500AAD"/>
    <w:rsid w:val="00500FAB"/>
    <w:rsid w:val="0050105E"/>
    <w:rsid w:val="005011BC"/>
    <w:rsid w:val="00501304"/>
    <w:rsid w:val="0050135C"/>
    <w:rsid w:val="00501519"/>
    <w:rsid w:val="0050174E"/>
    <w:rsid w:val="00501854"/>
    <w:rsid w:val="00501FC1"/>
    <w:rsid w:val="0050219B"/>
    <w:rsid w:val="00502226"/>
    <w:rsid w:val="00502CA8"/>
    <w:rsid w:val="00503412"/>
    <w:rsid w:val="005037B9"/>
    <w:rsid w:val="005037F4"/>
    <w:rsid w:val="00503F0D"/>
    <w:rsid w:val="00503F17"/>
    <w:rsid w:val="00504D37"/>
    <w:rsid w:val="00506928"/>
    <w:rsid w:val="005076E8"/>
    <w:rsid w:val="005077EF"/>
    <w:rsid w:val="0050786B"/>
    <w:rsid w:val="005104C6"/>
    <w:rsid w:val="00510A1B"/>
    <w:rsid w:val="005113AC"/>
    <w:rsid w:val="005115CF"/>
    <w:rsid w:val="00511AD5"/>
    <w:rsid w:val="00511DC7"/>
    <w:rsid w:val="00511F8C"/>
    <w:rsid w:val="005139D5"/>
    <w:rsid w:val="005142C5"/>
    <w:rsid w:val="005147CD"/>
    <w:rsid w:val="005147D0"/>
    <w:rsid w:val="0051483D"/>
    <w:rsid w:val="00514FC5"/>
    <w:rsid w:val="0051501B"/>
    <w:rsid w:val="0051507C"/>
    <w:rsid w:val="005152B5"/>
    <w:rsid w:val="005158A8"/>
    <w:rsid w:val="00515B2F"/>
    <w:rsid w:val="0051663A"/>
    <w:rsid w:val="00517C1C"/>
    <w:rsid w:val="00520A0B"/>
    <w:rsid w:val="00520B2F"/>
    <w:rsid w:val="00520CC2"/>
    <w:rsid w:val="0052123C"/>
    <w:rsid w:val="00521319"/>
    <w:rsid w:val="005218CC"/>
    <w:rsid w:val="005219B2"/>
    <w:rsid w:val="005220EF"/>
    <w:rsid w:val="005221B2"/>
    <w:rsid w:val="00522BC8"/>
    <w:rsid w:val="005231A2"/>
    <w:rsid w:val="005231DF"/>
    <w:rsid w:val="00523C28"/>
    <w:rsid w:val="00523F44"/>
    <w:rsid w:val="0052416F"/>
    <w:rsid w:val="00525D11"/>
    <w:rsid w:val="0052600E"/>
    <w:rsid w:val="00526848"/>
    <w:rsid w:val="00526A03"/>
    <w:rsid w:val="00526BA2"/>
    <w:rsid w:val="005278D5"/>
    <w:rsid w:val="00527A1E"/>
    <w:rsid w:val="00530CFC"/>
    <w:rsid w:val="00531459"/>
    <w:rsid w:val="0053176B"/>
    <w:rsid w:val="00531BCF"/>
    <w:rsid w:val="0053264B"/>
    <w:rsid w:val="0053273B"/>
    <w:rsid w:val="00534531"/>
    <w:rsid w:val="00534756"/>
    <w:rsid w:val="00535DB9"/>
    <w:rsid w:val="005360B2"/>
    <w:rsid w:val="005361A1"/>
    <w:rsid w:val="00536F42"/>
    <w:rsid w:val="00536F43"/>
    <w:rsid w:val="00537182"/>
    <w:rsid w:val="005376DC"/>
    <w:rsid w:val="00537C2B"/>
    <w:rsid w:val="00541EDD"/>
    <w:rsid w:val="0054210A"/>
    <w:rsid w:val="00542743"/>
    <w:rsid w:val="00542C2D"/>
    <w:rsid w:val="005436C2"/>
    <w:rsid w:val="0054380F"/>
    <w:rsid w:val="00543AEE"/>
    <w:rsid w:val="00543B9C"/>
    <w:rsid w:val="00543BFD"/>
    <w:rsid w:val="00545594"/>
    <w:rsid w:val="00545971"/>
    <w:rsid w:val="00546039"/>
    <w:rsid w:val="0054673A"/>
    <w:rsid w:val="005478BD"/>
    <w:rsid w:val="005479E3"/>
    <w:rsid w:val="00547DA3"/>
    <w:rsid w:val="005509D0"/>
    <w:rsid w:val="00550BF4"/>
    <w:rsid w:val="00551985"/>
    <w:rsid w:val="00551A82"/>
    <w:rsid w:val="00551A96"/>
    <w:rsid w:val="00552BD3"/>
    <w:rsid w:val="00553083"/>
    <w:rsid w:val="005532A0"/>
    <w:rsid w:val="005533DA"/>
    <w:rsid w:val="0055350E"/>
    <w:rsid w:val="0055388F"/>
    <w:rsid w:val="00553ADD"/>
    <w:rsid w:val="00555109"/>
    <w:rsid w:val="005553F7"/>
    <w:rsid w:val="00555744"/>
    <w:rsid w:val="00555B0B"/>
    <w:rsid w:val="00556209"/>
    <w:rsid w:val="00556AB2"/>
    <w:rsid w:val="00556B35"/>
    <w:rsid w:val="0055741A"/>
    <w:rsid w:val="0056067B"/>
    <w:rsid w:val="00560A5E"/>
    <w:rsid w:val="00561122"/>
    <w:rsid w:val="005611B7"/>
    <w:rsid w:val="005618D4"/>
    <w:rsid w:val="00561EB0"/>
    <w:rsid w:val="00562538"/>
    <w:rsid w:val="005633D9"/>
    <w:rsid w:val="00563CEC"/>
    <w:rsid w:val="0056402B"/>
    <w:rsid w:val="005647E5"/>
    <w:rsid w:val="0056494B"/>
    <w:rsid w:val="0056557D"/>
    <w:rsid w:val="00565DF0"/>
    <w:rsid w:val="005661A5"/>
    <w:rsid w:val="0056656C"/>
    <w:rsid w:val="0056696F"/>
    <w:rsid w:val="005676E9"/>
    <w:rsid w:val="00570EEC"/>
    <w:rsid w:val="00571215"/>
    <w:rsid w:val="0057149F"/>
    <w:rsid w:val="00571559"/>
    <w:rsid w:val="00571763"/>
    <w:rsid w:val="00572269"/>
    <w:rsid w:val="0057244A"/>
    <w:rsid w:val="00572D06"/>
    <w:rsid w:val="00572F26"/>
    <w:rsid w:val="00573256"/>
    <w:rsid w:val="005733FB"/>
    <w:rsid w:val="005737B5"/>
    <w:rsid w:val="00573DC0"/>
    <w:rsid w:val="0057443A"/>
    <w:rsid w:val="005750C5"/>
    <w:rsid w:val="005752DE"/>
    <w:rsid w:val="00575922"/>
    <w:rsid w:val="00575998"/>
    <w:rsid w:val="00575D8D"/>
    <w:rsid w:val="00576972"/>
    <w:rsid w:val="00577DAB"/>
    <w:rsid w:val="00581EFB"/>
    <w:rsid w:val="00582B19"/>
    <w:rsid w:val="0058358E"/>
    <w:rsid w:val="00583699"/>
    <w:rsid w:val="005843A8"/>
    <w:rsid w:val="005843BE"/>
    <w:rsid w:val="00584473"/>
    <w:rsid w:val="00584B8F"/>
    <w:rsid w:val="00585091"/>
    <w:rsid w:val="00585502"/>
    <w:rsid w:val="00585CDD"/>
    <w:rsid w:val="005869D5"/>
    <w:rsid w:val="00586F12"/>
    <w:rsid w:val="00587058"/>
    <w:rsid w:val="005876D8"/>
    <w:rsid w:val="00587A2A"/>
    <w:rsid w:val="005906BA"/>
    <w:rsid w:val="00590A85"/>
    <w:rsid w:val="00590D9E"/>
    <w:rsid w:val="00591759"/>
    <w:rsid w:val="00591957"/>
    <w:rsid w:val="0059195B"/>
    <w:rsid w:val="00592271"/>
    <w:rsid w:val="00592CFF"/>
    <w:rsid w:val="0059324F"/>
    <w:rsid w:val="005944A2"/>
    <w:rsid w:val="00594CD9"/>
    <w:rsid w:val="00594E00"/>
    <w:rsid w:val="00595A95"/>
    <w:rsid w:val="00595FAA"/>
    <w:rsid w:val="0059609D"/>
    <w:rsid w:val="00597776"/>
    <w:rsid w:val="00597BF9"/>
    <w:rsid w:val="00597C7D"/>
    <w:rsid w:val="005A0998"/>
    <w:rsid w:val="005A0C8C"/>
    <w:rsid w:val="005A134B"/>
    <w:rsid w:val="005A18E3"/>
    <w:rsid w:val="005A1E75"/>
    <w:rsid w:val="005A1EB6"/>
    <w:rsid w:val="005A2A63"/>
    <w:rsid w:val="005A309A"/>
    <w:rsid w:val="005A373D"/>
    <w:rsid w:val="005A3D6D"/>
    <w:rsid w:val="005A5032"/>
    <w:rsid w:val="005A5642"/>
    <w:rsid w:val="005A576E"/>
    <w:rsid w:val="005A5C1D"/>
    <w:rsid w:val="005A6D09"/>
    <w:rsid w:val="005A74EB"/>
    <w:rsid w:val="005B0883"/>
    <w:rsid w:val="005B0B58"/>
    <w:rsid w:val="005B1294"/>
    <w:rsid w:val="005B163F"/>
    <w:rsid w:val="005B1AEE"/>
    <w:rsid w:val="005B2720"/>
    <w:rsid w:val="005B4263"/>
    <w:rsid w:val="005B4E37"/>
    <w:rsid w:val="005B4E53"/>
    <w:rsid w:val="005B518E"/>
    <w:rsid w:val="005B5553"/>
    <w:rsid w:val="005B5857"/>
    <w:rsid w:val="005B5C64"/>
    <w:rsid w:val="005B5E98"/>
    <w:rsid w:val="005B69F7"/>
    <w:rsid w:val="005B6D89"/>
    <w:rsid w:val="005C092E"/>
    <w:rsid w:val="005C1349"/>
    <w:rsid w:val="005C1519"/>
    <w:rsid w:val="005C1B83"/>
    <w:rsid w:val="005C25FF"/>
    <w:rsid w:val="005C2D55"/>
    <w:rsid w:val="005C32E4"/>
    <w:rsid w:val="005C346B"/>
    <w:rsid w:val="005C3631"/>
    <w:rsid w:val="005C3BB7"/>
    <w:rsid w:val="005C4685"/>
    <w:rsid w:val="005C570E"/>
    <w:rsid w:val="005C5E69"/>
    <w:rsid w:val="005C6D8C"/>
    <w:rsid w:val="005C74D2"/>
    <w:rsid w:val="005C7815"/>
    <w:rsid w:val="005C7970"/>
    <w:rsid w:val="005C7CEC"/>
    <w:rsid w:val="005C7E4A"/>
    <w:rsid w:val="005C7EBE"/>
    <w:rsid w:val="005D044D"/>
    <w:rsid w:val="005D08C6"/>
    <w:rsid w:val="005D0A19"/>
    <w:rsid w:val="005D0ABD"/>
    <w:rsid w:val="005D0C3C"/>
    <w:rsid w:val="005D0DF9"/>
    <w:rsid w:val="005D1623"/>
    <w:rsid w:val="005D18AD"/>
    <w:rsid w:val="005D1B41"/>
    <w:rsid w:val="005D1DC2"/>
    <w:rsid w:val="005D22EE"/>
    <w:rsid w:val="005D26B4"/>
    <w:rsid w:val="005D3166"/>
    <w:rsid w:val="005D331C"/>
    <w:rsid w:val="005D46DE"/>
    <w:rsid w:val="005D490C"/>
    <w:rsid w:val="005D58C6"/>
    <w:rsid w:val="005D5927"/>
    <w:rsid w:val="005D7255"/>
    <w:rsid w:val="005D785C"/>
    <w:rsid w:val="005E06C7"/>
    <w:rsid w:val="005E2F68"/>
    <w:rsid w:val="005E3123"/>
    <w:rsid w:val="005E358E"/>
    <w:rsid w:val="005E36C9"/>
    <w:rsid w:val="005E3814"/>
    <w:rsid w:val="005E3CE3"/>
    <w:rsid w:val="005E407E"/>
    <w:rsid w:val="005E4ADF"/>
    <w:rsid w:val="005E52E4"/>
    <w:rsid w:val="005E5619"/>
    <w:rsid w:val="005E6129"/>
    <w:rsid w:val="005E6CBC"/>
    <w:rsid w:val="005E72FF"/>
    <w:rsid w:val="005E73C0"/>
    <w:rsid w:val="005E7B05"/>
    <w:rsid w:val="005F14B2"/>
    <w:rsid w:val="005F1E07"/>
    <w:rsid w:val="005F1E33"/>
    <w:rsid w:val="005F2070"/>
    <w:rsid w:val="005F2706"/>
    <w:rsid w:val="005F2904"/>
    <w:rsid w:val="005F2D60"/>
    <w:rsid w:val="005F3138"/>
    <w:rsid w:val="005F3622"/>
    <w:rsid w:val="005F3A9B"/>
    <w:rsid w:val="005F4278"/>
    <w:rsid w:val="005F46E5"/>
    <w:rsid w:val="005F4D26"/>
    <w:rsid w:val="005F4E9B"/>
    <w:rsid w:val="005F5ECA"/>
    <w:rsid w:val="005F6A8F"/>
    <w:rsid w:val="005F6BB7"/>
    <w:rsid w:val="005F6C1E"/>
    <w:rsid w:val="005F6EEE"/>
    <w:rsid w:val="005F6F3E"/>
    <w:rsid w:val="005F7588"/>
    <w:rsid w:val="006002B6"/>
    <w:rsid w:val="006008B5"/>
    <w:rsid w:val="0060175E"/>
    <w:rsid w:val="0060191D"/>
    <w:rsid w:val="00601CED"/>
    <w:rsid w:val="0060264C"/>
    <w:rsid w:val="00602CA8"/>
    <w:rsid w:val="00602F2A"/>
    <w:rsid w:val="0060337D"/>
    <w:rsid w:val="0060363E"/>
    <w:rsid w:val="00603DB9"/>
    <w:rsid w:val="00603DFB"/>
    <w:rsid w:val="006047E5"/>
    <w:rsid w:val="00604D74"/>
    <w:rsid w:val="00606FBA"/>
    <w:rsid w:val="0060700A"/>
    <w:rsid w:val="006072D0"/>
    <w:rsid w:val="00607669"/>
    <w:rsid w:val="006076F4"/>
    <w:rsid w:val="00607AFD"/>
    <w:rsid w:val="0061076B"/>
    <w:rsid w:val="00611280"/>
    <w:rsid w:val="006127CC"/>
    <w:rsid w:val="00612F97"/>
    <w:rsid w:val="00613273"/>
    <w:rsid w:val="006133EE"/>
    <w:rsid w:val="0061345D"/>
    <w:rsid w:val="00614BE8"/>
    <w:rsid w:val="0061549B"/>
    <w:rsid w:val="00615C6B"/>
    <w:rsid w:val="0061646F"/>
    <w:rsid w:val="006166DB"/>
    <w:rsid w:val="00616802"/>
    <w:rsid w:val="00616B21"/>
    <w:rsid w:val="00617191"/>
    <w:rsid w:val="0061723D"/>
    <w:rsid w:val="00617E12"/>
    <w:rsid w:val="006204B3"/>
    <w:rsid w:val="00620C25"/>
    <w:rsid w:val="00621477"/>
    <w:rsid w:val="006217BD"/>
    <w:rsid w:val="00621ADA"/>
    <w:rsid w:val="00621C5D"/>
    <w:rsid w:val="00621DDB"/>
    <w:rsid w:val="00621F1B"/>
    <w:rsid w:val="006220AB"/>
    <w:rsid w:val="006224A3"/>
    <w:rsid w:val="006232B3"/>
    <w:rsid w:val="00623F7B"/>
    <w:rsid w:val="00625DDA"/>
    <w:rsid w:val="00626191"/>
    <w:rsid w:val="00626F70"/>
    <w:rsid w:val="00630373"/>
    <w:rsid w:val="00630A53"/>
    <w:rsid w:val="00630EC1"/>
    <w:rsid w:val="00631150"/>
    <w:rsid w:val="006313CF"/>
    <w:rsid w:val="0063158F"/>
    <w:rsid w:val="00631D6B"/>
    <w:rsid w:val="006320D8"/>
    <w:rsid w:val="00632183"/>
    <w:rsid w:val="006327CC"/>
    <w:rsid w:val="006330A1"/>
    <w:rsid w:val="00633AAC"/>
    <w:rsid w:val="0063479F"/>
    <w:rsid w:val="006348ED"/>
    <w:rsid w:val="00634926"/>
    <w:rsid w:val="006353F0"/>
    <w:rsid w:val="0063568D"/>
    <w:rsid w:val="006357B5"/>
    <w:rsid w:val="00635A61"/>
    <w:rsid w:val="00635ED5"/>
    <w:rsid w:val="006364A1"/>
    <w:rsid w:val="0063678E"/>
    <w:rsid w:val="006368B5"/>
    <w:rsid w:val="00636FBC"/>
    <w:rsid w:val="00637205"/>
    <w:rsid w:val="006372AE"/>
    <w:rsid w:val="00637494"/>
    <w:rsid w:val="0063757B"/>
    <w:rsid w:val="00637A86"/>
    <w:rsid w:val="00637BFD"/>
    <w:rsid w:val="00637C44"/>
    <w:rsid w:val="00637E20"/>
    <w:rsid w:val="00640A6B"/>
    <w:rsid w:val="00640C62"/>
    <w:rsid w:val="00640DF6"/>
    <w:rsid w:val="00641983"/>
    <w:rsid w:val="00641C4E"/>
    <w:rsid w:val="00641FB3"/>
    <w:rsid w:val="00642A53"/>
    <w:rsid w:val="00642D22"/>
    <w:rsid w:val="00642E4A"/>
    <w:rsid w:val="00643177"/>
    <w:rsid w:val="006433F0"/>
    <w:rsid w:val="0064359E"/>
    <w:rsid w:val="006438B4"/>
    <w:rsid w:val="0064434C"/>
    <w:rsid w:val="00644417"/>
    <w:rsid w:val="00645060"/>
    <w:rsid w:val="006450D2"/>
    <w:rsid w:val="0064523F"/>
    <w:rsid w:val="0064596C"/>
    <w:rsid w:val="00645B25"/>
    <w:rsid w:val="00646097"/>
    <w:rsid w:val="00646213"/>
    <w:rsid w:val="00646BCE"/>
    <w:rsid w:val="006471CC"/>
    <w:rsid w:val="0064785D"/>
    <w:rsid w:val="00647A29"/>
    <w:rsid w:val="006503B2"/>
    <w:rsid w:val="006505CC"/>
    <w:rsid w:val="00650768"/>
    <w:rsid w:val="0065079F"/>
    <w:rsid w:val="0065136E"/>
    <w:rsid w:val="00651EDA"/>
    <w:rsid w:val="00652A28"/>
    <w:rsid w:val="0065379F"/>
    <w:rsid w:val="006537B4"/>
    <w:rsid w:val="006547CD"/>
    <w:rsid w:val="006549AB"/>
    <w:rsid w:val="00655488"/>
    <w:rsid w:val="0065568B"/>
    <w:rsid w:val="00656188"/>
    <w:rsid w:val="006564F8"/>
    <w:rsid w:val="0065715A"/>
    <w:rsid w:val="006579D4"/>
    <w:rsid w:val="00660088"/>
    <w:rsid w:val="00660394"/>
    <w:rsid w:val="0066073B"/>
    <w:rsid w:val="00660A64"/>
    <w:rsid w:val="006610F1"/>
    <w:rsid w:val="00661BA9"/>
    <w:rsid w:val="00661C6B"/>
    <w:rsid w:val="00662803"/>
    <w:rsid w:val="00663335"/>
    <w:rsid w:val="006635E2"/>
    <w:rsid w:val="0066487C"/>
    <w:rsid w:val="00664A06"/>
    <w:rsid w:val="00664A55"/>
    <w:rsid w:val="00665F62"/>
    <w:rsid w:val="006661C0"/>
    <w:rsid w:val="0066747C"/>
    <w:rsid w:val="00667B23"/>
    <w:rsid w:val="00670668"/>
    <w:rsid w:val="00670C86"/>
    <w:rsid w:val="00670FC6"/>
    <w:rsid w:val="00670FE7"/>
    <w:rsid w:val="00671004"/>
    <w:rsid w:val="00671244"/>
    <w:rsid w:val="006714CE"/>
    <w:rsid w:val="00672646"/>
    <w:rsid w:val="0067338C"/>
    <w:rsid w:val="006738AE"/>
    <w:rsid w:val="00673A13"/>
    <w:rsid w:val="00673A3A"/>
    <w:rsid w:val="00674298"/>
    <w:rsid w:val="006745FF"/>
    <w:rsid w:val="00674E42"/>
    <w:rsid w:val="006753D4"/>
    <w:rsid w:val="0067646C"/>
    <w:rsid w:val="0067664B"/>
    <w:rsid w:val="0067666E"/>
    <w:rsid w:val="00680402"/>
    <w:rsid w:val="006813F8"/>
    <w:rsid w:val="00681606"/>
    <w:rsid w:val="0068178A"/>
    <w:rsid w:val="00681B8A"/>
    <w:rsid w:val="00681D26"/>
    <w:rsid w:val="006820C6"/>
    <w:rsid w:val="00682112"/>
    <w:rsid w:val="00682A0A"/>
    <w:rsid w:val="00682AE4"/>
    <w:rsid w:val="00682BA6"/>
    <w:rsid w:val="00683024"/>
    <w:rsid w:val="00683468"/>
    <w:rsid w:val="006836F8"/>
    <w:rsid w:val="00683B09"/>
    <w:rsid w:val="00683F33"/>
    <w:rsid w:val="00684FF6"/>
    <w:rsid w:val="0068533D"/>
    <w:rsid w:val="00686957"/>
    <w:rsid w:val="00686D96"/>
    <w:rsid w:val="00686E51"/>
    <w:rsid w:val="00687274"/>
    <w:rsid w:val="006872BA"/>
    <w:rsid w:val="0068771B"/>
    <w:rsid w:val="00687754"/>
    <w:rsid w:val="00690528"/>
    <w:rsid w:val="00690795"/>
    <w:rsid w:val="00690A51"/>
    <w:rsid w:val="00691648"/>
    <w:rsid w:val="006917D7"/>
    <w:rsid w:val="00691C84"/>
    <w:rsid w:val="0069208A"/>
    <w:rsid w:val="00692D76"/>
    <w:rsid w:val="00692F2C"/>
    <w:rsid w:val="00692F66"/>
    <w:rsid w:val="006931B1"/>
    <w:rsid w:val="006934EA"/>
    <w:rsid w:val="0069380D"/>
    <w:rsid w:val="00693CA3"/>
    <w:rsid w:val="0069434C"/>
    <w:rsid w:val="00694813"/>
    <w:rsid w:val="0069494F"/>
    <w:rsid w:val="00694F44"/>
    <w:rsid w:val="0069521F"/>
    <w:rsid w:val="0069570C"/>
    <w:rsid w:val="00695CC7"/>
    <w:rsid w:val="00696D8E"/>
    <w:rsid w:val="00696F51"/>
    <w:rsid w:val="006977A9"/>
    <w:rsid w:val="006979A5"/>
    <w:rsid w:val="006A042A"/>
    <w:rsid w:val="006A0F1D"/>
    <w:rsid w:val="006A1472"/>
    <w:rsid w:val="006A3D30"/>
    <w:rsid w:val="006A5D64"/>
    <w:rsid w:val="006A62AE"/>
    <w:rsid w:val="006A66FA"/>
    <w:rsid w:val="006A6B99"/>
    <w:rsid w:val="006A6DC4"/>
    <w:rsid w:val="006A72C6"/>
    <w:rsid w:val="006A7313"/>
    <w:rsid w:val="006A7E5F"/>
    <w:rsid w:val="006B01BA"/>
    <w:rsid w:val="006B04BC"/>
    <w:rsid w:val="006B0D1E"/>
    <w:rsid w:val="006B0F45"/>
    <w:rsid w:val="006B1B38"/>
    <w:rsid w:val="006B1D20"/>
    <w:rsid w:val="006B261B"/>
    <w:rsid w:val="006B2C90"/>
    <w:rsid w:val="006B35E6"/>
    <w:rsid w:val="006B465A"/>
    <w:rsid w:val="006B494D"/>
    <w:rsid w:val="006B4BBC"/>
    <w:rsid w:val="006B4EF0"/>
    <w:rsid w:val="006B51AA"/>
    <w:rsid w:val="006B5408"/>
    <w:rsid w:val="006B54FE"/>
    <w:rsid w:val="006B6DD0"/>
    <w:rsid w:val="006B6DE6"/>
    <w:rsid w:val="006B7356"/>
    <w:rsid w:val="006B77BD"/>
    <w:rsid w:val="006C0399"/>
    <w:rsid w:val="006C078D"/>
    <w:rsid w:val="006C0AE1"/>
    <w:rsid w:val="006C0D08"/>
    <w:rsid w:val="006C0DD3"/>
    <w:rsid w:val="006C13DB"/>
    <w:rsid w:val="006C14D3"/>
    <w:rsid w:val="006C2A4A"/>
    <w:rsid w:val="006C2A8E"/>
    <w:rsid w:val="006C2BA3"/>
    <w:rsid w:val="006C2F40"/>
    <w:rsid w:val="006C3255"/>
    <w:rsid w:val="006C3385"/>
    <w:rsid w:val="006C3F26"/>
    <w:rsid w:val="006C5167"/>
    <w:rsid w:val="006C59B2"/>
    <w:rsid w:val="006C6DA3"/>
    <w:rsid w:val="006C6E5E"/>
    <w:rsid w:val="006C71AF"/>
    <w:rsid w:val="006D0717"/>
    <w:rsid w:val="006D07B4"/>
    <w:rsid w:val="006D0B8B"/>
    <w:rsid w:val="006D0D17"/>
    <w:rsid w:val="006D0E1A"/>
    <w:rsid w:val="006D16F2"/>
    <w:rsid w:val="006D1837"/>
    <w:rsid w:val="006D248B"/>
    <w:rsid w:val="006D27F5"/>
    <w:rsid w:val="006D2C68"/>
    <w:rsid w:val="006D3C7D"/>
    <w:rsid w:val="006D4405"/>
    <w:rsid w:val="006D4659"/>
    <w:rsid w:val="006D4E91"/>
    <w:rsid w:val="006D4F16"/>
    <w:rsid w:val="006D542B"/>
    <w:rsid w:val="006D5567"/>
    <w:rsid w:val="006D5687"/>
    <w:rsid w:val="006D5D5F"/>
    <w:rsid w:val="006D68FB"/>
    <w:rsid w:val="006D690B"/>
    <w:rsid w:val="006D7483"/>
    <w:rsid w:val="006D7D2D"/>
    <w:rsid w:val="006E02AF"/>
    <w:rsid w:val="006E02B5"/>
    <w:rsid w:val="006E02CF"/>
    <w:rsid w:val="006E0BA3"/>
    <w:rsid w:val="006E0C5D"/>
    <w:rsid w:val="006E1006"/>
    <w:rsid w:val="006E10F3"/>
    <w:rsid w:val="006E153C"/>
    <w:rsid w:val="006E198B"/>
    <w:rsid w:val="006E2493"/>
    <w:rsid w:val="006E2868"/>
    <w:rsid w:val="006E2A52"/>
    <w:rsid w:val="006E30B3"/>
    <w:rsid w:val="006E4214"/>
    <w:rsid w:val="006E5E4B"/>
    <w:rsid w:val="006E629F"/>
    <w:rsid w:val="006E64C6"/>
    <w:rsid w:val="006E679B"/>
    <w:rsid w:val="006E683A"/>
    <w:rsid w:val="006E79EA"/>
    <w:rsid w:val="006E7C30"/>
    <w:rsid w:val="006F0846"/>
    <w:rsid w:val="006F1427"/>
    <w:rsid w:val="006F19FC"/>
    <w:rsid w:val="006F1A88"/>
    <w:rsid w:val="006F1E6D"/>
    <w:rsid w:val="006F1EC2"/>
    <w:rsid w:val="006F306C"/>
    <w:rsid w:val="006F35A2"/>
    <w:rsid w:val="006F3C78"/>
    <w:rsid w:val="006F63A5"/>
    <w:rsid w:val="006F6AE4"/>
    <w:rsid w:val="006F72D9"/>
    <w:rsid w:val="006F797F"/>
    <w:rsid w:val="0070048D"/>
    <w:rsid w:val="00700633"/>
    <w:rsid w:val="0070142B"/>
    <w:rsid w:val="0070146A"/>
    <w:rsid w:val="00701B95"/>
    <w:rsid w:val="00702259"/>
    <w:rsid w:val="007023EA"/>
    <w:rsid w:val="0070276E"/>
    <w:rsid w:val="00702F8F"/>
    <w:rsid w:val="00703488"/>
    <w:rsid w:val="0070427D"/>
    <w:rsid w:val="00705177"/>
    <w:rsid w:val="007055B5"/>
    <w:rsid w:val="00705CB6"/>
    <w:rsid w:val="00706854"/>
    <w:rsid w:val="0070687F"/>
    <w:rsid w:val="007068E7"/>
    <w:rsid w:val="00706A5C"/>
    <w:rsid w:val="00707332"/>
    <w:rsid w:val="007079FC"/>
    <w:rsid w:val="007105D1"/>
    <w:rsid w:val="007115F3"/>
    <w:rsid w:val="00711A36"/>
    <w:rsid w:val="007130E7"/>
    <w:rsid w:val="007138DF"/>
    <w:rsid w:val="00713AD3"/>
    <w:rsid w:val="00714766"/>
    <w:rsid w:val="00714C26"/>
    <w:rsid w:val="0071529C"/>
    <w:rsid w:val="00716806"/>
    <w:rsid w:val="00716878"/>
    <w:rsid w:val="00716D92"/>
    <w:rsid w:val="007170DA"/>
    <w:rsid w:val="007172AD"/>
    <w:rsid w:val="0071744C"/>
    <w:rsid w:val="007200CD"/>
    <w:rsid w:val="0072042B"/>
    <w:rsid w:val="00720801"/>
    <w:rsid w:val="00720823"/>
    <w:rsid w:val="00720A8B"/>
    <w:rsid w:val="00720EDB"/>
    <w:rsid w:val="007211EA"/>
    <w:rsid w:val="0072150E"/>
    <w:rsid w:val="007219C7"/>
    <w:rsid w:val="00722B1B"/>
    <w:rsid w:val="00722DB5"/>
    <w:rsid w:val="00722DC7"/>
    <w:rsid w:val="00723475"/>
    <w:rsid w:val="007236EE"/>
    <w:rsid w:val="00723C84"/>
    <w:rsid w:val="0072416F"/>
    <w:rsid w:val="0072430E"/>
    <w:rsid w:val="007246F0"/>
    <w:rsid w:val="0072754C"/>
    <w:rsid w:val="00727C94"/>
    <w:rsid w:val="007300D5"/>
    <w:rsid w:val="007309E2"/>
    <w:rsid w:val="00730E94"/>
    <w:rsid w:val="00731B0A"/>
    <w:rsid w:val="00731EAE"/>
    <w:rsid w:val="00732A7B"/>
    <w:rsid w:val="00732EEF"/>
    <w:rsid w:val="00733073"/>
    <w:rsid w:val="00733A86"/>
    <w:rsid w:val="00733CB0"/>
    <w:rsid w:val="007344D1"/>
    <w:rsid w:val="00735033"/>
    <w:rsid w:val="0073515C"/>
    <w:rsid w:val="00735328"/>
    <w:rsid w:val="00736229"/>
    <w:rsid w:val="00736253"/>
    <w:rsid w:val="0073685B"/>
    <w:rsid w:val="007411B2"/>
    <w:rsid w:val="007412DB"/>
    <w:rsid w:val="007417B5"/>
    <w:rsid w:val="00741A7D"/>
    <w:rsid w:val="00742065"/>
    <w:rsid w:val="00742A0E"/>
    <w:rsid w:val="007433B8"/>
    <w:rsid w:val="0074342C"/>
    <w:rsid w:val="007437DC"/>
    <w:rsid w:val="00743A5F"/>
    <w:rsid w:val="007445E3"/>
    <w:rsid w:val="007447A6"/>
    <w:rsid w:val="007449BF"/>
    <w:rsid w:val="0074622E"/>
    <w:rsid w:val="00746A0C"/>
    <w:rsid w:val="00746BC0"/>
    <w:rsid w:val="00746FC2"/>
    <w:rsid w:val="00747464"/>
    <w:rsid w:val="00747E32"/>
    <w:rsid w:val="00750260"/>
    <w:rsid w:val="007505BC"/>
    <w:rsid w:val="007510B4"/>
    <w:rsid w:val="0075177E"/>
    <w:rsid w:val="00751C1F"/>
    <w:rsid w:val="00752142"/>
    <w:rsid w:val="0075235F"/>
    <w:rsid w:val="007523F9"/>
    <w:rsid w:val="00752A3B"/>
    <w:rsid w:val="00752E1F"/>
    <w:rsid w:val="0075357E"/>
    <w:rsid w:val="00753B77"/>
    <w:rsid w:val="00755B7A"/>
    <w:rsid w:val="007560D2"/>
    <w:rsid w:val="0075633E"/>
    <w:rsid w:val="007573E8"/>
    <w:rsid w:val="0075741D"/>
    <w:rsid w:val="007578A2"/>
    <w:rsid w:val="00757F28"/>
    <w:rsid w:val="00760721"/>
    <w:rsid w:val="00760C4E"/>
    <w:rsid w:val="00760CCB"/>
    <w:rsid w:val="00760F9E"/>
    <w:rsid w:val="0076169F"/>
    <w:rsid w:val="00761BB4"/>
    <w:rsid w:val="0076265E"/>
    <w:rsid w:val="007627BE"/>
    <w:rsid w:val="007628A9"/>
    <w:rsid w:val="00763865"/>
    <w:rsid w:val="00763DEE"/>
    <w:rsid w:val="007643E1"/>
    <w:rsid w:val="00764623"/>
    <w:rsid w:val="00764F03"/>
    <w:rsid w:val="00764F62"/>
    <w:rsid w:val="0076524E"/>
    <w:rsid w:val="00765B1A"/>
    <w:rsid w:val="007662D6"/>
    <w:rsid w:val="0077021F"/>
    <w:rsid w:val="00770580"/>
    <w:rsid w:val="007709EA"/>
    <w:rsid w:val="00771615"/>
    <w:rsid w:val="00771FE6"/>
    <w:rsid w:val="007724A5"/>
    <w:rsid w:val="007728BF"/>
    <w:rsid w:val="00772EDC"/>
    <w:rsid w:val="00773361"/>
    <w:rsid w:val="00773383"/>
    <w:rsid w:val="007733C0"/>
    <w:rsid w:val="0077446F"/>
    <w:rsid w:val="0077583B"/>
    <w:rsid w:val="00777335"/>
    <w:rsid w:val="00780069"/>
    <w:rsid w:val="0078079E"/>
    <w:rsid w:val="00780899"/>
    <w:rsid w:val="00780CC7"/>
    <w:rsid w:val="00780D25"/>
    <w:rsid w:val="00781CB8"/>
    <w:rsid w:val="00781E96"/>
    <w:rsid w:val="00781FD7"/>
    <w:rsid w:val="00782982"/>
    <w:rsid w:val="0078352E"/>
    <w:rsid w:val="00784102"/>
    <w:rsid w:val="007843F2"/>
    <w:rsid w:val="00785A9F"/>
    <w:rsid w:val="007864A8"/>
    <w:rsid w:val="007867B0"/>
    <w:rsid w:val="007867FC"/>
    <w:rsid w:val="00787CD9"/>
    <w:rsid w:val="00787F89"/>
    <w:rsid w:val="00790618"/>
    <w:rsid w:val="00792217"/>
    <w:rsid w:val="007925DF"/>
    <w:rsid w:val="007929F4"/>
    <w:rsid w:val="007931D7"/>
    <w:rsid w:val="00793297"/>
    <w:rsid w:val="0079359A"/>
    <w:rsid w:val="00793FAA"/>
    <w:rsid w:val="007941FD"/>
    <w:rsid w:val="00794744"/>
    <w:rsid w:val="00795E12"/>
    <w:rsid w:val="0079666E"/>
    <w:rsid w:val="0079687C"/>
    <w:rsid w:val="00797BAC"/>
    <w:rsid w:val="007A08AA"/>
    <w:rsid w:val="007A0A12"/>
    <w:rsid w:val="007A0D18"/>
    <w:rsid w:val="007A132D"/>
    <w:rsid w:val="007A1345"/>
    <w:rsid w:val="007A14BD"/>
    <w:rsid w:val="007A1820"/>
    <w:rsid w:val="007A2045"/>
    <w:rsid w:val="007A25BD"/>
    <w:rsid w:val="007A2737"/>
    <w:rsid w:val="007A2BB6"/>
    <w:rsid w:val="007A2C2A"/>
    <w:rsid w:val="007A2D1E"/>
    <w:rsid w:val="007A2DDB"/>
    <w:rsid w:val="007A3AA6"/>
    <w:rsid w:val="007A43B2"/>
    <w:rsid w:val="007A4EF7"/>
    <w:rsid w:val="007A51B7"/>
    <w:rsid w:val="007A6414"/>
    <w:rsid w:val="007A6E0B"/>
    <w:rsid w:val="007A70BA"/>
    <w:rsid w:val="007A7A29"/>
    <w:rsid w:val="007A7F5B"/>
    <w:rsid w:val="007B006D"/>
    <w:rsid w:val="007B0243"/>
    <w:rsid w:val="007B0D68"/>
    <w:rsid w:val="007B20EC"/>
    <w:rsid w:val="007B23AC"/>
    <w:rsid w:val="007B251D"/>
    <w:rsid w:val="007B2661"/>
    <w:rsid w:val="007B2FB0"/>
    <w:rsid w:val="007B4236"/>
    <w:rsid w:val="007B4F58"/>
    <w:rsid w:val="007B5150"/>
    <w:rsid w:val="007B528D"/>
    <w:rsid w:val="007B55B5"/>
    <w:rsid w:val="007B57D1"/>
    <w:rsid w:val="007B63CA"/>
    <w:rsid w:val="007B6ACA"/>
    <w:rsid w:val="007B77D1"/>
    <w:rsid w:val="007B7CA6"/>
    <w:rsid w:val="007C0538"/>
    <w:rsid w:val="007C07C7"/>
    <w:rsid w:val="007C0EA7"/>
    <w:rsid w:val="007C165E"/>
    <w:rsid w:val="007C1B78"/>
    <w:rsid w:val="007C1CD9"/>
    <w:rsid w:val="007C2F8B"/>
    <w:rsid w:val="007C32EF"/>
    <w:rsid w:val="007C361D"/>
    <w:rsid w:val="007C4183"/>
    <w:rsid w:val="007C4B84"/>
    <w:rsid w:val="007C4C5C"/>
    <w:rsid w:val="007C562A"/>
    <w:rsid w:val="007C667C"/>
    <w:rsid w:val="007C70FF"/>
    <w:rsid w:val="007C7C25"/>
    <w:rsid w:val="007C7EDB"/>
    <w:rsid w:val="007D004F"/>
    <w:rsid w:val="007D0B38"/>
    <w:rsid w:val="007D0B88"/>
    <w:rsid w:val="007D2469"/>
    <w:rsid w:val="007D3117"/>
    <w:rsid w:val="007D36F3"/>
    <w:rsid w:val="007D53AA"/>
    <w:rsid w:val="007D5440"/>
    <w:rsid w:val="007D552E"/>
    <w:rsid w:val="007D66D9"/>
    <w:rsid w:val="007D69EB"/>
    <w:rsid w:val="007D6F94"/>
    <w:rsid w:val="007D722D"/>
    <w:rsid w:val="007D7921"/>
    <w:rsid w:val="007D7B86"/>
    <w:rsid w:val="007E032B"/>
    <w:rsid w:val="007E04BE"/>
    <w:rsid w:val="007E0651"/>
    <w:rsid w:val="007E0FF8"/>
    <w:rsid w:val="007E128F"/>
    <w:rsid w:val="007E3C1E"/>
    <w:rsid w:val="007E4DCF"/>
    <w:rsid w:val="007E5A05"/>
    <w:rsid w:val="007E5A47"/>
    <w:rsid w:val="007E6352"/>
    <w:rsid w:val="007E64E6"/>
    <w:rsid w:val="007E6655"/>
    <w:rsid w:val="007E6BF2"/>
    <w:rsid w:val="007E6C47"/>
    <w:rsid w:val="007E7423"/>
    <w:rsid w:val="007F0037"/>
    <w:rsid w:val="007F0EE4"/>
    <w:rsid w:val="007F0F26"/>
    <w:rsid w:val="007F1017"/>
    <w:rsid w:val="007F14B3"/>
    <w:rsid w:val="007F2668"/>
    <w:rsid w:val="007F3F06"/>
    <w:rsid w:val="007F4093"/>
    <w:rsid w:val="007F4A3F"/>
    <w:rsid w:val="007F4A61"/>
    <w:rsid w:val="007F5255"/>
    <w:rsid w:val="007F56CC"/>
    <w:rsid w:val="007F61C2"/>
    <w:rsid w:val="007F6B05"/>
    <w:rsid w:val="007F7A7C"/>
    <w:rsid w:val="007F7E73"/>
    <w:rsid w:val="00800131"/>
    <w:rsid w:val="00800258"/>
    <w:rsid w:val="00800337"/>
    <w:rsid w:val="008005BB"/>
    <w:rsid w:val="00800803"/>
    <w:rsid w:val="00800D22"/>
    <w:rsid w:val="008013D5"/>
    <w:rsid w:val="00801412"/>
    <w:rsid w:val="00801B42"/>
    <w:rsid w:val="00802614"/>
    <w:rsid w:val="00802931"/>
    <w:rsid w:val="00802985"/>
    <w:rsid w:val="00802FC8"/>
    <w:rsid w:val="00803A17"/>
    <w:rsid w:val="0080400A"/>
    <w:rsid w:val="0080423B"/>
    <w:rsid w:val="008043E4"/>
    <w:rsid w:val="0080476A"/>
    <w:rsid w:val="0080509E"/>
    <w:rsid w:val="00805142"/>
    <w:rsid w:val="00805F2C"/>
    <w:rsid w:val="00805FCE"/>
    <w:rsid w:val="00805FEB"/>
    <w:rsid w:val="00806301"/>
    <w:rsid w:val="008065C8"/>
    <w:rsid w:val="00806B78"/>
    <w:rsid w:val="00806C28"/>
    <w:rsid w:val="00806E3F"/>
    <w:rsid w:val="00807254"/>
    <w:rsid w:val="008078C3"/>
    <w:rsid w:val="00807A8B"/>
    <w:rsid w:val="00810292"/>
    <w:rsid w:val="00810AEA"/>
    <w:rsid w:val="00810FC6"/>
    <w:rsid w:val="00810FEA"/>
    <w:rsid w:val="00811383"/>
    <w:rsid w:val="00812149"/>
    <w:rsid w:val="008127CC"/>
    <w:rsid w:val="00812CAC"/>
    <w:rsid w:val="00813044"/>
    <w:rsid w:val="00813EB9"/>
    <w:rsid w:val="008141A7"/>
    <w:rsid w:val="00814297"/>
    <w:rsid w:val="00814562"/>
    <w:rsid w:val="008148D6"/>
    <w:rsid w:val="00814AE5"/>
    <w:rsid w:val="00816361"/>
    <w:rsid w:val="008166EF"/>
    <w:rsid w:val="00816FEF"/>
    <w:rsid w:val="00817649"/>
    <w:rsid w:val="00817805"/>
    <w:rsid w:val="00817EE6"/>
    <w:rsid w:val="00820A8C"/>
    <w:rsid w:val="00820BAC"/>
    <w:rsid w:val="008215FB"/>
    <w:rsid w:val="008220F8"/>
    <w:rsid w:val="00823007"/>
    <w:rsid w:val="00823174"/>
    <w:rsid w:val="008231A1"/>
    <w:rsid w:val="0082362D"/>
    <w:rsid w:val="00823C15"/>
    <w:rsid w:val="008240C5"/>
    <w:rsid w:val="00824A8D"/>
    <w:rsid w:val="00825751"/>
    <w:rsid w:val="00825B70"/>
    <w:rsid w:val="00826225"/>
    <w:rsid w:val="008264EB"/>
    <w:rsid w:val="00826963"/>
    <w:rsid w:val="0082765E"/>
    <w:rsid w:val="008303F3"/>
    <w:rsid w:val="008305D4"/>
    <w:rsid w:val="0083061F"/>
    <w:rsid w:val="00830A2A"/>
    <w:rsid w:val="00830B0F"/>
    <w:rsid w:val="008319BD"/>
    <w:rsid w:val="00831B33"/>
    <w:rsid w:val="008329F4"/>
    <w:rsid w:val="00832C71"/>
    <w:rsid w:val="00832EEE"/>
    <w:rsid w:val="008335B6"/>
    <w:rsid w:val="0083362E"/>
    <w:rsid w:val="00833690"/>
    <w:rsid w:val="00833B05"/>
    <w:rsid w:val="0083418C"/>
    <w:rsid w:val="00834A7B"/>
    <w:rsid w:val="00834EF1"/>
    <w:rsid w:val="008352F7"/>
    <w:rsid w:val="00835D0B"/>
    <w:rsid w:val="008362B4"/>
    <w:rsid w:val="00836F68"/>
    <w:rsid w:val="0083791D"/>
    <w:rsid w:val="008402E2"/>
    <w:rsid w:val="00840945"/>
    <w:rsid w:val="00840B15"/>
    <w:rsid w:val="00840CA2"/>
    <w:rsid w:val="00841258"/>
    <w:rsid w:val="0084374F"/>
    <w:rsid w:val="00843CDA"/>
    <w:rsid w:val="00843F05"/>
    <w:rsid w:val="008441FD"/>
    <w:rsid w:val="00844887"/>
    <w:rsid w:val="00844A22"/>
    <w:rsid w:val="00844F8B"/>
    <w:rsid w:val="008457DD"/>
    <w:rsid w:val="008459E3"/>
    <w:rsid w:val="00846757"/>
    <w:rsid w:val="00846B5B"/>
    <w:rsid w:val="00847078"/>
    <w:rsid w:val="008470B1"/>
    <w:rsid w:val="00847703"/>
    <w:rsid w:val="00847DF5"/>
    <w:rsid w:val="008502D3"/>
    <w:rsid w:val="0085136B"/>
    <w:rsid w:val="0085167F"/>
    <w:rsid w:val="00851A51"/>
    <w:rsid w:val="00851EC4"/>
    <w:rsid w:val="008521CD"/>
    <w:rsid w:val="0085236D"/>
    <w:rsid w:val="0085309D"/>
    <w:rsid w:val="00853B93"/>
    <w:rsid w:val="008558A2"/>
    <w:rsid w:val="0085612B"/>
    <w:rsid w:val="00856496"/>
    <w:rsid w:val="0085672B"/>
    <w:rsid w:val="00856897"/>
    <w:rsid w:val="00856E9A"/>
    <w:rsid w:val="00856F43"/>
    <w:rsid w:val="00857F11"/>
    <w:rsid w:val="0086075D"/>
    <w:rsid w:val="008607C4"/>
    <w:rsid w:val="0086098F"/>
    <w:rsid w:val="00860F35"/>
    <w:rsid w:val="0086120E"/>
    <w:rsid w:val="008621F4"/>
    <w:rsid w:val="00862502"/>
    <w:rsid w:val="00862CC1"/>
    <w:rsid w:val="00863CB3"/>
    <w:rsid w:val="00863FB4"/>
    <w:rsid w:val="00864B89"/>
    <w:rsid w:val="008650FA"/>
    <w:rsid w:val="00865B13"/>
    <w:rsid w:val="00866083"/>
    <w:rsid w:val="008660D4"/>
    <w:rsid w:val="00866B0B"/>
    <w:rsid w:val="0086703B"/>
    <w:rsid w:val="008709B2"/>
    <w:rsid w:val="00871FA9"/>
    <w:rsid w:val="008728E9"/>
    <w:rsid w:val="00873690"/>
    <w:rsid w:val="00873C31"/>
    <w:rsid w:val="0087562B"/>
    <w:rsid w:val="00875E40"/>
    <w:rsid w:val="008769B1"/>
    <w:rsid w:val="00876CC6"/>
    <w:rsid w:val="00881586"/>
    <w:rsid w:val="00881EE0"/>
    <w:rsid w:val="0088217E"/>
    <w:rsid w:val="0088261F"/>
    <w:rsid w:val="00882874"/>
    <w:rsid w:val="00882E3C"/>
    <w:rsid w:val="00883787"/>
    <w:rsid w:val="00884CC8"/>
    <w:rsid w:val="0088504C"/>
    <w:rsid w:val="008855E4"/>
    <w:rsid w:val="008857D1"/>
    <w:rsid w:val="00886B1C"/>
    <w:rsid w:val="00886CD2"/>
    <w:rsid w:val="008902E7"/>
    <w:rsid w:val="00891004"/>
    <w:rsid w:val="008911D3"/>
    <w:rsid w:val="00891876"/>
    <w:rsid w:val="008919F2"/>
    <w:rsid w:val="00891E6F"/>
    <w:rsid w:val="0089275D"/>
    <w:rsid w:val="00892928"/>
    <w:rsid w:val="00892A36"/>
    <w:rsid w:val="00893239"/>
    <w:rsid w:val="00894489"/>
    <w:rsid w:val="00895F1D"/>
    <w:rsid w:val="008963A5"/>
    <w:rsid w:val="00896A97"/>
    <w:rsid w:val="00896D5D"/>
    <w:rsid w:val="00896FC1"/>
    <w:rsid w:val="00897D78"/>
    <w:rsid w:val="008A13B7"/>
    <w:rsid w:val="008A2703"/>
    <w:rsid w:val="008A2E56"/>
    <w:rsid w:val="008A2F88"/>
    <w:rsid w:val="008A3363"/>
    <w:rsid w:val="008A3371"/>
    <w:rsid w:val="008A3531"/>
    <w:rsid w:val="008A3684"/>
    <w:rsid w:val="008A3906"/>
    <w:rsid w:val="008A3C3E"/>
    <w:rsid w:val="008A4A17"/>
    <w:rsid w:val="008A4C8E"/>
    <w:rsid w:val="008A4FCF"/>
    <w:rsid w:val="008A5059"/>
    <w:rsid w:val="008A5465"/>
    <w:rsid w:val="008A5511"/>
    <w:rsid w:val="008A55FB"/>
    <w:rsid w:val="008A79DE"/>
    <w:rsid w:val="008B0CA0"/>
    <w:rsid w:val="008B1094"/>
    <w:rsid w:val="008B1757"/>
    <w:rsid w:val="008B1874"/>
    <w:rsid w:val="008B2286"/>
    <w:rsid w:val="008B35A6"/>
    <w:rsid w:val="008B4080"/>
    <w:rsid w:val="008B4467"/>
    <w:rsid w:val="008B48E1"/>
    <w:rsid w:val="008B6874"/>
    <w:rsid w:val="008B6B4B"/>
    <w:rsid w:val="008B7085"/>
    <w:rsid w:val="008B7992"/>
    <w:rsid w:val="008B7C7E"/>
    <w:rsid w:val="008B7D7E"/>
    <w:rsid w:val="008C0C4C"/>
    <w:rsid w:val="008C0C77"/>
    <w:rsid w:val="008C0C9E"/>
    <w:rsid w:val="008C0DB5"/>
    <w:rsid w:val="008C30AD"/>
    <w:rsid w:val="008C33DC"/>
    <w:rsid w:val="008C5118"/>
    <w:rsid w:val="008C5161"/>
    <w:rsid w:val="008C5610"/>
    <w:rsid w:val="008C5739"/>
    <w:rsid w:val="008C5C63"/>
    <w:rsid w:val="008C68F1"/>
    <w:rsid w:val="008C6B24"/>
    <w:rsid w:val="008C7546"/>
    <w:rsid w:val="008C7683"/>
    <w:rsid w:val="008C7A02"/>
    <w:rsid w:val="008C7ECB"/>
    <w:rsid w:val="008D1DDE"/>
    <w:rsid w:val="008D2F39"/>
    <w:rsid w:val="008D34E5"/>
    <w:rsid w:val="008D3B86"/>
    <w:rsid w:val="008D4755"/>
    <w:rsid w:val="008D4C3D"/>
    <w:rsid w:val="008D589E"/>
    <w:rsid w:val="008D5BB8"/>
    <w:rsid w:val="008D5FB0"/>
    <w:rsid w:val="008D743C"/>
    <w:rsid w:val="008D761C"/>
    <w:rsid w:val="008D7771"/>
    <w:rsid w:val="008D7C54"/>
    <w:rsid w:val="008E043B"/>
    <w:rsid w:val="008E0D3C"/>
    <w:rsid w:val="008E15DB"/>
    <w:rsid w:val="008E1B9E"/>
    <w:rsid w:val="008E1E8F"/>
    <w:rsid w:val="008E2CA5"/>
    <w:rsid w:val="008E31F4"/>
    <w:rsid w:val="008E3570"/>
    <w:rsid w:val="008E36C7"/>
    <w:rsid w:val="008E3893"/>
    <w:rsid w:val="008E490A"/>
    <w:rsid w:val="008E55AB"/>
    <w:rsid w:val="008E55ED"/>
    <w:rsid w:val="008E6285"/>
    <w:rsid w:val="008E62C9"/>
    <w:rsid w:val="008E735D"/>
    <w:rsid w:val="008E758C"/>
    <w:rsid w:val="008E7FD5"/>
    <w:rsid w:val="008F0625"/>
    <w:rsid w:val="008F08E0"/>
    <w:rsid w:val="008F0C0D"/>
    <w:rsid w:val="008F120A"/>
    <w:rsid w:val="008F1BC8"/>
    <w:rsid w:val="008F1D9F"/>
    <w:rsid w:val="008F27E0"/>
    <w:rsid w:val="008F3265"/>
    <w:rsid w:val="008F3384"/>
    <w:rsid w:val="008F3426"/>
    <w:rsid w:val="008F3D12"/>
    <w:rsid w:val="008F3D2E"/>
    <w:rsid w:val="008F48EB"/>
    <w:rsid w:val="008F4F0B"/>
    <w:rsid w:val="008F53F6"/>
    <w:rsid w:val="008F54FE"/>
    <w:rsid w:val="008F5510"/>
    <w:rsid w:val="008F5699"/>
    <w:rsid w:val="008F5E33"/>
    <w:rsid w:val="008F5E93"/>
    <w:rsid w:val="008F5ED8"/>
    <w:rsid w:val="008F6325"/>
    <w:rsid w:val="008F700C"/>
    <w:rsid w:val="008F744F"/>
    <w:rsid w:val="008F7652"/>
    <w:rsid w:val="008F78FF"/>
    <w:rsid w:val="008F7B37"/>
    <w:rsid w:val="008F7B67"/>
    <w:rsid w:val="009006F7"/>
    <w:rsid w:val="009007AF"/>
    <w:rsid w:val="00900871"/>
    <w:rsid w:val="00900E12"/>
    <w:rsid w:val="0090186D"/>
    <w:rsid w:val="0090216F"/>
    <w:rsid w:val="00902C1E"/>
    <w:rsid w:val="009042C7"/>
    <w:rsid w:val="009046C4"/>
    <w:rsid w:val="00905278"/>
    <w:rsid w:val="00905404"/>
    <w:rsid w:val="00905A76"/>
    <w:rsid w:val="00905CFC"/>
    <w:rsid w:val="009062A5"/>
    <w:rsid w:val="00906C0C"/>
    <w:rsid w:val="00907084"/>
    <w:rsid w:val="00907396"/>
    <w:rsid w:val="00907BD9"/>
    <w:rsid w:val="00910B69"/>
    <w:rsid w:val="00910C9F"/>
    <w:rsid w:val="00910FA7"/>
    <w:rsid w:val="00911272"/>
    <w:rsid w:val="00911C2F"/>
    <w:rsid w:val="00912D62"/>
    <w:rsid w:val="009132B5"/>
    <w:rsid w:val="009135D6"/>
    <w:rsid w:val="00914780"/>
    <w:rsid w:val="00914C77"/>
    <w:rsid w:val="00915722"/>
    <w:rsid w:val="00915A0B"/>
    <w:rsid w:val="009160A7"/>
    <w:rsid w:val="00916730"/>
    <w:rsid w:val="00916C39"/>
    <w:rsid w:val="00917386"/>
    <w:rsid w:val="00917957"/>
    <w:rsid w:val="00917C57"/>
    <w:rsid w:val="009204DB"/>
    <w:rsid w:val="00921716"/>
    <w:rsid w:val="00921ACB"/>
    <w:rsid w:val="00921E36"/>
    <w:rsid w:val="00921E42"/>
    <w:rsid w:val="00921F6A"/>
    <w:rsid w:val="0092217D"/>
    <w:rsid w:val="009229F2"/>
    <w:rsid w:val="00923468"/>
    <w:rsid w:val="00923695"/>
    <w:rsid w:val="0092369B"/>
    <w:rsid w:val="00923F80"/>
    <w:rsid w:val="009242B2"/>
    <w:rsid w:val="00924FDA"/>
    <w:rsid w:val="00925316"/>
    <w:rsid w:val="00926B84"/>
    <w:rsid w:val="0092720D"/>
    <w:rsid w:val="00927277"/>
    <w:rsid w:val="00927337"/>
    <w:rsid w:val="00930654"/>
    <w:rsid w:val="009307B1"/>
    <w:rsid w:val="009326D2"/>
    <w:rsid w:val="00932BBD"/>
    <w:rsid w:val="00933433"/>
    <w:rsid w:val="00933C49"/>
    <w:rsid w:val="00934486"/>
    <w:rsid w:val="00934988"/>
    <w:rsid w:val="00935E2D"/>
    <w:rsid w:val="00937089"/>
    <w:rsid w:val="0093789F"/>
    <w:rsid w:val="009378A6"/>
    <w:rsid w:val="00937B80"/>
    <w:rsid w:val="00940C96"/>
    <w:rsid w:val="00941905"/>
    <w:rsid w:val="009419B0"/>
    <w:rsid w:val="00941F62"/>
    <w:rsid w:val="00944D08"/>
    <w:rsid w:val="00944F8A"/>
    <w:rsid w:val="00945450"/>
    <w:rsid w:val="0094588F"/>
    <w:rsid w:val="00946180"/>
    <w:rsid w:val="00946288"/>
    <w:rsid w:val="009462F8"/>
    <w:rsid w:val="00946635"/>
    <w:rsid w:val="00946F9A"/>
    <w:rsid w:val="00947414"/>
    <w:rsid w:val="00950220"/>
    <w:rsid w:val="009504EB"/>
    <w:rsid w:val="009510A2"/>
    <w:rsid w:val="0095205B"/>
    <w:rsid w:val="0095227C"/>
    <w:rsid w:val="00953257"/>
    <w:rsid w:val="00953D70"/>
    <w:rsid w:val="00953F84"/>
    <w:rsid w:val="0095474C"/>
    <w:rsid w:val="009559D9"/>
    <w:rsid w:val="0095608F"/>
    <w:rsid w:val="009560AB"/>
    <w:rsid w:val="00956B24"/>
    <w:rsid w:val="00956BD4"/>
    <w:rsid w:val="00956EAA"/>
    <w:rsid w:val="00960241"/>
    <w:rsid w:val="0096093E"/>
    <w:rsid w:val="0096112F"/>
    <w:rsid w:val="00962428"/>
    <w:rsid w:val="00962CB9"/>
    <w:rsid w:val="00964312"/>
    <w:rsid w:val="0096455E"/>
    <w:rsid w:val="009645AF"/>
    <w:rsid w:val="00965178"/>
    <w:rsid w:val="00965250"/>
    <w:rsid w:val="009655A4"/>
    <w:rsid w:val="00965B8A"/>
    <w:rsid w:val="00966DDB"/>
    <w:rsid w:val="0096708C"/>
    <w:rsid w:val="0097071F"/>
    <w:rsid w:val="00970C76"/>
    <w:rsid w:val="00970D30"/>
    <w:rsid w:val="009717AC"/>
    <w:rsid w:val="00971FA2"/>
    <w:rsid w:val="0097281A"/>
    <w:rsid w:val="00973286"/>
    <w:rsid w:val="009740B8"/>
    <w:rsid w:val="009747C3"/>
    <w:rsid w:val="00974AB6"/>
    <w:rsid w:val="00974F6A"/>
    <w:rsid w:val="009751C1"/>
    <w:rsid w:val="0097542E"/>
    <w:rsid w:val="00975CDA"/>
    <w:rsid w:val="00976615"/>
    <w:rsid w:val="00977377"/>
    <w:rsid w:val="00977C8F"/>
    <w:rsid w:val="009802EC"/>
    <w:rsid w:val="00980544"/>
    <w:rsid w:val="009811F1"/>
    <w:rsid w:val="0098160A"/>
    <w:rsid w:val="00982554"/>
    <w:rsid w:val="00982618"/>
    <w:rsid w:val="00983E57"/>
    <w:rsid w:val="009841DA"/>
    <w:rsid w:val="009850F5"/>
    <w:rsid w:val="00985DE2"/>
    <w:rsid w:val="0098675D"/>
    <w:rsid w:val="0098730A"/>
    <w:rsid w:val="00987D09"/>
    <w:rsid w:val="0099056E"/>
    <w:rsid w:val="00990F0F"/>
    <w:rsid w:val="00991847"/>
    <w:rsid w:val="00991A42"/>
    <w:rsid w:val="009926E0"/>
    <w:rsid w:val="00993469"/>
    <w:rsid w:val="009938F6"/>
    <w:rsid w:val="009942F4"/>
    <w:rsid w:val="0099451E"/>
    <w:rsid w:val="00994C9E"/>
    <w:rsid w:val="00995A40"/>
    <w:rsid w:val="009967E4"/>
    <w:rsid w:val="00996B1A"/>
    <w:rsid w:val="00997876"/>
    <w:rsid w:val="00997BCF"/>
    <w:rsid w:val="00997EDE"/>
    <w:rsid w:val="009A016F"/>
    <w:rsid w:val="009A1270"/>
    <w:rsid w:val="009A1B82"/>
    <w:rsid w:val="009A2886"/>
    <w:rsid w:val="009A28E3"/>
    <w:rsid w:val="009A2DCC"/>
    <w:rsid w:val="009A3040"/>
    <w:rsid w:val="009A41C0"/>
    <w:rsid w:val="009A5ABC"/>
    <w:rsid w:val="009A775C"/>
    <w:rsid w:val="009A7F10"/>
    <w:rsid w:val="009B0835"/>
    <w:rsid w:val="009B0975"/>
    <w:rsid w:val="009B2188"/>
    <w:rsid w:val="009B38C8"/>
    <w:rsid w:val="009B3B83"/>
    <w:rsid w:val="009B3E26"/>
    <w:rsid w:val="009B42C1"/>
    <w:rsid w:val="009B43C1"/>
    <w:rsid w:val="009B442A"/>
    <w:rsid w:val="009B446A"/>
    <w:rsid w:val="009B4B3B"/>
    <w:rsid w:val="009B4E5F"/>
    <w:rsid w:val="009B5B6F"/>
    <w:rsid w:val="009B623E"/>
    <w:rsid w:val="009B6CC9"/>
    <w:rsid w:val="009B70FA"/>
    <w:rsid w:val="009B75BD"/>
    <w:rsid w:val="009B7C01"/>
    <w:rsid w:val="009C0EF2"/>
    <w:rsid w:val="009C16E7"/>
    <w:rsid w:val="009C2818"/>
    <w:rsid w:val="009C2F36"/>
    <w:rsid w:val="009C3114"/>
    <w:rsid w:val="009C34B2"/>
    <w:rsid w:val="009C3635"/>
    <w:rsid w:val="009C3706"/>
    <w:rsid w:val="009C3A3A"/>
    <w:rsid w:val="009C4AC3"/>
    <w:rsid w:val="009C4CED"/>
    <w:rsid w:val="009C59C8"/>
    <w:rsid w:val="009C59D9"/>
    <w:rsid w:val="009C5DD0"/>
    <w:rsid w:val="009C6CEA"/>
    <w:rsid w:val="009C70E7"/>
    <w:rsid w:val="009C7361"/>
    <w:rsid w:val="009C7B85"/>
    <w:rsid w:val="009D0254"/>
    <w:rsid w:val="009D029D"/>
    <w:rsid w:val="009D1A64"/>
    <w:rsid w:val="009D1B5C"/>
    <w:rsid w:val="009D2127"/>
    <w:rsid w:val="009D34B0"/>
    <w:rsid w:val="009D4145"/>
    <w:rsid w:val="009D419B"/>
    <w:rsid w:val="009D4AA0"/>
    <w:rsid w:val="009D5AAF"/>
    <w:rsid w:val="009D5B91"/>
    <w:rsid w:val="009D78AC"/>
    <w:rsid w:val="009D792E"/>
    <w:rsid w:val="009D79EF"/>
    <w:rsid w:val="009E0DFE"/>
    <w:rsid w:val="009E1C9C"/>
    <w:rsid w:val="009E25B4"/>
    <w:rsid w:val="009E3125"/>
    <w:rsid w:val="009E31F6"/>
    <w:rsid w:val="009E322E"/>
    <w:rsid w:val="009E35C5"/>
    <w:rsid w:val="009E3D43"/>
    <w:rsid w:val="009E4C07"/>
    <w:rsid w:val="009E58E6"/>
    <w:rsid w:val="009E5FD0"/>
    <w:rsid w:val="009E6A70"/>
    <w:rsid w:val="009E7355"/>
    <w:rsid w:val="009E7717"/>
    <w:rsid w:val="009E7CD6"/>
    <w:rsid w:val="009E7F27"/>
    <w:rsid w:val="009F0137"/>
    <w:rsid w:val="009F0202"/>
    <w:rsid w:val="009F0A71"/>
    <w:rsid w:val="009F137D"/>
    <w:rsid w:val="009F153A"/>
    <w:rsid w:val="009F27B2"/>
    <w:rsid w:val="009F2E83"/>
    <w:rsid w:val="009F35DD"/>
    <w:rsid w:val="009F3828"/>
    <w:rsid w:val="009F4770"/>
    <w:rsid w:val="009F55BF"/>
    <w:rsid w:val="009F5BC0"/>
    <w:rsid w:val="009F608F"/>
    <w:rsid w:val="009F79E3"/>
    <w:rsid w:val="009F7A81"/>
    <w:rsid w:val="00A006D8"/>
    <w:rsid w:val="00A01184"/>
    <w:rsid w:val="00A01AF1"/>
    <w:rsid w:val="00A01D78"/>
    <w:rsid w:val="00A02BF3"/>
    <w:rsid w:val="00A037C2"/>
    <w:rsid w:val="00A03D43"/>
    <w:rsid w:val="00A04380"/>
    <w:rsid w:val="00A04471"/>
    <w:rsid w:val="00A04EDB"/>
    <w:rsid w:val="00A05472"/>
    <w:rsid w:val="00A05A90"/>
    <w:rsid w:val="00A05C32"/>
    <w:rsid w:val="00A05D21"/>
    <w:rsid w:val="00A05F54"/>
    <w:rsid w:val="00A0653F"/>
    <w:rsid w:val="00A06FC6"/>
    <w:rsid w:val="00A11CD0"/>
    <w:rsid w:val="00A12E04"/>
    <w:rsid w:val="00A134F4"/>
    <w:rsid w:val="00A13948"/>
    <w:rsid w:val="00A13FB1"/>
    <w:rsid w:val="00A14465"/>
    <w:rsid w:val="00A14750"/>
    <w:rsid w:val="00A15094"/>
    <w:rsid w:val="00A150BD"/>
    <w:rsid w:val="00A1555B"/>
    <w:rsid w:val="00A155C5"/>
    <w:rsid w:val="00A1573A"/>
    <w:rsid w:val="00A16AD8"/>
    <w:rsid w:val="00A21659"/>
    <w:rsid w:val="00A21C95"/>
    <w:rsid w:val="00A21CF3"/>
    <w:rsid w:val="00A22709"/>
    <w:rsid w:val="00A22969"/>
    <w:rsid w:val="00A22B21"/>
    <w:rsid w:val="00A238EE"/>
    <w:rsid w:val="00A23C7A"/>
    <w:rsid w:val="00A24813"/>
    <w:rsid w:val="00A24F89"/>
    <w:rsid w:val="00A24FFE"/>
    <w:rsid w:val="00A254C2"/>
    <w:rsid w:val="00A25532"/>
    <w:rsid w:val="00A25C41"/>
    <w:rsid w:val="00A25FF3"/>
    <w:rsid w:val="00A2676E"/>
    <w:rsid w:val="00A26B72"/>
    <w:rsid w:val="00A2707D"/>
    <w:rsid w:val="00A2788C"/>
    <w:rsid w:val="00A27AEC"/>
    <w:rsid w:val="00A304FC"/>
    <w:rsid w:val="00A30D71"/>
    <w:rsid w:val="00A316BD"/>
    <w:rsid w:val="00A320DB"/>
    <w:rsid w:val="00A34079"/>
    <w:rsid w:val="00A348D5"/>
    <w:rsid w:val="00A34A86"/>
    <w:rsid w:val="00A34B76"/>
    <w:rsid w:val="00A34BCE"/>
    <w:rsid w:val="00A35125"/>
    <w:rsid w:val="00A35D16"/>
    <w:rsid w:val="00A376BA"/>
    <w:rsid w:val="00A37BCD"/>
    <w:rsid w:val="00A40378"/>
    <w:rsid w:val="00A407A6"/>
    <w:rsid w:val="00A41151"/>
    <w:rsid w:val="00A41689"/>
    <w:rsid w:val="00A41F66"/>
    <w:rsid w:val="00A42592"/>
    <w:rsid w:val="00A42890"/>
    <w:rsid w:val="00A43834"/>
    <w:rsid w:val="00A43C59"/>
    <w:rsid w:val="00A43E17"/>
    <w:rsid w:val="00A4425E"/>
    <w:rsid w:val="00A4478D"/>
    <w:rsid w:val="00A45FE2"/>
    <w:rsid w:val="00A47D4B"/>
    <w:rsid w:val="00A50BC6"/>
    <w:rsid w:val="00A50ECD"/>
    <w:rsid w:val="00A50F7F"/>
    <w:rsid w:val="00A510F3"/>
    <w:rsid w:val="00A5124D"/>
    <w:rsid w:val="00A518F3"/>
    <w:rsid w:val="00A51F55"/>
    <w:rsid w:val="00A524C8"/>
    <w:rsid w:val="00A52729"/>
    <w:rsid w:val="00A53675"/>
    <w:rsid w:val="00A54A7B"/>
    <w:rsid w:val="00A55E74"/>
    <w:rsid w:val="00A564D7"/>
    <w:rsid w:val="00A56532"/>
    <w:rsid w:val="00A56B6A"/>
    <w:rsid w:val="00A570C0"/>
    <w:rsid w:val="00A5740A"/>
    <w:rsid w:val="00A5783A"/>
    <w:rsid w:val="00A578DC"/>
    <w:rsid w:val="00A60E3B"/>
    <w:rsid w:val="00A62EF8"/>
    <w:rsid w:val="00A6348A"/>
    <w:rsid w:val="00A6356B"/>
    <w:rsid w:val="00A63DC7"/>
    <w:rsid w:val="00A640E2"/>
    <w:rsid w:val="00A6410B"/>
    <w:rsid w:val="00A64360"/>
    <w:rsid w:val="00A64D65"/>
    <w:rsid w:val="00A655B5"/>
    <w:rsid w:val="00A65CD2"/>
    <w:rsid w:val="00A662CF"/>
    <w:rsid w:val="00A66568"/>
    <w:rsid w:val="00A66723"/>
    <w:rsid w:val="00A66FDF"/>
    <w:rsid w:val="00A6725B"/>
    <w:rsid w:val="00A672B7"/>
    <w:rsid w:val="00A674D1"/>
    <w:rsid w:val="00A67D0A"/>
    <w:rsid w:val="00A70605"/>
    <w:rsid w:val="00A71278"/>
    <w:rsid w:val="00A71FBC"/>
    <w:rsid w:val="00A729D4"/>
    <w:rsid w:val="00A73134"/>
    <w:rsid w:val="00A73239"/>
    <w:rsid w:val="00A73BEF"/>
    <w:rsid w:val="00A73E89"/>
    <w:rsid w:val="00A74B03"/>
    <w:rsid w:val="00A74D10"/>
    <w:rsid w:val="00A74D46"/>
    <w:rsid w:val="00A75329"/>
    <w:rsid w:val="00A75DB3"/>
    <w:rsid w:val="00A75ECC"/>
    <w:rsid w:val="00A76001"/>
    <w:rsid w:val="00A76151"/>
    <w:rsid w:val="00A766C6"/>
    <w:rsid w:val="00A76AD3"/>
    <w:rsid w:val="00A77196"/>
    <w:rsid w:val="00A777B2"/>
    <w:rsid w:val="00A802C8"/>
    <w:rsid w:val="00A82521"/>
    <w:rsid w:val="00A825D4"/>
    <w:rsid w:val="00A828F6"/>
    <w:rsid w:val="00A829EA"/>
    <w:rsid w:val="00A82B73"/>
    <w:rsid w:val="00A82D11"/>
    <w:rsid w:val="00A82DA2"/>
    <w:rsid w:val="00A8352F"/>
    <w:rsid w:val="00A83566"/>
    <w:rsid w:val="00A837EC"/>
    <w:rsid w:val="00A83E5E"/>
    <w:rsid w:val="00A83E89"/>
    <w:rsid w:val="00A84840"/>
    <w:rsid w:val="00A85273"/>
    <w:rsid w:val="00A856E8"/>
    <w:rsid w:val="00A8599B"/>
    <w:rsid w:val="00A85C7A"/>
    <w:rsid w:val="00A86D75"/>
    <w:rsid w:val="00A86E8B"/>
    <w:rsid w:val="00A87164"/>
    <w:rsid w:val="00A879D0"/>
    <w:rsid w:val="00A87A31"/>
    <w:rsid w:val="00A90621"/>
    <w:rsid w:val="00A9122A"/>
    <w:rsid w:val="00A9139F"/>
    <w:rsid w:val="00A91596"/>
    <w:rsid w:val="00A915C5"/>
    <w:rsid w:val="00A921FF"/>
    <w:rsid w:val="00A926FA"/>
    <w:rsid w:val="00A93072"/>
    <w:rsid w:val="00A932AD"/>
    <w:rsid w:val="00A93581"/>
    <w:rsid w:val="00A938BD"/>
    <w:rsid w:val="00A93953"/>
    <w:rsid w:val="00A94533"/>
    <w:rsid w:val="00A94CF3"/>
    <w:rsid w:val="00A958FA"/>
    <w:rsid w:val="00A959D8"/>
    <w:rsid w:val="00A961CB"/>
    <w:rsid w:val="00A976BE"/>
    <w:rsid w:val="00A977AD"/>
    <w:rsid w:val="00AA032D"/>
    <w:rsid w:val="00AA0CB3"/>
    <w:rsid w:val="00AA0F75"/>
    <w:rsid w:val="00AA113D"/>
    <w:rsid w:val="00AA1213"/>
    <w:rsid w:val="00AA14CB"/>
    <w:rsid w:val="00AA1611"/>
    <w:rsid w:val="00AA1BE7"/>
    <w:rsid w:val="00AA24C1"/>
    <w:rsid w:val="00AA30B8"/>
    <w:rsid w:val="00AA59B4"/>
    <w:rsid w:val="00AA628D"/>
    <w:rsid w:val="00AA6BD5"/>
    <w:rsid w:val="00AA6BD8"/>
    <w:rsid w:val="00AA6C77"/>
    <w:rsid w:val="00AA6C7D"/>
    <w:rsid w:val="00AA6F76"/>
    <w:rsid w:val="00AA7275"/>
    <w:rsid w:val="00AA7BC5"/>
    <w:rsid w:val="00AA7FD6"/>
    <w:rsid w:val="00AB00FD"/>
    <w:rsid w:val="00AB0241"/>
    <w:rsid w:val="00AB042A"/>
    <w:rsid w:val="00AB0B66"/>
    <w:rsid w:val="00AB15F1"/>
    <w:rsid w:val="00AB19EF"/>
    <w:rsid w:val="00AB1F0F"/>
    <w:rsid w:val="00AB24BD"/>
    <w:rsid w:val="00AB2D34"/>
    <w:rsid w:val="00AB3409"/>
    <w:rsid w:val="00AB3430"/>
    <w:rsid w:val="00AB37B9"/>
    <w:rsid w:val="00AB46DF"/>
    <w:rsid w:val="00AB4AD1"/>
    <w:rsid w:val="00AB4DC6"/>
    <w:rsid w:val="00AB5090"/>
    <w:rsid w:val="00AB5570"/>
    <w:rsid w:val="00AB59FD"/>
    <w:rsid w:val="00AB5E07"/>
    <w:rsid w:val="00AB5E97"/>
    <w:rsid w:val="00AB65D2"/>
    <w:rsid w:val="00AB6B9C"/>
    <w:rsid w:val="00AB6DFD"/>
    <w:rsid w:val="00AB734F"/>
    <w:rsid w:val="00AB7361"/>
    <w:rsid w:val="00AB75F1"/>
    <w:rsid w:val="00AB7CFA"/>
    <w:rsid w:val="00AB7F67"/>
    <w:rsid w:val="00AC139F"/>
    <w:rsid w:val="00AC18CA"/>
    <w:rsid w:val="00AC201B"/>
    <w:rsid w:val="00AC209F"/>
    <w:rsid w:val="00AC32E2"/>
    <w:rsid w:val="00AC3503"/>
    <w:rsid w:val="00AC3ED7"/>
    <w:rsid w:val="00AC3FCD"/>
    <w:rsid w:val="00AC55A9"/>
    <w:rsid w:val="00AC5B48"/>
    <w:rsid w:val="00AC5DDB"/>
    <w:rsid w:val="00AC64F0"/>
    <w:rsid w:val="00AC7682"/>
    <w:rsid w:val="00AD0A9B"/>
    <w:rsid w:val="00AD1450"/>
    <w:rsid w:val="00AD1615"/>
    <w:rsid w:val="00AD1A0B"/>
    <w:rsid w:val="00AD1B45"/>
    <w:rsid w:val="00AD2720"/>
    <w:rsid w:val="00AD342F"/>
    <w:rsid w:val="00AD4821"/>
    <w:rsid w:val="00AD4BC9"/>
    <w:rsid w:val="00AD4FE7"/>
    <w:rsid w:val="00AD5793"/>
    <w:rsid w:val="00AD5AA6"/>
    <w:rsid w:val="00AD5E2F"/>
    <w:rsid w:val="00AD61E2"/>
    <w:rsid w:val="00AD6502"/>
    <w:rsid w:val="00AD697D"/>
    <w:rsid w:val="00AD6B2F"/>
    <w:rsid w:val="00AD6D41"/>
    <w:rsid w:val="00AD704F"/>
    <w:rsid w:val="00AD7AFE"/>
    <w:rsid w:val="00AD7E50"/>
    <w:rsid w:val="00AE0695"/>
    <w:rsid w:val="00AE06A8"/>
    <w:rsid w:val="00AE0868"/>
    <w:rsid w:val="00AE0918"/>
    <w:rsid w:val="00AE0A9E"/>
    <w:rsid w:val="00AE10A2"/>
    <w:rsid w:val="00AE10E9"/>
    <w:rsid w:val="00AE2797"/>
    <w:rsid w:val="00AE2C4A"/>
    <w:rsid w:val="00AE30F0"/>
    <w:rsid w:val="00AE39D8"/>
    <w:rsid w:val="00AE3E7E"/>
    <w:rsid w:val="00AE5810"/>
    <w:rsid w:val="00AE5FB7"/>
    <w:rsid w:val="00AE6054"/>
    <w:rsid w:val="00AE6484"/>
    <w:rsid w:val="00AE64CD"/>
    <w:rsid w:val="00AE6B75"/>
    <w:rsid w:val="00AE6BFA"/>
    <w:rsid w:val="00AE74DE"/>
    <w:rsid w:val="00AE7B2D"/>
    <w:rsid w:val="00AE7F5A"/>
    <w:rsid w:val="00AF039C"/>
    <w:rsid w:val="00AF0DAA"/>
    <w:rsid w:val="00AF1315"/>
    <w:rsid w:val="00AF19BF"/>
    <w:rsid w:val="00AF19FC"/>
    <w:rsid w:val="00AF1D9C"/>
    <w:rsid w:val="00AF2B4C"/>
    <w:rsid w:val="00AF2DC3"/>
    <w:rsid w:val="00AF3419"/>
    <w:rsid w:val="00AF36C9"/>
    <w:rsid w:val="00AF3E3B"/>
    <w:rsid w:val="00AF44ED"/>
    <w:rsid w:val="00AF4BB9"/>
    <w:rsid w:val="00AF4E77"/>
    <w:rsid w:val="00AF5469"/>
    <w:rsid w:val="00AF5EDD"/>
    <w:rsid w:val="00AF7DDE"/>
    <w:rsid w:val="00B00280"/>
    <w:rsid w:val="00B00368"/>
    <w:rsid w:val="00B00472"/>
    <w:rsid w:val="00B00CD3"/>
    <w:rsid w:val="00B033E5"/>
    <w:rsid w:val="00B0345C"/>
    <w:rsid w:val="00B03A63"/>
    <w:rsid w:val="00B03E59"/>
    <w:rsid w:val="00B04763"/>
    <w:rsid w:val="00B05C04"/>
    <w:rsid w:val="00B0646F"/>
    <w:rsid w:val="00B07B1F"/>
    <w:rsid w:val="00B10275"/>
    <w:rsid w:val="00B11387"/>
    <w:rsid w:val="00B11AC1"/>
    <w:rsid w:val="00B1250B"/>
    <w:rsid w:val="00B128A1"/>
    <w:rsid w:val="00B1322E"/>
    <w:rsid w:val="00B1447E"/>
    <w:rsid w:val="00B144B9"/>
    <w:rsid w:val="00B14845"/>
    <w:rsid w:val="00B152FC"/>
    <w:rsid w:val="00B15482"/>
    <w:rsid w:val="00B160B3"/>
    <w:rsid w:val="00B166B1"/>
    <w:rsid w:val="00B1678E"/>
    <w:rsid w:val="00B16EC4"/>
    <w:rsid w:val="00B176E8"/>
    <w:rsid w:val="00B176F7"/>
    <w:rsid w:val="00B201A4"/>
    <w:rsid w:val="00B201D1"/>
    <w:rsid w:val="00B211E0"/>
    <w:rsid w:val="00B213A6"/>
    <w:rsid w:val="00B2206E"/>
    <w:rsid w:val="00B22F84"/>
    <w:rsid w:val="00B235B0"/>
    <w:rsid w:val="00B2383C"/>
    <w:rsid w:val="00B24DF6"/>
    <w:rsid w:val="00B24E58"/>
    <w:rsid w:val="00B26363"/>
    <w:rsid w:val="00B27061"/>
    <w:rsid w:val="00B272A7"/>
    <w:rsid w:val="00B27E43"/>
    <w:rsid w:val="00B301E8"/>
    <w:rsid w:val="00B30ED7"/>
    <w:rsid w:val="00B3117D"/>
    <w:rsid w:val="00B313D2"/>
    <w:rsid w:val="00B31458"/>
    <w:rsid w:val="00B31532"/>
    <w:rsid w:val="00B33B52"/>
    <w:rsid w:val="00B347D1"/>
    <w:rsid w:val="00B34A34"/>
    <w:rsid w:val="00B34FE2"/>
    <w:rsid w:val="00B35166"/>
    <w:rsid w:val="00B35566"/>
    <w:rsid w:val="00B357D8"/>
    <w:rsid w:val="00B360F4"/>
    <w:rsid w:val="00B369E6"/>
    <w:rsid w:val="00B36A00"/>
    <w:rsid w:val="00B36BBD"/>
    <w:rsid w:val="00B37778"/>
    <w:rsid w:val="00B37BEC"/>
    <w:rsid w:val="00B37BFC"/>
    <w:rsid w:val="00B37DC1"/>
    <w:rsid w:val="00B40358"/>
    <w:rsid w:val="00B40AFD"/>
    <w:rsid w:val="00B40EC1"/>
    <w:rsid w:val="00B40EF5"/>
    <w:rsid w:val="00B41614"/>
    <w:rsid w:val="00B41C24"/>
    <w:rsid w:val="00B41F15"/>
    <w:rsid w:val="00B41F56"/>
    <w:rsid w:val="00B4239C"/>
    <w:rsid w:val="00B42851"/>
    <w:rsid w:val="00B42C95"/>
    <w:rsid w:val="00B42F80"/>
    <w:rsid w:val="00B43232"/>
    <w:rsid w:val="00B435CB"/>
    <w:rsid w:val="00B43D12"/>
    <w:rsid w:val="00B440AD"/>
    <w:rsid w:val="00B45FCD"/>
    <w:rsid w:val="00B46566"/>
    <w:rsid w:val="00B47069"/>
    <w:rsid w:val="00B505B6"/>
    <w:rsid w:val="00B505C8"/>
    <w:rsid w:val="00B50AC8"/>
    <w:rsid w:val="00B50DB8"/>
    <w:rsid w:val="00B50F50"/>
    <w:rsid w:val="00B51A57"/>
    <w:rsid w:val="00B53654"/>
    <w:rsid w:val="00B53681"/>
    <w:rsid w:val="00B53905"/>
    <w:rsid w:val="00B54422"/>
    <w:rsid w:val="00B545F9"/>
    <w:rsid w:val="00B54B5B"/>
    <w:rsid w:val="00B5562E"/>
    <w:rsid w:val="00B559DC"/>
    <w:rsid w:val="00B55CF3"/>
    <w:rsid w:val="00B55D65"/>
    <w:rsid w:val="00B55E0A"/>
    <w:rsid w:val="00B56638"/>
    <w:rsid w:val="00B56B07"/>
    <w:rsid w:val="00B56DBA"/>
    <w:rsid w:val="00B57000"/>
    <w:rsid w:val="00B57683"/>
    <w:rsid w:val="00B60939"/>
    <w:rsid w:val="00B60AFD"/>
    <w:rsid w:val="00B61BB1"/>
    <w:rsid w:val="00B621B1"/>
    <w:rsid w:val="00B62715"/>
    <w:rsid w:val="00B6330B"/>
    <w:rsid w:val="00B63CF0"/>
    <w:rsid w:val="00B6454D"/>
    <w:rsid w:val="00B65363"/>
    <w:rsid w:val="00B65611"/>
    <w:rsid w:val="00B65D93"/>
    <w:rsid w:val="00B671A0"/>
    <w:rsid w:val="00B67FA2"/>
    <w:rsid w:val="00B70813"/>
    <w:rsid w:val="00B70E8E"/>
    <w:rsid w:val="00B710C5"/>
    <w:rsid w:val="00B719CC"/>
    <w:rsid w:val="00B71BB4"/>
    <w:rsid w:val="00B7209A"/>
    <w:rsid w:val="00B725DC"/>
    <w:rsid w:val="00B72C4F"/>
    <w:rsid w:val="00B730C5"/>
    <w:rsid w:val="00B7310E"/>
    <w:rsid w:val="00B7322D"/>
    <w:rsid w:val="00B7336B"/>
    <w:rsid w:val="00B738F2"/>
    <w:rsid w:val="00B73C61"/>
    <w:rsid w:val="00B74C64"/>
    <w:rsid w:val="00B75A94"/>
    <w:rsid w:val="00B75CCE"/>
    <w:rsid w:val="00B761C0"/>
    <w:rsid w:val="00B76241"/>
    <w:rsid w:val="00B76797"/>
    <w:rsid w:val="00B76C92"/>
    <w:rsid w:val="00B77258"/>
    <w:rsid w:val="00B776EE"/>
    <w:rsid w:val="00B77EC8"/>
    <w:rsid w:val="00B806E4"/>
    <w:rsid w:val="00B80DE7"/>
    <w:rsid w:val="00B812F5"/>
    <w:rsid w:val="00B813A1"/>
    <w:rsid w:val="00B816E8"/>
    <w:rsid w:val="00B818A4"/>
    <w:rsid w:val="00B8225C"/>
    <w:rsid w:val="00B82762"/>
    <w:rsid w:val="00B83795"/>
    <w:rsid w:val="00B83E89"/>
    <w:rsid w:val="00B84117"/>
    <w:rsid w:val="00B8431F"/>
    <w:rsid w:val="00B84505"/>
    <w:rsid w:val="00B85341"/>
    <w:rsid w:val="00B858F0"/>
    <w:rsid w:val="00B85AA2"/>
    <w:rsid w:val="00B85E8E"/>
    <w:rsid w:val="00B8649C"/>
    <w:rsid w:val="00B8695D"/>
    <w:rsid w:val="00B86B3F"/>
    <w:rsid w:val="00B86B4C"/>
    <w:rsid w:val="00B87F0A"/>
    <w:rsid w:val="00B9091B"/>
    <w:rsid w:val="00B91586"/>
    <w:rsid w:val="00B91B01"/>
    <w:rsid w:val="00B92A67"/>
    <w:rsid w:val="00B92D0B"/>
    <w:rsid w:val="00B92E08"/>
    <w:rsid w:val="00B92F66"/>
    <w:rsid w:val="00B936D1"/>
    <w:rsid w:val="00B945AD"/>
    <w:rsid w:val="00B94945"/>
    <w:rsid w:val="00B94DD6"/>
    <w:rsid w:val="00B9541C"/>
    <w:rsid w:val="00B9571F"/>
    <w:rsid w:val="00B967D6"/>
    <w:rsid w:val="00B96C13"/>
    <w:rsid w:val="00BA0568"/>
    <w:rsid w:val="00BA0DBA"/>
    <w:rsid w:val="00BA1515"/>
    <w:rsid w:val="00BA2747"/>
    <w:rsid w:val="00BA322D"/>
    <w:rsid w:val="00BA3391"/>
    <w:rsid w:val="00BA53D4"/>
    <w:rsid w:val="00BA63FA"/>
    <w:rsid w:val="00BA64AD"/>
    <w:rsid w:val="00BA7A50"/>
    <w:rsid w:val="00BB00B3"/>
    <w:rsid w:val="00BB00ED"/>
    <w:rsid w:val="00BB01F6"/>
    <w:rsid w:val="00BB0624"/>
    <w:rsid w:val="00BB0657"/>
    <w:rsid w:val="00BB0BDD"/>
    <w:rsid w:val="00BB0EF3"/>
    <w:rsid w:val="00BB176C"/>
    <w:rsid w:val="00BB1CF6"/>
    <w:rsid w:val="00BB206E"/>
    <w:rsid w:val="00BB2A73"/>
    <w:rsid w:val="00BB2FE0"/>
    <w:rsid w:val="00BB3A45"/>
    <w:rsid w:val="00BB4ACC"/>
    <w:rsid w:val="00BB5061"/>
    <w:rsid w:val="00BB5501"/>
    <w:rsid w:val="00BB6FCC"/>
    <w:rsid w:val="00BB703E"/>
    <w:rsid w:val="00BB732D"/>
    <w:rsid w:val="00BB7405"/>
    <w:rsid w:val="00BC0A23"/>
    <w:rsid w:val="00BC0FD0"/>
    <w:rsid w:val="00BC138E"/>
    <w:rsid w:val="00BC15BF"/>
    <w:rsid w:val="00BC3631"/>
    <w:rsid w:val="00BC36D5"/>
    <w:rsid w:val="00BC39D6"/>
    <w:rsid w:val="00BC3D66"/>
    <w:rsid w:val="00BC3FC8"/>
    <w:rsid w:val="00BC3FCA"/>
    <w:rsid w:val="00BC4586"/>
    <w:rsid w:val="00BC591F"/>
    <w:rsid w:val="00BC61A0"/>
    <w:rsid w:val="00BC6AC9"/>
    <w:rsid w:val="00BC7CD8"/>
    <w:rsid w:val="00BC7D6D"/>
    <w:rsid w:val="00BC7E84"/>
    <w:rsid w:val="00BD00A9"/>
    <w:rsid w:val="00BD099E"/>
    <w:rsid w:val="00BD0BC1"/>
    <w:rsid w:val="00BD2108"/>
    <w:rsid w:val="00BD220A"/>
    <w:rsid w:val="00BD348C"/>
    <w:rsid w:val="00BD34C8"/>
    <w:rsid w:val="00BD4C01"/>
    <w:rsid w:val="00BD4E5C"/>
    <w:rsid w:val="00BD5AE1"/>
    <w:rsid w:val="00BD60E3"/>
    <w:rsid w:val="00BD62B9"/>
    <w:rsid w:val="00BD68A3"/>
    <w:rsid w:val="00BD6938"/>
    <w:rsid w:val="00BD6AD1"/>
    <w:rsid w:val="00BD6BE8"/>
    <w:rsid w:val="00BD6CF3"/>
    <w:rsid w:val="00BD71BC"/>
    <w:rsid w:val="00BD772E"/>
    <w:rsid w:val="00BE0144"/>
    <w:rsid w:val="00BE0407"/>
    <w:rsid w:val="00BE0672"/>
    <w:rsid w:val="00BE06D3"/>
    <w:rsid w:val="00BE0CB4"/>
    <w:rsid w:val="00BE0ECA"/>
    <w:rsid w:val="00BE1566"/>
    <w:rsid w:val="00BE1A14"/>
    <w:rsid w:val="00BE205C"/>
    <w:rsid w:val="00BE212D"/>
    <w:rsid w:val="00BE2180"/>
    <w:rsid w:val="00BE21F2"/>
    <w:rsid w:val="00BE28C2"/>
    <w:rsid w:val="00BE3401"/>
    <w:rsid w:val="00BE3852"/>
    <w:rsid w:val="00BE4275"/>
    <w:rsid w:val="00BE4584"/>
    <w:rsid w:val="00BE5E09"/>
    <w:rsid w:val="00BE6431"/>
    <w:rsid w:val="00BE6B73"/>
    <w:rsid w:val="00BE7711"/>
    <w:rsid w:val="00BE77F2"/>
    <w:rsid w:val="00BE7991"/>
    <w:rsid w:val="00BE7A77"/>
    <w:rsid w:val="00BF06AE"/>
    <w:rsid w:val="00BF0767"/>
    <w:rsid w:val="00BF09BC"/>
    <w:rsid w:val="00BF0F95"/>
    <w:rsid w:val="00BF218E"/>
    <w:rsid w:val="00BF2433"/>
    <w:rsid w:val="00BF28B5"/>
    <w:rsid w:val="00BF3A99"/>
    <w:rsid w:val="00BF4602"/>
    <w:rsid w:val="00BF61C9"/>
    <w:rsid w:val="00BF65B3"/>
    <w:rsid w:val="00BF66CF"/>
    <w:rsid w:val="00BF690C"/>
    <w:rsid w:val="00BF6C94"/>
    <w:rsid w:val="00BF78DD"/>
    <w:rsid w:val="00C00424"/>
    <w:rsid w:val="00C0137D"/>
    <w:rsid w:val="00C03E7F"/>
    <w:rsid w:val="00C05488"/>
    <w:rsid w:val="00C065BA"/>
    <w:rsid w:val="00C06CFE"/>
    <w:rsid w:val="00C10425"/>
    <w:rsid w:val="00C10B1A"/>
    <w:rsid w:val="00C10D0E"/>
    <w:rsid w:val="00C1150E"/>
    <w:rsid w:val="00C11767"/>
    <w:rsid w:val="00C1179F"/>
    <w:rsid w:val="00C11AF6"/>
    <w:rsid w:val="00C1226E"/>
    <w:rsid w:val="00C12C14"/>
    <w:rsid w:val="00C1302D"/>
    <w:rsid w:val="00C1347E"/>
    <w:rsid w:val="00C13CBF"/>
    <w:rsid w:val="00C14321"/>
    <w:rsid w:val="00C149F4"/>
    <w:rsid w:val="00C1501B"/>
    <w:rsid w:val="00C1522C"/>
    <w:rsid w:val="00C1523F"/>
    <w:rsid w:val="00C15F04"/>
    <w:rsid w:val="00C16CC0"/>
    <w:rsid w:val="00C16EBD"/>
    <w:rsid w:val="00C17305"/>
    <w:rsid w:val="00C178C3"/>
    <w:rsid w:val="00C179B3"/>
    <w:rsid w:val="00C17E3F"/>
    <w:rsid w:val="00C200AA"/>
    <w:rsid w:val="00C218D8"/>
    <w:rsid w:val="00C21B99"/>
    <w:rsid w:val="00C22716"/>
    <w:rsid w:val="00C234F5"/>
    <w:rsid w:val="00C237ED"/>
    <w:rsid w:val="00C24632"/>
    <w:rsid w:val="00C24D57"/>
    <w:rsid w:val="00C24FC0"/>
    <w:rsid w:val="00C25418"/>
    <w:rsid w:val="00C25A9D"/>
    <w:rsid w:val="00C25B41"/>
    <w:rsid w:val="00C25D9C"/>
    <w:rsid w:val="00C2600C"/>
    <w:rsid w:val="00C264E5"/>
    <w:rsid w:val="00C26577"/>
    <w:rsid w:val="00C26F90"/>
    <w:rsid w:val="00C2715D"/>
    <w:rsid w:val="00C2778B"/>
    <w:rsid w:val="00C30168"/>
    <w:rsid w:val="00C3138E"/>
    <w:rsid w:val="00C31649"/>
    <w:rsid w:val="00C3300A"/>
    <w:rsid w:val="00C335F0"/>
    <w:rsid w:val="00C33CAB"/>
    <w:rsid w:val="00C341C1"/>
    <w:rsid w:val="00C3434C"/>
    <w:rsid w:val="00C350B0"/>
    <w:rsid w:val="00C3546F"/>
    <w:rsid w:val="00C35644"/>
    <w:rsid w:val="00C3564E"/>
    <w:rsid w:val="00C365C6"/>
    <w:rsid w:val="00C369E3"/>
    <w:rsid w:val="00C36E43"/>
    <w:rsid w:val="00C375BC"/>
    <w:rsid w:val="00C40385"/>
    <w:rsid w:val="00C4073F"/>
    <w:rsid w:val="00C40947"/>
    <w:rsid w:val="00C40BFD"/>
    <w:rsid w:val="00C40C77"/>
    <w:rsid w:val="00C41768"/>
    <w:rsid w:val="00C437F2"/>
    <w:rsid w:val="00C444F9"/>
    <w:rsid w:val="00C447EA"/>
    <w:rsid w:val="00C45111"/>
    <w:rsid w:val="00C46713"/>
    <w:rsid w:val="00C46EF5"/>
    <w:rsid w:val="00C475AA"/>
    <w:rsid w:val="00C475AC"/>
    <w:rsid w:val="00C477FE"/>
    <w:rsid w:val="00C47B36"/>
    <w:rsid w:val="00C47C88"/>
    <w:rsid w:val="00C50F15"/>
    <w:rsid w:val="00C5166A"/>
    <w:rsid w:val="00C51E6A"/>
    <w:rsid w:val="00C524D7"/>
    <w:rsid w:val="00C53588"/>
    <w:rsid w:val="00C53C98"/>
    <w:rsid w:val="00C559B0"/>
    <w:rsid w:val="00C55BFC"/>
    <w:rsid w:val="00C55C8A"/>
    <w:rsid w:val="00C55CFC"/>
    <w:rsid w:val="00C55F70"/>
    <w:rsid w:val="00C56741"/>
    <w:rsid w:val="00C5689B"/>
    <w:rsid w:val="00C56FCF"/>
    <w:rsid w:val="00C57B6C"/>
    <w:rsid w:val="00C57D66"/>
    <w:rsid w:val="00C60B5C"/>
    <w:rsid w:val="00C60D87"/>
    <w:rsid w:val="00C62102"/>
    <w:rsid w:val="00C628A6"/>
    <w:rsid w:val="00C62DA2"/>
    <w:rsid w:val="00C641E2"/>
    <w:rsid w:val="00C64344"/>
    <w:rsid w:val="00C64EA6"/>
    <w:rsid w:val="00C65108"/>
    <w:rsid w:val="00C65201"/>
    <w:rsid w:val="00C65576"/>
    <w:rsid w:val="00C6569D"/>
    <w:rsid w:val="00C66165"/>
    <w:rsid w:val="00C66740"/>
    <w:rsid w:val="00C66B08"/>
    <w:rsid w:val="00C674D1"/>
    <w:rsid w:val="00C67859"/>
    <w:rsid w:val="00C7060A"/>
    <w:rsid w:val="00C7151A"/>
    <w:rsid w:val="00C717E3"/>
    <w:rsid w:val="00C71F60"/>
    <w:rsid w:val="00C72241"/>
    <w:rsid w:val="00C72778"/>
    <w:rsid w:val="00C72C1D"/>
    <w:rsid w:val="00C731FA"/>
    <w:rsid w:val="00C732EB"/>
    <w:rsid w:val="00C73849"/>
    <w:rsid w:val="00C7401D"/>
    <w:rsid w:val="00C743D9"/>
    <w:rsid w:val="00C74960"/>
    <w:rsid w:val="00C750C8"/>
    <w:rsid w:val="00C7560F"/>
    <w:rsid w:val="00C7573B"/>
    <w:rsid w:val="00C75818"/>
    <w:rsid w:val="00C761B0"/>
    <w:rsid w:val="00C7724B"/>
    <w:rsid w:val="00C77724"/>
    <w:rsid w:val="00C77B47"/>
    <w:rsid w:val="00C77B55"/>
    <w:rsid w:val="00C801F8"/>
    <w:rsid w:val="00C80A0E"/>
    <w:rsid w:val="00C80AA3"/>
    <w:rsid w:val="00C80C96"/>
    <w:rsid w:val="00C81976"/>
    <w:rsid w:val="00C81C71"/>
    <w:rsid w:val="00C8213F"/>
    <w:rsid w:val="00C82A4B"/>
    <w:rsid w:val="00C831B3"/>
    <w:rsid w:val="00C83D27"/>
    <w:rsid w:val="00C845DF"/>
    <w:rsid w:val="00C85154"/>
    <w:rsid w:val="00C864A4"/>
    <w:rsid w:val="00C86A8D"/>
    <w:rsid w:val="00C86DDB"/>
    <w:rsid w:val="00C873F8"/>
    <w:rsid w:val="00C8797A"/>
    <w:rsid w:val="00C87F27"/>
    <w:rsid w:val="00C900B8"/>
    <w:rsid w:val="00C90C71"/>
    <w:rsid w:val="00C916BB"/>
    <w:rsid w:val="00C9178B"/>
    <w:rsid w:val="00C918D5"/>
    <w:rsid w:val="00C91FD1"/>
    <w:rsid w:val="00C92E80"/>
    <w:rsid w:val="00C93151"/>
    <w:rsid w:val="00C93156"/>
    <w:rsid w:val="00C931CF"/>
    <w:rsid w:val="00C938CF"/>
    <w:rsid w:val="00C94053"/>
    <w:rsid w:val="00C94236"/>
    <w:rsid w:val="00C945B2"/>
    <w:rsid w:val="00C94BDA"/>
    <w:rsid w:val="00C95461"/>
    <w:rsid w:val="00C9624D"/>
    <w:rsid w:val="00C969DA"/>
    <w:rsid w:val="00C96D58"/>
    <w:rsid w:val="00C96D6E"/>
    <w:rsid w:val="00CA0596"/>
    <w:rsid w:val="00CA1696"/>
    <w:rsid w:val="00CA1FDD"/>
    <w:rsid w:val="00CA2AF2"/>
    <w:rsid w:val="00CA2C0D"/>
    <w:rsid w:val="00CA2C77"/>
    <w:rsid w:val="00CA2D02"/>
    <w:rsid w:val="00CA2E85"/>
    <w:rsid w:val="00CA3137"/>
    <w:rsid w:val="00CA31E2"/>
    <w:rsid w:val="00CA3B1A"/>
    <w:rsid w:val="00CA3CBD"/>
    <w:rsid w:val="00CA42E4"/>
    <w:rsid w:val="00CA444F"/>
    <w:rsid w:val="00CA45A4"/>
    <w:rsid w:val="00CA5245"/>
    <w:rsid w:val="00CA58C9"/>
    <w:rsid w:val="00CA5D94"/>
    <w:rsid w:val="00CA6329"/>
    <w:rsid w:val="00CA71F4"/>
    <w:rsid w:val="00CA76ED"/>
    <w:rsid w:val="00CA7B09"/>
    <w:rsid w:val="00CB12A5"/>
    <w:rsid w:val="00CB1CAC"/>
    <w:rsid w:val="00CB1F75"/>
    <w:rsid w:val="00CB2F2A"/>
    <w:rsid w:val="00CB56A3"/>
    <w:rsid w:val="00CB5B1A"/>
    <w:rsid w:val="00CB611C"/>
    <w:rsid w:val="00CB6A82"/>
    <w:rsid w:val="00CB6B22"/>
    <w:rsid w:val="00CB6DDB"/>
    <w:rsid w:val="00CB762E"/>
    <w:rsid w:val="00CB7F3F"/>
    <w:rsid w:val="00CB7F5F"/>
    <w:rsid w:val="00CC0627"/>
    <w:rsid w:val="00CC1B39"/>
    <w:rsid w:val="00CC1F24"/>
    <w:rsid w:val="00CC2527"/>
    <w:rsid w:val="00CC2A44"/>
    <w:rsid w:val="00CC30C2"/>
    <w:rsid w:val="00CC35EA"/>
    <w:rsid w:val="00CC3720"/>
    <w:rsid w:val="00CC3848"/>
    <w:rsid w:val="00CC3C0A"/>
    <w:rsid w:val="00CC4693"/>
    <w:rsid w:val="00CC635B"/>
    <w:rsid w:val="00CC6A0A"/>
    <w:rsid w:val="00CC6F68"/>
    <w:rsid w:val="00CC7886"/>
    <w:rsid w:val="00CD0471"/>
    <w:rsid w:val="00CD0FC7"/>
    <w:rsid w:val="00CD2378"/>
    <w:rsid w:val="00CD2531"/>
    <w:rsid w:val="00CD30F7"/>
    <w:rsid w:val="00CD34B8"/>
    <w:rsid w:val="00CD3F77"/>
    <w:rsid w:val="00CD4282"/>
    <w:rsid w:val="00CD452C"/>
    <w:rsid w:val="00CD64F0"/>
    <w:rsid w:val="00CD6ADC"/>
    <w:rsid w:val="00CD6E60"/>
    <w:rsid w:val="00CD7193"/>
    <w:rsid w:val="00CD7A5F"/>
    <w:rsid w:val="00CE000E"/>
    <w:rsid w:val="00CE0340"/>
    <w:rsid w:val="00CE0EC0"/>
    <w:rsid w:val="00CE0F29"/>
    <w:rsid w:val="00CE157F"/>
    <w:rsid w:val="00CE1A68"/>
    <w:rsid w:val="00CE1DB0"/>
    <w:rsid w:val="00CE2FB1"/>
    <w:rsid w:val="00CE38C8"/>
    <w:rsid w:val="00CE42E9"/>
    <w:rsid w:val="00CE4367"/>
    <w:rsid w:val="00CE4413"/>
    <w:rsid w:val="00CE5F8B"/>
    <w:rsid w:val="00CE6274"/>
    <w:rsid w:val="00CE6752"/>
    <w:rsid w:val="00CE68FE"/>
    <w:rsid w:val="00CE6D3F"/>
    <w:rsid w:val="00CE748A"/>
    <w:rsid w:val="00CE77B6"/>
    <w:rsid w:val="00CE7E2E"/>
    <w:rsid w:val="00CE7EDC"/>
    <w:rsid w:val="00CF05DD"/>
    <w:rsid w:val="00CF0DAF"/>
    <w:rsid w:val="00CF1479"/>
    <w:rsid w:val="00CF1AAB"/>
    <w:rsid w:val="00CF2686"/>
    <w:rsid w:val="00CF2AA8"/>
    <w:rsid w:val="00CF2B8D"/>
    <w:rsid w:val="00CF2BAE"/>
    <w:rsid w:val="00CF3013"/>
    <w:rsid w:val="00CF4420"/>
    <w:rsid w:val="00CF456B"/>
    <w:rsid w:val="00CF57E5"/>
    <w:rsid w:val="00CF5A22"/>
    <w:rsid w:val="00CF5AA7"/>
    <w:rsid w:val="00CF6465"/>
    <w:rsid w:val="00CF64B4"/>
    <w:rsid w:val="00CF655F"/>
    <w:rsid w:val="00CF6953"/>
    <w:rsid w:val="00CF6CDB"/>
    <w:rsid w:val="00CF7E30"/>
    <w:rsid w:val="00D00F98"/>
    <w:rsid w:val="00D01B6A"/>
    <w:rsid w:val="00D02088"/>
    <w:rsid w:val="00D0228B"/>
    <w:rsid w:val="00D0262E"/>
    <w:rsid w:val="00D02891"/>
    <w:rsid w:val="00D02959"/>
    <w:rsid w:val="00D02A44"/>
    <w:rsid w:val="00D03338"/>
    <w:rsid w:val="00D03B4A"/>
    <w:rsid w:val="00D04090"/>
    <w:rsid w:val="00D049D6"/>
    <w:rsid w:val="00D054CC"/>
    <w:rsid w:val="00D0555C"/>
    <w:rsid w:val="00D05CA2"/>
    <w:rsid w:val="00D05D47"/>
    <w:rsid w:val="00D05DE6"/>
    <w:rsid w:val="00D05E3D"/>
    <w:rsid w:val="00D05F81"/>
    <w:rsid w:val="00D06139"/>
    <w:rsid w:val="00D06284"/>
    <w:rsid w:val="00D0637E"/>
    <w:rsid w:val="00D063B2"/>
    <w:rsid w:val="00D07064"/>
    <w:rsid w:val="00D0752B"/>
    <w:rsid w:val="00D0798B"/>
    <w:rsid w:val="00D07EF9"/>
    <w:rsid w:val="00D104CB"/>
    <w:rsid w:val="00D108A0"/>
    <w:rsid w:val="00D10D4A"/>
    <w:rsid w:val="00D110BD"/>
    <w:rsid w:val="00D112D9"/>
    <w:rsid w:val="00D11E03"/>
    <w:rsid w:val="00D134C9"/>
    <w:rsid w:val="00D13675"/>
    <w:rsid w:val="00D13B91"/>
    <w:rsid w:val="00D141E1"/>
    <w:rsid w:val="00D15314"/>
    <w:rsid w:val="00D154CB"/>
    <w:rsid w:val="00D154D3"/>
    <w:rsid w:val="00D15C39"/>
    <w:rsid w:val="00D16889"/>
    <w:rsid w:val="00D16E1D"/>
    <w:rsid w:val="00D16F35"/>
    <w:rsid w:val="00D17251"/>
    <w:rsid w:val="00D17D6C"/>
    <w:rsid w:val="00D17E36"/>
    <w:rsid w:val="00D20473"/>
    <w:rsid w:val="00D2052E"/>
    <w:rsid w:val="00D20CEE"/>
    <w:rsid w:val="00D210C4"/>
    <w:rsid w:val="00D2126A"/>
    <w:rsid w:val="00D2155B"/>
    <w:rsid w:val="00D21CCA"/>
    <w:rsid w:val="00D220DA"/>
    <w:rsid w:val="00D222C8"/>
    <w:rsid w:val="00D228F9"/>
    <w:rsid w:val="00D22A47"/>
    <w:rsid w:val="00D2312B"/>
    <w:rsid w:val="00D23829"/>
    <w:rsid w:val="00D23D11"/>
    <w:rsid w:val="00D23E8D"/>
    <w:rsid w:val="00D244B6"/>
    <w:rsid w:val="00D247B2"/>
    <w:rsid w:val="00D26542"/>
    <w:rsid w:val="00D2677F"/>
    <w:rsid w:val="00D267F4"/>
    <w:rsid w:val="00D26AB9"/>
    <w:rsid w:val="00D26ACC"/>
    <w:rsid w:val="00D26F71"/>
    <w:rsid w:val="00D2754D"/>
    <w:rsid w:val="00D275A6"/>
    <w:rsid w:val="00D27B27"/>
    <w:rsid w:val="00D30168"/>
    <w:rsid w:val="00D301E2"/>
    <w:rsid w:val="00D31AC0"/>
    <w:rsid w:val="00D3248D"/>
    <w:rsid w:val="00D32A10"/>
    <w:rsid w:val="00D33BE9"/>
    <w:rsid w:val="00D33C97"/>
    <w:rsid w:val="00D33F93"/>
    <w:rsid w:val="00D35310"/>
    <w:rsid w:val="00D357FF"/>
    <w:rsid w:val="00D35918"/>
    <w:rsid w:val="00D35952"/>
    <w:rsid w:val="00D369E9"/>
    <w:rsid w:val="00D36B50"/>
    <w:rsid w:val="00D40694"/>
    <w:rsid w:val="00D40AB5"/>
    <w:rsid w:val="00D424C7"/>
    <w:rsid w:val="00D42E1D"/>
    <w:rsid w:val="00D43392"/>
    <w:rsid w:val="00D436EB"/>
    <w:rsid w:val="00D43792"/>
    <w:rsid w:val="00D43A29"/>
    <w:rsid w:val="00D43B2A"/>
    <w:rsid w:val="00D43D83"/>
    <w:rsid w:val="00D44126"/>
    <w:rsid w:val="00D449C3"/>
    <w:rsid w:val="00D44ECE"/>
    <w:rsid w:val="00D45089"/>
    <w:rsid w:val="00D45F4F"/>
    <w:rsid w:val="00D462E2"/>
    <w:rsid w:val="00D46D56"/>
    <w:rsid w:val="00D47575"/>
    <w:rsid w:val="00D47956"/>
    <w:rsid w:val="00D5135E"/>
    <w:rsid w:val="00D51381"/>
    <w:rsid w:val="00D518E8"/>
    <w:rsid w:val="00D51A8E"/>
    <w:rsid w:val="00D5243B"/>
    <w:rsid w:val="00D52E7D"/>
    <w:rsid w:val="00D533EC"/>
    <w:rsid w:val="00D53C02"/>
    <w:rsid w:val="00D540A3"/>
    <w:rsid w:val="00D5481C"/>
    <w:rsid w:val="00D55738"/>
    <w:rsid w:val="00D55CDD"/>
    <w:rsid w:val="00D56A95"/>
    <w:rsid w:val="00D57E90"/>
    <w:rsid w:val="00D608D0"/>
    <w:rsid w:val="00D60A76"/>
    <w:rsid w:val="00D60C22"/>
    <w:rsid w:val="00D61725"/>
    <w:rsid w:val="00D6199F"/>
    <w:rsid w:val="00D61E72"/>
    <w:rsid w:val="00D62969"/>
    <w:rsid w:val="00D631DF"/>
    <w:rsid w:val="00D63569"/>
    <w:rsid w:val="00D63EE3"/>
    <w:rsid w:val="00D65ED1"/>
    <w:rsid w:val="00D66060"/>
    <w:rsid w:val="00D66C19"/>
    <w:rsid w:val="00D70145"/>
    <w:rsid w:val="00D70F16"/>
    <w:rsid w:val="00D71EEA"/>
    <w:rsid w:val="00D71FA6"/>
    <w:rsid w:val="00D72348"/>
    <w:rsid w:val="00D72F57"/>
    <w:rsid w:val="00D73E73"/>
    <w:rsid w:val="00D73F04"/>
    <w:rsid w:val="00D74D76"/>
    <w:rsid w:val="00D74F0F"/>
    <w:rsid w:val="00D7552D"/>
    <w:rsid w:val="00D7624F"/>
    <w:rsid w:val="00D76A44"/>
    <w:rsid w:val="00D76B2A"/>
    <w:rsid w:val="00D76D1B"/>
    <w:rsid w:val="00D76D29"/>
    <w:rsid w:val="00D76DD6"/>
    <w:rsid w:val="00D76EEE"/>
    <w:rsid w:val="00D770DC"/>
    <w:rsid w:val="00D77244"/>
    <w:rsid w:val="00D77498"/>
    <w:rsid w:val="00D80F59"/>
    <w:rsid w:val="00D815EF"/>
    <w:rsid w:val="00D817B7"/>
    <w:rsid w:val="00D81AC7"/>
    <w:rsid w:val="00D81F26"/>
    <w:rsid w:val="00D823FD"/>
    <w:rsid w:val="00D829D8"/>
    <w:rsid w:val="00D83595"/>
    <w:rsid w:val="00D83899"/>
    <w:rsid w:val="00D83BA0"/>
    <w:rsid w:val="00D83D45"/>
    <w:rsid w:val="00D83FDF"/>
    <w:rsid w:val="00D85787"/>
    <w:rsid w:val="00D85B45"/>
    <w:rsid w:val="00D86231"/>
    <w:rsid w:val="00D879EB"/>
    <w:rsid w:val="00D87E07"/>
    <w:rsid w:val="00D87F99"/>
    <w:rsid w:val="00D90C26"/>
    <w:rsid w:val="00D912B2"/>
    <w:rsid w:val="00D91923"/>
    <w:rsid w:val="00D91BE7"/>
    <w:rsid w:val="00D9270D"/>
    <w:rsid w:val="00D9298B"/>
    <w:rsid w:val="00D93753"/>
    <w:rsid w:val="00D9558C"/>
    <w:rsid w:val="00D95E27"/>
    <w:rsid w:val="00D966F9"/>
    <w:rsid w:val="00DA04A0"/>
    <w:rsid w:val="00DA06C6"/>
    <w:rsid w:val="00DA0A50"/>
    <w:rsid w:val="00DA1A7E"/>
    <w:rsid w:val="00DA1FC3"/>
    <w:rsid w:val="00DA220E"/>
    <w:rsid w:val="00DA3095"/>
    <w:rsid w:val="00DA3167"/>
    <w:rsid w:val="00DA3563"/>
    <w:rsid w:val="00DA39CA"/>
    <w:rsid w:val="00DA440F"/>
    <w:rsid w:val="00DA4DC3"/>
    <w:rsid w:val="00DA5097"/>
    <w:rsid w:val="00DA5231"/>
    <w:rsid w:val="00DA523B"/>
    <w:rsid w:val="00DA5613"/>
    <w:rsid w:val="00DA623E"/>
    <w:rsid w:val="00DA65CC"/>
    <w:rsid w:val="00DA77A5"/>
    <w:rsid w:val="00DA798E"/>
    <w:rsid w:val="00DA7B56"/>
    <w:rsid w:val="00DB01CA"/>
    <w:rsid w:val="00DB0803"/>
    <w:rsid w:val="00DB0946"/>
    <w:rsid w:val="00DB20EF"/>
    <w:rsid w:val="00DB2819"/>
    <w:rsid w:val="00DB29CC"/>
    <w:rsid w:val="00DB2ACB"/>
    <w:rsid w:val="00DB2B06"/>
    <w:rsid w:val="00DB3132"/>
    <w:rsid w:val="00DB3DBF"/>
    <w:rsid w:val="00DB42A6"/>
    <w:rsid w:val="00DB484F"/>
    <w:rsid w:val="00DB4F35"/>
    <w:rsid w:val="00DB4F71"/>
    <w:rsid w:val="00DB545F"/>
    <w:rsid w:val="00DB64BC"/>
    <w:rsid w:val="00DB6E9B"/>
    <w:rsid w:val="00DC04F6"/>
    <w:rsid w:val="00DC0690"/>
    <w:rsid w:val="00DC1D65"/>
    <w:rsid w:val="00DC2816"/>
    <w:rsid w:val="00DC3C57"/>
    <w:rsid w:val="00DC454E"/>
    <w:rsid w:val="00DC54FF"/>
    <w:rsid w:val="00DC5501"/>
    <w:rsid w:val="00DC5814"/>
    <w:rsid w:val="00DC6856"/>
    <w:rsid w:val="00DC7154"/>
    <w:rsid w:val="00DC7E8A"/>
    <w:rsid w:val="00DD00BD"/>
    <w:rsid w:val="00DD0F78"/>
    <w:rsid w:val="00DD20A4"/>
    <w:rsid w:val="00DD2264"/>
    <w:rsid w:val="00DD273C"/>
    <w:rsid w:val="00DD30E2"/>
    <w:rsid w:val="00DD385F"/>
    <w:rsid w:val="00DD3BF9"/>
    <w:rsid w:val="00DD3F28"/>
    <w:rsid w:val="00DD41F8"/>
    <w:rsid w:val="00DD4537"/>
    <w:rsid w:val="00DD49BE"/>
    <w:rsid w:val="00DD4E15"/>
    <w:rsid w:val="00DD4F2A"/>
    <w:rsid w:val="00DD5550"/>
    <w:rsid w:val="00DD6C61"/>
    <w:rsid w:val="00DD6E97"/>
    <w:rsid w:val="00DD7357"/>
    <w:rsid w:val="00DD785C"/>
    <w:rsid w:val="00DD7C64"/>
    <w:rsid w:val="00DE009D"/>
    <w:rsid w:val="00DE07C2"/>
    <w:rsid w:val="00DE152E"/>
    <w:rsid w:val="00DE1CFA"/>
    <w:rsid w:val="00DE22FC"/>
    <w:rsid w:val="00DE2304"/>
    <w:rsid w:val="00DE23CC"/>
    <w:rsid w:val="00DE26B7"/>
    <w:rsid w:val="00DE2D8D"/>
    <w:rsid w:val="00DE3138"/>
    <w:rsid w:val="00DE330C"/>
    <w:rsid w:val="00DE3481"/>
    <w:rsid w:val="00DE37F8"/>
    <w:rsid w:val="00DE3D05"/>
    <w:rsid w:val="00DE41AA"/>
    <w:rsid w:val="00DE427B"/>
    <w:rsid w:val="00DE4B33"/>
    <w:rsid w:val="00DE4FCB"/>
    <w:rsid w:val="00DE54B9"/>
    <w:rsid w:val="00DE5D07"/>
    <w:rsid w:val="00DE6877"/>
    <w:rsid w:val="00DE691C"/>
    <w:rsid w:val="00DE6CCD"/>
    <w:rsid w:val="00DE72A7"/>
    <w:rsid w:val="00DE77FF"/>
    <w:rsid w:val="00DE7832"/>
    <w:rsid w:val="00DE7A53"/>
    <w:rsid w:val="00DF105F"/>
    <w:rsid w:val="00DF1567"/>
    <w:rsid w:val="00DF15D1"/>
    <w:rsid w:val="00DF18FC"/>
    <w:rsid w:val="00DF23E6"/>
    <w:rsid w:val="00DF44A0"/>
    <w:rsid w:val="00DF474D"/>
    <w:rsid w:val="00DF4A85"/>
    <w:rsid w:val="00DF5B7C"/>
    <w:rsid w:val="00DF5D2B"/>
    <w:rsid w:val="00DF5FD8"/>
    <w:rsid w:val="00DF6C38"/>
    <w:rsid w:val="00DF6D2B"/>
    <w:rsid w:val="00E00E8E"/>
    <w:rsid w:val="00E013AB"/>
    <w:rsid w:val="00E01D5E"/>
    <w:rsid w:val="00E02670"/>
    <w:rsid w:val="00E02F08"/>
    <w:rsid w:val="00E03E05"/>
    <w:rsid w:val="00E042B7"/>
    <w:rsid w:val="00E05630"/>
    <w:rsid w:val="00E064EB"/>
    <w:rsid w:val="00E06569"/>
    <w:rsid w:val="00E0679F"/>
    <w:rsid w:val="00E06912"/>
    <w:rsid w:val="00E06DBB"/>
    <w:rsid w:val="00E07717"/>
    <w:rsid w:val="00E07740"/>
    <w:rsid w:val="00E0781A"/>
    <w:rsid w:val="00E100FC"/>
    <w:rsid w:val="00E10149"/>
    <w:rsid w:val="00E106AB"/>
    <w:rsid w:val="00E10BD0"/>
    <w:rsid w:val="00E11340"/>
    <w:rsid w:val="00E11373"/>
    <w:rsid w:val="00E11A90"/>
    <w:rsid w:val="00E12075"/>
    <w:rsid w:val="00E122A1"/>
    <w:rsid w:val="00E1266D"/>
    <w:rsid w:val="00E12949"/>
    <w:rsid w:val="00E129D9"/>
    <w:rsid w:val="00E13438"/>
    <w:rsid w:val="00E136E9"/>
    <w:rsid w:val="00E14245"/>
    <w:rsid w:val="00E159C5"/>
    <w:rsid w:val="00E16372"/>
    <w:rsid w:val="00E17383"/>
    <w:rsid w:val="00E17CFF"/>
    <w:rsid w:val="00E20E4D"/>
    <w:rsid w:val="00E20ED6"/>
    <w:rsid w:val="00E21139"/>
    <w:rsid w:val="00E21358"/>
    <w:rsid w:val="00E2201B"/>
    <w:rsid w:val="00E2249B"/>
    <w:rsid w:val="00E22A0D"/>
    <w:rsid w:val="00E23377"/>
    <w:rsid w:val="00E2341F"/>
    <w:rsid w:val="00E23AAB"/>
    <w:rsid w:val="00E242D4"/>
    <w:rsid w:val="00E244F6"/>
    <w:rsid w:val="00E2472E"/>
    <w:rsid w:val="00E25880"/>
    <w:rsid w:val="00E25AB5"/>
    <w:rsid w:val="00E26B00"/>
    <w:rsid w:val="00E27247"/>
    <w:rsid w:val="00E2746F"/>
    <w:rsid w:val="00E2770D"/>
    <w:rsid w:val="00E2771E"/>
    <w:rsid w:val="00E27813"/>
    <w:rsid w:val="00E2784F"/>
    <w:rsid w:val="00E30987"/>
    <w:rsid w:val="00E311EF"/>
    <w:rsid w:val="00E318CC"/>
    <w:rsid w:val="00E31F06"/>
    <w:rsid w:val="00E32180"/>
    <w:rsid w:val="00E327DA"/>
    <w:rsid w:val="00E339AF"/>
    <w:rsid w:val="00E33FE5"/>
    <w:rsid w:val="00E34444"/>
    <w:rsid w:val="00E34948"/>
    <w:rsid w:val="00E34EFF"/>
    <w:rsid w:val="00E35A74"/>
    <w:rsid w:val="00E365CB"/>
    <w:rsid w:val="00E367DA"/>
    <w:rsid w:val="00E369BF"/>
    <w:rsid w:val="00E36B81"/>
    <w:rsid w:val="00E36D2B"/>
    <w:rsid w:val="00E36D78"/>
    <w:rsid w:val="00E37569"/>
    <w:rsid w:val="00E401B2"/>
    <w:rsid w:val="00E40CF0"/>
    <w:rsid w:val="00E41C90"/>
    <w:rsid w:val="00E41E22"/>
    <w:rsid w:val="00E41E30"/>
    <w:rsid w:val="00E4290C"/>
    <w:rsid w:val="00E42F73"/>
    <w:rsid w:val="00E433AA"/>
    <w:rsid w:val="00E43869"/>
    <w:rsid w:val="00E439ED"/>
    <w:rsid w:val="00E43A46"/>
    <w:rsid w:val="00E43CDE"/>
    <w:rsid w:val="00E43D70"/>
    <w:rsid w:val="00E44F92"/>
    <w:rsid w:val="00E45176"/>
    <w:rsid w:val="00E45924"/>
    <w:rsid w:val="00E45A0A"/>
    <w:rsid w:val="00E45D50"/>
    <w:rsid w:val="00E45E90"/>
    <w:rsid w:val="00E4608D"/>
    <w:rsid w:val="00E466F3"/>
    <w:rsid w:val="00E47A37"/>
    <w:rsid w:val="00E47B2C"/>
    <w:rsid w:val="00E47B7E"/>
    <w:rsid w:val="00E47F13"/>
    <w:rsid w:val="00E50BD5"/>
    <w:rsid w:val="00E51560"/>
    <w:rsid w:val="00E51C5B"/>
    <w:rsid w:val="00E51F53"/>
    <w:rsid w:val="00E52ED1"/>
    <w:rsid w:val="00E535E7"/>
    <w:rsid w:val="00E5391D"/>
    <w:rsid w:val="00E53AE9"/>
    <w:rsid w:val="00E53E60"/>
    <w:rsid w:val="00E53FC8"/>
    <w:rsid w:val="00E54347"/>
    <w:rsid w:val="00E54390"/>
    <w:rsid w:val="00E54692"/>
    <w:rsid w:val="00E5484C"/>
    <w:rsid w:val="00E54B21"/>
    <w:rsid w:val="00E54BAC"/>
    <w:rsid w:val="00E55424"/>
    <w:rsid w:val="00E55461"/>
    <w:rsid w:val="00E55717"/>
    <w:rsid w:val="00E55915"/>
    <w:rsid w:val="00E559AA"/>
    <w:rsid w:val="00E55BB5"/>
    <w:rsid w:val="00E564E7"/>
    <w:rsid w:val="00E56EEB"/>
    <w:rsid w:val="00E57491"/>
    <w:rsid w:val="00E57B45"/>
    <w:rsid w:val="00E60900"/>
    <w:rsid w:val="00E60A46"/>
    <w:rsid w:val="00E60B33"/>
    <w:rsid w:val="00E61A65"/>
    <w:rsid w:val="00E6366A"/>
    <w:rsid w:val="00E6371A"/>
    <w:rsid w:val="00E64133"/>
    <w:rsid w:val="00E6430E"/>
    <w:rsid w:val="00E644F9"/>
    <w:rsid w:val="00E653BC"/>
    <w:rsid w:val="00E65663"/>
    <w:rsid w:val="00E65E79"/>
    <w:rsid w:val="00E660FD"/>
    <w:rsid w:val="00E66445"/>
    <w:rsid w:val="00E6653C"/>
    <w:rsid w:val="00E66B17"/>
    <w:rsid w:val="00E66BA2"/>
    <w:rsid w:val="00E67416"/>
    <w:rsid w:val="00E678CC"/>
    <w:rsid w:val="00E67D2F"/>
    <w:rsid w:val="00E71114"/>
    <w:rsid w:val="00E718B6"/>
    <w:rsid w:val="00E71DA6"/>
    <w:rsid w:val="00E723BA"/>
    <w:rsid w:val="00E72652"/>
    <w:rsid w:val="00E72E89"/>
    <w:rsid w:val="00E72F00"/>
    <w:rsid w:val="00E733F6"/>
    <w:rsid w:val="00E73581"/>
    <w:rsid w:val="00E736B8"/>
    <w:rsid w:val="00E73906"/>
    <w:rsid w:val="00E74075"/>
    <w:rsid w:val="00E74892"/>
    <w:rsid w:val="00E74A27"/>
    <w:rsid w:val="00E74EEC"/>
    <w:rsid w:val="00E75336"/>
    <w:rsid w:val="00E76321"/>
    <w:rsid w:val="00E76898"/>
    <w:rsid w:val="00E76B52"/>
    <w:rsid w:val="00E77675"/>
    <w:rsid w:val="00E779B5"/>
    <w:rsid w:val="00E77FF7"/>
    <w:rsid w:val="00E8029C"/>
    <w:rsid w:val="00E80551"/>
    <w:rsid w:val="00E812DE"/>
    <w:rsid w:val="00E823B6"/>
    <w:rsid w:val="00E82ACD"/>
    <w:rsid w:val="00E831FF"/>
    <w:rsid w:val="00E833F7"/>
    <w:rsid w:val="00E83BDF"/>
    <w:rsid w:val="00E848D5"/>
    <w:rsid w:val="00E84F81"/>
    <w:rsid w:val="00E852DA"/>
    <w:rsid w:val="00E85D71"/>
    <w:rsid w:val="00E866E3"/>
    <w:rsid w:val="00E87294"/>
    <w:rsid w:val="00E87444"/>
    <w:rsid w:val="00E87A1D"/>
    <w:rsid w:val="00E90250"/>
    <w:rsid w:val="00E9042C"/>
    <w:rsid w:val="00E9094A"/>
    <w:rsid w:val="00E90956"/>
    <w:rsid w:val="00E90A35"/>
    <w:rsid w:val="00E90C6E"/>
    <w:rsid w:val="00E91D35"/>
    <w:rsid w:val="00E91E50"/>
    <w:rsid w:val="00E92262"/>
    <w:rsid w:val="00E92583"/>
    <w:rsid w:val="00E926A5"/>
    <w:rsid w:val="00E92B97"/>
    <w:rsid w:val="00E92D0B"/>
    <w:rsid w:val="00E93DE3"/>
    <w:rsid w:val="00E948FC"/>
    <w:rsid w:val="00E94C16"/>
    <w:rsid w:val="00E94DF6"/>
    <w:rsid w:val="00E95160"/>
    <w:rsid w:val="00E95848"/>
    <w:rsid w:val="00E95FEB"/>
    <w:rsid w:val="00E96C42"/>
    <w:rsid w:val="00E96F4D"/>
    <w:rsid w:val="00EA165E"/>
    <w:rsid w:val="00EA17C3"/>
    <w:rsid w:val="00EA1F38"/>
    <w:rsid w:val="00EA27C7"/>
    <w:rsid w:val="00EA2952"/>
    <w:rsid w:val="00EA2CAA"/>
    <w:rsid w:val="00EA3864"/>
    <w:rsid w:val="00EA3E4E"/>
    <w:rsid w:val="00EA4C32"/>
    <w:rsid w:val="00EA663D"/>
    <w:rsid w:val="00EA702F"/>
    <w:rsid w:val="00EA74AD"/>
    <w:rsid w:val="00EA7627"/>
    <w:rsid w:val="00EA7F1C"/>
    <w:rsid w:val="00EB00F5"/>
    <w:rsid w:val="00EB0CF4"/>
    <w:rsid w:val="00EB0F1E"/>
    <w:rsid w:val="00EB0F30"/>
    <w:rsid w:val="00EB15B6"/>
    <w:rsid w:val="00EB1B20"/>
    <w:rsid w:val="00EB2BB6"/>
    <w:rsid w:val="00EB30D2"/>
    <w:rsid w:val="00EB334A"/>
    <w:rsid w:val="00EB3D06"/>
    <w:rsid w:val="00EB4916"/>
    <w:rsid w:val="00EB5B16"/>
    <w:rsid w:val="00EB6210"/>
    <w:rsid w:val="00EB63B2"/>
    <w:rsid w:val="00EB6C96"/>
    <w:rsid w:val="00EB710B"/>
    <w:rsid w:val="00EB7EA3"/>
    <w:rsid w:val="00EC00C9"/>
    <w:rsid w:val="00EC02E2"/>
    <w:rsid w:val="00EC062B"/>
    <w:rsid w:val="00EC0669"/>
    <w:rsid w:val="00EC08A8"/>
    <w:rsid w:val="00EC0DD9"/>
    <w:rsid w:val="00EC2649"/>
    <w:rsid w:val="00EC2781"/>
    <w:rsid w:val="00EC31ED"/>
    <w:rsid w:val="00EC3656"/>
    <w:rsid w:val="00EC36C4"/>
    <w:rsid w:val="00EC3DD5"/>
    <w:rsid w:val="00EC5547"/>
    <w:rsid w:val="00EC5836"/>
    <w:rsid w:val="00EC5C4C"/>
    <w:rsid w:val="00EC61A2"/>
    <w:rsid w:val="00EC6253"/>
    <w:rsid w:val="00EC688C"/>
    <w:rsid w:val="00EC69AE"/>
    <w:rsid w:val="00EC7B2E"/>
    <w:rsid w:val="00ED0119"/>
    <w:rsid w:val="00ED0154"/>
    <w:rsid w:val="00ED2171"/>
    <w:rsid w:val="00ED2F45"/>
    <w:rsid w:val="00ED4532"/>
    <w:rsid w:val="00ED53E9"/>
    <w:rsid w:val="00ED57EA"/>
    <w:rsid w:val="00ED5BD4"/>
    <w:rsid w:val="00ED5FAE"/>
    <w:rsid w:val="00ED66F4"/>
    <w:rsid w:val="00ED7BD8"/>
    <w:rsid w:val="00EE0214"/>
    <w:rsid w:val="00EE024F"/>
    <w:rsid w:val="00EE027D"/>
    <w:rsid w:val="00EE07D3"/>
    <w:rsid w:val="00EE0926"/>
    <w:rsid w:val="00EE0DB6"/>
    <w:rsid w:val="00EE1996"/>
    <w:rsid w:val="00EE1BF1"/>
    <w:rsid w:val="00EE1C01"/>
    <w:rsid w:val="00EE22AF"/>
    <w:rsid w:val="00EE2DFF"/>
    <w:rsid w:val="00EE2EC2"/>
    <w:rsid w:val="00EE30C2"/>
    <w:rsid w:val="00EE3258"/>
    <w:rsid w:val="00EE3895"/>
    <w:rsid w:val="00EE4711"/>
    <w:rsid w:val="00EE4D9B"/>
    <w:rsid w:val="00EE5386"/>
    <w:rsid w:val="00EE56F5"/>
    <w:rsid w:val="00EE5C44"/>
    <w:rsid w:val="00EE60D7"/>
    <w:rsid w:val="00EE6D5D"/>
    <w:rsid w:val="00EE733C"/>
    <w:rsid w:val="00EE73F3"/>
    <w:rsid w:val="00EF0171"/>
    <w:rsid w:val="00EF0845"/>
    <w:rsid w:val="00EF0ADD"/>
    <w:rsid w:val="00EF0E34"/>
    <w:rsid w:val="00EF15C8"/>
    <w:rsid w:val="00EF1959"/>
    <w:rsid w:val="00EF1B25"/>
    <w:rsid w:val="00EF1DA0"/>
    <w:rsid w:val="00EF2601"/>
    <w:rsid w:val="00EF289C"/>
    <w:rsid w:val="00EF28BB"/>
    <w:rsid w:val="00EF2B46"/>
    <w:rsid w:val="00EF36AD"/>
    <w:rsid w:val="00EF4603"/>
    <w:rsid w:val="00EF4747"/>
    <w:rsid w:val="00EF4BF8"/>
    <w:rsid w:val="00EF5A7E"/>
    <w:rsid w:val="00EF6981"/>
    <w:rsid w:val="00EF6D6D"/>
    <w:rsid w:val="00EF7EB7"/>
    <w:rsid w:val="00F01F20"/>
    <w:rsid w:val="00F02253"/>
    <w:rsid w:val="00F03C2E"/>
    <w:rsid w:val="00F044FD"/>
    <w:rsid w:val="00F04A16"/>
    <w:rsid w:val="00F04A66"/>
    <w:rsid w:val="00F04AF6"/>
    <w:rsid w:val="00F04B4B"/>
    <w:rsid w:val="00F0516C"/>
    <w:rsid w:val="00F067A2"/>
    <w:rsid w:val="00F0690A"/>
    <w:rsid w:val="00F06C95"/>
    <w:rsid w:val="00F076EF"/>
    <w:rsid w:val="00F07B9E"/>
    <w:rsid w:val="00F10169"/>
    <w:rsid w:val="00F1116F"/>
    <w:rsid w:val="00F11632"/>
    <w:rsid w:val="00F11A29"/>
    <w:rsid w:val="00F1263A"/>
    <w:rsid w:val="00F134D7"/>
    <w:rsid w:val="00F13B09"/>
    <w:rsid w:val="00F1435B"/>
    <w:rsid w:val="00F1438A"/>
    <w:rsid w:val="00F14EBB"/>
    <w:rsid w:val="00F1598B"/>
    <w:rsid w:val="00F15B77"/>
    <w:rsid w:val="00F15D11"/>
    <w:rsid w:val="00F15DD4"/>
    <w:rsid w:val="00F15E04"/>
    <w:rsid w:val="00F1614B"/>
    <w:rsid w:val="00F16A43"/>
    <w:rsid w:val="00F176F5"/>
    <w:rsid w:val="00F17DAC"/>
    <w:rsid w:val="00F20027"/>
    <w:rsid w:val="00F20550"/>
    <w:rsid w:val="00F2060B"/>
    <w:rsid w:val="00F20C47"/>
    <w:rsid w:val="00F21ED3"/>
    <w:rsid w:val="00F22609"/>
    <w:rsid w:val="00F22BAB"/>
    <w:rsid w:val="00F23123"/>
    <w:rsid w:val="00F23180"/>
    <w:rsid w:val="00F231EC"/>
    <w:rsid w:val="00F23518"/>
    <w:rsid w:val="00F24837"/>
    <w:rsid w:val="00F2506D"/>
    <w:rsid w:val="00F255D7"/>
    <w:rsid w:val="00F2575F"/>
    <w:rsid w:val="00F25ABA"/>
    <w:rsid w:val="00F2643E"/>
    <w:rsid w:val="00F26633"/>
    <w:rsid w:val="00F266A1"/>
    <w:rsid w:val="00F27565"/>
    <w:rsid w:val="00F30507"/>
    <w:rsid w:val="00F310D4"/>
    <w:rsid w:val="00F312BD"/>
    <w:rsid w:val="00F312E2"/>
    <w:rsid w:val="00F3161B"/>
    <w:rsid w:val="00F31999"/>
    <w:rsid w:val="00F31D5A"/>
    <w:rsid w:val="00F3228B"/>
    <w:rsid w:val="00F3232B"/>
    <w:rsid w:val="00F3287D"/>
    <w:rsid w:val="00F328E7"/>
    <w:rsid w:val="00F3327E"/>
    <w:rsid w:val="00F33975"/>
    <w:rsid w:val="00F33DE9"/>
    <w:rsid w:val="00F34130"/>
    <w:rsid w:val="00F344EE"/>
    <w:rsid w:val="00F34FDC"/>
    <w:rsid w:val="00F35E6D"/>
    <w:rsid w:val="00F3619A"/>
    <w:rsid w:val="00F362AD"/>
    <w:rsid w:val="00F365A5"/>
    <w:rsid w:val="00F375BC"/>
    <w:rsid w:val="00F409F7"/>
    <w:rsid w:val="00F40AAA"/>
    <w:rsid w:val="00F40BA7"/>
    <w:rsid w:val="00F40D66"/>
    <w:rsid w:val="00F40F9D"/>
    <w:rsid w:val="00F41ACD"/>
    <w:rsid w:val="00F41B74"/>
    <w:rsid w:val="00F42ABB"/>
    <w:rsid w:val="00F42ADB"/>
    <w:rsid w:val="00F43F1F"/>
    <w:rsid w:val="00F4472A"/>
    <w:rsid w:val="00F45284"/>
    <w:rsid w:val="00F457A6"/>
    <w:rsid w:val="00F462AE"/>
    <w:rsid w:val="00F46385"/>
    <w:rsid w:val="00F46CB6"/>
    <w:rsid w:val="00F47007"/>
    <w:rsid w:val="00F4756D"/>
    <w:rsid w:val="00F47DE8"/>
    <w:rsid w:val="00F47F6D"/>
    <w:rsid w:val="00F501A3"/>
    <w:rsid w:val="00F5178D"/>
    <w:rsid w:val="00F53072"/>
    <w:rsid w:val="00F536DB"/>
    <w:rsid w:val="00F542C1"/>
    <w:rsid w:val="00F548FF"/>
    <w:rsid w:val="00F54B3A"/>
    <w:rsid w:val="00F55E73"/>
    <w:rsid w:val="00F55EDA"/>
    <w:rsid w:val="00F56475"/>
    <w:rsid w:val="00F565D5"/>
    <w:rsid w:val="00F5697A"/>
    <w:rsid w:val="00F56A40"/>
    <w:rsid w:val="00F56C80"/>
    <w:rsid w:val="00F56CEA"/>
    <w:rsid w:val="00F5732E"/>
    <w:rsid w:val="00F57448"/>
    <w:rsid w:val="00F57E9C"/>
    <w:rsid w:val="00F60092"/>
    <w:rsid w:val="00F60227"/>
    <w:rsid w:val="00F60557"/>
    <w:rsid w:val="00F607DE"/>
    <w:rsid w:val="00F61C18"/>
    <w:rsid w:val="00F62957"/>
    <w:rsid w:val="00F63483"/>
    <w:rsid w:val="00F63581"/>
    <w:rsid w:val="00F64AB3"/>
    <w:rsid w:val="00F64EB8"/>
    <w:rsid w:val="00F653F2"/>
    <w:rsid w:val="00F65722"/>
    <w:rsid w:val="00F65E35"/>
    <w:rsid w:val="00F65F4B"/>
    <w:rsid w:val="00F6615F"/>
    <w:rsid w:val="00F66381"/>
    <w:rsid w:val="00F67A69"/>
    <w:rsid w:val="00F67DF6"/>
    <w:rsid w:val="00F70BFF"/>
    <w:rsid w:val="00F70C9D"/>
    <w:rsid w:val="00F71709"/>
    <w:rsid w:val="00F71B4E"/>
    <w:rsid w:val="00F71C69"/>
    <w:rsid w:val="00F725CB"/>
    <w:rsid w:val="00F730A4"/>
    <w:rsid w:val="00F734C6"/>
    <w:rsid w:val="00F738B8"/>
    <w:rsid w:val="00F73B21"/>
    <w:rsid w:val="00F743D1"/>
    <w:rsid w:val="00F74412"/>
    <w:rsid w:val="00F7445C"/>
    <w:rsid w:val="00F744ED"/>
    <w:rsid w:val="00F74CD9"/>
    <w:rsid w:val="00F75BEA"/>
    <w:rsid w:val="00F76822"/>
    <w:rsid w:val="00F76AC3"/>
    <w:rsid w:val="00F771FC"/>
    <w:rsid w:val="00F77BA2"/>
    <w:rsid w:val="00F80A7B"/>
    <w:rsid w:val="00F80E5D"/>
    <w:rsid w:val="00F815F7"/>
    <w:rsid w:val="00F81DAB"/>
    <w:rsid w:val="00F81E78"/>
    <w:rsid w:val="00F820CC"/>
    <w:rsid w:val="00F82A30"/>
    <w:rsid w:val="00F845F9"/>
    <w:rsid w:val="00F848B8"/>
    <w:rsid w:val="00F851CE"/>
    <w:rsid w:val="00F85D2D"/>
    <w:rsid w:val="00F85EEE"/>
    <w:rsid w:val="00F867DC"/>
    <w:rsid w:val="00F86B22"/>
    <w:rsid w:val="00F86F04"/>
    <w:rsid w:val="00F87243"/>
    <w:rsid w:val="00F87907"/>
    <w:rsid w:val="00F87F95"/>
    <w:rsid w:val="00F9001F"/>
    <w:rsid w:val="00F90343"/>
    <w:rsid w:val="00F91219"/>
    <w:rsid w:val="00F9200F"/>
    <w:rsid w:val="00F92444"/>
    <w:rsid w:val="00F93258"/>
    <w:rsid w:val="00F93829"/>
    <w:rsid w:val="00F9393E"/>
    <w:rsid w:val="00F93E3F"/>
    <w:rsid w:val="00F94360"/>
    <w:rsid w:val="00F94A1D"/>
    <w:rsid w:val="00F94ABB"/>
    <w:rsid w:val="00F94BCA"/>
    <w:rsid w:val="00F94DED"/>
    <w:rsid w:val="00F9566B"/>
    <w:rsid w:val="00F95961"/>
    <w:rsid w:val="00F968A4"/>
    <w:rsid w:val="00F96FD0"/>
    <w:rsid w:val="00F97517"/>
    <w:rsid w:val="00F97878"/>
    <w:rsid w:val="00F97A78"/>
    <w:rsid w:val="00FA0426"/>
    <w:rsid w:val="00FA07E1"/>
    <w:rsid w:val="00FA0B20"/>
    <w:rsid w:val="00FA126A"/>
    <w:rsid w:val="00FA24E7"/>
    <w:rsid w:val="00FA277F"/>
    <w:rsid w:val="00FA31EC"/>
    <w:rsid w:val="00FA3430"/>
    <w:rsid w:val="00FA37B7"/>
    <w:rsid w:val="00FA3A67"/>
    <w:rsid w:val="00FA3CCE"/>
    <w:rsid w:val="00FA3F68"/>
    <w:rsid w:val="00FA4150"/>
    <w:rsid w:val="00FA4545"/>
    <w:rsid w:val="00FA478D"/>
    <w:rsid w:val="00FA57E7"/>
    <w:rsid w:val="00FA57F7"/>
    <w:rsid w:val="00FA5EE6"/>
    <w:rsid w:val="00FA63C8"/>
    <w:rsid w:val="00FA65AB"/>
    <w:rsid w:val="00FA7956"/>
    <w:rsid w:val="00FA7B60"/>
    <w:rsid w:val="00FB019D"/>
    <w:rsid w:val="00FB0B77"/>
    <w:rsid w:val="00FB0D7E"/>
    <w:rsid w:val="00FB1054"/>
    <w:rsid w:val="00FB17B3"/>
    <w:rsid w:val="00FB1C0D"/>
    <w:rsid w:val="00FB279C"/>
    <w:rsid w:val="00FB2FCB"/>
    <w:rsid w:val="00FB360C"/>
    <w:rsid w:val="00FB37E4"/>
    <w:rsid w:val="00FB416C"/>
    <w:rsid w:val="00FB41C6"/>
    <w:rsid w:val="00FB4233"/>
    <w:rsid w:val="00FB4CA8"/>
    <w:rsid w:val="00FB4FFA"/>
    <w:rsid w:val="00FB5075"/>
    <w:rsid w:val="00FB5FC6"/>
    <w:rsid w:val="00FB647F"/>
    <w:rsid w:val="00FB7808"/>
    <w:rsid w:val="00FB7C55"/>
    <w:rsid w:val="00FB7D94"/>
    <w:rsid w:val="00FB7F60"/>
    <w:rsid w:val="00FC0220"/>
    <w:rsid w:val="00FC07EA"/>
    <w:rsid w:val="00FC0978"/>
    <w:rsid w:val="00FC0B8C"/>
    <w:rsid w:val="00FC0BCB"/>
    <w:rsid w:val="00FC1056"/>
    <w:rsid w:val="00FC1074"/>
    <w:rsid w:val="00FC1452"/>
    <w:rsid w:val="00FC17DA"/>
    <w:rsid w:val="00FC1884"/>
    <w:rsid w:val="00FC1CE5"/>
    <w:rsid w:val="00FC2BEA"/>
    <w:rsid w:val="00FC371D"/>
    <w:rsid w:val="00FC3FE8"/>
    <w:rsid w:val="00FC52FB"/>
    <w:rsid w:val="00FC5F0B"/>
    <w:rsid w:val="00FC721D"/>
    <w:rsid w:val="00FD0339"/>
    <w:rsid w:val="00FD06DA"/>
    <w:rsid w:val="00FD2100"/>
    <w:rsid w:val="00FD2FA2"/>
    <w:rsid w:val="00FD3C95"/>
    <w:rsid w:val="00FD436C"/>
    <w:rsid w:val="00FD446D"/>
    <w:rsid w:val="00FD45BD"/>
    <w:rsid w:val="00FD469C"/>
    <w:rsid w:val="00FD4F2C"/>
    <w:rsid w:val="00FD59CF"/>
    <w:rsid w:val="00FD6394"/>
    <w:rsid w:val="00FD6AE4"/>
    <w:rsid w:val="00FD7D19"/>
    <w:rsid w:val="00FE09B3"/>
    <w:rsid w:val="00FE0A15"/>
    <w:rsid w:val="00FE0E6C"/>
    <w:rsid w:val="00FE1000"/>
    <w:rsid w:val="00FE10A4"/>
    <w:rsid w:val="00FE1862"/>
    <w:rsid w:val="00FE1CDC"/>
    <w:rsid w:val="00FE2B44"/>
    <w:rsid w:val="00FE32CD"/>
    <w:rsid w:val="00FE392A"/>
    <w:rsid w:val="00FE3DB1"/>
    <w:rsid w:val="00FE44C3"/>
    <w:rsid w:val="00FE5143"/>
    <w:rsid w:val="00FE5C19"/>
    <w:rsid w:val="00FE5D69"/>
    <w:rsid w:val="00FE6785"/>
    <w:rsid w:val="00FE70C3"/>
    <w:rsid w:val="00FE753E"/>
    <w:rsid w:val="00FE7D9C"/>
    <w:rsid w:val="00FF17A4"/>
    <w:rsid w:val="00FF1DCF"/>
    <w:rsid w:val="00FF203F"/>
    <w:rsid w:val="00FF2565"/>
    <w:rsid w:val="00FF2AD9"/>
    <w:rsid w:val="00FF2E48"/>
    <w:rsid w:val="00FF31B6"/>
    <w:rsid w:val="00FF3461"/>
    <w:rsid w:val="00FF34A0"/>
    <w:rsid w:val="00FF359F"/>
    <w:rsid w:val="00FF3DCF"/>
    <w:rsid w:val="00FF448B"/>
    <w:rsid w:val="00FF492C"/>
    <w:rsid w:val="00FF4A21"/>
    <w:rsid w:val="00FF4E65"/>
    <w:rsid w:val="00FF50BB"/>
    <w:rsid w:val="00FF55A9"/>
    <w:rsid w:val="00FF5AA3"/>
    <w:rsid w:val="00FF5AD8"/>
    <w:rsid w:val="00FF5F10"/>
    <w:rsid w:val="00FF6383"/>
    <w:rsid w:val="00FF73E6"/>
    <w:rsid w:val="00FF769E"/>
    <w:rsid w:val="00FF7E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573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B1C"/>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1C84"/>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691C84"/>
    <w:rPr>
      <w:rFonts w:ascii="Calibri" w:hAnsi="Calibri" w:cs="Arial"/>
      <w:sz w:val="24"/>
      <w:szCs w:val="24"/>
      <w:u w:val="single"/>
    </w:rPr>
  </w:style>
  <w:style w:type="character" w:customStyle="1" w:styleId="Heading4Char">
    <w:name w:val="Heading 4 Char"/>
    <w:basedOn w:val="DefaultParagraphFont"/>
    <w:link w:val="Heading4"/>
    <w:rsid w:val="00691C84"/>
    <w:rPr>
      <w:rFonts w:ascii="Calibri" w:hAnsi="Calibri" w:cs="Arial"/>
      <w:b/>
      <w:bCs/>
      <w:i/>
      <w:sz w:val="26"/>
      <w:szCs w:val="28"/>
    </w:rPr>
  </w:style>
  <w:style w:type="character" w:customStyle="1" w:styleId="Heading5Char">
    <w:name w:val="Heading 5 Char"/>
    <w:basedOn w:val="DefaultParagraphFont"/>
    <w:link w:val="Heading5"/>
    <w:rsid w:val="00691C84"/>
    <w:rPr>
      <w:rFonts w:ascii="Calibri" w:hAnsi="Calibri" w:cs="Arial"/>
      <w:b/>
      <w:bCs/>
      <w:iCs/>
      <w:sz w:val="26"/>
      <w:szCs w:val="26"/>
    </w:rPr>
  </w:style>
  <w:style w:type="character" w:customStyle="1" w:styleId="Heading6Char">
    <w:name w:val="Heading 6 Char"/>
    <w:basedOn w:val="DefaultParagraphFont"/>
    <w:link w:val="Heading6"/>
    <w:rsid w:val="00691C84"/>
    <w:rPr>
      <w:rFonts w:ascii="Calibri" w:hAnsi="Calibri" w:cs="Arial"/>
      <w:b/>
      <w:bCs/>
      <w:i/>
      <w:sz w:val="24"/>
      <w:szCs w:val="24"/>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uiPriority w:val="99"/>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uiPriority w:val="99"/>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iPriority w:val="99"/>
    <w:semiHidden/>
    <w:unhideWhenUsed/>
    <w:rsid w:val="00EE1996"/>
    <w:pPr>
      <w:numPr>
        <w:numId w:val="3"/>
      </w:numPr>
      <w:contextualSpacing/>
    </w:pPr>
  </w:style>
  <w:style w:type="paragraph" w:styleId="Header">
    <w:name w:val="header"/>
    <w:aliases w:val="Page Header,Header title,he=header,cntr/bld"/>
    <w:basedOn w:val="Normal"/>
    <w:link w:val="HeaderChar"/>
    <w:uiPriority w:val="99"/>
    <w:unhideWhenUsed/>
    <w:qFormat/>
    <w:rsid w:val="00C82A4B"/>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82A4B"/>
    <w:rPr>
      <w:rFonts w:ascii="Calibri" w:hAnsi="Calibri" w:cs="Arial"/>
      <w:sz w:val="24"/>
      <w:szCs w:val="24"/>
    </w:rPr>
  </w:style>
  <w:style w:type="paragraph" w:styleId="Footer">
    <w:name w:val="footer"/>
    <w:basedOn w:val="Normal"/>
    <w:link w:val="FooterChar"/>
    <w:uiPriority w:val="99"/>
    <w:unhideWhenUsed/>
    <w:rsid w:val="00C82A4B"/>
    <w:pPr>
      <w:tabs>
        <w:tab w:val="center" w:pos="4513"/>
        <w:tab w:val="right" w:pos="9026"/>
      </w:tabs>
    </w:pPr>
  </w:style>
  <w:style w:type="character" w:customStyle="1" w:styleId="FooterChar">
    <w:name w:val="Footer Char"/>
    <w:basedOn w:val="DefaultParagraphFont"/>
    <w:link w:val="Footer"/>
    <w:uiPriority w:val="99"/>
    <w:rsid w:val="00C82A4B"/>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DB0946"/>
    <w:rPr>
      <w:sz w:val="16"/>
      <w:szCs w:val="16"/>
    </w:rPr>
  </w:style>
  <w:style w:type="paragraph" w:styleId="CommentText">
    <w:name w:val="annotation text"/>
    <w:basedOn w:val="Normal"/>
    <w:link w:val="CommentTextChar"/>
    <w:uiPriority w:val="99"/>
    <w:unhideWhenUsed/>
    <w:rsid w:val="00DB0946"/>
    <w:rPr>
      <w:sz w:val="20"/>
      <w:szCs w:val="20"/>
    </w:rPr>
  </w:style>
  <w:style w:type="character" w:customStyle="1" w:styleId="CommentTextChar">
    <w:name w:val="Comment Text Char"/>
    <w:basedOn w:val="DefaultParagraphFont"/>
    <w:link w:val="CommentText"/>
    <w:uiPriority w:val="99"/>
    <w:rsid w:val="00DB0946"/>
    <w:rPr>
      <w:rFonts w:ascii="Calibri" w:hAnsi="Calibri" w:cs="Arial"/>
    </w:rPr>
  </w:style>
  <w:style w:type="paragraph" w:styleId="CommentSubject">
    <w:name w:val="annotation subject"/>
    <w:basedOn w:val="CommentText"/>
    <w:next w:val="CommentText"/>
    <w:link w:val="CommentSubjectChar"/>
    <w:uiPriority w:val="99"/>
    <w:semiHidden/>
    <w:unhideWhenUsed/>
    <w:rsid w:val="00DB0946"/>
    <w:rPr>
      <w:b/>
      <w:bCs/>
    </w:rPr>
  </w:style>
  <w:style w:type="character" w:customStyle="1" w:styleId="CommentSubjectChar">
    <w:name w:val="Comment Subject Char"/>
    <w:basedOn w:val="CommentTextChar"/>
    <w:link w:val="CommentSubject"/>
    <w:uiPriority w:val="99"/>
    <w:semiHidden/>
    <w:rsid w:val="00DB0946"/>
    <w:rPr>
      <w:rFonts w:ascii="Calibri" w:hAnsi="Calibri" w:cs="Arial"/>
      <w:b/>
      <w:bCs/>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
    <w:basedOn w:val="Normal"/>
    <w:link w:val="ListParagraphChar"/>
    <w:uiPriority w:val="34"/>
    <w:qFormat/>
    <w:rsid w:val="00DB0946"/>
    <w:pPr>
      <w:ind w:left="720"/>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9B4E5F"/>
    <w:rPr>
      <w:rFonts w:ascii="Calibri" w:hAnsi="Calibri" w:cs="Arial"/>
      <w:sz w:val="24"/>
      <w:szCs w:val="24"/>
    </w:rPr>
  </w:style>
  <w:style w:type="paragraph" w:customStyle="1" w:styleId="TableFooter">
    <w:name w:val="Table Footer"/>
    <w:basedOn w:val="Normal"/>
    <w:link w:val="TableFooterChar"/>
    <w:qFormat/>
    <w:rsid w:val="005231DF"/>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5231DF"/>
    <w:rPr>
      <w:rFonts w:ascii="Arial Narrow" w:hAnsi="Arial Narrow" w:cs="Arial"/>
      <w:snapToGrid w:val="0"/>
      <w:sz w:val="18"/>
      <w:lang w:eastAsia="en-US"/>
    </w:rPr>
  </w:style>
  <w:style w:type="paragraph" w:customStyle="1" w:styleId="V50Instructions">
    <w:name w:val="V5.0 Instructions"/>
    <w:basedOn w:val="Normal"/>
    <w:link w:val="V50InstructionsChar"/>
    <w:qFormat/>
    <w:rsid w:val="00A21659"/>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A21659"/>
    <w:rPr>
      <w:rFonts w:asciiTheme="minorHAnsi" w:eastAsiaTheme="minorHAnsi" w:hAnsiTheme="minorHAnsi" w:cstheme="minorBidi"/>
      <w:color w:val="4BACC6" w:themeColor="accent5"/>
      <w:sz w:val="24"/>
      <w:szCs w:val="22"/>
      <w:lang w:eastAsia="en-US"/>
    </w:rPr>
  </w:style>
  <w:style w:type="paragraph" w:customStyle="1" w:styleId="Tabletextcentred">
    <w:name w:val="Table text centred"/>
    <w:basedOn w:val="Normal"/>
    <w:link w:val="TabletextcentredChar"/>
    <w:qFormat/>
    <w:rsid w:val="005F5ECA"/>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5F5ECA"/>
    <w:rPr>
      <w:rFonts w:ascii="Arial Narrow" w:hAnsi="Arial Narrow" w:cs="Arial Narrow"/>
      <w:lang w:eastAsia="en-US"/>
    </w:rPr>
  </w:style>
  <w:style w:type="paragraph" w:customStyle="1" w:styleId="TableHeading">
    <w:name w:val="Table Heading"/>
    <w:basedOn w:val="TableText"/>
    <w:link w:val="TableHeadingChar"/>
    <w:qFormat/>
    <w:rsid w:val="008E7FD5"/>
    <w:pPr>
      <w:keepLines/>
      <w:spacing w:before="20" w:after="20" w:line="276" w:lineRule="auto"/>
    </w:pPr>
    <w:rPr>
      <w:rFonts w:cs="Arial"/>
      <w:b/>
      <w:bCs w:val="0"/>
      <w:szCs w:val="20"/>
      <w:lang w:bidi="en-US"/>
    </w:rPr>
  </w:style>
  <w:style w:type="character" w:customStyle="1" w:styleId="TableHeadingChar">
    <w:name w:val="Table Heading Char"/>
    <w:link w:val="TableHeading"/>
    <w:rsid w:val="008E7FD5"/>
    <w:rPr>
      <w:rFonts w:ascii="Arial Narrow" w:eastAsiaTheme="majorEastAsia" w:hAnsi="Arial Narrow" w:cs="Arial"/>
      <w:b/>
      <w:lang w:bidi="en-US"/>
    </w:rPr>
  </w:style>
  <w:style w:type="table" w:customStyle="1" w:styleId="Summarybox3">
    <w:name w:val="Summary box3"/>
    <w:basedOn w:val="TableNormal"/>
    <w:next w:val="TableGrid"/>
    <w:uiPriority w:val="59"/>
    <w:rsid w:val="00DB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 Q"/>
    <w:basedOn w:val="Normal"/>
    <w:next w:val="Normal"/>
    <w:link w:val="CaptionChar"/>
    <w:uiPriority w:val="35"/>
    <w:unhideWhenUsed/>
    <w:qFormat/>
    <w:rsid w:val="00691C84"/>
    <w:pPr>
      <w:keepNext/>
      <w:keepLines/>
      <w:spacing w:after="200"/>
      <w:jc w:val="left"/>
    </w:pPr>
    <w:rPr>
      <w:rFonts w:ascii="Arial" w:eastAsiaTheme="minorHAnsi" w:hAnsi="Arial" w:cstheme="minorBidi"/>
      <w:b/>
      <w:iCs/>
      <w:color w:val="000000" w:themeColor="text1"/>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 Char"/>
    <w:link w:val="Caption"/>
    <w:uiPriority w:val="35"/>
    <w:locked/>
    <w:rsid w:val="00691C84"/>
    <w:rPr>
      <w:rFonts w:ascii="Arial" w:eastAsiaTheme="minorHAnsi" w:hAnsi="Arial" w:cstheme="minorBidi"/>
      <w:b/>
      <w:iCs/>
      <w:color w:val="000000" w:themeColor="text1"/>
      <w:sz w:val="22"/>
      <w:szCs w:val="18"/>
      <w:lang w:eastAsia="en-US"/>
    </w:rPr>
  </w:style>
  <w:style w:type="paragraph" w:customStyle="1" w:styleId="TableBullet">
    <w:name w:val="Table Bullet"/>
    <w:basedOn w:val="TableText"/>
    <w:qFormat/>
    <w:rsid w:val="00691C84"/>
    <w:pPr>
      <w:keepNext w:val="0"/>
      <w:numPr>
        <w:numId w:val="10"/>
      </w:numPr>
      <w:spacing w:before="20" w:after="20" w:line="276" w:lineRule="auto"/>
      <w:ind w:left="284" w:hanging="284"/>
    </w:pPr>
    <w:rPr>
      <w:rFonts w:cs="Arial"/>
      <w:bCs w:val="0"/>
      <w:szCs w:val="20"/>
      <w:lang w:bidi="en-US"/>
    </w:rPr>
  </w:style>
  <w:style w:type="paragraph" w:customStyle="1" w:styleId="Tablenotes">
    <w:name w:val="Tablenotes"/>
    <w:basedOn w:val="Normal"/>
    <w:link w:val="TablenotesChar"/>
    <w:qFormat/>
    <w:rsid w:val="00691C84"/>
    <w:pPr>
      <w:widowControl w:val="0"/>
      <w:spacing w:after="360" w:line="269" w:lineRule="auto"/>
      <w:contextualSpacing/>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691C84"/>
    <w:rPr>
      <w:rFonts w:ascii="Arial Narrow" w:hAnsi="Arial Narrow" w:cs="Arial"/>
      <w:snapToGrid w:val="0"/>
      <w:sz w:val="18"/>
      <w:lang w:eastAsia="en-US"/>
    </w:rPr>
  </w:style>
  <w:style w:type="paragraph" w:customStyle="1" w:styleId="Tabletext0">
    <w:name w:val="Table text"/>
    <w:basedOn w:val="Normal"/>
    <w:link w:val="TabletextChar0"/>
    <w:uiPriority w:val="99"/>
    <w:qFormat/>
    <w:rsid w:val="00691C84"/>
    <w:pPr>
      <w:jc w:val="left"/>
    </w:pPr>
    <w:rPr>
      <w:rFonts w:ascii="Arial Narrow" w:hAnsi="Arial Narrow" w:cs="Times New Roman"/>
      <w:snapToGrid w:val="0"/>
      <w:sz w:val="20"/>
    </w:rPr>
  </w:style>
  <w:style w:type="character" w:customStyle="1" w:styleId="TabletextChar0">
    <w:name w:val="Table text Char"/>
    <w:link w:val="Tabletext0"/>
    <w:uiPriority w:val="99"/>
    <w:rsid w:val="00691C84"/>
    <w:rPr>
      <w:rFonts w:ascii="Arial Narrow" w:hAnsi="Arial Narrow"/>
      <w:snapToGrid w:val="0"/>
      <w:szCs w:val="24"/>
    </w:rPr>
  </w:style>
  <w:style w:type="character" w:customStyle="1" w:styleId="PBACTableTextChar">
    <w:name w:val="PBAC Table Text Char"/>
    <w:basedOn w:val="DefaultParagraphFont"/>
    <w:link w:val="PBACTableText"/>
    <w:locked/>
    <w:rsid w:val="00691C84"/>
    <w:rPr>
      <w:rFonts w:ascii="Arial Narrow" w:hAnsi="Arial Narrow"/>
    </w:rPr>
  </w:style>
  <w:style w:type="paragraph" w:customStyle="1" w:styleId="PBACTableText">
    <w:name w:val="PBAC Table Text"/>
    <w:basedOn w:val="Normal"/>
    <w:link w:val="PBACTableTextChar"/>
    <w:qFormat/>
    <w:rsid w:val="00691C84"/>
    <w:pPr>
      <w:spacing w:before="40" w:after="40"/>
    </w:pPr>
    <w:rPr>
      <w:rFonts w:ascii="Arial Narrow" w:hAnsi="Arial Narrow" w:cs="Times New Roman"/>
      <w:sz w:val="20"/>
      <w:szCs w:val="20"/>
    </w:rPr>
  </w:style>
  <w:style w:type="paragraph" w:customStyle="1" w:styleId="TableText1">
    <w:name w:val="TableText"/>
    <w:basedOn w:val="Normal"/>
    <w:uiPriority w:val="99"/>
    <w:qFormat/>
    <w:rsid w:val="00691C84"/>
    <w:pPr>
      <w:keepNext/>
      <w:spacing w:before="40" w:after="40"/>
      <w:jc w:val="left"/>
    </w:pPr>
    <w:rPr>
      <w:rFonts w:ascii="Arial Narrow" w:hAnsi="Arial Narrow" w:cs="Arial Narrow"/>
      <w:sz w:val="20"/>
      <w:szCs w:val="20"/>
      <w:lang w:eastAsia="en-US"/>
    </w:rPr>
  </w:style>
  <w:style w:type="paragraph" w:customStyle="1" w:styleId="msonormal0">
    <w:name w:val="msonormal"/>
    <w:basedOn w:val="Normal"/>
    <w:uiPriority w:val="99"/>
    <w:rsid w:val="00691C84"/>
    <w:pPr>
      <w:spacing w:before="100" w:after="100"/>
      <w:jc w:val="left"/>
    </w:pPr>
    <w:rPr>
      <w:rFonts w:ascii="Times New Roman" w:hAnsi="Times New Roman" w:cs="Times New Roman"/>
      <w:szCs w:val="22"/>
      <w:lang w:val="en-GB" w:eastAsia="en-US"/>
    </w:rPr>
  </w:style>
  <w:style w:type="paragraph" w:customStyle="1" w:styleId="bullet">
    <w:name w:val="bullet"/>
    <w:basedOn w:val="ListParagraph"/>
    <w:link w:val="bulletChar"/>
    <w:qFormat/>
    <w:rsid w:val="00691C84"/>
    <w:pPr>
      <w:numPr>
        <w:numId w:val="11"/>
      </w:numPr>
      <w:spacing w:after="120"/>
      <w:contextualSpacing w:val="0"/>
    </w:pPr>
    <w:rPr>
      <w:rFonts w:cstheme="minorBidi"/>
      <w:i/>
      <w:sz w:val="22"/>
      <w:szCs w:val="22"/>
      <w:lang w:eastAsia="en-US"/>
    </w:rPr>
  </w:style>
  <w:style w:type="character" w:customStyle="1" w:styleId="bulletChar">
    <w:name w:val="bullet Char"/>
    <w:basedOn w:val="ListParagraphChar"/>
    <w:link w:val="bullet"/>
    <w:rsid w:val="00691C84"/>
    <w:rPr>
      <w:rFonts w:ascii="Calibri" w:hAnsi="Calibri" w:cstheme="minorBidi"/>
      <w:i/>
      <w:sz w:val="22"/>
      <w:szCs w:val="22"/>
      <w:lang w:eastAsia="en-US"/>
    </w:rPr>
  </w:style>
  <w:style w:type="paragraph" w:customStyle="1" w:styleId="BodytextAgency">
    <w:name w:val="Body text (Agency)"/>
    <w:basedOn w:val="Normal"/>
    <w:link w:val="BodytextAgencyChar"/>
    <w:qFormat/>
    <w:rsid w:val="00CE7E2E"/>
    <w:pPr>
      <w:spacing w:after="140" w:line="280" w:lineRule="atLeast"/>
      <w:jc w:val="left"/>
    </w:pPr>
    <w:rPr>
      <w:rFonts w:asciiTheme="minorHAnsi" w:eastAsia="Verdana" w:hAnsiTheme="minorHAnsi" w:cs="Verdana"/>
      <w:szCs w:val="18"/>
      <w:lang w:val="en-GB" w:eastAsia="en-GB"/>
    </w:rPr>
  </w:style>
  <w:style w:type="character" w:customStyle="1" w:styleId="BodytextAgencyChar">
    <w:name w:val="Body text (Agency) Char"/>
    <w:link w:val="BodytextAgency"/>
    <w:qFormat/>
    <w:locked/>
    <w:rsid w:val="00CE7E2E"/>
    <w:rPr>
      <w:rFonts w:asciiTheme="minorHAnsi" w:eastAsia="Verdana" w:hAnsiTheme="minorHAnsi" w:cs="Verdana"/>
      <w:sz w:val="24"/>
      <w:szCs w:val="18"/>
      <w:lang w:val="en-GB" w:eastAsia="en-GB"/>
    </w:rPr>
  </w:style>
  <w:style w:type="character" w:customStyle="1" w:styleId="UnresolvedMention1">
    <w:name w:val="Unresolved Mention1"/>
    <w:basedOn w:val="DefaultParagraphFont"/>
    <w:uiPriority w:val="99"/>
    <w:semiHidden/>
    <w:unhideWhenUsed/>
    <w:rsid w:val="002412A9"/>
    <w:rPr>
      <w:color w:val="605E5C"/>
      <w:shd w:val="clear" w:color="auto" w:fill="E1DFDD"/>
    </w:rPr>
  </w:style>
  <w:style w:type="paragraph" w:styleId="FootnoteText">
    <w:name w:val="footnote text"/>
    <w:basedOn w:val="Normal"/>
    <w:link w:val="FootnoteTextChar"/>
    <w:semiHidden/>
    <w:unhideWhenUsed/>
    <w:rsid w:val="00AE7B2D"/>
    <w:rPr>
      <w:sz w:val="20"/>
      <w:szCs w:val="20"/>
    </w:rPr>
  </w:style>
  <w:style w:type="character" w:customStyle="1" w:styleId="FootnoteTextChar">
    <w:name w:val="Footnote Text Char"/>
    <w:basedOn w:val="DefaultParagraphFont"/>
    <w:link w:val="FootnoteText"/>
    <w:semiHidden/>
    <w:rsid w:val="00AE7B2D"/>
    <w:rPr>
      <w:rFonts w:ascii="Calibri" w:hAnsi="Calibri" w:cs="Arial"/>
    </w:rPr>
  </w:style>
  <w:style w:type="character" w:styleId="FootnoteReference">
    <w:name w:val="footnote reference"/>
    <w:basedOn w:val="DefaultParagraphFont"/>
    <w:uiPriority w:val="99"/>
    <w:semiHidden/>
    <w:unhideWhenUsed/>
    <w:rsid w:val="00AE7B2D"/>
    <w:rPr>
      <w:vertAlign w:val="superscript"/>
    </w:rPr>
  </w:style>
  <w:style w:type="paragraph" w:customStyle="1" w:styleId="3-BodyText">
    <w:name w:val="3-Body Text"/>
    <w:basedOn w:val="ListParagraph"/>
    <w:link w:val="3-BodyTextChar"/>
    <w:qFormat/>
    <w:rsid w:val="004F7657"/>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4F7657"/>
    <w:rPr>
      <w:rFonts w:asciiTheme="minorHAnsi" w:hAnsiTheme="minorHAnsi" w:cs="Arial"/>
      <w:snapToGrid w:val="0"/>
      <w:sz w:val="24"/>
      <w:szCs w:val="24"/>
    </w:rPr>
  </w:style>
  <w:style w:type="character" w:customStyle="1" w:styleId="UnresolvedMention2">
    <w:name w:val="Unresolved Mention2"/>
    <w:basedOn w:val="DefaultParagraphFont"/>
    <w:uiPriority w:val="99"/>
    <w:semiHidden/>
    <w:unhideWhenUsed/>
    <w:rsid w:val="002A7804"/>
    <w:rPr>
      <w:color w:val="605E5C"/>
      <w:shd w:val="clear" w:color="auto" w:fill="E1DFDD"/>
    </w:rPr>
  </w:style>
  <w:style w:type="paragraph" w:customStyle="1" w:styleId="PBACHeading1">
    <w:name w:val="PBAC Heading 1"/>
    <w:qFormat/>
    <w:rsid w:val="00A25C41"/>
    <w:pPr>
      <w:ind w:left="720" w:hanging="720"/>
      <w:outlineLvl w:val="0"/>
    </w:pPr>
    <w:rPr>
      <w:rFonts w:ascii="Calibri" w:hAnsi="Calibri" w:cs="Calibri"/>
      <w:b/>
      <w:snapToGrid w:val="0"/>
      <w:sz w:val="32"/>
      <w:szCs w:val="32"/>
      <w:lang w:eastAsia="en-US"/>
    </w:rPr>
  </w:style>
  <w:style w:type="paragraph" w:styleId="BodyText">
    <w:name w:val="Body Text"/>
    <w:link w:val="BodyTextChar"/>
    <w:semiHidden/>
    <w:unhideWhenUsed/>
    <w:rsid w:val="0061723D"/>
    <w:pPr>
      <w:spacing w:after="120" w:line="276" w:lineRule="auto"/>
    </w:pPr>
    <w:rPr>
      <w:rFonts w:ascii="Calibri" w:eastAsia="Calibri" w:hAnsi="Calibri" w:cs="Calibri"/>
      <w:sz w:val="22"/>
      <w:lang w:eastAsia="en-US"/>
    </w:rPr>
  </w:style>
  <w:style w:type="character" w:customStyle="1" w:styleId="BodyTextChar">
    <w:name w:val="Body Text Char"/>
    <w:basedOn w:val="DefaultParagraphFont"/>
    <w:link w:val="BodyText"/>
    <w:semiHidden/>
    <w:rsid w:val="0061723D"/>
    <w:rPr>
      <w:rFonts w:ascii="Calibri" w:eastAsia="Calibri" w:hAnsi="Calibri" w:cs="Calibri"/>
      <w:sz w:val="22"/>
      <w:lang w:eastAsia="en-US"/>
    </w:rPr>
  </w:style>
  <w:style w:type="character" w:styleId="IntenseEmphasis">
    <w:name w:val="Intense Emphasis"/>
    <w:basedOn w:val="DefaultParagraphFont"/>
    <w:uiPriority w:val="21"/>
    <w:qFormat/>
    <w:rsid w:val="005361A1"/>
    <w:rPr>
      <w:i/>
      <w:iCs/>
      <w:color w:val="4F81BD" w:themeColor="accent1"/>
    </w:rPr>
  </w:style>
  <w:style w:type="paragraph" w:styleId="NormalWeb">
    <w:name w:val="Normal (Web)"/>
    <w:basedOn w:val="Normal"/>
    <w:uiPriority w:val="99"/>
    <w:semiHidden/>
    <w:unhideWhenUsed/>
    <w:rsid w:val="009D4145"/>
    <w:pPr>
      <w:spacing w:before="100" w:beforeAutospacing="1" w:after="100" w:afterAutospacing="1"/>
      <w:jc w:val="left"/>
    </w:pPr>
    <w:rPr>
      <w:rFonts w:ascii="Times New Roman" w:hAnsi="Times New Roman" w:cs="Times New Roman"/>
    </w:rPr>
  </w:style>
  <w:style w:type="character" w:customStyle="1" w:styleId="UnresolvedMention3">
    <w:name w:val="Unresolved Mention3"/>
    <w:basedOn w:val="DefaultParagraphFont"/>
    <w:uiPriority w:val="99"/>
    <w:semiHidden/>
    <w:unhideWhenUsed/>
    <w:rsid w:val="00C1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40">
      <w:bodyDiv w:val="1"/>
      <w:marLeft w:val="0"/>
      <w:marRight w:val="0"/>
      <w:marTop w:val="0"/>
      <w:marBottom w:val="0"/>
      <w:divBdr>
        <w:top w:val="none" w:sz="0" w:space="0" w:color="auto"/>
        <w:left w:val="none" w:sz="0" w:space="0" w:color="auto"/>
        <w:bottom w:val="none" w:sz="0" w:space="0" w:color="auto"/>
        <w:right w:val="none" w:sz="0" w:space="0" w:color="auto"/>
      </w:divBdr>
    </w:div>
    <w:div w:id="443804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4954827">
      <w:bodyDiv w:val="1"/>
      <w:marLeft w:val="0"/>
      <w:marRight w:val="0"/>
      <w:marTop w:val="0"/>
      <w:marBottom w:val="0"/>
      <w:divBdr>
        <w:top w:val="none" w:sz="0" w:space="0" w:color="auto"/>
        <w:left w:val="none" w:sz="0" w:space="0" w:color="auto"/>
        <w:bottom w:val="none" w:sz="0" w:space="0" w:color="auto"/>
        <w:right w:val="none" w:sz="0" w:space="0" w:color="auto"/>
      </w:divBdr>
    </w:div>
    <w:div w:id="176696030">
      <w:bodyDiv w:val="1"/>
      <w:marLeft w:val="0"/>
      <w:marRight w:val="0"/>
      <w:marTop w:val="0"/>
      <w:marBottom w:val="0"/>
      <w:divBdr>
        <w:top w:val="none" w:sz="0" w:space="0" w:color="auto"/>
        <w:left w:val="none" w:sz="0" w:space="0" w:color="auto"/>
        <w:bottom w:val="none" w:sz="0" w:space="0" w:color="auto"/>
        <w:right w:val="none" w:sz="0" w:space="0" w:color="auto"/>
      </w:divBdr>
    </w:div>
    <w:div w:id="3153748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8336631">
      <w:bodyDiv w:val="1"/>
      <w:marLeft w:val="0"/>
      <w:marRight w:val="0"/>
      <w:marTop w:val="0"/>
      <w:marBottom w:val="0"/>
      <w:divBdr>
        <w:top w:val="none" w:sz="0" w:space="0" w:color="auto"/>
        <w:left w:val="none" w:sz="0" w:space="0" w:color="auto"/>
        <w:bottom w:val="none" w:sz="0" w:space="0" w:color="auto"/>
        <w:right w:val="none" w:sz="0" w:space="0" w:color="auto"/>
      </w:divBdr>
    </w:div>
    <w:div w:id="365301596">
      <w:bodyDiv w:val="1"/>
      <w:marLeft w:val="0"/>
      <w:marRight w:val="0"/>
      <w:marTop w:val="0"/>
      <w:marBottom w:val="0"/>
      <w:divBdr>
        <w:top w:val="none" w:sz="0" w:space="0" w:color="auto"/>
        <w:left w:val="none" w:sz="0" w:space="0" w:color="auto"/>
        <w:bottom w:val="none" w:sz="0" w:space="0" w:color="auto"/>
        <w:right w:val="none" w:sz="0" w:space="0" w:color="auto"/>
      </w:divBdr>
      <w:divsChild>
        <w:div w:id="883754275">
          <w:marLeft w:val="0"/>
          <w:marRight w:val="0"/>
          <w:marTop w:val="0"/>
          <w:marBottom w:val="0"/>
          <w:divBdr>
            <w:top w:val="none" w:sz="0" w:space="0" w:color="auto"/>
            <w:left w:val="none" w:sz="0" w:space="0" w:color="auto"/>
            <w:bottom w:val="none" w:sz="0" w:space="0" w:color="auto"/>
            <w:right w:val="none" w:sz="0" w:space="0" w:color="auto"/>
          </w:divBdr>
        </w:div>
      </w:divsChild>
    </w:div>
    <w:div w:id="386729453">
      <w:bodyDiv w:val="1"/>
      <w:marLeft w:val="0"/>
      <w:marRight w:val="0"/>
      <w:marTop w:val="0"/>
      <w:marBottom w:val="0"/>
      <w:divBdr>
        <w:top w:val="none" w:sz="0" w:space="0" w:color="auto"/>
        <w:left w:val="none" w:sz="0" w:space="0" w:color="auto"/>
        <w:bottom w:val="none" w:sz="0" w:space="0" w:color="auto"/>
        <w:right w:val="none" w:sz="0" w:space="0" w:color="auto"/>
      </w:divBdr>
    </w:div>
    <w:div w:id="391319532">
      <w:bodyDiv w:val="1"/>
      <w:marLeft w:val="0"/>
      <w:marRight w:val="0"/>
      <w:marTop w:val="0"/>
      <w:marBottom w:val="0"/>
      <w:divBdr>
        <w:top w:val="none" w:sz="0" w:space="0" w:color="auto"/>
        <w:left w:val="none" w:sz="0" w:space="0" w:color="auto"/>
        <w:bottom w:val="none" w:sz="0" w:space="0" w:color="auto"/>
        <w:right w:val="none" w:sz="0" w:space="0" w:color="auto"/>
      </w:divBdr>
    </w:div>
    <w:div w:id="587085080">
      <w:bodyDiv w:val="1"/>
      <w:marLeft w:val="0"/>
      <w:marRight w:val="0"/>
      <w:marTop w:val="0"/>
      <w:marBottom w:val="0"/>
      <w:divBdr>
        <w:top w:val="none" w:sz="0" w:space="0" w:color="auto"/>
        <w:left w:val="none" w:sz="0" w:space="0" w:color="auto"/>
        <w:bottom w:val="none" w:sz="0" w:space="0" w:color="auto"/>
        <w:right w:val="none" w:sz="0" w:space="0" w:color="auto"/>
      </w:divBdr>
    </w:div>
    <w:div w:id="1019164465">
      <w:bodyDiv w:val="1"/>
      <w:marLeft w:val="0"/>
      <w:marRight w:val="0"/>
      <w:marTop w:val="0"/>
      <w:marBottom w:val="0"/>
      <w:divBdr>
        <w:top w:val="none" w:sz="0" w:space="0" w:color="auto"/>
        <w:left w:val="none" w:sz="0" w:space="0" w:color="auto"/>
        <w:bottom w:val="none" w:sz="0" w:space="0" w:color="auto"/>
        <w:right w:val="none" w:sz="0" w:space="0" w:color="auto"/>
      </w:divBdr>
    </w:div>
    <w:div w:id="115272096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4222">
      <w:bodyDiv w:val="1"/>
      <w:marLeft w:val="0"/>
      <w:marRight w:val="0"/>
      <w:marTop w:val="0"/>
      <w:marBottom w:val="0"/>
      <w:divBdr>
        <w:top w:val="none" w:sz="0" w:space="0" w:color="auto"/>
        <w:left w:val="none" w:sz="0" w:space="0" w:color="auto"/>
        <w:bottom w:val="none" w:sz="0" w:space="0" w:color="auto"/>
        <w:right w:val="none" w:sz="0" w:space="0" w:color="auto"/>
      </w:divBdr>
    </w:div>
    <w:div w:id="1284532646">
      <w:bodyDiv w:val="1"/>
      <w:marLeft w:val="0"/>
      <w:marRight w:val="0"/>
      <w:marTop w:val="0"/>
      <w:marBottom w:val="0"/>
      <w:divBdr>
        <w:top w:val="none" w:sz="0" w:space="0" w:color="auto"/>
        <w:left w:val="none" w:sz="0" w:space="0" w:color="auto"/>
        <w:bottom w:val="none" w:sz="0" w:space="0" w:color="auto"/>
        <w:right w:val="none" w:sz="0" w:space="0" w:color="auto"/>
      </w:divBdr>
    </w:div>
    <w:div w:id="1560289462">
      <w:bodyDiv w:val="1"/>
      <w:marLeft w:val="0"/>
      <w:marRight w:val="0"/>
      <w:marTop w:val="0"/>
      <w:marBottom w:val="0"/>
      <w:divBdr>
        <w:top w:val="none" w:sz="0" w:space="0" w:color="auto"/>
        <w:left w:val="none" w:sz="0" w:space="0" w:color="auto"/>
        <w:bottom w:val="none" w:sz="0" w:space="0" w:color="auto"/>
        <w:right w:val="none" w:sz="0" w:space="0" w:color="auto"/>
      </w:divBdr>
    </w:div>
    <w:div w:id="1654791753">
      <w:bodyDiv w:val="1"/>
      <w:marLeft w:val="0"/>
      <w:marRight w:val="0"/>
      <w:marTop w:val="0"/>
      <w:marBottom w:val="0"/>
      <w:divBdr>
        <w:top w:val="none" w:sz="0" w:space="0" w:color="auto"/>
        <w:left w:val="none" w:sz="0" w:space="0" w:color="auto"/>
        <w:bottom w:val="none" w:sz="0" w:space="0" w:color="auto"/>
        <w:right w:val="none" w:sz="0" w:space="0" w:color="auto"/>
      </w:divBdr>
    </w:div>
    <w:div w:id="1674917854">
      <w:bodyDiv w:val="1"/>
      <w:marLeft w:val="0"/>
      <w:marRight w:val="0"/>
      <w:marTop w:val="0"/>
      <w:marBottom w:val="0"/>
      <w:divBdr>
        <w:top w:val="none" w:sz="0" w:space="0" w:color="auto"/>
        <w:left w:val="none" w:sz="0" w:space="0" w:color="auto"/>
        <w:bottom w:val="none" w:sz="0" w:space="0" w:color="auto"/>
        <w:right w:val="none" w:sz="0" w:space="0" w:color="auto"/>
      </w:divBdr>
    </w:div>
    <w:div w:id="1733233919">
      <w:bodyDiv w:val="1"/>
      <w:marLeft w:val="0"/>
      <w:marRight w:val="0"/>
      <w:marTop w:val="0"/>
      <w:marBottom w:val="0"/>
      <w:divBdr>
        <w:top w:val="none" w:sz="0" w:space="0" w:color="auto"/>
        <w:left w:val="none" w:sz="0" w:space="0" w:color="auto"/>
        <w:bottom w:val="none" w:sz="0" w:space="0" w:color="auto"/>
        <w:right w:val="none" w:sz="0" w:space="0" w:color="auto"/>
      </w:divBdr>
    </w:div>
    <w:div w:id="1906255194">
      <w:bodyDiv w:val="1"/>
      <w:marLeft w:val="0"/>
      <w:marRight w:val="0"/>
      <w:marTop w:val="0"/>
      <w:marBottom w:val="0"/>
      <w:divBdr>
        <w:top w:val="none" w:sz="0" w:space="0" w:color="auto"/>
        <w:left w:val="none" w:sz="0" w:space="0" w:color="auto"/>
        <w:bottom w:val="none" w:sz="0" w:space="0" w:color="auto"/>
        <w:right w:val="none" w:sz="0" w:space="0" w:color="auto"/>
      </w:divBdr>
      <w:divsChild>
        <w:div w:id="1620186555">
          <w:marLeft w:val="1080"/>
          <w:marRight w:val="0"/>
          <w:marTop w:val="100"/>
          <w:marBottom w:val="0"/>
          <w:divBdr>
            <w:top w:val="none" w:sz="0" w:space="0" w:color="auto"/>
            <w:left w:val="none" w:sz="0" w:space="0" w:color="auto"/>
            <w:bottom w:val="none" w:sz="0" w:space="0" w:color="auto"/>
            <w:right w:val="none" w:sz="0" w:space="0" w:color="auto"/>
          </w:divBdr>
        </w:div>
        <w:div w:id="1912227303">
          <w:marLeft w:val="1080"/>
          <w:marRight w:val="0"/>
          <w:marTop w:val="100"/>
          <w:marBottom w:val="0"/>
          <w:divBdr>
            <w:top w:val="none" w:sz="0" w:space="0" w:color="auto"/>
            <w:left w:val="none" w:sz="0" w:space="0" w:color="auto"/>
            <w:bottom w:val="none" w:sz="0" w:space="0" w:color="auto"/>
            <w:right w:val="none" w:sz="0" w:space="0" w:color="auto"/>
          </w:divBdr>
        </w:div>
        <w:div w:id="541332581">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7225554">
      <w:bodyDiv w:val="1"/>
      <w:marLeft w:val="0"/>
      <w:marRight w:val="0"/>
      <w:marTop w:val="0"/>
      <w:marBottom w:val="0"/>
      <w:divBdr>
        <w:top w:val="none" w:sz="0" w:space="0" w:color="auto"/>
        <w:left w:val="none" w:sz="0" w:space="0" w:color="auto"/>
        <w:bottom w:val="none" w:sz="0" w:space="0" w:color="auto"/>
        <w:right w:val="none" w:sz="0" w:space="0" w:color="auto"/>
      </w:divBdr>
    </w:div>
    <w:div w:id="2078625699">
      <w:bodyDiv w:val="1"/>
      <w:marLeft w:val="0"/>
      <w:marRight w:val="0"/>
      <w:marTop w:val="0"/>
      <w:marBottom w:val="0"/>
      <w:divBdr>
        <w:top w:val="none" w:sz="0" w:space="0" w:color="auto"/>
        <w:left w:val="none" w:sz="0" w:space="0" w:color="auto"/>
        <w:bottom w:val="none" w:sz="0" w:space="0" w:color="auto"/>
        <w:right w:val="none" w:sz="0" w:space="0" w:color="auto"/>
      </w:divBdr>
    </w:div>
    <w:div w:id="21413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E699-4211-49E0-B3A0-70A2EE3C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16632</Words>
  <Characters>99327</Characters>
  <Application>Microsoft Office Word</Application>
  <DocSecurity>0</DocSecurity>
  <Lines>827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2023-02-16T22:49:00Z</dcterms:created>
  <dcterms:modified xsi:type="dcterms:W3CDTF">2023-02-16T22:54:00Z</dcterms:modified>
</cp:coreProperties>
</file>