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A59" w:rsidRPr="00A573A6" w:rsidRDefault="004F3A59" w:rsidP="004F3A59">
      <w:pPr>
        <w:rPr>
          <w:rFonts w:cs="Calibri"/>
          <w:color w:val="FF0000"/>
        </w:rPr>
      </w:pPr>
      <w:bookmarkStart w:id="0" w:name="_GoBack"/>
      <w:bookmarkEnd w:id="0"/>
      <w:r w:rsidRPr="00A573A6">
        <w:rPr>
          <w:color w:val="FF0000"/>
        </w:rPr>
        <w:t>An addendum to these minutes has been included at the end of the document.</w:t>
      </w:r>
    </w:p>
    <w:p w:rsidR="004F3A59" w:rsidRDefault="004F3A59" w:rsidP="004F3A59"/>
    <w:p w:rsidR="00B60939" w:rsidRPr="0046360F" w:rsidRDefault="00AF22C8" w:rsidP="004A6040">
      <w:pPr>
        <w:pStyle w:val="1-MainHeading"/>
      </w:pPr>
      <w:r w:rsidRPr="0046360F">
        <w:t>7</w:t>
      </w:r>
      <w:r w:rsidR="00433044" w:rsidRPr="0046360F">
        <w:t>.</w:t>
      </w:r>
      <w:r w:rsidRPr="0046360F">
        <w:t>04</w:t>
      </w:r>
      <w:r w:rsidR="00163F66" w:rsidRPr="0046360F">
        <w:tab/>
      </w:r>
      <w:r w:rsidR="00FF4CF6" w:rsidRPr="0046360F">
        <w:t>TAFAMIDIS</w:t>
      </w:r>
      <w:r w:rsidR="00163F66" w:rsidRPr="0046360F">
        <w:t>,</w:t>
      </w:r>
      <w:r w:rsidR="00163F66" w:rsidRPr="0046360F">
        <w:br/>
      </w:r>
      <w:r w:rsidR="00D33670" w:rsidRPr="0046360F">
        <w:t xml:space="preserve">Capsule </w:t>
      </w:r>
      <w:r w:rsidR="00FF4CF6" w:rsidRPr="0046360F">
        <w:t>61 mg</w:t>
      </w:r>
      <w:r w:rsidR="00163F66" w:rsidRPr="0046360F">
        <w:t>,</w:t>
      </w:r>
      <w:r w:rsidR="00163F66" w:rsidRPr="0046360F">
        <w:br/>
      </w:r>
      <w:r w:rsidR="00FF4CF6" w:rsidRPr="0046360F">
        <w:t>Vyndamax</w:t>
      </w:r>
      <w:r w:rsidR="00FF4CF6" w:rsidRPr="0046360F">
        <w:rPr>
          <w:vertAlign w:val="superscript"/>
        </w:rPr>
        <w:t>®</w:t>
      </w:r>
      <w:r w:rsidR="00FF4CF6" w:rsidRPr="0046360F">
        <w:t>,</w:t>
      </w:r>
      <w:r w:rsidR="00FF4CF6" w:rsidRPr="0046360F">
        <w:br/>
        <w:t>Pfizer Australia Pty Ltd.</w:t>
      </w:r>
    </w:p>
    <w:p w:rsidR="00B50DB8" w:rsidRPr="0046360F" w:rsidRDefault="00B50DB8" w:rsidP="004A6040">
      <w:pPr>
        <w:pStyle w:val="2-SectionHeading"/>
      </w:pPr>
      <w:bookmarkStart w:id="1" w:name="_Toc62050853"/>
      <w:r w:rsidRPr="0046360F">
        <w:t xml:space="preserve">Purpose of </w:t>
      </w:r>
      <w:r w:rsidR="00CD7193" w:rsidRPr="0046360F">
        <w:t>s</w:t>
      </w:r>
      <w:r w:rsidR="00BB3A45" w:rsidRPr="0046360F">
        <w:t>ubmission</w:t>
      </w:r>
      <w:bookmarkEnd w:id="1"/>
    </w:p>
    <w:p w:rsidR="002C2775" w:rsidRPr="0046360F" w:rsidRDefault="00265D6A" w:rsidP="00265D6A">
      <w:pPr>
        <w:pStyle w:val="ExecSumBodyText"/>
      </w:pPr>
      <w:r w:rsidRPr="0046360F">
        <w:t>The resubmission requested an Authority Required (written) listing for tafamidis for the treatment of patients with transthyretin cardiac amyloidosis (ATTR-CM)</w:t>
      </w:r>
      <w:r w:rsidR="00052A2A" w:rsidRPr="0046360F">
        <w:t xml:space="preserve">. The PBAC previously considered tafamidis </w:t>
      </w:r>
      <w:r w:rsidR="00955AF5" w:rsidRPr="0046360F">
        <w:t xml:space="preserve">for ATTR-CM </w:t>
      </w:r>
      <w:r w:rsidR="00052A2A" w:rsidRPr="0046360F">
        <w:t xml:space="preserve">at the July 2020 </w:t>
      </w:r>
      <w:r w:rsidRPr="0046360F">
        <w:t xml:space="preserve">PBAC </w:t>
      </w:r>
      <w:r w:rsidR="00052A2A" w:rsidRPr="0046360F">
        <w:t>meeting.</w:t>
      </w:r>
    </w:p>
    <w:p w:rsidR="00C2778B" w:rsidRPr="0046360F" w:rsidRDefault="005750C5" w:rsidP="004E18E9">
      <w:pPr>
        <w:pStyle w:val="ExecSumBodyText"/>
      </w:pPr>
      <w:r w:rsidRPr="0046360F">
        <w:t>Listing was requested on the basis of a</w:t>
      </w:r>
      <w:r w:rsidR="00052A2A" w:rsidRPr="0046360F">
        <w:t xml:space="preserve"> cost effectiveness analysis versus standard management of ATTR-CM (best supportive care)</w:t>
      </w:r>
      <w:r w:rsidR="0046360F" w:rsidRPr="0046360F">
        <w:t xml:space="preserve">. </w:t>
      </w:r>
    </w:p>
    <w:p w:rsidR="008B1757" w:rsidRPr="0046360F" w:rsidRDefault="00052A2A" w:rsidP="00CC7D48">
      <w:pPr>
        <w:pStyle w:val="TableFigureCaption"/>
      </w:pPr>
      <w:r w:rsidRPr="0046360F">
        <w:t xml:space="preserve">Table </w:t>
      </w:r>
      <w:r w:rsidR="00C170ED">
        <w:rPr>
          <w:noProof/>
        </w:rPr>
        <w:t>1</w:t>
      </w:r>
      <w:r w:rsidR="008B1757" w:rsidRPr="0046360F">
        <w:t>:</w:t>
      </w:r>
      <w:r w:rsidR="00BC591F" w:rsidRPr="0046360F">
        <w:t xml:space="preserve"> </w:t>
      </w:r>
      <w:r w:rsidR="008B1757" w:rsidRPr="0046360F">
        <w:t xml:space="preserve">Key components of the clinical issue addressed by the </w:t>
      </w:r>
      <w:r w:rsidRPr="0046360F">
        <w:t>re</w:t>
      </w:r>
      <w:r w:rsidR="008B1757" w:rsidRPr="0046360F">
        <w:t>submission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9"/>
        <w:gridCol w:w="7350"/>
      </w:tblGrid>
      <w:tr w:rsidR="008B1757" w:rsidRPr="0046360F" w:rsidTr="00052A2A">
        <w:trPr>
          <w:cantSplit/>
          <w:tblHeader/>
        </w:trPr>
        <w:tc>
          <w:tcPr>
            <w:tcW w:w="925" w:type="pct"/>
            <w:shd w:val="clear" w:color="auto" w:fill="auto"/>
          </w:tcPr>
          <w:p w:rsidR="008B1757" w:rsidRPr="0046360F" w:rsidRDefault="008B1757" w:rsidP="004A6040">
            <w:pPr>
              <w:pStyle w:val="Tableheadingrow"/>
              <w:rPr>
                <w:szCs w:val="20"/>
                <w:lang w:val="en-AU"/>
              </w:rPr>
            </w:pPr>
            <w:r w:rsidRPr="0046360F">
              <w:rPr>
                <w:lang w:val="en-AU"/>
              </w:rPr>
              <w:t>Component</w:t>
            </w:r>
          </w:p>
        </w:tc>
        <w:tc>
          <w:tcPr>
            <w:tcW w:w="4075" w:type="pct"/>
            <w:shd w:val="clear" w:color="auto" w:fill="auto"/>
          </w:tcPr>
          <w:p w:rsidR="008B1757" w:rsidRPr="0046360F" w:rsidRDefault="008B1757" w:rsidP="004A6040">
            <w:pPr>
              <w:pStyle w:val="Tableheadingrow"/>
              <w:rPr>
                <w:lang w:val="en-AU"/>
              </w:rPr>
            </w:pPr>
            <w:r w:rsidRPr="0046360F">
              <w:rPr>
                <w:lang w:val="en-AU"/>
              </w:rPr>
              <w:t>Description</w:t>
            </w:r>
          </w:p>
        </w:tc>
      </w:tr>
      <w:tr w:rsidR="00052A2A" w:rsidRPr="0046360F" w:rsidTr="00052A2A">
        <w:trPr>
          <w:trHeight w:val="968"/>
        </w:trPr>
        <w:tc>
          <w:tcPr>
            <w:tcW w:w="925" w:type="pct"/>
            <w:vAlign w:val="center"/>
          </w:tcPr>
          <w:p w:rsidR="00052A2A" w:rsidRPr="0046360F" w:rsidRDefault="00052A2A" w:rsidP="00052A2A">
            <w:pPr>
              <w:pStyle w:val="TableText"/>
            </w:pPr>
            <w:r w:rsidRPr="0046360F">
              <w:t>Population</w:t>
            </w:r>
          </w:p>
        </w:tc>
        <w:tc>
          <w:tcPr>
            <w:tcW w:w="4075" w:type="pct"/>
          </w:tcPr>
          <w:p w:rsidR="00052A2A" w:rsidRPr="0046360F" w:rsidRDefault="00052A2A" w:rsidP="00052A2A">
            <w:pPr>
              <w:pStyle w:val="TableText"/>
            </w:pPr>
            <w:r w:rsidRPr="0046360F">
              <w:t xml:space="preserve">Patients with wild-type or variant transthyretin cardiac amyloidosis with end-diastolic interventricular septal wall thickness of at least 12 mm, </w:t>
            </w:r>
            <w:r w:rsidRPr="0046360F">
              <w:rPr>
                <w:u w:val="single"/>
              </w:rPr>
              <w:t>with NYHA class I-II. Patients with NYHA class III who return to NYHA class II with adequate management e.g. diuretics are permitted to initiate treatment while patients with persistent NYHA class III are excluded.</w:t>
            </w:r>
          </w:p>
        </w:tc>
      </w:tr>
      <w:tr w:rsidR="00052A2A" w:rsidRPr="0046360F" w:rsidTr="00052A2A">
        <w:tc>
          <w:tcPr>
            <w:tcW w:w="925" w:type="pct"/>
            <w:vAlign w:val="center"/>
          </w:tcPr>
          <w:p w:rsidR="00052A2A" w:rsidRPr="0046360F" w:rsidRDefault="00052A2A" w:rsidP="00052A2A">
            <w:pPr>
              <w:pStyle w:val="TableText"/>
            </w:pPr>
            <w:r w:rsidRPr="0046360F">
              <w:t>Intervention</w:t>
            </w:r>
          </w:p>
        </w:tc>
        <w:tc>
          <w:tcPr>
            <w:tcW w:w="4075" w:type="pct"/>
            <w:vAlign w:val="center"/>
          </w:tcPr>
          <w:p w:rsidR="00052A2A" w:rsidRPr="0046360F" w:rsidRDefault="00052A2A" w:rsidP="00052A2A">
            <w:pPr>
              <w:pStyle w:val="TableText"/>
            </w:pPr>
            <w:r w:rsidRPr="0046360F">
              <w:t>Tafamidis 61 mg capsule, once daily.</w:t>
            </w:r>
          </w:p>
        </w:tc>
      </w:tr>
      <w:tr w:rsidR="00052A2A" w:rsidRPr="0046360F" w:rsidTr="00052A2A">
        <w:tc>
          <w:tcPr>
            <w:tcW w:w="925" w:type="pct"/>
            <w:vAlign w:val="center"/>
          </w:tcPr>
          <w:p w:rsidR="00052A2A" w:rsidRPr="0046360F" w:rsidRDefault="00052A2A" w:rsidP="00052A2A">
            <w:pPr>
              <w:pStyle w:val="TableText"/>
            </w:pPr>
            <w:r w:rsidRPr="0046360F">
              <w:t>Comparator</w:t>
            </w:r>
          </w:p>
        </w:tc>
        <w:tc>
          <w:tcPr>
            <w:tcW w:w="4075" w:type="pct"/>
            <w:vAlign w:val="center"/>
          </w:tcPr>
          <w:p w:rsidR="00052A2A" w:rsidRPr="0046360F" w:rsidRDefault="00052A2A" w:rsidP="00052A2A">
            <w:pPr>
              <w:pStyle w:val="TableText"/>
            </w:pPr>
            <w:r w:rsidRPr="0046360F">
              <w:rPr>
                <w:szCs w:val="18"/>
              </w:rPr>
              <w:t>Standard heart failure management (e.g. diuretics and antiarrhythmic medicines).</w:t>
            </w:r>
          </w:p>
        </w:tc>
      </w:tr>
      <w:tr w:rsidR="00052A2A" w:rsidRPr="0046360F" w:rsidTr="00052A2A">
        <w:tc>
          <w:tcPr>
            <w:tcW w:w="925" w:type="pct"/>
            <w:vAlign w:val="center"/>
          </w:tcPr>
          <w:p w:rsidR="00052A2A" w:rsidRPr="0046360F" w:rsidRDefault="00052A2A" w:rsidP="00052A2A">
            <w:pPr>
              <w:pStyle w:val="TableText"/>
            </w:pPr>
            <w:r w:rsidRPr="0046360F">
              <w:t>Outcomes</w:t>
            </w:r>
          </w:p>
        </w:tc>
        <w:tc>
          <w:tcPr>
            <w:tcW w:w="4075" w:type="pct"/>
          </w:tcPr>
          <w:p w:rsidR="00052A2A" w:rsidRPr="0046360F" w:rsidRDefault="00052A2A" w:rsidP="00052A2A">
            <w:pPr>
              <w:pStyle w:val="TableText"/>
            </w:pPr>
            <w:r w:rsidRPr="0046360F">
              <w:t>Mortality, cardiovascular-related hospitalisations, functional measures (6 Minute Walk Test), quality of life (KCCQ-OS score, EQ-5D-3L).</w:t>
            </w:r>
          </w:p>
        </w:tc>
      </w:tr>
      <w:tr w:rsidR="00052A2A" w:rsidRPr="0046360F" w:rsidTr="00052A2A">
        <w:tc>
          <w:tcPr>
            <w:tcW w:w="925" w:type="pct"/>
            <w:vAlign w:val="center"/>
          </w:tcPr>
          <w:p w:rsidR="00052A2A" w:rsidRPr="0046360F" w:rsidRDefault="00052A2A" w:rsidP="00052A2A">
            <w:pPr>
              <w:pStyle w:val="TableText"/>
            </w:pPr>
            <w:r w:rsidRPr="0046360F">
              <w:t>Clinical claim</w:t>
            </w:r>
          </w:p>
        </w:tc>
        <w:tc>
          <w:tcPr>
            <w:tcW w:w="4075" w:type="pct"/>
          </w:tcPr>
          <w:p w:rsidR="00052A2A" w:rsidRPr="0046360F" w:rsidRDefault="00052A2A" w:rsidP="00052A2A">
            <w:pPr>
              <w:pStyle w:val="TableText"/>
            </w:pPr>
            <w:r w:rsidRPr="0046360F">
              <w:t xml:space="preserve">Tafamidis </w:t>
            </w:r>
            <w:r w:rsidRPr="0046360F">
              <w:rPr>
                <w:szCs w:val="18"/>
              </w:rPr>
              <w:t>has superior efficacy and inferior safety compared to standard heart failure management.</w:t>
            </w:r>
          </w:p>
        </w:tc>
      </w:tr>
    </w:tbl>
    <w:p w:rsidR="00052A2A" w:rsidRPr="0046360F" w:rsidRDefault="00052A2A" w:rsidP="00052A2A">
      <w:pPr>
        <w:pStyle w:val="TableFigureFooter"/>
      </w:pPr>
      <w:r w:rsidRPr="0046360F">
        <w:t>Source: Table 1.1.1, p.4 of the resubmission.</w:t>
      </w:r>
    </w:p>
    <w:p w:rsidR="00052A2A" w:rsidRPr="0046360F" w:rsidRDefault="00052A2A" w:rsidP="00052A2A">
      <w:pPr>
        <w:pStyle w:val="TableFigureFooter"/>
      </w:pPr>
      <w:r w:rsidRPr="0046360F">
        <w:t>Abbreviations: NYHA, New York Heart Association.</w:t>
      </w:r>
    </w:p>
    <w:p w:rsidR="00052A2A" w:rsidRPr="0046360F" w:rsidRDefault="00052A2A" w:rsidP="00052A2A">
      <w:pPr>
        <w:pStyle w:val="TableFigureFooter"/>
      </w:pPr>
      <w:r w:rsidRPr="0046360F">
        <w:rPr>
          <w:u w:val="single"/>
        </w:rPr>
        <w:t>Underlined</w:t>
      </w:r>
      <w:r w:rsidRPr="0046360F">
        <w:t xml:space="preserve"> text indicates changes compared to the previous submission.</w:t>
      </w:r>
    </w:p>
    <w:p w:rsidR="005C25FF" w:rsidRPr="0046360F" w:rsidRDefault="005C25FF" w:rsidP="004A6040">
      <w:pPr>
        <w:pStyle w:val="2-SectionHeading"/>
      </w:pPr>
      <w:bookmarkStart w:id="2" w:name="_Toc62050854"/>
      <w:r w:rsidRPr="0046360F">
        <w:t>Background</w:t>
      </w:r>
      <w:bookmarkEnd w:id="2"/>
    </w:p>
    <w:p w:rsidR="005C25FF" w:rsidRPr="0046360F" w:rsidRDefault="005C25FF" w:rsidP="004A6040">
      <w:pPr>
        <w:pStyle w:val="3-SubsectionHeading"/>
      </w:pPr>
      <w:bookmarkStart w:id="3" w:name="_Toc22897638"/>
      <w:bookmarkStart w:id="4" w:name="_Toc62050855"/>
      <w:r w:rsidRPr="0046360F">
        <w:t>Registration status</w:t>
      </w:r>
      <w:bookmarkEnd w:id="3"/>
      <w:bookmarkEnd w:id="4"/>
    </w:p>
    <w:p w:rsidR="00A20594" w:rsidRPr="0046360F" w:rsidRDefault="004C3488" w:rsidP="00132A63">
      <w:pPr>
        <w:pStyle w:val="ExecSumBodyText"/>
      </w:pPr>
      <w:r w:rsidRPr="0046360F">
        <w:t>Tafamidis 61 mg and tafamidis meglumine 20 mg were registered by the TGA for “the treatment of adult patients with wild-type or hereditary transthyretin amyloid cardiomyopathy (ATTR-CM)” on 16 March 2020.</w:t>
      </w:r>
      <w:r w:rsidR="00401364" w:rsidRPr="0046360F">
        <w:t xml:space="preserve"> </w:t>
      </w:r>
    </w:p>
    <w:p w:rsidR="00A20594" w:rsidRPr="0046360F" w:rsidRDefault="00A20594" w:rsidP="00A20594">
      <w:pPr>
        <w:pStyle w:val="ExecSumBodyText"/>
      </w:pPr>
      <w:r w:rsidRPr="0046360F">
        <w:t>Tafamidis 61 mg is considered bioequivalent to the tafamidis meglumine 80 mg formulation (four 20 mg capsules), used in the key clinical trial (TGA Clinical Evaluation Report: Round 2, p.58).</w:t>
      </w:r>
    </w:p>
    <w:p w:rsidR="004C3488" w:rsidRPr="0046360F" w:rsidRDefault="00132A63" w:rsidP="00132A63">
      <w:pPr>
        <w:pStyle w:val="ExecSumBodyText"/>
      </w:pPr>
      <w:r w:rsidRPr="0046360F">
        <w:lastRenderedPageBreak/>
        <w:t>The recommended dose in the approved Product Information (PI) is 61 mg once daily, with the PI noting this is bioequivalent to 80 mg tafamidis meglumine, which can be administered as four 20 mg capsules.</w:t>
      </w:r>
    </w:p>
    <w:p w:rsidR="005C25FF" w:rsidRPr="0046360F" w:rsidRDefault="004C3488" w:rsidP="004C3488">
      <w:pPr>
        <w:pStyle w:val="ExecSumBodyText"/>
      </w:pPr>
      <w:r w:rsidRPr="0046360F">
        <w:t xml:space="preserve">The Advisory Committee on Medicines (ACM) advised that ideally, tafamidis would be administered to patients prior to reaching New York Heart Association (NYHA) </w:t>
      </w:r>
      <w:r w:rsidR="006A4F9C" w:rsidRPr="0046360F">
        <w:t>class</w:t>
      </w:r>
      <w:r w:rsidRPr="0046360F">
        <w:t xml:space="preserve"> III ATTR-CM, as the major efficacy benefits of tafamidis were demonstrated in NYHA </w:t>
      </w:r>
      <w:r w:rsidR="006A4F9C" w:rsidRPr="0046360F">
        <w:t>class</w:t>
      </w:r>
      <w:r w:rsidRPr="0046360F">
        <w:t xml:space="preserve">es I and II. However, the ACM considered the efficacy of tafamidis in NYHA </w:t>
      </w:r>
      <w:r w:rsidR="006A4F9C" w:rsidRPr="0046360F">
        <w:t>class</w:t>
      </w:r>
      <w:r w:rsidRPr="0046360F">
        <w:t xml:space="preserve"> III to be acceptable (Resolution of the Advisory Committee on Medicines, Meeting 19)</w:t>
      </w:r>
      <w:r w:rsidR="00D43D83" w:rsidRPr="0046360F">
        <w:rPr>
          <w:color w:val="0066FF"/>
        </w:rPr>
        <w:t>.</w:t>
      </w:r>
    </w:p>
    <w:p w:rsidR="005C25FF" w:rsidRPr="0046360F" w:rsidRDefault="005C25FF" w:rsidP="004E18E9">
      <w:pPr>
        <w:pStyle w:val="3-SubsectionHeading"/>
      </w:pPr>
      <w:bookmarkStart w:id="5" w:name="_Toc22897639"/>
      <w:bookmarkStart w:id="6" w:name="_Toc62050856"/>
      <w:r w:rsidRPr="0046360F">
        <w:t>Previous PBAC consideration</w:t>
      </w:r>
      <w:bookmarkEnd w:id="5"/>
      <w:bookmarkEnd w:id="6"/>
    </w:p>
    <w:p w:rsidR="002E4F02" w:rsidRPr="0046360F" w:rsidRDefault="004C3488" w:rsidP="002E4F02">
      <w:pPr>
        <w:pStyle w:val="ExecSumBodyText"/>
      </w:pPr>
      <w:r w:rsidRPr="0046360F">
        <w:rPr>
          <w:snapToGrid/>
        </w:rPr>
        <w:t>Table 2 summarises the key matters of concern from the July 2020 submission for tafamidis.</w:t>
      </w:r>
    </w:p>
    <w:p w:rsidR="005C25FF" w:rsidRPr="0046360F" w:rsidRDefault="00252C73" w:rsidP="00720208">
      <w:pPr>
        <w:pStyle w:val="TableFigureCaption"/>
        <w:keepLines/>
      </w:pPr>
      <w:bookmarkStart w:id="7" w:name="_Ref69134991"/>
      <w:r w:rsidRPr="0046360F">
        <w:t xml:space="preserve">Table </w:t>
      </w:r>
      <w:r w:rsidR="00C170ED">
        <w:rPr>
          <w:noProof/>
        </w:rPr>
        <w:t>2</w:t>
      </w:r>
      <w:bookmarkEnd w:id="7"/>
      <w:r w:rsidR="005C25FF" w:rsidRPr="0046360F">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3544"/>
        <w:gridCol w:w="3634"/>
      </w:tblGrid>
      <w:tr w:rsidR="005C25FF" w:rsidRPr="0046360F" w:rsidTr="00720208">
        <w:trPr>
          <w:cantSplit/>
          <w:tblHeader/>
        </w:trPr>
        <w:tc>
          <w:tcPr>
            <w:tcW w:w="1020" w:type="pct"/>
          </w:tcPr>
          <w:p w:rsidR="005C25FF" w:rsidRPr="0046360F" w:rsidRDefault="005C25FF" w:rsidP="00720208">
            <w:pPr>
              <w:pStyle w:val="Tableheadingrow"/>
              <w:keepLines/>
              <w:rPr>
                <w:szCs w:val="20"/>
                <w:lang w:val="en-AU"/>
              </w:rPr>
            </w:pPr>
            <w:r w:rsidRPr="0046360F">
              <w:rPr>
                <w:szCs w:val="20"/>
                <w:lang w:val="en-AU"/>
              </w:rPr>
              <w:t>Component</w:t>
            </w:r>
          </w:p>
        </w:tc>
        <w:tc>
          <w:tcPr>
            <w:tcW w:w="1965" w:type="pct"/>
          </w:tcPr>
          <w:p w:rsidR="005C25FF" w:rsidRPr="0046360F" w:rsidRDefault="005C25FF" w:rsidP="00720208">
            <w:pPr>
              <w:pStyle w:val="Tableheadingrow"/>
              <w:keepLines/>
              <w:rPr>
                <w:szCs w:val="20"/>
                <w:lang w:val="en-AU"/>
              </w:rPr>
            </w:pPr>
            <w:r w:rsidRPr="0046360F">
              <w:rPr>
                <w:szCs w:val="20"/>
                <w:lang w:val="en-AU"/>
              </w:rPr>
              <w:t>Matter of concern</w:t>
            </w:r>
          </w:p>
        </w:tc>
        <w:tc>
          <w:tcPr>
            <w:tcW w:w="2015" w:type="pct"/>
          </w:tcPr>
          <w:p w:rsidR="005C25FF" w:rsidRPr="0046360F" w:rsidRDefault="005C25FF" w:rsidP="004535F2">
            <w:pPr>
              <w:pStyle w:val="Tableheadingrow"/>
              <w:keepLines/>
              <w:rPr>
                <w:szCs w:val="20"/>
                <w:lang w:val="en-AU"/>
              </w:rPr>
            </w:pPr>
            <w:r w:rsidRPr="0046360F">
              <w:rPr>
                <w:szCs w:val="20"/>
                <w:lang w:val="en-AU"/>
              </w:rPr>
              <w:t>How the resubmission addresse</w:t>
            </w:r>
            <w:r w:rsidR="004535F2" w:rsidRPr="0046360F">
              <w:rPr>
                <w:szCs w:val="20"/>
                <w:lang w:val="en-AU"/>
              </w:rPr>
              <w:t>d</w:t>
            </w:r>
            <w:r w:rsidRPr="0046360F">
              <w:rPr>
                <w:szCs w:val="20"/>
                <w:lang w:val="en-AU"/>
              </w:rPr>
              <w:t xml:space="preserve"> it</w:t>
            </w:r>
          </w:p>
        </w:tc>
      </w:tr>
      <w:tr w:rsidR="00252C73" w:rsidRPr="0046360F" w:rsidTr="00720208">
        <w:trPr>
          <w:cantSplit/>
        </w:trPr>
        <w:tc>
          <w:tcPr>
            <w:tcW w:w="5000" w:type="pct"/>
            <w:gridSpan w:val="3"/>
          </w:tcPr>
          <w:p w:rsidR="00252C73" w:rsidRPr="0046360F" w:rsidRDefault="00252C73" w:rsidP="00720208">
            <w:pPr>
              <w:pStyle w:val="TableText"/>
              <w:keepLines/>
              <w:rPr>
                <w:b/>
                <w:szCs w:val="20"/>
              </w:rPr>
            </w:pPr>
            <w:r w:rsidRPr="0046360F">
              <w:rPr>
                <w:b/>
                <w:szCs w:val="20"/>
              </w:rPr>
              <w:t xml:space="preserve">Context and intended use </w:t>
            </w:r>
          </w:p>
        </w:tc>
      </w:tr>
      <w:tr w:rsidR="005C25FF" w:rsidRPr="0046360F" w:rsidTr="00720208">
        <w:trPr>
          <w:cantSplit/>
        </w:trPr>
        <w:tc>
          <w:tcPr>
            <w:tcW w:w="1020" w:type="pct"/>
            <w:tcBorders>
              <w:bottom w:val="nil"/>
            </w:tcBorders>
          </w:tcPr>
          <w:p w:rsidR="005C25FF" w:rsidRPr="0046360F" w:rsidRDefault="00252C73" w:rsidP="00720208">
            <w:pPr>
              <w:pStyle w:val="TableText"/>
              <w:keepLines/>
              <w:rPr>
                <w:szCs w:val="20"/>
              </w:rPr>
            </w:pPr>
            <w:bookmarkStart w:id="8" w:name="_Hlk61955036"/>
            <w:r w:rsidRPr="0046360F">
              <w:rPr>
                <w:szCs w:val="20"/>
              </w:rPr>
              <w:t>Proposed PBS listing</w:t>
            </w:r>
          </w:p>
        </w:tc>
        <w:tc>
          <w:tcPr>
            <w:tcW w:w="1965" w:type="pct"/>
          </w:tcPr>
          <w:p w:rsidR="005C25FF" w:rsidRPr="0046360F" w:rsidRDefault="00252C73" w:rsidP="00720208">
            <w:pPr>
              <w:pStyle w:val="TableText"/>
              <w:keepLines/>
              <w:rPr>
                <w:szCs w:val="20"/>
              </w:rPr>
            </w:pPr>
            <w:r w:rsidRPr="0046360F">
              <w:rPr>
                <w:szCs w:val="20"/>
              </w:rPr>
              <w:t xml:space="preserve">The PBAC considered the requested restriction should more closely align with the ATTR-ACT trial inclusion and exclusion criteria, </w:t>
            </w:r>
            <w:bookmarkStart w:id="9" w:name="_Hlk61955527"/>
            <w:r w:rsidRPr="0046360F">
              <w:rPr>
                <w:szCs w:val="20"/>
              </w:rPr>
              <w:t xml:space="preserve">requiring evidence or history of heart failure, NYHA </w:t>
            </w:r>
            <w:r w:rsidR="006A4F9C" w:rsidRPr="0046360F">
              <w:rPr>
                <w:szCs w:val="20"/>
              </w:rPr>
              <w:t>class</w:t>
            </w:r>
            <w:r w:rsidRPr="0046360F">
              <w:rPr>
                <w:szCs w:val="20"/>
              </w:rPr>
              <w:t xml:space="preserve"> I to III, an end-diastolic interventricular septal wall thickness ≥12 mm, and excluding patients with eGFR &lt;25 mL/min/1.73</w:t>
            </w:r>
            <w:r w:rsidR="006764D0" w:rsidRPr="0046360F">
              <w:rPr>
                <w:szCs w:val="20"/>
              </w:rPr>
              <w:t xml:space="preserve"> </w:t>
            </w:r>
            <w:r w:rsidRPr="0046360F">
              <w:rPr>
                <w:szCs w:val="20"/>
              </w:rPr>
              <w:t>m</w:t>
            </w:r>
            <w:r w:rsidRPr="0046360F">
              <w:rPr>
                <w:szCs w:val="20"/>
                <w:vertAlign w:val="superscript"/>
              </w:rPr>
              <w:t>2</w:t>
            </w:r>
            <w:bookmarkEnd w:id="9"/>
            <w:r w:rsidRPr="0046360F">
              <w:rPr>
                <w:szCs w:val="20"/>
              </w:rPr>
              <w:t xml:space="preserve"> (para 7.3).</w:t>
            </w:r>
          </w:p>
        </w:tc>
        <w:tc>
          <w:tcPr>
            <w:tcW w:w="2015" w:type="pct"/>
          </w:tcPr>
          <w:p w:rsidR="003A796F" w:rsidRPr="0046360F" w:rsidRDefault="00252C73" w:rsidP="00720208">
            <w:pPr>
              <w:pStyle w:val="TableText"/>
              <w:keepLines/>
              <w:rPr>
                <w:rFonts w:cstheme="minorHAnsi"/>
                <w:szCs w:val="20"/>
                <w:lang w:eastAsia="en-US"/>
              </w:rPr>
            </w:pPr>
            <w:r w:rsidRPr="0046360F">
              <w:rPr>
                <w:rFonts w:cstheme="minorHAnsi"/>
                <w:szCs w:val="20"/>
                <w:lang w:eastAsia="en-US"/>
              </w:rPr>
              <w:t xml:space="preserve">The proposed restriction </w:t>
            </w:r>
            <w:r w:rsidR="004535F2" w:rsidRPr="0046360F">
              <w:rPr>
                <w:rFonts w:cstheme="minorHAnsi"/>
                <w:szCs w:val="20"/>
                <w:lang w:eastAsia="en-US"/>
              </w:rPr>
              <w:t>was</w:t>
            </w:r>
            <w:r w:rsidRPr="0046360F">
              <w:rPr>
                <w:rFonts w:cstheme="minorHAnsi"/>
                <w:szCs w:val="20"/>
                <w:lang w:eastAsia="en-US"/>
              </w:rPr>
              <w:t xml:space="preserve"> amended </w:t>
            </w:r>
            <w:r w:rsidR="003A796F" w:rsidRPr="0046360F">
              <w:rPr>
                <w:rFonts w:cstheme="minorHAnsi"/>
                <w:szCs w:val="20"/>
                <w:lang w:eastAsia="en-US"/>
              </w:rPr>
              <w:t xml:space="preserve">to </w:t>
            </w:r>
            <w:r w:rsidR="003A796F" w:rsidRPr="0046360F">
              <w:rPr>
                <w:szCs w:val="20"/>
              </w:rPr>
              <w:t>align with the ATTR-ACT trial inclusion and exclusion criteria,</w:t>
            </w:r>
            <w:r w:rsidR="003A796F" w:rsidRPr="0046360F">
              <w:rPr>
                <w:rFonts w:cstheme="minorHAnsi"/>
                <w:szCs w:val="20"/>
                <w:lang w:eastAsia="en-US"/>
              </w:rPr>
              <w:t xml:space="preserve"> </w:t>
            </w:r>
            <w:r w:rsidRPr="0046360F">
              <w:rPr>
                <w:rFonts w:cstheme="minorHAnsi"/>
                <w:szCs w:val="20"/>
                <w:lang w:eastAsia="en-US"/>
              </w:rPr>
              <w:t xml:space="preserve">with </w:t>
            </w:r>
            <w:r w:rsidR="003A796F" w:rsidRPr="0046360F">
              <w:rPr>
                <w:rFonts w:cstheme="minorHAnsi"/>
                <w:szCs w:val="20"/>
                <w:lang w:eastAsia="en-US"/>
              </w:rPr>
              <w:t>two</w:t>
            </w:r>
            <w:r w:rsidRPr="0046360F">
              <w:rPr>
                <w:rFonts w:cstheme="minorHAnsi"/>
                <w:szCs w:val="20"/>
                <w:lang w:eastAsia="en-US"/>
              </w:rPr>
              <w:t xml:space="preserve"> exception</w:t>
            </w:r>
            <w:r w:rsidR="003A796F" w:rsidRPr="0046360F">
              <w:rPr>
                <w:rFonts w:cstheme="minorHAnsi"/>
                <w:szCs w:val="20"/>
                <w:lang w:eastAsia="en-US"/>
              </w:rPr>
              <w:t>s:</w:t>
            </w:r>
          </w:p>
          <w:p w:rsidR="003A796F" w:rsidRPr="0046360F" w:rsidRDefault="003A796F" w:rsidP="00720208">
            <w:pPr>
              <w:pStyle w:val="TableText"/>
              <w:keepLines/>
              <w:rPr>
                <w:rFonts w:eastAsia="Calibri" w:cs="Calibri"/>
                <w:szCs w:val="20"/>
                <w:lang w:eastAsia="en-US"/>
              </w:rPr>
            </w:pPr>
            <w:r w:rsidRPr="0046360F">
              <w:rPr>
                <w:rFonts w:cstheme="minorHAnsi"/>
                <w:szCs w:val="20"/>
                <w:lang w:eastAsia="en-US"/>
              </w:rPr>
              <w:t>(i)</w:t>
            </w:r>
            <w:r w:rsidR="00252C73" w:rsidRPr="0046360F">
              <w:rPr>
                <w:rFonts w:cstheme="minorHAnsi"/>
                <w:szCs w:val="20"/>
                <w:lang w:eastAsia="en-US"/>
              </w:rPr>
              <w:t xml:space="preserve"> </w:t>
            </w:r>
            <w:r w:rsidR="00252C73" w:rsidRPr="0046360F">
              <w:rPr>
                <w:rFonts w:eastAsia="Calibri" w:cs="Calibri"/>
                <w:szCs w:val="20"/>
                <w:lang w:eastAsia="en-US"/>
              </w:rPr>
              <w:t>consultant physician</w:t>
            </w:r>
            <w:r w:rsidRPr="0046360F">
              <w:rPr>
                <w:rFonts w:eastAsia="Calibri" w:cs="Calibri"/>
                <w:szCs w:val="20"/>
                <w:lang w:eastAsia="en-US"/>
              </w:rPr>
              <w:t>s</w:t>
            </w:r>
            <w:r w:rsidR="00252C73" w:rsidRPr="0046360F">
              <w:rPr>
                <w:rFonts w:eastAsia="Calibri" w:cs="Calibri"/>
                <w:szCs w:val="20"/>
                <w:lang w:eastAsia="en-US"/>
              </w:rPr>
              <w:t xml:space="preserve"> with experience in amyloid disorders </w:t>
            </w:r>
            <w:r w:rsidRPr="0046360F">
              <w:rPr>
                <w:rFonts w:eastAsia="Calibri" w:cs="Calibri"/>
                <w:szCs w:val="20"/>
                <w:lang w:eastAsia="en-US"/>
              </w:rPr>
              <w:t>are</w:t>
            </w:r>
            <w:r w:rsidR="00252C73" w:rsidRPr="0046360F">
              <w:rPr>
                <w:rFonts w:eastAsia="Calibri" w:cs="Calibri"/>
                <w:szCs w:val="20"/>
                <w:lang w:eastAsia="en-US"/>
              </w:rPr>
              <w:t xml:space="preserve"> retained in addition to specialist cardiologist</w:t>
            </w:r>
            <w:r w:rsidRPr="0046360F">
              <w:rPr>
                <w:rFonts w:eastAsia="Calibri" w:cs="Calibri"/>
                <w:szCs w:val="20"/>
                <w:lang w:eastAsia="en-US"/>
              </w:rPr>
              <w:t>s, for patient management; and</w:t>
            </w:r>
          </w:p>
          <w:p w:rsidR="005C25FF" w:rsidRPr="0046360F" w:rsidRDefault="003A796F" w:rsidP="00720208">
            <w:pPr>
              <w:pStyle w:val="TableText"/>
              <w:keepLines/>
              <w:rPr>
                <w:szCs w:val="20"/>
              </w:rPr>
            </w:pPr>
            <w:r w:rsidRPr="0046360F">
              <w:rPr>
                <w:rFonts w:eastAsia="Calibri" w:cs="Calibri"/>
                <w:szCs w:val="20"/>
                <w:lang w:eastAsia="en-US"/>
              </w:rPr>
              <w:t>(ii) eligibility is limited to</w:t>
            </w:r>
            <w:r w:rsidR="00252C73" w:rsidRPr="0046360F">
              <w:rPr>
                <w:rFonts w:eastAsia="Calibri" w:cs="Calibri"/>
                <w:szCs w:val="20"/>
                <w:lang w:eastAsia="en-US"/>
              </w:rPr>
              <w:t xml:space="preserve"> patients with NYHA class I and II heart failure on initiation only. </w:t>
            </w:r>
            <w:r w:rsidRPr="0046360F">
              <w:rPr>
                <w:rFonts w:eastAsia="Calibri" w:cs="Calibri"/>
                <w:szCs w:val="20"/>
                <w:lang w:eastAsia="en-US"/>
              </w:rPr>
              <w:t>Patients with</w:t>
            </w:r>
            <w:r w:rsidR="00252C73" w:rsidRPr="0046360F">
              <w:rPr>
                <w:rFonts w:eastAsia="Calibri" w:cs="Calibri"/>
                <w:szCs w:val="20"/>
                <w:lang w:eastAsia="en-US"/>
              </w:rPr>
              <w:t xml:space="preserve"> NYHA class III </w:t>
            </w:r>
            <w:r w:rsidRPr="0046360F">
              <w:rPr>
                <w:rFonts w:eastAsia="Calibri" w:cs="Calibri"/>
                <w:szCs w:val="20"/>
                <w:lang w:eastAsia="en-US"/>
              </w:rPr>
              <w:t xml:space="preserve">heart failure </w:t>
            </w:r>
            <w:r w:rsidR="00252C73" w:rsidRPr="0046360F">
              <w:rPr>
                <w:rFonts w:eastAsia="Calibri" w:cs="Calibri"/>
                <w:szCs w:val="20"/>
                <w:lang w:eastAsia="en-US"/>
              </w:rPr>
              <w:t xml:space="preserve">who return to </w:t>
            </w:r>
            <w:r w:rsidRPr="0046360F">
              <w:rPr>
                <w:rFonts w:eastAsia="Calibri" w:cs="Calibri"/>
                <w:szCs w:val="20"/>
                <w:lang w:eastAsia="en-US"/>
              </w:rPr>
              <w:t xml:space="preserve">NYHA </w:t>
            </w:r>
            <w:r w:rsidR="00252C73" w:rsidRPr="0046360F">
              <w:rPr>
                <w:rFonts w:eastAsia="Calibri" w:cs="Calibri"/>
                <w:szCs w:val="20"/>
                <w:lang w:eastAsia="en-US"/>
              </w:rPr>
              <w:t xml:space="preserve">class II </w:t>
            </w:r>
            <w:r w:rsidRPr="0046360F">
              <w:rPr>
                <w:rFonts w:eastAsia="Calibri" w:cs="Calibri"/>
                <w:szCs w:val="20"/>
                <w:lang w:eastAsia="en-US"/>
              </w:rPr>
              <w:t>with adequate management may initiate tafamidis but patients with persistent NYHA class III are ineligible, and patients progressing to NYHA stage III may continue tafamidis</w:t>
            </w:r>
            <w:r w:rsidR="00252C73" w:rsidRPr="0046360F">
              <w:rPr>
                <w:rFonts w:eastAsia="Calibri" w:cs="Calibri"/>
                <w:szCs w:val="20"/>
                <w:lang w:eastAsia="en-US"/>
              </w:rPr>
              <w:t>.</w:t>
            </w:r>
          </w:p>
        </w:tc>
      </w:tr>
      <w:bookmarkEnd w:id="8"/>
      <w:tr w:rsidR="00252C73" w:rsidRPr="0046360F" w:rsidTr="00720208">
        <w:trPr>
          <w:cantSplit/>
        </w:trPr>
        <w:tc>
          <w:tcPr>
            <w:tcW w:w="1020" w:type="pct"/>
            <w:tcBorders>
              <w:top w:val="nil"/>
              <w:bottom w:val="single" w:sz="4" w:space="0" w:color="auto"/>
            </w:tcBorders>
          </w:tcPr>
          <w:p w:rsidR="00252C73" w:rsidRPr="0046360F" w:rsidRDefault="00252C73" w:rsidP="00720208">
            <w:pPr>
              <w:pStyle w:val="TableText"/>
              <w:keepLines/>
              <w:rPr>
                <w:szCs w:val="20"/>
              </w:rPr>
            </w:pPr>
          </w:p>
        </w:tc>
        <w:tc>
          <w:tcPr>
            <w:tcW w:w="1965" w:type="pct"/>
          </w:tcPr>
          <w:p w:rsidR="00252C73" w:rsidRPr="0046360F" w:rsidRDefault="003A796F" w:rsidP="00720208">
            <w:pPr>
              <w:pStyle w:val="TableText"/>
              <w:keepLines/>
              <w:rPr>
                <w:rFonts w:eastAsia="Times New Roman" w:cs="Arial"/>
                <w:bCs w:val="0"/>
                <w:snapToGrid w:val="0"/>
                <w:color w:val="0066FF"/>
                <w:szCs w:val="20"/>
              </w:rPr>
            </w:pPr>
            <w:r w:rsidRPr="0046360F">
              <w:rPr>
                <w:szCs w:val="20"/>
              </w:rPr>
              <w:t xml:space="preserve">The PBAC considered that patients should discontinue tafamidis if they progress to NYHA </w:t>
            </w:r>
            <w:r w:rsidR="006A4F9C" w:rsidRPr="0046360F">
              <w:rPr>
                <w:szCs w:val="20"/>
              </w:rPr>
              <w:t>class</w:t>
            </w:r>
            <w:r w:rsidRPr="0046360F">
              <w:rPr>
                <w:szCs w:val="20"/>
              </w:rPr>
              <w:t xml:space="preserve"> IV, or receive a heart or liver transplant or an implanted cardiac vent</w:t>
            </w:r>
            <w:r w:rsidR="00265D6A" w:rsidRPr="0046360F">
              <w:rPr>
                <w:szCs w:val="20"/>
              </w:rPr>
              <w:t>ricular assist device (para 7.3</w:t>
            </w:r>
            <w:r w:rsidRPr="0046360F">
              <w:rPr>
                <w:szCs w:val="20"/>
              </w:rPr>
              <w:t>).</w:t>
            </w:r>
          </w:p>
        </w:tc>
        <w:tc>
          <w:tcPr>
            <w:tcW w:w="2015" w:type="pct"/>
          </w:tcPr>
          <w:p w:rsidR="00252C73" w:rsidRPr="0046360F" w:rsidRDefault="00B62159" w:rsidP="004535F2">
            <w:pPr>
              <w:pStyle w:val="TableText"/>
              <w:keepLines/>
              <w:rPr>
                <w:szCs w:val="20"/>
              </w:rPr>
            </w:pPr>
            <w:r w:rsidRPr="0046360F">
              <w:rPr>
                <w:szCs w:val="20"/>
              </w:rPr>
              <w:t xml:space="preserve">The requested restriction </w:t>
            </w:r>
            <w:r w:rsidR="004535F2" w:rsidRPr="0046360F">
              <w:rPr>
                <w:szCs w:val="20"/>
              </w:rPr>
              <w:t>was</w:t>
            </w:r>
            <w:r w:rsidRPr="0046360F">
              <w:rPr>
                <w:szCs w:val="20"/>
              </w:rPr>
              <w:t xml:space="preserve"> amended to exclude </w:t>
            </w:r>
            <w:r w:rsidR="006764D0" w:rsidRPr="0046360F">
              <w:rPr>
                <w:szCs w:val="20"/>
              </w:rPr>
              <w:t xml:space="preserve">these </w:t>
            </w:r>
            <w:r w:rsidRPr="0046360F">
              <w:rPr>
                <w:szCs w:val="20"/>
              </w:rPr>
              <w:t>p</w:t>
            </w:r>
            <w:r w:rsidR="003A796F" w:rsidRPr="0046360F">
              <w:rPr>
                <w:szCs w:val="20"/>
              </w:rPr>
              <w:t>atients</w:t>
            </w:r>
            <w:r w:rsidR="006764D0" w:rsidRPr="0046360F">
              <w:rPr>
                <w:szCs w:val="20"/>
              </w:rPr>
              <w:t>.</w:t>
            </w:r>
          </w:p>
        </w:tc>
      </w:tr>
      <w:tr w:rsidR="007D54DE" w:rsidRPr="0046360F" w:rsidTr="00720208">
        <w:trPr>
          <w:cantSplit/>
        </w:trPr>
        <w:tc>
          <w:tcPr>
            <w:tcW w:w="1020" w:type="pct"/>
            <w:tcBorders>
              <w:top w:val="nil"/>
              <w:bottom w:val="single" w:sz="4" w:space="0" w:color="auto"/>
            </w:tcBorders>
          </w:tcPr>
          <w:p w:rsidR="007D54DE" w:rsidRPr="0046360F" w:rsidRDefault="007D54DE" w:rsidP="00252C73">
            <w:pPr>
              <w:pStyle w:val="TableText"/>
              <w:keepNext w:val="0"/>
              <w:rPr>
                <w:szCs w:val="20"/>
              </w:rPr>
            </w:pPr>
            <w:r w:rsidRPr="0046360F">
              <w:rPr>
                <w:szCs w:val="20"/>
              </w:rPr>
              <w:t>Bone scintigraphy</w:t>
            </w:r>
          </w:p>
        </w:tc>
        <w:tc>
          <w:tcPr>
            <w:tcW w:w="1965" w:type="pct"/>
          </w:tcPr>
          <w:p w:rsidR="007D54DE" w:rsidRPr="0046360F" w:rsidRDefault="007D54DE" w:rsidP="003A3328">
            <w:pPr>
              <w:pStyle w:val="TableText"/>
              <w:keepNext w:val="0"/>
              <w:rPr>
                <w:szCs w:val="20"/>
              </w:rPr>
            </w:pPr>
            <w:r w:rsidRPr="0046360F">
              <w:rPr>
                <w:szCs w:val="20"/>
              </w:rPr>
              <w:t xml:space="preserve">The PBAC noted that data supporting use of bone scintigraphy were based on use in a specialised amyloid centre, and considered that the positive predictive value may not be reproduced in non-specialised centres given interpretation of bone </w:t>
            </w:r>
            <w:r w:rsidR="00340C7C" w:rsidRPr="0046360F">
              <w:rPr>
                <w:szCs w:val="20"/>
              </w:rPr>
              <w:t>scans is potentially subjective, and</w:t>
            </w:r>
            <w:r w:rsidRPr="0046360F">
              <w:rPr>
                <w:szCs w:val="20"/>
              </w:rPr>
              <w:t xml:space="preserve"> considered that data regarding the positive predicted value of bone scintigraphy in non-specialised centres (as part of the diagnostic algorithm proposed by the sub</w:t>
            </w:r>
            <w:r w:rsidR="00340C7C" w:rsidRPr="0046360F">
              <w:rPr>
                <w:szCs w:val="20"/>
              </w:rPr>
              <w:t>mission) would be informative</w:t>
            </w:r>
            <w:r w:rsidR="003A3328" w:rsidRPr="0046360F">
              <w:rPr>
                <w:szCs w:val="20"/>
              </w:rPr>
              <w:t xml:space="preserve"> </w:t>
            </w:r>
            <w:r w:rsidR="00B05E1A" w:rsidRPr="0046360F">
              <w:rPr>
                <w:szCs w:val="20"/>
              </w:rPr>
              <w:t>(para</w:t>
            </w:r>
            <w:r w:rsidR="003A3328" w:rsidRPr="0046360F">
              <w:rPr>
                <w:szCs w:val="20"/>
              </w:rPr>
              <w:t> </w:t>
            </w:r>
            <w:r w:rsidR="00B05E1A" w:rsidRPr="0046360F">
              <w:rPr>
                <w:szCs w:val="20"/>
              </w:rPr>
              <w:t>7.4)</w:t>
            </w:r>
            <w:r w:rsidR="00340C7C" w:rsidRPr="0046360F">
              <w:rPr>
                <w:szCs w:val="20"/>
              </w:rPr>
              <w:t>.</w:t>
            </w:r>
          </w:p>
        </w:tc>
        <w:tc>
          <w:tcPr>
            <w:tcW w:w="2015" w:type="pct"/>
          </w:tcPr>
          <w:p w:rsidR="007D54DE" w:rsidRPr="0046360F" w:rsidRDefault="00340C7C" w:rsidP="00C113F4">
            <w:pPr>
              <w:pStyle w:val="TableText"/>
              <w:rPr>
                <w:szCs w:val="20"/>
              </w:rPr>
            </w:pPr>
            <w:r w:rsidRPr="0046360F">
              <w:rPr>
                <w:szCs w:val="20"/>
              </w:rPr>
              <w:t>The resubmission presented expert opinion from a leading Australian nuclear medicine specialist that scans are able to be performed by all centres, and that reporting is now performed with standard criteria from consensus guidelines</w:t>
            </w:r>
            <w:r w:rsidR="00AB5F7B" w:rsidRPr="0046360F">
              <w:rPr>
                <w:szCs w:val="20"/>
              </w:rPr>
              <w:t xml:space="preserve"> in</w:t>
            </w:r>
            <w:r w:rsidRPr="0046360F">
              <w:rPr>
                <w:szCs w:val="20"/>
              </w:rPr>
              <w:t xml:space="preserve"> Dorbala et al, 2019</w:t>
            </w:r>
            <w:r w:rsidR="00C113F4" w:rsidRPr="0046360F">
              <w:rPr>
                <w:szCs w:val="20"/>
              </w:rPr>
              <w:t>.</w:t>
            </w:r>
          </w:p>
        </w:tc>
      </w:tr>
      <w:tr w:rsidR="007D54DE" w:rsidRPr="0046360F" w:rsidTr="00720208">
        <w:trPr>
          <w:cantSplit/>
        </w:trPr>
        <w:tc>
          <w:tcPr>
            <w:tcW w:w="1020" w:type="pct"/>
            <w:tcBorders>
              <w:top w:val="nil"/>
              <w:bottom w:val="single" w:sz="4" w:space="0" w:color="auto"/>
            </w:tcBorders>
          </w:tcPr>
          <w:p w:rsidR="007D54DE" w:rsidRPr="0046360F" w:rsidRDefault="00B05E1A" w:rsidP="00252C73">
            <w:pPr>
              <w:pStyle w:val="TableText"/>
              <w:keepNext w:val="0"/>
              <w:rPr>
                <w:szCs w:val="20"/>
              </w:rPr>
            </w:pPr>
            <w:r w:rsidRPr="0046360F">
              <w:rPr>
                <w:szCs w:val="20"/>
              </w:rPr>
              <w:lastRenderedPageBreak/>
              <w:t>Tafamidis dose strength</w:t>
            </w:r>
          </w:p>
        </w:tc>
        <w:tc>
          <w:tcPr>
            <w:tcW w:w="1965" w:type="pct"/>
          </w:tcPr>
          <w:p w:rsidR="007D54DE" w:rsidRPr="0046360F" w:rsidRDefault="00B05E1A" w:rsidP="003A3328">
            <w:pPr>
              <w:pStyle w:val="TableText"/>
              <w:keepNext w:val="0"/>
              <w:rPr>
                <w:szCs w:val="20"/>
              </w:rPr>
            </w:pPr>
            <w:r w:rsidRPr="0046360F">
              <w:rPr>
                <w:szCs w:val="20"/>
              </w:rPr>
              <w:t>The PBAC noted that results for key outcomes were similar for the 20 mg and 80</w:t>
            </w:r>
            <w:r w:rsidR="003A3328" w:rsidRPr="0046360F">
              <w:rPr>
                <w:szCs w:val="20"/>
              </w:rPr>
              <w:t> </w:t>
            </w:r>
            <w:r w:rsidRPr="0046360F">
              <w:rPr>
                <w:szCs w:val="20"/>
              </w:rPr>
              <w:t>mg doses of tafamidis and that adequate justification for the 80 mg dose rather than the 20 mg had not been provided (para</w:t>
            </w:r>
            <w:r w:rsidR="003A3328" w:rsidRPr="0046360F">
              <w:rPr>
                <w:szCs w:val="20"/>
              </w:rPr>
              <w:t> </w:t>
            </w:r>
            <w:r w:rsidRPr="0046360F">
              <w:rPr>
                <w:szCs w:val="20"/>
              </w:rPr>
              <w:t>7.10).</w:t>
            </w:r>
          </w:p>
        </w:tc>
        <w:tc>
          <w:tcPr>
            <w:tcW w:w="2015" w:type="pct"/>
          </w:tcPr>
          <w:p w:rsidR="007D54DE" w:rsidRPr="0046360F" w:rsidRDefault="00B05E1A" w:rsidP="00E815DA">
            <w:pPr>
              <w:pStyle w:val="TableText"/>
              <w:keepNext w:val="0"/>
              <w:rPr>
                <w:szCs w:val="20"/>
              </w:rPr>
            </w:pPr>
            <w:r w:rsidRPr="0046360F">
              <w:rPr>
                <w:szCs w:val="20"/>
              </w:rPr>
              <w:t>The resubmission noted that the ATTR</w:t>
            </w:r>
            <w:r w:rsidR="003A3328" w:rsidRPr="0046360F">
              <w:rPr>
                <w:szCs w:val="20"/>
              </w:rPr>
              <w:t>-</w:t>
            </w:r>
            <w:r w:rsidRPr="0046360F">
              <w:rPr>
                <w:szCs w:val="20"/>
              </w:rPr>
              <w:t>ACT trial was not powered to evaluate differences be</w:t>
            </w:r>
            <w:r w:rsidR="000762C3" w:rsidRPr="0046360F">
              <w:rPr>
                <w:szCs w:val="20"/>
              </w:rPr>
              <w:t xml:space="preserve">tween tafamidis dose strengths. In addition, the resubmission presented a comparison of the 80 mg and 20 mg dose strengths using </w:t>
            </w:r>
            <w:r w:rsidR="00E815DA" w:rsidRPr="0046360F">
              <w:rPr>
                <w:szCs w:val="20"/>
              </w:rPr>
              <w:t xml:space="preserve">a </w:t>
            </w:r>
            <w:r w:rsidR="008B0291" w:rsidRPr="0046360F">
              <w:rPr>
                <w:szCs w:val="20"/>
              </w:rPr>
              <w:t>post hoc</w:t>
            </w:r>
            <w:r w:rsidR="000762C3" w:rsidRPr="0046360F">
              <w:rPr>
                <w:szCs w:val="20"/>
              </w:rPr>
              <w:t xml:space="preserve"> subgroup analys</w:t>
            </w:r>
            <w:r w:rsidR="00E815DA" w:rsidRPr="0046360F">
              <w:rPr>
                <w:szCs w:val="20"/>
              </w:rPr>
              <w:t>i</w:t>
            </w:r>
            <w:r w:rsidR="000762C3" w:rsidRPr="0046360F">
              <w:rPr>
                <w:szCs w:val="20"/>
              </w:rPr>
              <w:t>s of the combined ATTR-ACT and B3461045 data sets</w:t>
            </w:r>
            <w:r w:rsidR="00BF6C21" w:rsidRPr="0046360F">
              <w:rPr>
                <w:szCs w:val="20"/>
              </w:rPr>
              <w:t>.</w:t>
            </w:r>
          </w:p>
        </w:tc>
      </w:tr>
      <w:tr w:rsidR="005C25FF" w:rsidRPr="0046360F" w:rsidTr="00720208">
        <w:trPr>
          <w:cantSplit/>
        </w:trPr>
        <w:tc>
          <w:tcPr>
            <w:tcW w:w="5000" w:type="pct"/>
            <w:gridSpan w:val="3"/>
          </w:tcPr>
          <w:p w:rsidR="005C25FF" w:rsidRPr="0046360F" w:rsidRDefault="00252C73" w:rsidP="00720208">
            <w:pPr>
              <w:pStyle w:val="TableText"/>
              <w:keepLines/>
              <w:rPr>
                <w:b/>
                <w:szCs w:val="20"/>
              </w:rPr>
            </w:pPr>
            <w:r w:rsidRPr="0046360F">
              <w:rPr>
                <w:b/>
                <w:szCs w:val="20"/>
              </w:rPr>
              <w:t xml:space="preserve">Clinical </w:t>
            </w:r>
            <w:r w:rsidR="00711C63" w:rsidRPr="0046360F">
              <w:rPr>
                <w:b/>
                <w:szCs w:val="20"/>
              </w:rPr>
              <w:t>evaluation</w:t>
            </w:r>
            <w:r w:rsidR="005C25FF" w:rsidRPr="0046360F">
              <w:rPr>
                <w:b/>
                <w:szCs w:val="20"/>
              </w:rPr>
              <w:t xml:space="preserve"> </w:t>
            </w:r>
          </w:p>
        </w:tc>
      </w:tr>
      <w:tr w:rsidR="00CD5931" w:rsidRPr="0046360F" w:rsidTr="00720208">
        <w:trPr>
          <w:cantSplit/>
          <w:trHeight w:val="20"/>
        </w:trPr>
        <w:tc>
          <w:tcPr>
            <w:tcW w:w="1020" w:type="pct"/>
            <w:vMerge w:val="restart"/>
          </w:tcPr>
          <w:p w:rsidR="00CD5931" w:rsidRPr="0046360F" w:rsidRDefault="00CD5931" w:rsidP="00720208">
            <w:pPr>
              <w:pStyle w:val="TableText"/>
              <w:keepLines/>
              <w:rPr>
                <w:szCs w:val="20"/>
              </w:rPr>
            </w:pPr>
            <w:r w:rsidRPr="0046360F">
              <w:rPr>
                <w:szCs w:val="20"/>
              </w:rPr>
              <w:t>Clinical claim in efficacy</w:t>
            </w:r>
          </w:p>
        </w:tc>
        <w:tc>
          <w:tcPr>
            <w:tcW w:w="1965" w:type="pct"/>
            <w:tcBorders>
              <w:bottom w:val="nil"/>
            </w:tcBorders>
          </w:tcPr>
          <w:p w:rsidR="00CD5931" w:rsidRPr="0046360F" w:rsidRDefault="00CD5931" w:rsidP="00720208">
            <w:pPr>
              <w:pStyle w:val="TableText"/>
              <w:keepLines/>
              <w:rPr>
                <w:rFonts w:eastAsia="Times New Roman" w:cs="Arial"/>
                <w:bCs w:val="0"/>
                <w:snapToGrid w:val="0"/>
                <w:szCs w:val="20"/>
              </w:rPr>
            </w:pPr>
            <w:r w:rsidRPr="0046360F">
              <w:rPr>
                <w:rFonts w:eastAsia="Times New Roman" w:cs="Arial"/>
                <w:bCs w:val="0"/>
                <w:snapToGrid w:val="0"/>
                <w:szCs w:val="20"/>
              </w:rPr>
              <w:t>The PBAC accepted the clinical claim of superiority versus standard management, but was concerned that the magnitude of benefit of tafamidis was uncertain as NYHA class may be a treatment effect modifier and:</w:t>
            </w:r>
          </w:p>
        </w:tc>
        <w:tc>
          <w:tcPr>
            <w:tcW w:w="2015" w:type="pct"/>
            <w:tcBorders>
              <w:bottom w:val="nil"/>
            </w:tcBorders>
          </w:tcPr>
          <w:p w:rsidR="00CD5931" w:rsidRPr="0046360F" w:rsidRDefault="00CD5931" w:rsidP="00720208">
            <w:pPr>
              <w:pStyle w:val="TableText"/>
              <w:keepLines/>
              <w:rPr>
                <w:rFonts w:eastAsia="Times New Roman" w:cs="Arial"/>
                <w:bCs w:val="0"/>
                <w:snapToGrid w:val="0"/>
                <w:szCs w:val="20"/>
              </w:rPr>
            </w:pPr>
          </w:p>
        </w:tc>
      </w:tr>
      <w:tr w:rsidR="00CD5931" w:rsidRPr="0046360F" w:rsidTr="00720208">
        <w:trPr>
          <w:cantSplit/>
          <w:trHeight w:val="20"/>
        </w:trPr>
        <w:tc>
          <w:tcPr>
            <w:tcW w:w="1020" w:type="pct"/>
            <w:vMerge/>
          </w:tcPr>
          <w:p w:rsidR="00CD5931" w:rsidRPr="0046360F" w:rsidRDefault="00CD5931" w:rsidP="00720208">
            <w:pPr>
              <w:pStyle w:val="TableText"/>
              <w:keepLines/>
              <w:rPr>
                <w:szCs w:val="20"/>
              </w:rPr>
            </w:pPr>
          </w:p>
        </w:tc>
        <w:tc>
          <w:tcPr>
            <w:tcW w:w="1965" w:type="pct"/>
            <w:tcBorders>
              <w:top w:val="nil"/>
              <w:bottom w:val="nil"/>
            </w:tcBorders>
          </w:tcPr>
          <w:p w:rsidR="00CD5931" w:rsidRPr="0046360F" w:rsidRDefault="00CD5931" w:rsidP="00720208">
            <w:pPr>
              <w:pStyle w:val="TableText"/>
              <w:keepLines/>
              <w:numPr>
                <w:ilvl w:val="0"/>
                <w:numId w:val="3"/>
              </w:numPr>
              <w:ind w:left="182" w:hanging="182"/>
              <w:rPr>
                <w:rFonts w:eastAsia="Times New Roman" w:cs="Arial"/>
                <w:bCs w:val="0"/>
                <w:snapToGrid w:val="0"/>
                <w:szCs w:val="20"/>
              </w:rPr>
            </w:pPr>
            <w:r w:rsidRPr="0046360F">
              <w:rPr>
                <w:rFonts w:eastAsia="Times New Roman" w:cs="Arial"/>
                <w:bCs w:val="0"/>
                <w:snapToGrid w:val="0"/>
                <w:szCs w:val="20"/>
              </w:rPr>
              <w:t>In patients with baseline NYHA class III heart failure</w:t>
            </w:r>
            <w:r w:rsidR="006764D0" w:rsidRPr="0046360F">
              <w:rPr>
                <w:rFonts w:eastAsia="Times New Roman" w:cs="Arial"/>
                <w:bCs w:val="0"/>
                <w:snapToGrid w:val="0"/>
                <w:szCs w:val="20"/>
              </w:rPr>
              <w:t>,</w:t>
            </w:r>
            <w:r w:rsidRPr="0046360F">
              <w:rPr>
                <w:rFonts w:eastAsia="Times New Roman" w:cs="Arial"/>
                <w:bCs w:val="0"/>
                <w:snapToGrid w:val="0"/>
                <w:szCs w:val="20"/>
              </w:rPr>
              <w:t xml:space="preserve"> tafamidis was associated with an increase in hospitalisations and an uncertain impact on survival</w:t>
            </w:r>
            <w:r w:rsidR="00265D6A" w:rsidRPr="0046360F">
              <w:rPr>
                <w:rFonts w:eastAsia="Times New Roman" w:cs="Arial"/>
                <w:bCs w:val="0"/>
                <w:snapToGrid w:val="0"/>
                <w:szCs w:val="20"/>
              </w:rPr>
              <w:t xml:space="preserve"> (</w:t>
            </w:r>
            <w:r w:rsidR="00E2016B" w:rsidRPr="0046360F">
              <w:rPr>
                <w:rFonts w:eastAsia="Times New Roman" w:cs="Arial"/>
                <w:bCs w:val="0"/>
                <w:snapToGrid w:val="0"/>
                <w:szCs w:val="20"/>
              </w:rPr>
              <w:t xml:space="preserve">para </w:t>
            </w:r>
            <w:r w:rsidR="00265D6A" w:rsidRPr="0046360F">
              <w:rPr>
                <w:rFonts w:eastAsia="Times New Roman" w:cs="Arial"/>
                <w:bCs w:val="0"/>
                <w:snapToGrid w:val="0"/>
                <w:szCs w:val="20"/>
              </w:rPr>
              <w:t>7.</w:t>
            </w:r>
            <w:r w:rsidR="00B05E1A" w:rsidRPr="0046360F">
              <w:rPr>
                <w:rFonts w:eastAsia="Times New Roman" w:cs="Arial"/>
                <w:bCs w:val="0"/>
                <w:snapToGrid w:val="0"/>
                <w:szCs w:val="20"/>
              </w:rPr>
              <w:t>9</w:t>
            </w:r>
            <w:r w:rsidRPr="0046360F">
              <w:rPr>
                <w:szCs w:val="20"/>
                <w:lang w:eastAsia="en-US"/>
              </w:rPr>
              <w:t>)</w:t>
            </w:r>
            <w:r w:rsidRPr="0046360F">
              <w:rPr>
                <w:rFonts w:eastAsia="Times New Roman" w:cs="Arial"/>
                <w:bCs w:val="0"/>
                <w:snapToGrid w:val="0"/>
                <w:szCs w:val="20"/>
              </w:rPr>
              <w:t>.</w:t>
            </w:r>
          </w:p>
        </w:tc>
        <w:tc>
          <w:tcPr>
            <w:tcW w:w="2015" w:type="pct"/>
            <w:tcBorders>
              <w:top w:val="nil"/>
              <w:bottom w:val="nil"/>
            </w:tcBorders>
          </w:tcPr>
          <w:p w:rsidR="00CD5931" w:rsidRPr="0046360F" w:rsidRDefault="00CD5931" w:rsidP="00720208">
            <w:pPr>
              <w:pStyle w:val="TableText"/>
              <w:keepLines/>
              <w:numPr>
                <w:ilvl w:val="0"/>
                <w:numId w:val="3"/>
              </w:numPr>
              <w:ind w:left="182" w:hanging="182"/>
              <w:rPr>
                <w:rFonts w:eastAsia="Times New Roman" w:cs="Arial"/>
                <w:bCs w:val="0"/>
                <w:snapToGrid w:val="0"/>
                <w:szCs w:val="20"/>
              </w:rPr>
            </w:pPr>
            <w:r w:rsidRPr="0046360F">
              <w:rPr>
                <w:rFonts w:eastAsia="Times New Roman" w:cs="Arial"/>
                <w:bCs w:val="0"/>
                <w:snapToGrid w:val="0"/>
                <w:szCs w:val="20"/>
              </w:rPr>
              <w:t>The clinical claim was amended to exclude initiation of tafamidis in patients with persistent NYHA class III heart failure.</w:t>
            </w:r>
          </w:p>
        </w:tc>
      </w:tr>
      <w:tr w:rsidR="00CD5931" w:rsidRPr="0046360F" w:rsidTr="00720208">
        <w:trPr>
          <w:cantSplit/>
          <w:trHeight w:val="20"/>
        </w:trPr>
        <w:tc>
          <w:tcPr>
            <w:tcW w:w="1020" w:type="pct"/>
            <w:vMerge/>
          </w:tcPr>
          <w:p w:rsidR="00CD5931" w:rsidRPr="0046360F" w:rsidRDefault="00CD5931" w:rsidP="00720208">
            <w:pPr>
              <w:pStyle w:val="TableText"/>
              <w:keepLines/>
              <w:rPr>
                <w:szCs w:val="20"/>
              </w:rPr>
            </w:pPr>
          </w:p>
        </w:tc>
        <w:tc>
          <w:tcPr>
            <w:tcW w:w="1965" w:type="pct"/>
            <w:tcBorders>
              <w:top w:val="nil"/>
              <w:bottom w:val="nil"/>
            </w:tcBorders>
          </w:tcPr>
          <w:p w:rsidR="00CD5931" w:rsidRPr="0046360F" w:rsidRDefault="00CD5931" w:rsidP="00720208">
            <w:pPr>
              <w:pStyle w:val="TableText"/>
              <w:keepLines/>
              <w:numPr>
                <w:ilvl w:val="0"/>
                <w:numId w:val="3"/>
              </w:numPr>
              <w:ind w:left="182" w:hanging="182"/>
              <w:rPr>
                <w:rFonts w:eastAsia="Times New Roman" w:cs="Arial"/>
                <w:bCs w:val="0"/>
                <w:snapToGrid w:val="0"/>
                <w:szCs w:val="20"/>
              </w:rPr>
            </w:pPr>
            <w:r w:rsidRPr="0046360F">
              <w:rPr>
                <w:rFonts w:eastAsia="Times New Roman" w:cs="Arial"/>
                <w:bCs w:val="0"/>
                <w:snapToGrid w:val="0"/>
                <w:szCs w:val="20"/>
              </w:rPr>
              <w:t>It was unclear whether the distribution of NYHA classes from the ATTR-ACT trial will be applicable to the Australian setting</w:t>
            </w:r>
            <w:r w:rsidR="00B05E1A" w:rsidRPr="0046360F">
              <w:rPr>
                <w:rFonts w:eastAsia="Times New Roman" w:cs="Arial"/>
                <w:bCs w:val="0"/>
                <w:snapToGrid w:val="0"/>
                <w:szCs w:val="20"/>
              </w:rPr>
              <w:t xml:space="preserve"> (para</w:t>
            </w:r>
            <w:r w:rsidR="00EA2262" w:rsidRPr="0046360F">
              <w:rPr>
                <w:rFonts w:eastAsia="Times New Roman" w:cs="Arial"/>
                <w:bCs w:val="0"/>
                <w:snapToGrid w:val="0"/>
                <w:szCs w:val="20"/>
              </w:rPr>
              <w:t xml:space="preserve"> </w:t>
            </w:r>
            <w:r w:rsidR="00B05E1A" w:rsidRPr="0046360F">
              <w:rPr>
                <w:rFonts w:eastAsia="Times New Roman" w:cs="Arial"/>
                <w:bCs w:val="0"/>
                <w:snapToGrid w:val="0"/>
                <w:szCs w:val="20"/>
              </w:rPr>
              <w:t>7.9)</w:t>
            </w:r>
            <w:r w:rsidRPr="0046360F">
              <w:rPr>
                <w:rFonts w:eastAsia="Times New Roman" w:cs="Arial"/>
                <w:bCs w:val="0"/>
                <w:snapToGrid w:val="0"/>
                <w:szCs w:val="20"/>
              </w:rPr>
              <w:t>.</w:t>
            </w:r>
          </w:p>
        </w:tc>
        <w:tc>
          <w:tcPr>
            <w:tcW w:w="2015" w:type="pct"/>
            <w:tcBorders>
              <w:top w:val="nil"/>
              <w:bottom w:val="nil"/>
            </w:tcBorders>
          </w:tcPr>
          <w:p w:rsidR="00CD5931" w:rsidRPr="0046360F" w:rsidRDefault="000762C3" w:rsidP="00720208">
            <w:pPr>
              <w:pStyle w:val="TableText"/>
              <w:keepLines/>
              <w:numPr>
                <w:ilvl w:val="0"/>
                <w:numId w:val="3"/>
              </w:numPr>
              <w:ind w:left="182" w:hanging="182"/>
              <w:rPr>
                <w:rFonts w:eastAsia="Times New Roman" w:cs="Arial"/>
                <w:bCs w:val="0"/>
                <w:snapToGrid w:val="0"/>
                <w:szCs w:val="20"/>
              </w:rPr>
            </w:pPr>
            <w:r w:rsidRPr="0046360F">
              <w:rPr>
                <w:rFonts w:eastAsia="Times New Roman" w:cs="Arial"/>
                <w:bCs w:val="0"/>
                <w:snapToGrid w:val="0"/>
                <w:szCs w:val="20"/>
              </w:rPr>
              <w:t xml:space="preserve">The resubmission presented further </w:t>
            </w:r>
            <w:r w:rsidR="00CD5931" w:rsidRPr="0046360F">
              <w:rPr>
                <w:rFonts w:eastAsia="Times New Roman" w:cs="Arial"/>
                <w:bCs w:val="0"/>
                <w:snapToGrid w:val="0"/>
                <w:szCs w:val="20"/>
              </w:rPr>
              <w:t xml:space="preserve">comparisons of </w:t>
            </w:r>
            <w:r w:rsidR="0028216A" w:rsidRPr="0046360F">
              <w:rPr>
                <w:rFonts w:eastAsia="Times New Roman" w:cs="Arial"/>
                <w:bCs w:val="0"/>
                <w:snapToGrid w:val="0"/>
                <w:szCs w:val="20"/>
              </w:rPr>
              <w:t xml:space="preserve">the ATTR-ACT population </w:t>
            </w:r>
            <w:r w:rsidR="00203D95" w:rsidRPr="0046360F">
              <w:rPr>
                <w:rFonts w:eastAsia="Times New Roman" w:cs="Arial"/>
                <w:bCs w:val="0"/>
                <w:snapToGrid w:val="0"/>
                <w:szCs w:val="20"/>
              </w:rPr>
              <w:t>and</w:t>
            </w:r>
            <w:r w:rsidR="0028216A" w:rsidRPr="0046360F">
              <w:rPr>
                <w:rFonts w:eastAsia="Times New Roman" w:cs="Arial"/>
                <w:bCs w:val="0"/>
                <w:snapToGrid w:val="0"/>
                <w:szCs w:val="20"/>
              </w:rPr>
              <w:t xml:space="preserve"> </w:t>
            </w:r>
            <w:r w:rsidR="00CD5931" w:rsidRPr="0046360F">
              <w:rPr>
                <w:rFonts w:eastAsia="Times New Roman" w:cs="Arial"/>
                <w:bCs w:val="0"/>
                <w:snapToGrid w:val="0"/>
                <w:szCs w:val="20"/>
              </w:rPr>
              <w:t xml:space="preserve">the Australian setting </w:t>
            </w:r>
            <w:r w:rsidRPr="0046360F">
              <w:rPr>
                <w:rFonts w:eastAsia="Times New Roman" w:cs="Arial"/>
                <w:bCs w:val="0"/>
                <w:snapToGrid w:val="0"/>
                <w:szCs w:val="20"/>
              </w:rPr>
              <w:t xml:space="preserve">and claimed </w:t>
            </w:r>
            <w:r w:rsidR="00CD5931" w:rsidRPr="0046360F">
              <w:rPr>
                <w:rFonts w:eastAsia="Times New Roman" w:cs="Arial"/>
                <w:bCs w:val="0"/>
                <w:snapToGrid w:val="0"/>
                <w:szCs w:val="20"/>
              </w:rPr>
              <w:t xml:space="preserve">that more recently diagnosed Australian patients will be more closely aligned to </w:t>
            </w:r>
            <w:r w:rsidRPr="0046360F">
              <w:rPr>
                <w:rFonts w:eastAsia="Times New Roman" w:cs="Arial"/>
                <w:bCs w:val="0"/>
                <w:snapToGrid w:val="0"/>
                <w:szCs w:val="20"/>
              </w:rPr>
              <w:t xml:space="preserve">the </w:t>
            </w:r>
            <w:r w:rsidR="00CD5931" w:rsidRPr="0046360F">
              <w:rPr>
                <w:rFonts w:eastAsia="Times New Roman" w:cs="Arial"/>
                <w:bCs w:val="0"/>
                <w:snapToGrid w:val="0"/>
                <w:szCs w:val="20"/>
              </w:rPr>
              <w:t>ATTR-ACT population in terms of baseline NYHA class.</w:t>
            </w:r>
          </w:p>
        </w:tc>
      </w:tr>
      <w:tr w:rsidR="00CD5931" w:rsidRPr="0046360F" w:rsidTr="00720208">
        <w:trPr>
          <w:cantSplit/>
          <w:trHeight w:val="20"/>
        </w:trPr>
        <w:tc>
          <w:tcPr>
            <w:tcW w:w="1020" w:type="pct"/>
            <w:vMerge/>
          </w:tcPr>
          <w:p w:rsidR="00CD5931" w:rsidRPr="0046360F" w:rsidRDefault="00CD5931" w:rsidP="00720208">
            <w:pPr>
              <w:pStyle w:val="TableText"/>
              <w:keepLines/>
              <w:rPr>
                <w:szCs w:val="20"/>
              </w:rPr>
            </w:pPr>
          </w:p>
        </w:tc>
        <w:tc>
          <w:tcPr>
            <w:tcW w:w="1965" w:type="pct"/>
            <w:tcBorders>
              <w:top w:val="nil"/>
            </w:tcBorders>
          </w:tcPr>
          <w:p w:rsidR="00CD5931" w:rsidRPr="0046360F" w:rsidRDefault="00CD5931" w:rsidP="00720208">
            <w:pPr>
              <w:pStyle w:val="TableText"/>
              <w:keepLines/>
              <w:numPr>
                <w:ilvl w:val="0"/>
                <w:numId w:val="3"/>
              </w:numPr>
              <w:ind w:left="182" w:hanging="182"/>
              <w:rPr>
                <w:rFonts w:eastAsia="Times New Roman" w:cs="Arial"/>
                <w:bCs w:val="0"/>
                <w:snapToGrid w:val="0"/>
                <w:szCs w:val="20"/>
              </w:rPr>
            </w:pPr>
            <w:r w:rsidRPr="0046360F">
              <w:rPr>
                <w:iCs/>
                <w:szCs w:val="20"/>
                <w:lang w:eastAsia="en-US"/>
              </w:rPr>
              <w:t xml:space="preserve">It was unclear whether newly diagnosed patients would have more benign clinical courses and that the overall natural history of ATTR-CM may evolve with </w:t>
            </w:r>
            <w:r w:rsidR="004535F2" w:rsidRPr="0046360F">
              <w:rPr>
                <w:iCs/>
                <w:szCs w:val="20"/>
                <w:lang w:eastAsia="en-US"/>
              </w:rPr>
              <w:t xml:space="preserve">the </w:t>
            </w:r>
            <w:r w:rsidRPr="0046360F">
              <w:rPr>
                <w:iCs/>
                <w:szCs w:val="20"/>
                <w:lang w:eastAsia="en-US"/>
              </w:rPr>
              <w:t>changing diagnostic paradigm</w:t>
            </w:r>
            <w:r w:rsidR="00B05E1A" w:rsidRPr="0046360F">
              <w:rPr>
                <w:iCs/>
                <w:szCs w:val="20"/>
                <w:lang w:eastAsia="en-US"/>
              </w:rPr>
              <w:t xml:space="preserve"> (para</w:t>
            </w:r>
            <w:r w:rsidR="00EA2262" w:rsidRPr="0046360F">
              <w:rPr>
                <w:iCs/>
                <w:szCs w:val="20"/>
                <w:lang w:eastAsia="en-US"/>
              </w:rPr>
              <w:t xml:space="preserve"> </w:t>
            </w:r>
            <w:r w:rsidR="00B05E1A" w:rsidRPr="0046360F">
              <w:rPr>
                <w:iCs/>
                <w:szCs w:val="20"/>
                <w:lang w:eastAsia="en-US"/>
              </w:rPr>
              <w:t>7.9)</w:t>
            </w:r>
            <w:r w:rsidRPr="0046360F">
              <w:rPr>
                <w:iCs/>
                <w:szCs w:val="20"/>
                <w:lang w:eastAsia="en-US"/>
              </w:rPr>
              <w:t>.</w:t>
            </w:r>
          </w:p>
        </w:tc>
        <w:tc>
          <w:tcPr>
            <w:tcW w:w="2015" w:type="pct"/>
            <w:tcBorders>
              <w:top w:val="nil"/>
            </w:tcBorders>
          </w:tcPr>
          <w:p w:rsidR="00CD5931" w:rsidRPr="0046360F" w:rsidRDefault="000762C3" w:rsidP="00720208">
            <w:pPr>
              <w:pStyle w:val="TableText"/>
              <w:keepLines/>
              <w:numPr>
                <w:ilvl w:val="0"/>
                <w:numId w:val="3"/>
              </w:numPr>
              <w:ind w:left="182" w:hanging="182"/>
              <w:rPr>
                <w:rFonts w:eastAsia="Times New Roman" w:cs="Arial"/>
                <w:bCs w:val="0"/>
                <w:snapToGrid w:val="0"/>
                <w:szCs w:val="20"/>
              </w:rPr>
            </w:pPr>
            <w:r w:rsidRPr="0046360F">
              <w:rPr>
                <w:rFonts w:eastAsia="Times New Roman" w:cs="Arial"/>
                <w:bCs w:val="0"/>
                <w:snapToGrid w:val="0"/>
                <w:szCs w:val="20"/>
              </w:rPr>
              <w:t xml:space="preserve">The resubmission presented additional </w:t>
            </w:r>
            <w:r w:rsidR="00CD5931" w:rsidRPr="0046360F">
              <w:rPr>
                <w:rFonts w:eastAsia="Times New Roman" w:cs="Arial"/>
                <w:bCs w:val="0"/>
                <w:snapToGrid w:val="0"/>
                <w:szCs w:val="20"/>
              </w:rPr>
              <w:t xml:space="preserve">studies of the natural history of ATTR-CM </w:t>
            </w:r>
            <w:r w:rsidRPr="0046360F">
              <w:rPr>
                <w:rFonts w:eastAsia="Times New Roman" w:cs="Arial"/>
                <w:bCs w:val="0"/>
                <w:snapToGrid w:val="0"/>
                <w:szCs w:val="20"/>
              </w:rPr>
              <w:t xml:space="preserve">and claimed </w:t>
            </w:r>
            <w:r w:rsidR="00CD5931" w:rsidRPr="0046360F">
              <w:rPr>
                <w:rFonts w:eastAsia="Times New Roman" w:cs="Arial"/>
                <w:bCs w:val="0"/>
                <w:snapToGrid w:val="0"/>
                <w:szCs w:val="20"/>
              </w:rPr>
              <w:t>that earlier diagnosis delays disease progression.</w:t>
            </w:r>
          </w:p>
        </w:tc>
      </w:tr>
      <w:tr w:rsidR="00CD5931" w:rsidRPr="0046360F" w:rsidTr="00720208">
        <w:trPr>
          <w:cantSplit/>
        </w:trPr>
        <w:tc>
          <w:tcPr>
            <w:tcW w:w="1020" w:type="pct"/>
          </w:tcPr>
          <w:p w:rsidR="00CD5931" w:rsidRPr="0046360F" w:rsidRDefault="00CD5931" w:rsidP="00CD5931">
            <w:pPr>
              <w:pStyle w:val="TableText"/>
              <w:keepNext w:val="0"/>
              <w:rPr>
                <w:szCs w:val="20"/>
              </w:rPr>
            </w:pPr>
            <w:r w:rsidRPr="0046360F">
              <w:rPr>
                <w:szCs w:val="20"/>
              </w:rPr>
              <w:t>Clinical claim in safety</w:t>
            </w:r>
          </w:p>
        </w:tc>
        <w:tc>
          <w:tcPr>
            <w:tcW w:w="1965" w:type="pct"/>
          </w:tcPr>
          <w:p w:rsidR="00CD5931" w:rsidRPr="0046360F" w:rsidRDefault="00CD5931" w:rsidP="00265D6A">
            <w:pPr>
              <w:pStyle w:val="TableText"/>
              <w:keepNext w:val="0"/>
              <w:rPr>
                <w:rFonts w:eastAsia="Times New Roman" w:cs="Arial"/>
                <w:bCs w:val="0"/>
                <w:snapToGrid w:val="0"/>
                <w:color w:val="0066FF"/>
                <w:szCs w:val="20"/>
              </w:rPr>
            </w:pPr>
            <w:r w:rsidRPr="0046360F">
              <w:rPr>
                <w:iCs/>
                <w:szCs w:val="20"/>
                <w:lang w:eastAsia="en-US"/>
              </w:rPr>
              <w:t>The PBAC considered that the claim of non</w:t>
            </w:r>
            <w:r w:rsidR="00A20594" w:rsidRPr="0046360F">
              <w:rPr>
                <w:iCs/>
                <w:szCs w:val="20"/>
                <w:lang w:eastAsia="en-US"/>
              </w:rPr>
              <w:t>-</w:t>
            </w:r>
            <w:r w:rsidRPr="0046360F">
              <w:rPr>
                <w:iCs/>
                <w:szCs w:val="20"/>
                <w:lang w:eastAsia="en-US"/>
              </w:rPr>
              <w:t>inferior safety versus standard management was possibly reasonable, but that the clinical safety dataset was small and inadequate to make a claim of non</w:t>
            </w:r>
            <w:r w:rsidR="00A20594" w:rsidRPr="0046360F">
              <w:rPr>
                <w:iCs/>
                <w:szCs w:val="20"/>
                <w:lang w:eastAsia="en-US"/>
              </w:rPr>
              <w:t>-</w:t>
            </w:r>
            <w:r w:rsidRPr="0046360F">
              <w:rPr>
                <w:iCs/>
                <w:szCs w:val="20"/>
                <w:lang w:eastAsia="en-US"/>
              </w:rPr>
              <w:t>inferior safety</w:t>
            </w:r>
            <w:r w:rsidRPr="0046360F">
              <w:rPr>
                <w:szCs w:val="20"/>
                <w:lang w:eastAsia="en-US"/>
              </w:rPr>
              <w:t xml:space="preserve"> (</w:t>
            </w:r>
            <w:r w:rsidR="00E2016B" w:rsidRPr="0046360F">
              <w:rPr>
                <w:szCs w:val="20"/>
                <w:lang w:eastAsia="en-US"/>
              </w:rPr>
              <w:t xml:space="preserve">para </w:t>
            </w:r>
            <w:r w:rsidR="00265D6A" w:rsidRPr="0046360F">
              <w:rPr>
                <w:szCs w:val="20"/>
                <w:lang w:eastAsia="en-US"/>
              </w:rPr>
              <w:t>7.11</w:t>
            </w:r>
            <w:r w:rsidRPr="0046360F">
              <w:rPr>
                <w:szCs w:val="20"/>
                <w:lang w:eastAsia="en-US"/>
              </w:rPr>
              <w:t>).</w:t>
            </w:r>
          </w:p>
        </w:tc>
        <w:tc>
          <w:tcPr>
            <w:tcW w:w="2015" w:type="pct"/>
          </w:tcPr>
          <w:p w:rsidR="00CD5931" w:rsidRPr="0046360F" w:rsidRDefault="00CD5931" w:rsidP="00CD5931">
            <w:pPr>
              <w:pStyle w:val="TableText"/>
              <w:keepNext w:val="0"/>
              <w:rPr>
                <w:rFonts w:eastAsia="Times New Roman" w:cs="Arial"/>
                <w:bCs w:val="0"/>
                <w:snapToGrid w:val="0"/>
                <w:color w:val="0066FF"/>
                <w:szCs w:val="20"/>
              </w:rPr>
            </w:pPr>
            <w:r w:rsidRPr="0046360F">
              <w:rPr>
                <w:rFonts w:eastAsia="Times New Roman" w:cs="Arial"/>
                <w:bCs w:val="0"/>
                <w:snapToGrid w:val="0"/>
                <w:szCs w:val="20"/>
              </w:rPr>
              <w:t xml:space="preserve">The clinical claim was amended to inferior safety versus </w:t>
            </w:r>
            <w:r w:rsidRPr="0046360F">
              <w:rPr>
                <w:iCs/>
                <w:szCs w:val="20"/>
                <w:lang w:eastAsia="en-US"/>
              </w:rPr>
              <w:t>standard management.</w:t>
            </w:r>
          </w:p>
        </w:tc>
      </w:tr>
      <w:tr w:rsidR="00CD5931" w:rsidRPr="0046360F" w:rsidTr="00720208">
        <w:trPr>
          <w:cantSplit/>
        </w:trPr>
        <w:tc>
          <w:tcPr>
            <w:tcW w:w="5000" w:type="pct"/>
            <w:gridSpan w:val="3"/>
          </w:tcPr>
          <w:p w:rsidR="00CD5931" w:rsidRPr="0046360F" w:rsidRDefault="00CD5931" w:rsidP="00CD5931">
            <w:pPr>
              <w:pStyle w:val="TableText"/>
              <w:keepNext w:val="0"/>
              <w:rPr>
                <w:b/>
                <w:szCs w:val="20"/>
              </w:rPr>
            </w:pPr>
            <w:r w:rsidRPr="0046360F">
              <w:rPr>
                <w:b/>
                <w:szCs w:val="20"/>
              </w:rPr>
              <w:t xml:space="preserve">Economic evaluation </w:t>
            </w:r>
          </w:p>
        </w:tc>
      </w:tr>
      <w:tr w:rsidR="00CD5931" w:rsidRPr="0046360F" w:rsidTr="00720208">
        <w:trPr>
          <w:cantSplit/>
        </w:trPr>
        <w:tc>
          <w:tcPr>
            <w:tcW w:w="1020" w:type="pct"/>
            <w:tcBorders>
              <w:bottom w:val="nil"/>
            </w:tcBorders>
          </w:tcPr>
          <w:p w:rsidR="00CD5931" w:rsidRPr="0046360F" w:rsidRDefault="00CD5931" w:rsidP="00CD5931">
            <w:pPr>
              <w:pStyle w:val="TableText"/>
              <w:keepNext w:val="0"/>
              <w:rPr>
                <w:szCs w:val="20"/>
              </w:rPr>
            </w:pPr>
            <w:r w:rsidRPr="0046360F">
              <w:rPr>
                <w:szCs w:val="20"/>
              </w:rPr>
              <w:t>Structure of the economic model</w:t>
            </w:r>
          </w:p>
        </w:tc>
        <w:tc>
          <w:tcPr>
            <w:tcW w:w="1965" w:type="pct"/>
            <w:tcBorders>
              <w:top w:val="single" w:sz="4" w:space="0" w:color="auto"/>
              <w:bottom w:val="nil"/>
            </w:tcBorders>
          </w:tcPr>
          <w:p w:rsidR="00CD5931" w:rsidRPr="0046360F" w:rsidRDefault="00CD5931" w:rsidP="00265D6A">
            <w:pPr>
              <w:pStyle w:val="TableText"/>
              <w:keepNext w:val="0"/>
              <w:rPr>
                <w:rFonts w:eastAsia="Times New Roman" w:cs="Arial"/>
                <w:bCs w:val="0"/>
                <w:snapToGrid w:val="0"/>
                <w:szCs w:val="20"/>
              </w:rPr>
            </w:pPr>
            <w:r w:rsidRPr="0046360F">
              <w:rPr>
                <w:rFonts w:eastAsia="Times New Roman" w:cs="Arial"/>
                <w:bCs w:val="0"/>
                <w:snapToGrid w:val="0"/>
                <w:szCs w:val="20"/>
              </w:rPr>
              <w:t>The PBAC considered that the model structure did not form a reliable basis for decision making (</w:t>
            </w:r>
            <w:r w:rsidR="00E2016B" w:rsidRPr="0046360F">
              <w:rPr>
                <w:rFonts w:eastAsia="Times New Roman" w:cs="Arial"/>
                <w:bCs w:val="0"/>
                <w:snapToGrid w:val="0"/>
                <w:szCs w:val="20"/>
              </w:rPr>
              <w:t xml:space="preserve">para </w:t>
            </w:r>
            <w:r w:rsidR="00265D6A" w:rsidRPr="0046360F">
              <w:rPr>
                <w:rFonts w:eastAsia="Times New Roman" w:cs="Arial"/>
                <w:bCs w:val="0"/>
                <w:snapToGrid w:val="0"/>
                <w:szCs w:val="20"/>
              </w:rPr>
              <w:t>7.12</w:t>
            </w:r>
            <w:r w:rsidRPr="0046360F">
              <w:rPr>
                <w:szCs w:val="20"/>
              </w:rPr>
              <w:t>)</w:t>
            </w:r>
            <w:r w:rsidRPr="0046360F">
              <w:rPr>
                <w:rFonts w:eastAsia="Times New Roman" w:cs="Arial"/>
                <w:bCs w:val="0"/>
                <w:snapToGrid w:val="0"/>
                <w:szCs w:val="20"/>
              </w:rPr>
              <w:t>:</w:t>
            </w:r>
          </w:p>
        </w:tc>
        <w:tc>
          <w:tcPr>
            <w:tcW w:w="2015" w:type="pct"/>
            <w:tcBorders>
              <w:top w:val="single" w:sz="4" w:space="0" w:color="auto"/>
              <w:bottom w:val="nil"/>
            </w:tcBorders>
          </w:tcPr>
          <w:p w:rsidR="00CD5931" w:rsidRPr="0046360F" w:rsidRDefault="00CD5931" w:rsidP="00CD5931">
            <w:pPr>
              <w:pStyle w:val="TableText"/>
              <w:keepNext w:val="0"/>
              <w:rPr>
                <w:rFonts w:eastAsia="Times New Roman" w:cs="Arial"/>
                <w:bCs w:val="0"/>
                <w:snapToGrid w:val="0"/>
                <w:color w:val="0066FF"/>
                <w:szCs w:val="20"/>
              </w:rPr>
            </w:pPr>
          </w:p>
        </w:tc>
      </w:tr>
      <w:tr w:rsidR="00CD5931" w:rsidRPr="0046360F" w:rsidTr="00720208">
        <w:trPr>
          <w:cantSplit/>
        </w:trPr>
        <w:tc>
          <w:tcPr>
            <w:tcW w:w="1020" w:type="pct"/>
            <w:tcBorders>
              <w:top w:val="nil"/>
              <w:bottom w:val="nil"/>
            </w:tcBorders>
          </w:tcPr>
          <w:p w:rsidR="00CD5931" w:rsidRPr="0046360F" w:rsidRDefault="00CD5931" w:rsidP="00CD5931">
            <w:pPr>
              <w:pStyle w:val="TableText"/>
              <w:keepNext w:val="0"/>
              <w:rPr>
                <w:szCs w:val="20"/>
              </w:rPr>
            </w:pPr>
          </w:p>
        </w:tc>
        <w:tc>
          <w:tcPr>
            <w:tcW w:w="1965" w:type="pct"/>
            <w:tcBorders>
              <w:top w:val="nil"/>
              <w:bottom w:val="nil"/>
            </w:tcBorders>
          </w:tcPr>
          <w:p w:rsidR="00CD5931" w:rsidRPr="0046360F" w:rsidRDefault="00CD5931" w:rsidP="009E6BD1">
            <w:pPr>
              <w:pStyle w:val="TableText"/>
              <w:numPr>
                <w:ilvl w:val="0"/>
                <w:numId w:val="3"/>
              </w:numPr>
              <w:ind w:left="182" w:hanging="182"/>
              <w:rPr>
                <w:iCs/>
                <w:szCs w:val="20"/>
                <w:lang w:eastAsia="en-US"/>
              </w:rPr>
            </w:pPr>
            <w:r w:rsidRPr="0046360F">
              <w:rPr>
                <w:iCs/>
                <w:szCs w:val="20"/>
                <w:lang w:eastAsia="en-US"/>
              </w:rPr>
              <w:t>Patients were assumed to remain in the same NYHA class over the duration of the model which did not reflect the progressive nature of ATTR-CM.</w:t>
            </w:r>
          </w:p>
        </w:tc>
        <w:tc>
          <w:tcPr>
            <w:tcW w:w="2015" w:type="pct"/>
            <w:tcBorders>
              <w:top w:val="nil"/>
              <w:bottom w:val="nil"/>
            </w:tcBorders>
          </w:tcPr>
          <w:p w:rsidR="00CD5931" w:rsidRPr="0046360F" w:rsidRDefault="00CD5931" w:rsidP="00FF7505">
            <w:pPr>
              <w:pStyle w:val="TableText"/>
              <w:numPr>
                <w:ilvl w:val="0"/>
                <w:numId w:val="3"/>
              </w:numPr>
              <w:ind w:left="182" w:hanging="182"/>
              <w:rPr>
                <w:rFonts w:eastAsia="Times New Roman" w:cs="Arial"/>
                <w:bCs w:val="0"/>
                <w:snapToGrid w:val="0"/>
                <w:szCs w:val="20"/>
              </w:rPr>
            </w:pPr>
            <w:r w:rsidRPr="0046360F">
              <w:rPr>
                <w:iCs/>
                <w:szCs w:val="20"/>
                <w:lang w:eastAsia="en-US"/>
              </w:rPr>
              <w:t>The new model structure allow</w:t>
            </w:r>
            <w:r w:rsidR="00FF7505" w:rsidRPr="0046360F">
              <w:rPr>
                <w:iCs/>
                <w:szCs w:val="20"/>
                <w:lang w:eastAsia="en-US"/>
              </w:rPr>
              <w:t>ed</w:t>
            </w:r>
            <w:r w:rsidRPr="0046360F">
              <w:rPr>
                <w:iCs/>
                <w:szCs w:val="20"/>
                <w:lang w:eastAsia="en-US"/>
              </w:rPr>
              <w:t xml:space="preserve"> patients to </w:t>
            </w:r>
            <w:r w:rsidR="00BF6C21" w:rsidRPr="0046360F">
              <w:rPr>
                <w:iCs/>
                <w:szCs w:val="20"/>
                <w:lang w:eastAsia="en-US"/>
              </w:rPr>
              <w:t xml:space="preserve">progress and regress </w:t>
            </w:r>
            <w:r w:rsidRPr="0046360F">
              <w:rPr>
                <w:iCs/>
                <w:szCs w:val="20"/>
                <w:lang w:eastAsia="en-US"/>
              </w:rPr>
              <w:t>between NYHA class categories (NYHA I/II, NYHA III/IV).</w:t>
            </w:r>
          </w:p>
        </w:tc>
      </w:tr>
      <w:tr w:rsidR="00CD5931" w:rsidRPr="0046360F" w:rsidTr="00720208">
        <w:trPr>
          <w:cantSplit/>
        </w:trPr>
        <w:tc>
          <w:tcPr>
            <w:tcW w:w="1020" w:type="pct"/>
            <w:tcBorders>
              <w:top w:val="nil"/>
              <w:bottom w:val="nil"/>
            </w:tcBorders>
          </w:tcPr>
          <w:p w:rsidR="00CD5931" w:rsidRPr="0046360F" w:rsidRDefault="00CD5931" w:rsidP="00CD5931">
            <w:pPr>
              <w:pStyle w:val="TableText"/>
              <w:keepNext w:val="0"/>
              <w:rPr>
                <w:szCs w:val="20"/>
              </w:rPr>
            </w:pPr>
          </w:p>
        </w:tc>
        <w:tc>
          <w:tcPr>
            <w:tcW w:w="1965" w:type="pct"/>
            <w:tcBorders>
              <w:top w:val="nil"/>
              <w:bottom w:val="nil"/>
            </w:tcBorders>
          </w:tcPr>
          <w:p w:rsidR="00CD5931" w:rsidRPr="0046360F" w:rsidRDefault="00CD5931" w:rsidP="009E6BD1">
            <w:pPr>
              <w:pStyle w:val="TableText"/>
              <w:numPr>
                <w:ilvl w:val="0"/>
                <w:numId w:val="3"/>
              </w:numPr>
              <w:ind w:left="182" w:hanging="182"/>
              <w:rPr>
                <w:iCs/>
                <w:szCs w:val="20"/>
                <w:lang w:eastAsia="en-US"/>
              </w:rPr>
            </w:pPr>
            <w:r w:rsidRPr="0046360F">
              <w:rPr>
                <w:iCs/>
                <w:szCs w:val="20"/>
                <w:lang w:eastAsia="en-US"/>
              </w:rPr>
              <w:t>A constant probability of hospitalisation was applied over the duration of the model, which was inappropriate as CV hospitalisations would be expected to increase with age.</w:t>
            </w:r>
          </w:p>
        </w:tc>
        <w:tc>
          <w:tcPr>
            <w:tcW w:w="2015" w:type="pct"/>
            <w:tcBorders>
              <w:top w:val="nil"/>
              <w:bottom w:val="nil"/>
            </w:tcBorders>
          </w:tcPr>
          <w:p w:rsidR="00CD5931" w:rsidRPr="0046360F" w:rsidRDefault="00CD5931" w:rsidP="00FF7505">
            <w:pPr>
              <w:pStyle w:val="TableText"/>
              <w:numPr>
                <w:ilvl w:val="0"/>
                <w:numId w:val="3"/>
              </w:numPr>
              <w:ind w:left="182" w:hanging="182"/>
              <w:rPr>
                <w:iCs/>
                <w:szCs w:val="20"/>
                <w:lang w:eastAsia="en-US"/>
              </w:rPr>
            </w:pPr>
            <w:r w:rsidRPr="0046360F">
              <w:rPr>
                <w:iCs/>
                <w:szCs w:val="20"/>
                <w:lang w:eastAsia="en-US"/>
              </w:rPr>
              <w:t xml:space="preserve">In the new model, CV hospitalisations </w:t>
            </w:r>
            <w:r w:rsidR="00FF7505" w:rsidRPr="0046360F">
              <w:rPr>
                <w:iCs/>
                <w:szCs w:val="20"/>
                <w:lang w:eastAsia="en-US"/>
              </w:rPr>
              <w:t xml:space="preserve">were </w:t>
            </w:r>
            <w:r w:rsidRPr="0046360F">
              <w:rPr>
                <w:iCs/>
                <w:szCs w:val="20"/>
                <w:lang w:eastAsia="en-US"/>
              </w:rPr>
              <w:t xml:space="preserve">included as a health state (previously included as an event). Patients </w:t>
            </w:r>
            <w:r w:rsidR="00FF7505" w:rsidRPr="0046360F">
              <w:rPr>
                <w:iCs/>
                <w:szCs w:val="20"/>
                <w:lang w:eastAsia="en-US"/>
              </w:rPr>
              <w:t xml:space="preserve">could </w:t>
            </w:r>
            <w:r w:rsidRPr="0046360F">
              <w:rPr>
                <w:iCs/>
                <w:szCs w:val="20"/>
                <w:lang w:eastAsia="en-US"/>
              </w:rPr>
              <w:t xml:space="preserve">transition between recent and no recent CV hospitalisation states. Constant probabilities of hospitalisation </w:t>
            </w:r>
            <w:r w:rsidR="00FF7505" w:rsidRPr="0046360F">
              <w:rPr>
                <w:iCs/>
                <w:szCs w:val="20"/>
                <w:lang w:eastAsia="en-US"/>
              </w:rPr>
              <w:t xml:space="preserve">were </w:t>
            </w:r>
            <w:r w:rsidRPr="0046360F">
              <w:rPr>
                <w:iCs/>
                <w:szCs w:val="20"/>
                <w:lang w:eastAsia="en-US"/>
              </w:rPr>
              <w:t>used in the model from 2.5 years. The number of hospitalisations per hospitalised patient</w:t>
            </w:r>
            <w:r w:rsidR="0026392E" w:rsidRPr="0046360F">
              <w:rPr>
                <w:iCs/>
                <w:szCs w:val="20"/>
                <w:lang w:eastAsia="en-US"/>
              </w:rPr>
              <w:t>, assumed to be constant over time,</w:t>
            </w:r>
            <w:r w:rsidRPr="0046360F">
              <w:rPr>
                <w:iCs/>
                <w:szCs w:val="20"/>
                <w:lang w:eastAsia="en-US"/>
              </w:rPr>
              <w:t xml:space="preserve"> </w:t>
            </w:r>
            <w:r w:rsidR="00FF7505" w:rsidRPr="0046360F">
              <w:rPr>
                <w:iCs/>
                <w:szCs w:val="20"/>
                <w:lang w:eastAsia="en-US"/>
              </w:rPr>
              <w:t>was</w:t>
            </w:r>
            <w:r w:rsidRPr="0046360F">
              <w:rPr>
                <w:iCs/>
                <w:szCs w:val="20"/>
                <w:lang w:eastAsia="en-US"/>
              </w:rPr>
              <w:t xml:space="preserve"> captured to cost CV hospitalisation events.</w:t>
            </w:r>
          </w:p>
        </w:tc>
      </w:tr>
      <w:tr w:rsidR="00CD5931" w:rsidRPr="0046360F" w:rsidTr="00720208">
        <w:trPr>
          <w:cantSplit/>
        </w:trPr>
        <w:tc>
          <w:tcPr>
            <w:tcW w:w="1020" w:type="pct"/>
            <w:tcBorders>
              <w:top w:val="nil"/>
              <w:bottom w:val="nil"/>
            </w:tcBorders>
          </w:tcPr>
          <w:p w:rsidR="00CD5931" w:rsidRPr="0046360F" w:rsidRDefault="00CD5931" w:rsidP="00CD5931">
            <w:pPr>
              <w:pStyle w:val="TableText"/>
              <w:keepNext w:val="0"/>
              <w:rPr>
                <w:szCs w:val="20"/>
              </w:rPr>
            </w:pPr>
          </w:p>
        </w:tc>
        <w:tc>
          <w:tcPr>
            <w:tcW w:w="1965" w:type="pct"/>
            <w:tcBorders>
              <w:top w:val="nil"/>
              <w:bottom w:val="nil"/>
            </w:tcBorders>
          </w:tcPr>
          <w:p w:rsidR="00CD5931" w:rsidRPr="0046360F" w:rsidRDefault="00CD5931" w:rsidP="009E6BD1">
            <w:pPr>
              <w:pStyle w:val="TableText"/>
              <w:numPr>
                <w:ilvl w:val="0"/>
                <w:numId w:val="3"/>
              </w:numPr>
              <w:ind w:left="182" w:hanging="182"/>
              <w:rPr>
                <w:iCs/>
                <w:szCs w:val="20"/>
                <w:lang w:eastAsia="en-US"/>
              </w:rPr>
            </w:pPr>
            <w:r w:rsidRPr="0046360F">
              <w:rPr>
                <w:iCs/>
                <w:szCs w:val="20"/>
                <w:lang w:eastAsia="en-US"/>
              </w:rPr>
              <w:t>The implicit assumption that all CV hospitalisations would be non-fatal was inappropriate as trial data indicated both fatal and non-fatal hospitalisation events.</w:t>
            </w:r>
          </w:p>
        </w:tc>
        <w:tc>
          <w:tcPr>
            <w:tcW w:w="2015" w:type="pct"/>
            <w:tcBorders>
              <w:top w:val="nil"/>
              <w:bottom w:val="nil"/>
            </w:tcBorders>
          </w:tcPr>
          <w:p w:rsidR="00CD5931" w:rsidRPr="0046360F" w:rsidRDefault="00CD5931" w:rsidP="009E6BD1">
            <w:pPr>
              <w:pStyle w:val="TableText"/>
              <w:numPr>
                <w:ilvl w:val="0"/>
                <w:numId w:val="3"/>
              </w:numPr>
              <w:ind w:left="182" w:hanging="182"/>
              <w:rPr>
                <w:iCs/>
                <w:szCs w:val="20"/>
                <w:lang w:eastAsia="en-US"/>
              </w:rPr>
            </w:pPr>
            <w:r w:rsidRPr="0046360F">
              <w:rPr>
                <w:iCs/>
                <w:szCs w:val="20"/>
                <w:lang w:eastAsia="en-US"/>
              </w:rPr>
              <w:t xml:space="preserve">Individual patient data from the ATTR-ACT trial (subgroup with NYHA class I/II at baseline) were used to derive transition probabilities for movement between NYHA class I/II and III/IV, </w:t>
            </w:r>
            <w:r w:rsidR="003F03EA" w:rsidRPr="0046360F">
              <w:rPr>
                <w:iCs/>
                <w:szCs w:val="20"/>
                <w:lang w:eastAsia="en-US"/>
              </w:rPr>
              <w:t>CV-</w:t>
            </w:r>
            <w:r w:rsidRPr="0046360F">
              <w:rPr>
                <w:iCs/>
                <w:szCs w:val="20"/>
                <w:lang w:eastAsia="en-US"/>
              </w:rPr>
              <w:t>related hospitalisations, and death.</w:t>
            </w:r>
          </w:p>
        </w:tc>
      </w:tr>
      <w:tr w:rsidR="00CD5931" w:rsidRPr="0046360F" w:rsidTr="00720208">
        <w:trPr>
          <w:cantSplit/>
        </w:trPr>
        <w:tc>
          <w:tcPr>
            <w:tcW w:w="1020" w:type="pct"/>
            <w:tcBorders>
              <w:top w:val="nil"/>
            </w:tcBorders>
          </w:tcPr>
          <w:p w:rsidR="00CD5931" w:rsidRPr="0046360F" w:rsidRDefault="00CD5931" w:rsidP="00CD5931">
            <w:pPr>
              <w:pStyle w:val="TableText"/>
              <w:keepNext w:val="0"/>
              <w:rPr>
                <w:szCs w:val="20"/>
              </w:rPr>
            </w:pPr>
          </w:p>
        </w:tc>
        <w:tc>
          <w:tcPr>
            <w:tcW w:w="1965" w:type="pct"/>
            <w:tcBorders>
              <w:top w:val="nil"/>
            </w:tcBorders>
          </w:tcPr>
          <w:p w:rsidR="00CD5931" w:rsidRPr="0046360F" w:rsidRDefault="00CD5931" w:rsidP="009E6BD1">
            <w:pPr>
              <w:pStyle w:val="TableText"/>
              <w:numPr>
                <w:ilvl w:val="0"/>
                <w:numId w:val="3"/>
              </w:numPr>
              <w:ind w:left="182" w:hanging="182"/>
              <w:rPr>
                <w:iCs/>
                <w:szCs w:val="20"/>
                <w:lang w:eastAsia="en-US"/>
              </w:rPr>
            </w:pPr>
            <w:r w:rsidRPr="0046360F">
              <w:rPr>
                <w:iCs/>
                <w:szCs w:val="20"/>
                <w:lang w:eastAsia="en-US"/>
              </w:rPr>
              <w:t>The implicit assumption that the treatment effect is maintained following treatment discontinuation was inappropriate as increasing proportions of patients discontinue over time and spend longer durations without therapy (not accruing drug costs, but deriving treatment benefit)</w:t>
            </w:r>
            <w:r w:rsidR="003F03EA" w:rsidRPr="0046360F">
              <w:rPr>
                <w:iCs/>
                <w:szCs w:val="20"/>
                <w:lang w:eastAsia="en-US"/>
              </w:rPr>
              <w:t>.</w:t>
            </w:r>
          </w:p>
        </w:tc>
        <w:tc>
          <w:tcPr>
            <w:tcW w:w="2015" w:type="pct"/>
            <w:tcBorders>
              <w:top w:val="nil"/>
            </w:tcBorders>
          </w:tcPr>
          <w:p w:rsidR="00CD5931" w:rsidRPr="0046360F" w:rsidRDefault="00CD5931" w:rsidP="009E6BD1">
            <w:pPr>
              <w:pStyle w:val="TableText"/>
              <w:numPr>
                <w:ilvl w:val="0"/>
                <w:numId w:val="3"/>
              </w:numPr>
              <w:ind w:left="182" w:hanging="182"/>
              <w:rPr>
                <w:iCs/>
                <w:szCs w:val="20"/>
                <w:lang w:eastAsia="en-US"/>
              </w:rPr>
            </w:pPr>
            <w:r w:rsidRPr="0046360F">
              <w:rPr>
                <w:iCs/>
                <w:szCs w:val="20"/>
                <w:lang w:eastAsia="en-US"/>
              </w:rPr>
              <w:t xml:space="preserve">Not addressed in the resubmission. Treatment discontinuation rates were applied to drug costs only, with no impact on survival, NYHA class, or </w:t>
            </w:r>
            <w:r w:rsidR="003F03EA" w:rsidRPr="0046360F">
              <w:rPr>
                <w:iCs/>
                <w:szCs w:val="20"/>
                <w:lang w:eastAsia="en-US"/>
              </w:rPr>
              <w:t xml:space="preserve">CV </w:t>
            </w:r>
            <w:r w:rsidRPr="0046360F">
              <w:rPr>
                <w:iCs/>
                <w:szCs w:val="20"/>
                <w:lang w:eastAsia="en-US"/>
              </w:rPr>
              <w:t>hospitalisations.</w:t>
            </w:r>
          </w:p>
        </w:tc>
      </w:tr>
      <w:tr w:rsidR="00CD5931" w:rsidRPr="0046360F" w:rsidTr="00720208">
        <w:trPr>
          <w:cantSplit/>
        </w:trPr>
        <w:tc>
          <w:tcPr>
            <w:tcW w:w="1020" w:type="pct"/>
          </w:tcPr>
          <w:p w:rsidR="00CD5931" w:rsidRPr="0046360F" w:rsidRDefault="00CD5931" w:rsidP="00CD5931">
            <w:pPr>
              <w:pStyle w:val="TableText"/>
              <w:keepNext w:val="0"/>
              <w:rPr>
                <w:szCs w:val="20"/>
              </w:rPr>
            </w:pPr>
            <w:r w:rsidRPr="0046360F">
              <w:rPr>
                <w:szCs w:val="20"/>
              </w:rPr>
              <w:t>Survival extrapolation</w:t>
            </w:r>
          </w:p>
        </w:tc>
        <w:tc>
          <w:tcPr>
            <w:tcW w:w="1965" w:type="pct"/>
          </w:tcPr>
          <w:p w:rsidR="00CD5931" w:rsidRPr="0046360F" w:rsidRDefault="00CD5931" w:rsidP="00265D6A">
            <w:pPr>
              <w:pStyle w:val="TableText"/>
              <w:keepNext w:val="0"/>
              <w:rPr>
                <w:rFonts w:eastAsia="Times New Roman" w:cs="Arial"/>
                <w:bCs w:val="0"/>
                <w:snapToGrid w:val="0"/>
                <w:szCs w:val="20"/>
              </w:rPr>
            </w:pPr>
            <w:r w:rsidRPr="0046360F">
              <w:rPr>
                <w:rFonts w:eastAsia="Times New Roman" w:cs="Arial"/>
                <w:bCs w:val="0"/>
                <w:snapToGrid w:val="0"/>
                <w:szCs w:val="20"/>
              </w:rPr>
              <w:t>Different parametric functions for overall survival were applied to the tafamidis and best supportive care arms. The PBAC considered that it would be more appropriate to apply the same function to both arms (</w:t>
            </w:r>
            <w:r w:rsidR="00E2016B" w:rsidRPr="0046360F">
              <w:rPr>
                <w:rFonts w:eastAsia="Times New Roman" w:cs="Arial"/>
                <w:bCs w:val="0"/>
                <w:snapToGrid w:val="0"/>
                <w:szCs w:val="20"/>
              </w:rPr>
              <w:t xml:space="preserve">para </w:t>
            </w:r>
            <w:r w:rsidRPr="0046360F">
              <w:rPr>
                <w:rFonts w:eastAsia="Times New Roman" w:cs="Arial"/>
                <w:bCs w:val="0"/>
                <w:snapToGrid w:val="0"/>
                <w:szCs w:val="20"/>
              </w:rPr>
              <w:t>7.13).</w:t>
            </w:r>
          </w:p>
        </w:tc>
        <w:tc>
          <w:tcPr>
            <w:tcW w:w="2015" w:type="pct"/>
          </w:tcPr>
          <w:p w:rsidR="00CD5931" w:rsidRPr="0046360F" w:rsidRDefault="00CD5931" w:rsidP="00FF7505">
            <w:pPr>
              <w:pStyle w:val="Default"/>
              <w:rPr>
                <w:rFonts w:ascii="Arial Narrow" w:hAnsi="Arial Narrow"/>
                <w:sz w:val="20"/>
                <w:szCs w:val="20"/>
              </w:rPr>
            </w:pPr>
            <w:r w:rsidRPr="0046360F">
              <w:rPr>
                <w:rFonts w:ascii="Arial Narrow" w:hAnsi="Arial Narrow"/>
                <w:sz w:val="20"/>
                <w:szCs w:val="20"/>
              </w:rPr>
              <w:t>The revised model no longer use</w:t>
            </w:r>
            <w:r w:rsidR="00FF7505" w:rsidRPr="0046360F">
              <w:rPr>
                <w:rFonts w:ascii="Arial Narrow" w:hAnsi="Arial Narrow"/>
                <w:sz w:val="20"/>
                <w:szCs w:val="20"/>
              </w:rPr>
              <w:t>d</w:t>
            </w:r>
            <w:r w:rsidRPr="0046360F">
              <w:rPr>
                <w:rFonts w:ascii="Arial Narrow" w:hAnsi="Arial Narrow"/>
                <w:sz w:val="20"/>
                <w:szCs w:val="20"/>
              </w:rPr>
              <w:t xml:space="preserve"> parametric functions to estimate survival. </w:t>
            </w:r>
          </w:p>
        </w:tc>
      </w:tr>
      <w:tr w:rsidR="00CD5931" w:rsidRPr="0046360F" w:rsidTr="00720208">
        <w:trPr>
          <w:cantSplit/>
        </w:trPr>
        <w:tc>
          <w:tcPr>
            <w:tcW w:w="1020" w:type="pct"/>
          </w:tcPr>
          <w:p w:rsidR="00CD5931" w:rsidRPr="0046360F" w:rsidRDefault="00CD5931" w:rsidP="00CD5931">
            <w:pPr>
              <w:pStyle w:val="TableText"/>
              <w:keepNext w:val="0"/>
              <w:rPr>
                <w:szCs w:val="20"/>
              </w:rPr>
            </w:pPr>
            <w:r w:rsidRPr="0046360F">
              <w:rPr>
                <w:szCs w:val="20"/>
              </w:rPr>
              <w:t>Applicability of the modelled population</w:t>
            </w:r>
          </w:p>
        </w:tc>
        <w:tc>
          <w:tcPr>
            <w:tcW w:w="1965" w:type="pct"/>
          </w:tcPr>
          <w:p w:rsidR="00CD5931" w:rsidRPr="0046360F" w:rsidRDefault="00CD5931" w:rsidP="00265D6A">
            <w:pPr>
              <w:pStyle w:val="Default"/>
              <w:rPr>
                <w:rFonts w:ascii="Arial Narrow" w:hAnsi="Arial Narrow" w:cs="Arial"/>
                <w:bCs/>
                <w:snapToGrid w:val="0"/>
                <w:sz w:val="20"/>
                <w:szCs w:val="20"/>
              </w:rPr>
            </w:pPr>
            <w:r w:rsidRPr="0046360F">
              <w:rPr>
                <w:rFonts w:ascii="Arial Narrow" w:hAnsi="Arial Narrow"/>
                <w:sz w:val="20"/>
                <w:szCs w:val="20"/>
              </w:rPr>
              <w:t xml:space="preserve">The PBAC considered that there were substantial differences in modelled incremental benefits associated with tafamidis treatment in patients with NYHA </w:t>
            </w:r>
            <w:r w:rsidR="006A4F9C" w:rsidRPr="0046360F">
              <w:rPr>
                <w:rFonts w:ascii="Arial Narrow" w:hAnsi="Arial Narrow"/>
                <w:sz w:val="20"/>
                <w:szCs w:val="20"/>
              </w:rPr>
              <w:t>class</w:t>
            </w:r>
            <w:r w:rsidRPr="0046360F">
              <w:rPr>
                <w:rFonts w:ascii="Arial Narrow" w:hAnsi="Arial Narrow"/>
                <w:sz w:val="20"/>
                <w:szCs w:val="20"/>
              </w:rPr>
              <w:t xml:space="preserve"> I/II and those with NYHA </w:t>
            </w:r>
            <w:r w:rsidR="006A4F9C" w:rsidRPr="0046360F">
              <w:rPr>
                <w:rFonts w:ascii="Arial Narrow" w:hAnsi="Arial Narrow"/>
                <w:sz w:val="20"/>
                <w:szCs w:val="20"/>
              </w:rPr>
              <w:t>class</w:t>
            </w:r>
            <w:r w:rsidRPr="0046360F">
              <w:rPr>
                <w:rFonts w:ascii="Arial Narrow" w:hAnsi="Arial Narrow"/>
                <w:sz w:val="20"/>
                <w:szCs w:val="20"/>
              </w:rPr>
              <w:t xml:space="preserve"> III heart failure. It was unclear whether the distribution of NYHA classes from the ATTR-ACT trial would be applicable to the Australian setting (</w:t>
            </w:r>
            <w:r w:rsidR="00E2016B" w:rsidRPr="0046360F">
              <w:rPr>
                <w:rFonts w:ascii="Arial Narrow" w:hAnsi="Arial Narrow"/>
                <w:sz w:val="20"/>
                <w:szCs w:val="20"/>
              </w:rPr>
              <w:t xml:space="preserve">para </w:t>
            </w:r>
            <w:r w:rsidR="00265D6A" w:rsidRPr="0046360F">
              <w:rPr>
                <w:rFonts w:ascii="Arial Narrow" w:hAnsi="Arial Narrow"/>
                <w:sz w:val="20"/>
                <w:szCs w:val="20"/>
              </w:rPr>
              <w:t>7.15</w:t>
            </w:r>
            <w:r w:rsidRPr="0046360F">
              <w:rPr>
                <w:rFonts w:ascii="Arial Narrow" w:hAnsi="Arial Narrow"/>
                <w:sz w:val="20"/>
                <w:szCs w:val="20"/>
              </w:rPr>
              <w:t>).</w:t>
            </w:r>
          </w:p>
        </w:tc>
        <w:tc>
          <w:tcPr>
            <w:tcW w:w="2015" w:type="pct"/>
          </w:tcPr>
          <w:p w:rsidR="00CD5931" w:rsidRPr="0046360F" w:rsidRDefault="00CD5931" w:rsidP="00FF7505">
            <w:pPr>
              <w:pStyle w:val="Default"/>
              <w:rPr>
                <w:rFonts w:ascii="Arial Narrow" w:hAnsi="Arial Narrow"/>
                <w:sz w:val="20"/>
                <w:szCs w:val="20"/>
              </w:rPr>
            </w:pPr>
            <w:r w:rsidRPr="0046360F">
              <w:rPr>
                <w:rFonts w:ascii="Arial Narrow" w:hAnsi="Arial Narrow"/>
                <w:sz w:val="20"/>
                <w:szCs w:val="20"/>
              </w:rPr>
              <w:t>The revised proposed PBS population exclude</w:t>
            </w:r>
            <w:r w:rsidR="00FF7505" w:rsidRPr="0046360F">
              <w:rPr>
                <w:rFonts w:ascii="Arial Narrow" w:hAnsi="Arial Narrow"/>
                <w:sz w:val="20"/>
                <w:szCs w:val="20"/>
              </w:rPr>
              <w:t>d</w:t>
            </w:r>
            <w:r w:rsidRPr="0046360F">
              <w:rPr>
                <w:rFonts w:ascii="Arial Narrow" w:hAnsi="Arial Narrow"/>
                <w:sz w:val="20"/>
                <w:szCs w:val="20"/>
              </w:rPr>
              <w:t xml:space="preserve"> patients with persistent NYHA </w:t>
            </w:r>
            <w:r w:rsidR="006A4F9C" w:rsidRPr="0046360F">
              <w:rPr>
                <w:rFonts w:ascii="Arial Narrow" w:hAnsi="Arial Narrow"/>
                <w:sz w:val="20"/>
                <w:szCs w:val="20"/>
              </w:rPr>
              <w:t>class</w:t>
            </w:r>
            <w:r w:rsidRPr="0046360F">
              <w:rPr>
                <w:rFonts w:ascii="Arial Narrow" w:hAnsi="Arial Narrow"/>
                <w:sz w:val="20"/>
                <w:szCs w:val="20"/>
              </w:rPr>
              <w:t xml:space="preserve"> III symptoms. Participants in the ATTR-ACT trial with NYHA </w:t>
            </w:r>
            <w:r w:rsidR="006A4F9C" w:rsidRPr="0046360F">
              <w:rPr>
                <w:rFonts w:ascii="Arial Narrow" w:hAnsi="Arial Narrow"/>
                <w:sz w:val="20"/>
                <w:szCs w:val="20"/>
              </w:rPr>
              <w:t>class</w:t>
            </w:r>
            <w:r w:rsidRPr="0046360F">
              <w:rPr>
                <w:rFonts w:ascii="Arial Narrow" w:hAnsi="Arial Narrow"/>
                <w:sz w:val="20"/>
                <w:szCs w:val="20"/>
              </w:rPr>
              <w:t xml:space="preserve"> III at baseline were excluded from the revised model.</w:t>
            </w:r>
          </w:p>
        </w:tc>
      </w:tr>
      <w:tr w:rsidR="00CD5931" w:rsidRPr="0046360F" w:rsidTr="00720208">
        <w:trPr>
          <w:cantSplit/>
        </w:trPr>
        <w:tc>
          <w:tcPr>
            <w:tcW w:w="1020" w:type="pct"/>
          </w:tcPr>
          <w:p w:rsidR="00CD5931" w:rsidRPr="0046360F" w:rsidRDefault="00CD5931" w:rsidP="00CD5931">
            <w:pPr>
              <w:pStyle w:val="TableText"/>
              <w:keepNext w:val="0"/>
              <w:rPr>
                <w:szCs w:val="20"/>
              </w:rPr>
            </w:pPr>
            <w:r w:rsidRPr="0046360F">
              <w:rPr>
                <w:szCs w:val="20"/>
              </w:rPr>
              <w:t>Cost-effectiveness estimates</w:t>
            </w:r>
          </w:p>
        </w:tc>
        <w:tc>
          <w:tcPr>
            <w:tcW w:w="1965" w:type="pct"/>
          </w:tcPr>
          <w:p w:rsidR="00CD5931" w:rsidRPr="0046360F" w:rsidRDefault="00CD5931" w:rsidP="00265D6A">
            <w:pPr>
              <w:pStyle w:val="TableText"/>
              <w:keepNext w:val="0"/>
              <w:rPr>
                <w:rFonts w:eastAsia="Times New Roman" w:cs="Arial"/>
                <w:bCs w:val="0"/>
                <w:snapToGrid w:val="0"/>
                <w:szCs w:val="20"/>
              </w:rPr>
            </w:pPr>
            <w:r w:rsidRPr="0046360F">
              <w:rPr>
                <w:rFonts w:eastAsia="Times New Roman" w:cs="Arial"/>
                <w:bCs w:val="0"/>
                <w:snapToGrid w:val="0"/>
                <w:szCs w:val="20"/>
              </w:rPr>
              <w:t>The model generated an ICER of more than $200,000 per QALY gained which was considered unacceptably high. The PBAC stated that a significantly lower and more certain ICER would be required (</w:t>
            </w:r>
            <w:r w:rsidR="00E2016B" w:rsidRPr="0046360F">
              <w:rPr>
                <w:rFonts w:eastAsia="Times New Roman" w:cs="Arial"/>
                <w:bCs w:val="0"/>
                <w:snapToGrid w:val="0"/>
                <w:szCs w:val="20"/>
              </w:rPr>
              <w:t xml:space="preserve">para </w:t>
            </w:r>
            <w:r w:rsidR="00265D6A" w:rsidRPr="0046360F">
              <w:rPr>
                <w:rFonts w:eastAsia="Times New Roman" w:cs="Arial"/>
                <w:bCs w:val="0"/>
                <w:snapToGrid w:val="0"/>
                <w:szCs w:val="20"/>
              </w:rPr>
              <w:t>7.15</w:t>
            </w:r>
            <w:r w:rsidRPr="0046360F">
              <w:rPr>
                <w:szCs w:val="20"/>
              </w:rPr>
              <w:t>)</w:t>
            </w:r>
            <w:r w:rsidRPr="0046360F">
              <w:rPr>
                <w:rFonts w:eastAsia="Times New Roman" w:cs="Arial"/>
                <w:bCs w:val="0"/>
                <w:snapToGrid w:val="0"/>
                <w:szCs w:val="20"/>
              </w:rPr>
              <w:t>.</w:t>
            </w:r>
          </w:p>
        </w:tc>
        <w:tc>
          <w:tcPr>
            <w:tcW w:w="2015" w:type="pct"/>
          </w:tcPr>
          <w:p w:rsidR="00CD5931" w:rsidRPr="0046360F" w:rsidRDefault="00CD5931" w:rsidP="00CD5931">
            <w:pPr>
              <w:pStyle w:val="TableText"/>
              <w:keepNext w:val="0"/>
              <w:rPr>
                <w:rFonts w:eastAsia="Times New Roman" w:cs="Arial"/>
                <w:bCs w:val="0"/>
                <w:snapToGrid w:val="0"/>
                <w:szCs w:val="20"/>
              </w:rPr>
            </w:pPr>
            <w:r w:rsidRPr="0046360F">
              <w:rPr>
                <w:rFonts w:eastAsia="Times New Roman" w:cs="Arial"/>
                <w:bCs w:val="0"/>
                <w:snapToGrid w:val="0"/>
                <w:szCs w:val="20"/>
              </w:rPr>
              <w:t>The resubmission proposed a lower effective DPMQ ($</w:t>
            </w:r>
            <w:r w:rsidR="002F07A9">
              <w:rPr>
                <w:rFonts w:eastAsia="Times New Roman" w:cs="Arial"/>
                <w:bCs w:val="0"/>
                <w:noProof/>
                <w:snapToGrid w:val="0"/>
                <w:color w:val="000000"/>
                <w:szCs w:val="20"/>
                <w:highlight w:val="black"/>
              </w:rPr>
              <w:t>''''''''''''''''''''</w:t>
            </w:r>
            <w:r w:rsidRPr="0046360F">
              <w:rPr>
                <w:rFonts w:eastAsia="Times New Roman" w:cs="Arial"/>
                <w:bCs w:val="0"/>
                <w:snapToGrid w:val="0"/>
                <w:szCs w:val="20"/>
              </w:rPr>
              <w:t xml:space="preserve">; a 58.7% reduction compared to the previous submission), which reduced the ICER to </w:t>
            </w:r>
            <w:r w:rsidRPr="0046360F">
              <w:rPr>
                <w:szCs w:val="20"/>
              </w:rPr>
              <w:t>$</w:t>
            </w:r>
            <w:r w:rsidR="002F07A9">
              <w:rPr>
                <w:iCs/>
                <w:noProof/>
                <w:color w:val="000000"/>
                <w:szCs w:val="20"/>
                <w:highlight w:val="black"/>
              </w:rPr>
              <w:t>''''''''''''''''''''</w:t>
            </w:r>
            <w:r w:rsidR="00A77FED" w:rsidRPr="00A77FED">
              <w:rPr>
                <w:iCs/>
                <w:szCs w:val="20"/>
                <w:vertAlign w:val="superscript"/>
              </w:rPr>
              <w:t>1</w:t>
            </w:r>
            <w:r w:rsidRPr="0046360F">
              <w:rPr>
                <w:rFonts w:eastAsia="Times New Roman" w:cs="Arial"/>
                <w:bCs w:val="0"/>
                <w:snapToGrid w:val="0"/>
                <w:szCs w:val="20"/>
              </w:rPr>
              <w:t xml:space="preserve"> per QALY gained</w:t>
            </w:r>
            <w:r w:rsidR="004358EF" w:rsidRPr="0046360F">
              <w:rPr>
                <w:rFonts w:eastAsia="Times New Roman" w:cs="Arial"/>
                <w:bCs w:val="0"/>
                <w:i/>
                <w:snapToGrid w:val="0"/>
                <w:szCs w:val="20"/>
              </w:rPr>
              <w:t xml:space="preserve"> </w:t>
            </w:r>
            <w:r w:rsidR="004358EF" w:rsidRPr="0046360F">
              <w:rPr>
                <w:rFonts w:eastAsia="Times New Roman" w:cs="Arial"/>
                <w:bCs w:val="0"/>
                <w:snapToGrid w:val="0"/>
                <w:szCs w:val="20"/>
              </w:rPr>
              <w:t>(corrected</w:t>
            </w:r>
            <w:r w:rsidR="00FF7505" w:rsidRPr="0046360F">
              <w:rPr>
                <w:rFonts w:eastAsia="Times New Roman" w:cs="Arial"/>
                <w:bCs w:val="0"/>
                <w:snapToGrid w:val="0"/>
                <w:szCs w:val="20"/>
              </w:rPr>
              <w:t xml:space="preserve"> for various errors</w:t>
            </w:r>
            <w:r w:rsidR="004358EF" w:rsidRPr="0046360F">
              <w:rPr>
                <w:rFonts w:eastAsia="Times New Roman" w:cs="Arial"/>
                <w:bCs w:val="0"/>
                <w:snapToGrid w:val="0"/>
                <w:szCs w:val="20"/>
              </w:rPr>
              <w:t xml:space="preserve"> during the evaluation)</w:t>
            </w:r>
            <w:r w:rsidRPr="0046360F">
              <w:rPr>
                <w:rFonts w:eastAsia="Times New Roman" w:cs="Arial"/>
                <w:bCs w:val="0"/>
                <w:snapToGrid w:val="0"/>
                <w:szCs w:val="20"/>
              </w:rPr>
              <w:t>.</w:t>
            </w:r>
          </w:p>
        </w:tc>
      </w:tr>
      <w:tr w:rsidR="00CD5931" w:rsidRPr="0046360F" w:rsidTr="00720208">
        <w:trPr>
          <w:cantSplit/>
        </w:trPr>
        <w:tc>
          <w:tcPr>
            <w:tcW w:w="5000" w:type="pct"/>
            <w:gridSpan w:val="3"/>
          </w:tcPr>
          <w:p w:rsidR="00CD5931" w:rsidRPr="0046360F" w:rsidRDefault="00CD5931" w:rsidP="00CD5931">
            <w:pPr>
              <w:pStyle w:val="TableText"/>
              <w:keepNext w:val="0"/>
              <w:rPr>
                <w:b/>
                <w:szCs w:val="20"/>
              </w:rPr>
            </w:pPr>
            <w:r w:rsidRPr="0046360F">
              <w:rPr>
                <w:b/>
                <w:szCs w:val="20"/>
              </w:rPr>
              <w:t xml:space="preserve">Predicted use in practice </w:t>
            </w:r>
          </w:p>
        </w:tc>
      </w:tr>
      <w:tr w:rsidR="00CD5931" w:rsidRPr="0046360F" w:rsidTr="00720208">
        <w:trPr>
          <w:cantSplit/>
        </w:trPr>
        <w:tc>
          <w:tcPr>
            <w:tcW w:w="1020" w:type="pct"/>
          </w:tcPr>
          <w:p w:rsidR="00CD5931" w:rsidRPr="0046360F" w:rsidRDefault="006300C9" w:rsidP="00CD5931">
            <w:pPr>
              <w:pStyle w:val="TableText"/>
              <w:keepNext w:val="0"/>
              <w:rPr>
                <w:szCs w:val="20"/>
              </w:rPr>
            </w:pPr>
            <w:r w:rsidRPr="0046360F">
              <w:rPr>
                <w:szCs w:val="20"/>
              </w:rPr>
              <w:t>Financial estimates</w:t>
            </w:r>
          </w:p>
        </w:tc>
        <w:tc>
          <w:tcPr>
            <w:tcW w:w="1965" w:type="pct"/>
          </w:tcPr>
          <w:p w:rsidR="00CD5931" w:rsidRPr="0046360F" w:rsidRDefault="009D1522" w:rsidP="00CD5931">
            <w:pPr>
              <w:pStyle w:val="TableText"/>
              <w:keepNext w:val="0"/>
              <w:rPr>
                <w:rFonts w:eastAsia="Times New Roman" w:cs="Arial"/>
                <w:bCs w:val="0"/>
                <w:snapToGrid w:val="0"/>
                <w:szCs w:val="20"/>
              </w:rPr>
            </w:pPr>
            <w:r w:rsidRPr="0046360F">
              <w:rPr>
                <w:rFonts w:eastAsia="Times New Roman" w:cs="Arial"/>
                <w:bCs w:val="0"/>
                <w:snapToGrid w:val="0"/>
                <w:szCs w:val="20"/>
              </w:rPr>
              <w:t>The PBAC considered that further work was required to determine the size of the eligible population in Australia, particularly the incidence and prevalence of the condition</w:t>
            </w:r>
            <w:r w:rsidR="006300C9" w:rsidRPr="0046360F">
              <w:rPr>
                <w:rFonts w:eastAsia="Times New Roman" w:cs="Arial"/>
                <w:bCs w:val="0"/>
                <w:snapToGrid w:val="0"/>
                <w:szCs w:val="20"/>
              </w:rPr>
              <w:t xml:space="preserve"> and that more reliable financial estimates would be required to inform a RSA (para 7.17, 7.18).</w:t>
            </w:r>
          </w:p>
        </w:tc>
        <w:tc>
          <w:tcPr>
            <w:tcW w:w="2015" w:type="pct"/>
          </w:tcPr>
          <w:p w:rsidR="00CD5931" w:rsidRPr="0046360F" w:rsidRDefault="00AF0112" w:rsidP="00CD5931">
            <w:pPr>
              <w:pStyle w:val="TableText"/>
              <w:keepNext w:val="0"/>
              <w:rPr>
                <w:rFonts w:eastAsia="Times New Roman" w:cs="Arial"/>
                <w:bCs w:val="0"/>
                <w:snapToGrid w:val="0"/>
                <w:color w:val="0066FF"/>
                <w:szCs w:val="20"/>
              </w:rPr>
            </w:pPr>
            <w:r w:rsidRPr="0046360F">
              <w:rPr>
                <w:rFonts w:eastAsia="Times New Roman" w:cs="Arial"/>
                <w:bCs w:val="0"/>
                <w:snapToGrid w:val="0"/>
                <w:szCs w:val="20"/>
              </w:rPr>
              <w:t xml:space="preserve">The resubmission presented a revised </w:t>
            </w:r>
            <w:r w:rsidR="00C60703" w:rsidRPr="0046360F">
              <w:rPr>
                <w:rFonts w:eastAsia="Times New Roman" w:cs="Arial"/>
                <w:bCs w:val="0"/>
                <w:snapToGrid w:val="0"/>
                <w:szCs w:val="20"/>
              </w:rPr>
              <w:t xml:space="preserve">utilisation and cost model, </w:t>
            </w:r>
            <w:r w:rsidR="00FF20D4" w:rsidRPr="0046360F">
              <w:rPr>
                <w:rFonts w:eastAsia="Times New Roman" w:cs="Arial"/>
                <w:bCs w:val="0"/>
                <w:snapToGrid w:val="0"/>
                <w:szCs w:val="20"/>
              </w:rPr>
              <w:t>with new data sources used to inform prevalence, diagnosis and uptake rates</w:t>
            </w:r>
            <w:r w:rsidR="00A23A5C" w:rsidRPr="0046360F">
              <w:rPr>
                <w:rFonts w:eastAsia="Times New Roman" w:cs="Arial"/>
                <w:bCs w:val="0"/>
                <w:snapToGrid w:val="0"/>
                <w:szCs w:val="20"/>
              </w:rPr>
              <w:t>.</w:t>
            </w:r>
          </w:p>
        </w:tc>
      </w:tr>
    </w:tbl>
    <w:p w:rsidR="00711C63" w:rsidRPr="0046360F" w:rsidRDefault="00711C63" w:rsidP="00711C63">
      <w:pPr>
        <w:pStyle w:val="TableFigureFooter"/>
      </w:pPr>
      <w:r w:rsidRPr="0046360F">
        <w:t>Source: Tafamidis Public Summary Document, July 2020 PBAC meeting, and Overview, pp</w:t>
      </w:r>
      <w:r w:rsidR="00FF7505" w:rsidRPr="0046360F">
        <w:t xml:space="preserve">. </w:t>
      </w:r>
      <w:r w:rsidRPr="0046360F">
        <w:t>xiii-xiv, xvii-xviii of the resubmission.</w:t>
      </w:r>
    </w:p>
    <w:p w:rsidR="005C25FF" w:rsidRDefault="00711C63" w:rsidP="004E18E9">
      <w:pPr>
        <w:pStyle w:val="TableFigureFooter"/>
      </w:pPr>
      <w:r w:rsidRPr="0046360F">
        <w:lastRenderedPageBreak/>
        <w:t xml:space="preserve">Abbreviations: ATTR-CM, transthyretin amyloid cardiomyopathy; CV, cardiovascular, </w:t>
      </w:r>
      <w:r w:rsidR="00421666" w:rsidRPr="0046360F">
        <w:rPr>
          <w:szCs w:val="18"/>
        </w:rPr>
        <w:t xml:space="preserve">eGFR, estimated glomerular filtration rate; ICER, incremental cost effectiveness ratio; </w:t>
      </w:r>
      <w:r w:rsidR="00421666" w:rsidRPr="0046360F">
        <w:t>NYHA, New York Heart Association; QALY, quality adjusted life year; RSA, risk share arrangement.</w:t>
      </w:r>
    </w:p>
    <w:p w:rsidR="00A77FED" w:rsidRPr="00A77FED" w:rsidRDefault="00A77FED" w:rsidP="004E18E9">
      <w:pPr>
        <w:pStyle w:val="TableFigureFooter"/>
        <w:rPr>
          <w:i/>
        </w:rPr>
      </w:pPr>
      <w:r w:rsidRPr="00A77FED">
        <w:rPr>
          <w:i/>
        </w:rPr>
        <w:t>The redacted value corresponds to the following range</w:t>
      </w:r>
      <w:r w:rsidR="00882ECA">
        <w:rPr>
          <w:i/>
        </w:rPr>
        <w:t>:</w:t>
      </w:r>
    </w:p>
    <w:p w:rsidR="00A77FED" w:rsidRPr="00A77FED" w:rsidRDefault="00A77FED" w:rsidP="00A77FED">
      <w:pPr>
        <w:pStyle w:val="TableFigureFooter"/>
        <w:rPr>
          <w:rFonts w:ascii="Arial" w:hAnsi="Arial"/>
          <w:i/>
          <w:color w:val="333333"/>
          <w:sz w:val="21"/>
          <w:szCs w:val="21"/>
        </w:rPr>
      </w:pPr>
      <w:r w:rsidRPr="00A77FED">
        <w:rPr>
          <w:i/>
          <w:vertAlign w:val="superscript"/>
        </w:rPr>
        <w:t>1</w:t>
      </w:r>
      <w:r w:rsidRPr="00A77FED">
        <w:rPr>
          <w:i/>
        </w:rPr>
        <w:t>$155,000 to &lt; $255,000</w:t>
      </w:r>
      <w:r w:rsidR="000C5647">
        <w:rPr>
          <w:i/>
        </w:rPr>
        <w:t>/QALY gained</w:t>
      </w:r>
    </w:p>
    <w:p w:rsidR="00A77FED" w:rsidRPr="00A77FED" w:rsidRDefault="00A77FED" w:rsidP="004E18E9">
      <w:pPr>
        <w:pStyle w:val="TableFigureFooter"/>
      </w:pPr>
    </w:p>
    <w:p w:rsidR="00A87DE7" w:rsidRPr="0046360F" w:rsidRDefault="00A87DE7" w:rsidP="00F17B87">
      <w:pPr>
        <w:rPr>
          <w:rFonts w:asciiTheme="minorHAnsi" w:hAnsiTheme="minorHAnsi"/>
          <w:i/>
        </w:rPr>
      </w:pPr>
      <w:r w:rsidRPr="0046360F">
        <w:rPr>
          <w:rFonts w:asciiTheme="minorHAnsi" w:hAnsiTheme="minorHAnsi"/>
          <w:i/>
        </w:rPr>
        <w:t>For more detail on the PBAC’s view, see section 7 PBAC outcome.</w:t>
      </w:r>
    </w:p>
    <w:p w:rsidR="00B60939" w:rsidRPr="0046360F" w:rsidRDefault="00B50DB8" w:rsidP="004E18E9">
      <w:pPr>
        <w:pStyle w:val="2-SectionHeading"/>
      </w:pPr>
      <w:bookmarkStart w:id="10" w:name="_Toc62050857"/>
      <w:r w:rsidRPr="0046360F">
        <w:t>Requested listing</w:t>
      </w:r>
      <w:bookmarkEnd w:id="10"/>
    </w:p>
    <w:p w:rsidR="004358EF" w:rsidRPr="0046360F" w:rsidRDefault="00FB614E" w:rsidP="00FB614E">
      <w:pPr>
        <w:pStyle w:val="ExecSumBodyText"/>
        <w:rPr>
          <w:rFonts w:cs="Calibri"/>
          <w:bCs/>
          <w:i/>
        </w:rPr>
      </w:pPr>
      <w:r w:rsidRPr="0046360F">
        <w:rPr>
          <w:rFonts w:cs="Calibri"/>
          <w:bCs/>
        </w:rPr>
        <w:t xml:space="preserve">The requested listing is presented below. The Secretariat proposed only minor formatting changes, and the addition of administrative notes stating that Special Pricing Arrangements apply, and that no increase in the maximum quantity or number of repeats would be authorised (not shown below). </w:t>
      </w:r>
    </w:p>
    <w:tbl>
      <w:tblPr>
        <w:tblW w:w="4918" w:type="pct"/>
        <w:tblInd w:w="142" w:type="dxa"/>
        <w:tblCellMar>
          <w:left w:w="28" w:type="dxa"/>
          <w:right w:w="28" w:type="dxa"/>
        </w:tblCellMar>
        <w:tblLook w:val="0000" w:firstRow="0" w:lastRow="0" w:firstColumn="0" w:lastColumn="0" w:noHBand="0" w:noVBand="0"/>
      </w:tblPr>
      <w:tblGrid>
        <w:gridCol w:w="1986"/>
        <w:gridCol w:w="701"/>
        <w:gridCol w:w="783"/>
        <w:gridCol w:w="783"/>
        <w:gridCol w:w="989"/>
        <w:gridCol w:w="1847"/>
        <w:gridCol w:w="1783"/>
        <w:gridCol w:w="7"/>
      </w:tblGrid>
      <w:tr w:rsidR="00806F7B" w:rsidRPr="0046360F" w:rsidTr="00221DAD">
        <w:trPr>
          <w:gridAfter w:val="1"/>
          <w:wAfter w:w="4" w:type="pct"/>
          <w:cantSplit/>
          <w:trHeight w:val="463"/>
        </w:trPr>
        <w:tc>
          <w:tcPr>
            <w:tcW w:w="1513" w:type="pct"/>
            <w:gridSpan w:val="2"/>
            <w:tcBorders>
              <w:top w:val="single" w:sz="4" w:space="0" w:color="auto"/>
              <w:bottom w:val="single" w:sz="4" w:space="0" w:color="auto"/>
            </w:tcBorders>
            <w:vAlign w:val="center"/>
          </w:tcPr>
          <w:p w:rsidR="00806F7B" w:rsidRPr="0046360F" w:rsidRDefault="00806F7B" w:rsidP="00221DAD">
            <w:pPr>
              <w:keepNext/>
              <w:jc w:val="left"/>
              <w:rPr>
                <w:rFonts w:ascii="Arial Narrow" w:hAnsi="Arial Narrow"/>
                <w:b/>
                <w:sz w:val="20"/>
              </w:rPr>
            </w:pPr>
            <w:r w:rsidRPr="0046360F">
              <w:rPr>
                <w:rFonts w:ascii="Arial Narrow" w:hAnsi="Arial Narrow"/>
                <w:b/>
                <w:sz w:val="20"/>
              </w:rPr>
              <w:t>Name, Restriction,</w:t>
            </w:r>
          </w:p>
          <w:p w:rsidR="00806F7B" w:rsidRPr="0046360F" w:rsidRDefault="00806F7B" w:rsidP="00221DAD">
            <w:pPr>
              <w:keepNext/>
              <w:jc w:val="left"/>
              <w:rPr>
                <w:rFonts w:ascii="Arial Narrow" w:hAnsi="Arial Narrow"/>
                <w:b/>
                <w:sz w:val="20"/>
              </w:rPr>
            </w:pPr>
            <w:r w:rsidRPr="0046360F">
              <w:rPr>
                <w:rFonts w:ascii="Arial Narrow" w:hAnsi="Arial Narrow"/>
                <w:b/>
                <w:sz w:val="20"/>
              </w:rPr>
              <w:t>Manner of administration and form</w:t>
            </w:r>
          </w:p>
        </w:tc>
        <w:tc>
          <w:tcPr>
            <w:tcW w:w="441" w:type="pct"/>
            <w:tcBorders>
              <w:top w:val="single" w:sz="4" w:space="0" w:color="auto"/>
              <w:bottom w:val="single" w:sz="4" w:space="0" w:color="auto"/>
            </w:tcBorders>
            <w:vAlign w:val="center"/>
          </w:tcPr>
          <w:p w:rsidR="00806F7B" w:rsidRPr="0046360F" w:rsidRDefault="00806F7B" w:rsidP="00221DAD">
            <w:pPr>
              <w:keepNext/>
              <w:jc w:val="center"/>
              <w:rPr>
                <w:rFonts w:ascii="Arial Narrow" w:hAnsi="Arial Narrow"/>
                <w:b/>
                <w:sz w:val="20"/>
              </w:rPr>
            </w:pPr>
            <w:r w:rsidRPr="0046360F">
              <w:rPr>
                <w:rFonts w:ascii="Arial Narrow" w:hAnsi="Arial Narrow"/>
                <w:b/>
                <w:sz w:val="20"/>
              </w:rPr>
              <w:t>Max. Qty</w:t>
            </w:r>
          </w:p>
          <w:p w:rsidR="00806F7B" w:rsidRPr="0046360F" w:rsidRDefault="00806F7B" w:rsidP="00221DAD">
            <w:pPr>
              <w:keepNext/>
              <w:jc w:val="center"/>
              <w:rPr>
                <w:rFonts w:ascii="Arial Narrow" w:hAnsi="Arial Narrow"/>
                <w:b/>
                <w:sz w:val="20"/>
              </w:rPr>
            </w:pPr>
            <w:r w:rsidRPr="0046360F">
              <w:rPr>
                <w:rFonts w:ascii="Arial Narrow" w:hAnsi="Arial Narrow"/>
                <w:b/>
                <w:sz w:val="20"/>
              </w:rPr>
              <w:t>(packs)</w:t>
            </w:r>
          </w:p>
        </w:tc>
        <w:tc>
          <w:tcPr>
            <w:tcW w:w="441" w:type="pct"/>
            <w:tcBorders>
              <w:top w:val="single" w:sz="4" w:space="0" w:color="auto"/>
              <w:bottom w:val="single" w:sz="4" w:space="0" w:color="auto"/>
            </w:tcBorders>
            <w:vAlign w:val="center"/>
          </w:tcPr>
          <w:p w:rsidR="00806F7B" w:rsidRPr="0046360F" w:rsidRDefault="00806F7B" w:rsidP="00221DAD">
            <w:pPr>
              <w:keepNext/>
              <w:jc w:val="center"/>
              <w:rPr>
                <w:rFonts w:ascii="Arial Narrow" w:hAnsi="Arial Narrow"/>
                <w:b/>
                <w:sz w:val="20"/>
              </w:rPr>
            </w:pPr>
            <w:r w:rsidRPr="0046360F">
              <w:rPr>
                <w:rFonts w:ascii="Arial Narrow" w:hAnsi="Arial Narrow"/>
                <w:b/>
                <w:sz w:val="20"/>
              </w:rPr>
              <w:t>Max. Qty</w:t>
            </w:r>
          </w:p>
          <w:p w:rsidR="00806F7B" w:rsidRPr="0046360F" w:rsidRDefault="00806F7B" w:rsidP="00221DAD">
            <w:pPr>
              <w:keepNext/>
              <w:jc w:val="center"/>
              <w:rPr>
                <w:rFonts w:ascii="Arial Narrow" w:hAnsi="Arial Narrow"/>
                <w:b/>
                <w:sz w:val="20"/>
              </w:rPr>
            </w:pPr>
            <w:r w:rsidRPr="0046360F">
              <w:rPr>
                <w:rFonts w:ascii="Arial Narrow" w:hAnsi="Arial Narrow"/>
                <w:b/>
                <w:sz w:val="20"/>
              </w:rPr>
              <w:t>(units)</w:t>
            </w:r>
          </w:p>
        </w:tc>
        <w:tc>
          <w:tcPr>
            <w:tcW w:w="557" w:type="pct"/>
            <w:tcBorders>
              <w:top w:val="single" w:sz="4" w:space="0" w:color="auto"/>
              <w:bottom w:val="single" w:sz="4" w:space="0" w:color="auto"/>
            </w:tcBorders>
            <w:vAlign w:val="center"/>
          </w:tcPr>
          <w:p w:rsidR="00806F7B" w:rsidRPr="0046360F" w:rsidRDefault="00806F7B" w:rsidP="00221DAD">
            <w:pPr>
              <w:keepNext/>
              <w:jc w:val="center"/>
              <w:rPr>
                <w:rFonts w:ascii="Arial Narrow" w:hAnsi="Arial Narrow"/>
                <w:b/>
                <w:sz w:val="20"/>
              </w:rPr>
            </w:pPr>
            <w:r w:rsidRPr="0046360F">
              <w:rPr>
                <w:rFonts w:ascii="Arial Narrow" w:hAnsi="Arial Narrow" w:cs="Times New Roman"/>
                <w:b/>
                <w:sz w:val="20"/>
              </w:rPr>
              <w:t>№</w:t>
            </w:r>
            <w:r w:rsidRPr="0046360F">
              <w:rPr>
                <w:rFonts w:ascii="Arial Narrow" w:hAnsi="Arial Narrow"/>
                <w:b/>
                <w:sz w:val="20"/>
              </w:rPr>
              <w:t>.of</w:t>
            </w:r>
          </w:p>
          <w:p w:rsidR="00806F7B" w:rsidRPr="0046360F" w:rsidRDefault="00806F7B" w:rsidP="00221DAD">
            <w:pPr>
              <w:keepNext/>
              <w:jc w:val="center"/>
              <w:rPr>
                <w:rFonts w:ascii="Arial Narrow" w:hAnsi="Arial Narrow"/>
                <w:b/>
                <w:sz w:val="20"/>
              </w:rPr>
            </w:pPr>
            <w:r w:rsidRPr="0046360F">
              <w:rPr>
                <w:rFonts w:ascii="Arial Narrow" w:hAnsi="Arial Narrow"/>
                <w:b/>
                <w:sz w:val="20"/>
              </w:rPr>
              <w:t>Rpts</w:t>
            </w:r>
          </w:p>
        </w:tc>
        <w:tc>
          <w:tcPr>
            <w:tcW w:w="1040" w:type="pct"/>
            <w:tcBorders>
              <w:top w:val="single" w:sz="4" w:space="0" w:color="auto"/>
              <w:bottom w:val="single" w:sz="4" w:space="0" w:color="auto"/>
            </w:tcBorders>
            <w:vAlign w:val="center"/>
          </w:tcPr>
          <w:p w:rsidR="00806F7B" w:rsidRPr="0046360F" w:rsidRDefault="00806F7B" w:rsidP="00221DAD">
            <w:pPr>
              <w:keepNext/>
              <w:jc w:val="center"/>
              <w:rPr>
                <w:rFonts w:ascii="Arial Narrow" w:hAnsi="Arial Narrow"/>
                <w:b/>
                <w:sz w:val="20"/>
              </w:rPr>
            </w:pPr>
            <w:r w:rsidRPr="0046360F">
              <w:rPr>
                <w:rFonts w:ascii="Arial Narrow" w:hAnsi="Arial Narrow"/>
                <w:b/>
                <w:sz w:val="20"/>
              </w:rPr>
              <w:t xml:space="preserve">Dispensed Price for Max. Qty </w:t>
            </w:r>
          </w:p>
        </w:tc>
        <w:tc>
          <w:tcPr>
            <w:tcW w:w="1004" w:type="pct"/>
            <w:tcBorders>
              <w:top w:val="single" w:sz="4" w:space="0" w:color="auto"/>
              <w:bottom w:val="single" w:sz="4" w:space="0" w:color="auto"/>
            </w:tcBorders>
            <w:vAlign w:val="center"/>
          </w:tcPr>
          <w:p w:rsidR="00806F7B" w:rsidRPr="0046360F" w:rsidRDefault="00806F7B" w:rsidP="00221DAD">
            <w:pPr>
              <w:keepNext/>
              <w:jc w:val="center"/>
              <w:rPr>
                <w:rFonts w:ascii="Arial Narrow" w:hAnsi="Arial Narrow"/>
                <w:b/>
                <w:sz w:val="20"/>
              </w:rPr>
            </w:pPr>
            <w:r w:rsidRPr="0046360F">
              <w:rPr>
                <w:rFonts w:ascii="Arial Narrow" w:hAnsi="Arial Narrow"/>
                <w:b/>
                <w:sz w:val="20"/>
              </w:rPr>
              <w:t>Proprietary Name and Manufacturer</w:t>
            </w:r>
          </w:p>
        </w:tc>
      </w:tr>
      <w:tr w:rsidR="00806F7B" w:rsidRPr="0046360F" w:rsidTr="00221DAD">
        <w:trPr>
          <w:gridAfter w:val="1"/>
          <w:wAfter w:w="4" w:type="pct"/>
          <w:cantSplit/>
          <w:trHeight w:val="567"/>
        </w:trPr>
        <w:tc>
          <w:tcPr>
            <w:tcW w:w="1513" w:type="pct"/>
            <w:gridSpan w:val="2"/>
            <w:vAlign w:val="center"/>
          </w:tcPr>
          <w:p w:rsidR="00806F7B" w:rsidRPr="0046360F" w:rsidRDefault="00806F7B" w:rsidP="00221DAD">
            <w:pPr>
              <w:keepNext/>
              <w:jc w:val="left"/>
              <w:rPr>
                <w:rFonts w:ascii="Arial Narrow" w:hAnsi="Arial Narrow"/>
                <w:sz w:val="20"/>
              </w:rPr>
            </w:pPr>
            <w:r w:rsidRPr="0046360F">
              <w:rPr>
                <w:rFonts w:ascii="Arial Narrow" w:hAnsi="Arial Narrow"/>
                <w:smallCaps/>
                <w:sz w:val="20"/>
              </w:rPr>
              <w:t>Tafamidis</w:t>
            </w:r>
          </w:p>
          <w:p w:rsidR="00806F7B" w:rsidRPr="0046360F" w:rsidRDefault="00806F7B" w:rsidP="00221DAD">
            <w:pPr>
              <w:keepNext/>
              <w:jc w:val="left"/>
              <w:rPr>
                <w:rFonts w:ascii="Arial Narrow" w:hAnsi="Arial Narrow"/>
                <w:sz w:val="20"/>
              </w:rPr>
            </w:pPr>
            <w:r w:rsidRPr="0046360F">
              <w:rPr>
                <w:rFonts w:ascii="Arial Narrow" w:hAnsi="Arial Narrow"/>
                <w:sz w:val="20"/>
              </w:rPr>
              <w:t>61 mg capsules (30)</w:t>
            </w:r>
          </w:p>
        </w:tc>
        <w:tc>
          <w:tcPr>
            <w:tcW w:w="441" w:type="pct"/>
            <w:vAlign w:val="center"/>
          </w:tcPr>
          <w:p w:rsidR="00806F7B" w:rsidRPr="0046360F" w:rsidRDefault="00806F7B" w:rsidP="00221DAD">
            <w:pPr>
              <w:keepNext/>
              <w:jc w:val="center"/>
              <w:rPr>
                <w:rFonts w:ascii="Arial Narrow" w:hAnsi="Arial Narrow"/>
                <w:sz w:val="20"/>
              </w:rPr>
            </w:pPr>
            <w:r w:rsidRPr="0046360F">
              <w:rPr>
                <w:rFonts w:ascii="Arial Narrow" w:hAnsi="Arial Narrow"/>
                <w:sz w:val="20"/>
              </w:rPr>
              <w:t>1</w:t>
            </w:r>
          </w:p>
        </w:tc>
        <w:tc>
          <w:tcPr>
            <w:tcW w:w="441" w:type="pct"/>
            <w:vAlign w:val="center"/>
          </w:tcPr>
          <w:p w:rsidR="00806F7B" w:rsidRPr="0046360F" w:rsidRDefault="00806F7B" w:rsidP="00221DAD">
            <w:pPr>
              <w:keepNext/>
              <w:jc w:val="center"/>
              <w:rPr>
                <w:rFonts w:ascii="Arial Narrow" w:hAnsi="Arial Narrow"/>
                <w:sz w:val="20"/>
              </w:rPr>
            </w:pPr>
            <w:r w:rsidRPr="0046360F">
              <w:rPr>
                <w:rFonts w:ascii="Arial Narrow" w:hAnsi="Arial Narrow"/>
                <w:sz w:val="20"/>
              </w:rPr>
              <w:t>30</w:t>
            </w:r>
          </w:p>
        </w:tc>
        <w:tc>
          <w:tcPr>
            <w:tcW w:w="557" w:type="pct"/>
            <w:vAlign w:val="center"/>
          </w:tcPr>
          <w:p w:rsidR="00806F7B" w:rsidRPr="0046360F" w:rsidRDefault="00806F7B" w:rsidP="00221DAD">
            <w:pPr>
              <w:keepNext/>
              <w:jc w:val="center"/>
              <w:rPr>
                <w:rFonts w:ascii="Arial Narrow" w:hAnsi="Arial Narrow"/>
                <w:sz w:val="20"/>
              </w:rPr>
            </w:pPr>
            <w:r w:rsidRPr="0046360F">
              <w:rPr>
                <w:rFonts w:ascii="Arial Narrow" w:hAnsi="Arial Narrow"/>
                <w:sz w:val="20"/>
              </w:rPr>
              <w:t>5</w:t>
            </w:r>
          </w:p>
        </w:tc>
        <w:tc>
          <w:tcPr>
            <w:tcW w:w="1040" w:type="pct"/>
            <w:vAlign w:val="center"/>
          </w:tcPr>
          <w:p w:rsidR="00806F7B" w:rsidRPr="0046360F" w:rsidRDefault="00806F7B" w:rsidP="00221DAD">
            <w:pPr>
              <w:keepNext/>
              <w:jc w:val="center"/>
              <w:rPr>
                <w:rFonts w:ascii="Arial Narrow" w:hAnsi="Arial Narrow"/>
                <w:sz w:val="20"/>
              </w:rPr>
            </w:pPr>
            <w:r w:rsidRPr="0046360F">
              <w:rPr>
                <w:rFonts w:ascii="Arial Narrow" w:hAnsi="Arial Narrow"/>
                <w:sz w:val="20"/>
              </w:rPr>
              <w:t>$</w:t>
            </w:r>
            <w:r w:rsidR="002F07A9">
              <w:rPr>
                <w:rFonts w:ascii="Arial Narrow" w:hAnsi="Arial Narrow"/>
                <w:noProof/>
                <w:color w:val="000000"/>
                <w:sz w:val="20"/>
                <w:highlight w:val="black"/>
              </w:rPr>
              <w:t>''''''''''''''''''''''''</w:t>
            </w:r>
            <w:r w:rsidRPr="0046360F">
              <w:rPr>
                <w:rFonts w:ascii="Arial Narrow" w:hAnsi="Arial Narrow"/>
                <w:sz w:val="20"/>
              </w:rPr>
              <w:t xml:space="preserve"> (published)</w:t>
            </w:r>
          </w:p>
          <w:p w:rsidR="00806F7B" w:rsidRPr="0046360F" w:rsidRDefault="00806F7B" w:rsidP="00221DAD">
            <w:pPr>
              <w:keepNext/>
              <w:jc w:val="center"/>
              <w:rPr>
                <w:rFonts w:ascii="Arial Narrow" w:hAnsi="Arial Narrow"/>
                <w:sz w:val="20"/>
              </w:rPr>
            </w:pPr>
            <w:r w:rsidRPr="0046360F">
              <w:rPr>
                <w:rFonts w:ascii="Arial Narrow" w:hAnsi="Arial Narrow"/>
                <w:sz w:val="20"/>
              </w:rPr>
              <w:t>$</w:t>
            </w:r>
            <w:r w:rsidR="002F07A9">
              <w:rPr>
                <w:rFonts w:ascii="Arial Narrow" w:hAnsi="Arial Narrow"/>
                <w:noProof/>
                <w:color w:val="000000"/>
                <w:sz w:val="20"/>
                <w:highlight w:val="black"/>
              </w:rPr>
              <w:t>'''''''''''''''''''''</w:t>
            </w:r>
            <w:r w:rsidRPr="0046360F">
              <w:rPr>
                <w:rFonts w:ascii="Arial Narrow" w:hAnsi="Arial Narrow"/>
                <w:sz w:val="20"/>
              </w:rPr>
              <w:t xml:space="preserve"> (effective)</w:t>
            </w:r>
          </w:p>
        </w:tc>
        <w:tc>
          <w:tcPr>
            <w:tcW w:w="1004" w:type="pct"/>
            <w:vAlign w:val="center"/>
          </w:tcPr>
          <w:p w:rsidR="00806F7B" w:rsidRPr="0046360F" w:rsidRDefault="00806F7B" w:rsidP="00221DAD">
            <w:pPr>
              <w:keepNext/>
              <w:jc w:val="center"/>
              <w:rPr>
                <w:rFonts w:ascii="Arial Narrow" w:hAnsi="Arial Narrow"/>
                <w:sz w:val="20"/>
              </w:rPr>
            </w:pPr>
            <w:r w:rsidRPr="0046360F">
              <w:rPr>
                <w:rFonts w:ascii="Arial Narrow" w:hAnsi="Arial Narrow"/>
                <w:sz w:val="20"/>
              </w:rPr>
              <w:t>Vyndamax</w:t>
            </w:r>
            <w:r w:rsidRPr="0046360F">
              <w:rPr>
                <w:rFonts w:ascii="Arial Narrow" w:hAnsi="Arial Narrow"/>
                <w:sz w:val="20"/>
                <w:vertAlign w:val="superscript"/>
              </w:rPr>
              <w:t>®</w:t>
            </w:r>
          </w:p>
          <w:p w:rsidR="00806F7B" w:rsidRPr="0046360F" w:rsidRDefault="00806F7B" w:rsidP="00221DAD">
            <w:pPr>
              <w:keepNext/>
              <w:jc w:val="center"/>
              <w:rPr>
                <w:rFonts w:ascii="Arial Narrow" w:hAnsi="Arial Narrow"/>
                <w:sz w:val="20"/>
              </w:rPr>
            </w:pPr>
            <w:r w:rsidRPr="0046360F">
              <w:rPr>
                <w:rFonts w:ascii="Arial Narrow" w:hAnsi="Arial Narrow"/>
                <w:sz w:val="20"/>
              </w:rPr>
              <w:t>Pfizer Australia Pty Ltd</w:t>
            </w:r>
          </w:p>
        </w:tc>
      </w:tr>
      <w:tr w:rsidR="00806F7B" w:rsidRPr="0046360F"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rPr>
                <w:b/>
              </w:rPr>
            </w:pPr>
            <w:r w:rsidRPr="0046360F">
              <w:rPr>
                <w:b/>
              </w:rPr>
              <w:t>Category / Program:</w:t>
            </w:r>
          </w:p>
        </w:tc>
        <w:tc>
          <w:tcPr>
            <w:tcW w:w="3882" w:type="pct"/>
            <w:gridSpan w:val="7"/>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pPr>
            <w:r w:rsidRPr="0046360F">
              <w:t>GENERAL – General Schedule (Code GE)</w:t>
            </w:r>
          </w:p>
        </w:tc>
      </w:tr>
      <w:tr w:rsidR="00806F7B" w:rsidRPr="0046360F"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rPr>
                <w:b/>
              </w:rPr>
            </w:pPr>
            <w:r w:rsidRPr="0046360F">
              <w:rPr>
                <w:b/>
              </w:rPr>
              <w:t>Prescriber type:</w:t>
            </w:r>
          </w:p>
        </w:tc>
        <w:tc>
          <w:tcPr>
            <w:tcW w:w="3882" w:type="pct"/>
            <w:gridSpan w:val="7"/>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pPr>
            <w:r w:rsidRPr="0046360F">
              <w:t>Medical Practitioners</w:t>
            </w:r>
          </w:p>
        </w:tc>
      </w:tr>
      <w:tr w:rsidR="00806F7B" w:rsidRPr="0046360F"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rPr>
                <w:b/>
              </w:rPr>
            </w:pPr>
            <w:r w:rsidRPr="0046360F">
              <w:rPr>
                <w:b/>
              </w:rPr>
              <w:t>Condition:</w:t>
            </w:r>
          </w:p>
        </w:tc>
        <w:tc>
          <w:tcPr>
            <w:tcW w:w="3882" w:type="pct"/>
            <w:gridSpan w:val="7"/>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pPr>
            <w:r w:rsidRPr="0046360F">
              <w:rPr>
                <w:rFonts w:cs="Calibri"/>
                <w:szCs w:val="18"/>
              </w:rPr>
              <w:t>Transthyretin amyloid cardiomyopathy</w:t>
            </w:r>
          </w:p>
        </w:tc>
      </w:tr>
      <w:tr w:rsidR="00806F7B" w:rsidRPr="0046360F"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rPr>
                <w:b/>
              </w:rPr>
            </w:pPr>
            <w:r w:rsidRPr="0046360F">
              <w:rPr>
                <w:b/>
              </w:rPr>
              <w:t>PBS Indication:</w:t>
            </w:r>
          </w:p>
        </w:tc>
        <w:tc>
          <w:tcPr>
            <w:tcW w:w="3882" w:type="pct"/>
            <w:gridSpan w:val="7"/>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pPr>
            <w:r w:rsidRPr="0046360F">
              <w:rPr>
                <w:rFonts w:cs="Calibri"/>
                <w:szCs w:val="18"/>
              </w:rPr>
              <w:t>Transthyretin amyloid cardiomyopathy</w:t>
            </w:r>
          </w:p>
        </w:tc>
      </w:tr>
      <w:tr w:rsidR="00806F7B" w:rsidRPr="0046360F"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rPr>
                <w:b/>
              </w:rPr>
            </w:pPr>
            <w:r w:rsidRPr="0046360F">
              <w:rPr>
                <w:b/>
              </w:rPr>
              <w:t>Treatment phase:</w:t>
            </w:r>
          </w:p>
        </w:tc>
        <w:tc>
          <w:tcPr>
            <w:tcW w:w="3882" w:type="pct"/>
            <w:gridSpan w:val="7"/>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pPr>
            <w:r w:rsidRPr="0046360F">
              <w:t>Initial</w:t>
            </w:r>
          </w:p>
        </w:tc>
      </w:tr>
      <w:tr w:rsidR="00806F7B" w:rsidRPr="0046360F"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rPr>
                <w:i/>
              </w:rPr>
            </w:pPr>
            <w:r w:rsidRPr="0046360F">
              <w:rPr>
                <w:b/>
              </w:rPr>
              <w:t>Restriction:</w:t>
            </w:r>
          </w:p>
        </w:tc>
        <w:tc>
          <w:tcPr>
            <w:tcW w:w="3882" w:type="pct"/>
            <w:gridSpan w:val="7"/>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pPr>
            <w:r w:rsidRPr="0046360F">
              <w:t>Authority Required - In Writing</w:t>
            </w:r>
          </w:p>
        </w:tc>
      </w:tr>
      <w:tr w:rsidR="00806F7B" w:rsidRPr="0046360F"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rPr>
                <w:b/>
              </w:rPr>
            </w:pPr>
            <w:r w:rsidRPr="0046360F">
              <w:rPr>
                <w:b/>
              </w:rPr>
              <w:t>Treatment criteria:</w:t>
            </w:r>
          </w:p>
        </w:tc>
        <w:tc>
          <w:tcPr>
            <w:tcW w:w="3882" w:type="pct"/>
            <w:gridSpan w:val="7"/>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rPr>
                <w:rFonts w:cs="Arial"/>
              </w:rPr>
            </w:pPr>
            <w:r w:rsidRPr="0046360F">
              <w:rPr>
                <w:rFonts w:cs="Arial"/>
              </w:rPr>
              <w:t>Must be treated by a specialist cardiologist; or</w:t>
            </w:r>
          </w:p>
          <w:p w:rsidR="00806F7B" w:rsidRPr="0046360F" w:rsidRDefault="00806F7B" w:rsidP="00221DAD">
            <w:pPr>
              <w:pStyle w:val="TableText"/>
              <w:rPr>
                <w:rFonts w:cs="Arial"/>
              </w:rPr>
            </w:pPr>
            <w:r w:rsidRPr="0046360F">
              <w:rPr>
                <w:rFonts w:cs="Arial"/>
              </w:rPr>
              <w:t>Must be treated by a consultant physician with experience in the management of amyloid disorders</w:t>
            </w:r>
          </w:p>
        </w:tc>
      </w:tr>
      <w:tr w:rsidR="00806F7B" w:rsidRPr="0046360F"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b/>
              </w:rPr>
            </w:pPr>
            <w:r w:rsidRPr="0046360F">
              <w:rPr>
                <w:b/>
              </w:rPr>
              <w:t>Clinical criteria:</w:t>
            </w:r>
          </w:p>
          <w:p w:rsidR="00806F7B" w:rsidRPr="0046360F" w:rsidRDefault="00806F7B" w:rsidP="00221DAD">
            <w:pPr>
              <w:pStyle w:val="TableText"/>
              <w:keepNext w:val="0"/>
              <w:rPr>
                <w:i/>
              </w:rPr>
            </w:pPr>
          </w:p>
        </w:tc>
        <w:tc>
          <w:tcPr>
            <w:tcW w:w="3882" w:type="pct"/>
            <w:gridSpan w:val="7"/>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rFonts w:cs="Arial"/>
              </w:rPr>
            </w:pPr>
            <w:r w:rsidRPr="0046360F">
              <w:rPr>
                <w:rFonts w:cs="Arial"/>
              </w:rPr>
              <w:t xml:space="preserve">The condition must be wild-type transthyretin amyloidosis; or </w:t>
            </w:r>
          </w:p>
          <w:p w:rsidR="00806F7B" w:rsidRPr="0046360F" w:rsidRDefault="00806F7B" w:rsidP="00221DAD">
            <w:pPr>
              <w:pStyle w:val="TableText"/>
              <w:keepNext w:val="0"/>
              <w:rPr>
                <w:rFonts w:cs="Arial"/>
              </w:rPr>
            </w:pPr>
            <w:r w:rsidRPr="0046360F">
              <w:rPr>
                <w:rFonts w:cs="Arial"/>
              </w:rPr>
              <w:t>The condition must be variant transthyretin type amyloidosis</w:t>
            </w:r>
          </w:p>
          <w:p w:rsidR="00806F7B" w:rsidRPr="0046360F" w:rsidRDefault="00806F7B" w:rsidP="00221DAD">
            <w:pPr>
              <w:pStyle w:val="TableText"/>
              <w:keepNext w:val="0"/>
              <w:rPr>
                <w:rFonts w:cs="Arial"/>
              </w:rPr>
            </w:pPr>
          </w:p>
          <w:p w:rsidR="00806F7B" w:rsidRPr="0046360F" w:rsidRDefault="00806F7B" w:rsidP="00221DAD">
            <w:pPr>
              <w:pStyle w:val="TableText"/>
              <w:keepNext w:val="0"/>
              <w:rPr>
                <w:rFonts w:cs="Arial"/>
              </w:rPr>
            </w:pPr>
            <w:r w:rsidRPr="0046360F">
              <w:rPr>
                <w:rFonts w:cs="Arial"/>
              </w:rPr>
              <w:t xml:space="preserve">Patient must have evidence or history of heart failure </w:t>
            </w:r>
          </w:p>
          <w:p w:rsidR="00806F7B" w:rsidRPr="0046360F" w:rsidRDefault="00806F7B" w:rsidP="00221DAD">
            <w:pPr>
              <w:pStyle w:val="TableText"/>
              <w:keepNext w:val="0"/>
              <w:rPr>
                <w:rFonts w:cs="Arial"/>
              </w:rPr>
            </w:pPr>
            <w:r w:rsidRPr="0046360F">
              <w:rPr>
                <w:rFonts w:cs="Arial"/>
              </w:rPr>
              <w:t>AND</w:t>
            </w:r>
          </w:p>
          <w:p w:rsidR="00806F7B" w:rsidRPr="0046360F" w:rsidRDefault="00806F7B" w:rsidP="00221DAD">
            <w:pPr>
              <w:pStyle w:val="TableText"/>
              <w:keepNext w:val="0"/>
              <w:rPr>
                <w:rFonts w:cs="Arial"/>
              </w:rPr>
            </w:pPr>
            <w:r w:rsidRPr="0046360F">
              <w:rPr>
                <w:rFonts w:cs="Arial"/>
              </w:rPr>
              <w:t xml:space="preserve">Patient must have New York Heart Association class I to II heart failure including patients who are returned to NYHA class II with adequate management e.g. diuretics. Patients must not have persistent NYHA class III heart failure. </w:t>
            </w:r>
          </w:p>
          <w:p w:rsidR="00806F7B" w:rsidRPr="0046360F" w:rsidRDefault="00806F7B" w:rsidP="00221DAD">
            <w:pPr>
              <w:pStyle w:val="TableText"/>
              <w:keepNext w:val="0"/>
              <w:rPr>
                <w:rFonts w:cs="Arial"/>
              </w:rPr>
            </w:pPr>
            <w:r w:rsidRPr="0046360F">
              <w:rPr>
                <w:rFonts w:cs="Arial"/>
              </w:rPr>
              <w:t>AND</w:t>
            </w:r>
          </w:p>
          <w:p w:rsidR="00806F7B" w:rsidRPr="0046360F" w:rsidRDefault="00806F7B" w:rsidP="00221DAD">
            <w:pPr>
              <w:pStyle w:val="TableText"/>
              <w:keepNext w:val="0"/>
              <w:rPr>
                <w:rFonts w:cs="Arial"/>
              </w:rPr>
            </w:pPr>
            <w:r w:rsidRPr="0046360F">
              <w:rPr>
                <w:rFonts w:cs="Arial"/>
              </w:rPr>
              <w:t>The condition must have an end-diastolic interventricular septal wall thickness of at least 12 mm</w:t>
            </w:r>
          </w:p>
          <w:p w:rsidR="00806F7B" w:rsidRPr="0046360F" w:rsidRDefault="00806F7B" w:rsidP="00221DAD">
            <w:pPr>
              <w:pStyle w:val="TableText"/>
              <w:keepNext w:val="0"/>
              <w:rPr>
                <w:rFonts w:cs="Arial"/>
              </w:rPr>
            </w:pPr>
          </w:p>
          <w:p w:rsidR="00806F7B" w:rsidRPr="0046360F" w:rsidRDefault="00806F7B" w:rsidP="00221DAD">
            <w:pPr>
              <w:pStyle w:val="TableText"/>
              <w:keepNext w:val="0"/>
              <w:rPr>
                <w:rFonts w:cs="Arial"/>
              </w:rPr>
            </w:pPr>
            <w:r w:rsidRPr="0046360F">
              <w:rPr>
                <w:rFonts w:cs="Arial"/>
              </w:rPr>
              <w:t>The condition must have the presence of transthyretin precursor protein as identified by one of the following:</w:t>
            </w:r>
          </w:p>
          <w:p w:rsidR="00806F7B" w:rsidRPr="0046360F" w:rsidRDefault="00806F7B" w:rsidP="00221DAD">
            <w:pPr>
              <w:pStyle w:val="TableText"/>
              <w:keepNext w:val="0"/>
              <w:rPr>
                <w:rFonts w:cs="Arial"/>
              </w:rPr>
            </w:pPr>
            <w:r w:rsidRPr="0046360F">
              <w:rPr>
                <w:rFonts w:cs="Arial"/>
              </w:rPr>
              <w:t xml:space="preserve">(i) histological confirmation with either immunohistochemistry (confirmed by amyloid expert centre) or mass spectrometry; or </w:t>
            </w:r>
          </w:p>
          <w:p w:rsidR="00806F7B" w:rsidRPr="0046360F" w:rsidRDefault="00806F7B" w:rsidP="00221DAD">
            <w:pPr>
              <w:pStyle w:val="TableText"/>
              <w:keepNext w:val="0"/>
              <w:rPr>
                <w:rFonts w:cs="Arial"/>
              </w:rPr>
            </w:pPr>
            <w:r w:rsidRPr="0046360F">
              <w:rPr>
                <w:rFonts w:cs="Arial"/>
              </w:rPr>
              <w:t>(ii) Grade 2/3 bone scintigraphy with technetium-labelled radioactive tracer in addition to negative results for monoclonal protein on each of the following three tests: serum immunofixation and electrophoresis; urine immunofixation and electrophoresis; and serum free light-chains.</w:t>
            </w:r>
          </w:p>
          <w:p w:rsidR="00806F7B" w:rsidRPr="0046360F" w:rsidRDefault="00806F7B" w:rsidP="00221DAD">
            <w:pPr>
              <w:pStyle w:val="TableText"/>
              <w:keepNext w:val="0"/>
              <w:rPr>
                <w:rFonts w:cs="Arial"/>
              </w:rPr>
            </w:pPr>
          </w:p>
          <w:p w:rsidR="00806F7B" w:rsidRPr="0046360F" w:rsidRDefault="00806F7B" w:rsidP="00221DAD">
            <w:pPr>
              <w:pStyle w:val="TableText"/>
              <w:keepNext w:val="0"/>
              <w:rPr>
                <w:rFonts w:cs="Arial"/>
              </w:rPr>
            </w:pPr>
            <w:r w:rsidRPr="0046360F">
              <w:rPr>
                <w:rFonts w:cs="Arial"/>
              </w:rPr>
              <w:t>Patient must have an estimated glomerular filtration rate (eGFR) greater than 25 ml/minute/1.73m</w:t>
            </w:r>
            <w:r w:rsidRPr="0046360F">
              <w:rPr>
                <w:rFonts w:cs="Arial"/>
                <w:vertAlign w:val="superscript"/>
              </w:rPr>
              <w:t>2</w:t>
            </w:r>
          </w:p>
        </w:tc>
      </w:tr>
      <w:tr w:rsidR="00806F7B" w:rsidRPr="0046360F"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b/>
              </w:rPr>
            </w:pPr>
            <w:r w:rsidRPr="0046360F">
              <w:rPr>
                <w:b/>
              </w:rPr>
              <w:lastRenderedPageBreak/>
              <w:t>Prescriber Instructions:</w:t>
            </w:r>
          </w:p>
        </w:tc>
        <w:tc>
          <w:tcPr>
            <w:tcW w:w="3882" w:type="pct"/>
            <w:gridSpan w:val="7"/>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pPr>
            <w:r w:rsidRPr="0046360F">
              <w:t>Evidence or history of heart failure must comprise one of the following:</w:t>
            </w:r>
          </w:p>
          <w:p w:rsidR="00806F7B" w:rsidRPr="0046360F" w:rsidRDefault="00806F7B" w:rsidP="00221DAD">
            <w:pPr>
              <w:pStyle w:val="TableText"/>
              <w:keepNext w:val="0"/>
            </w:pPr>
            <w:r w:rsidRPr="0046360F">
              <w:rPr>
                <w:bCs w:val="0"/>
              </w:rPr>
              <w:t>(i</w:t>
            </w:r>
            <w:r w:rsidRPr="0046360F">
              <w:t xml:space="preserve">) History of one or more hospitalisations for heart failure,  </w:t>
            </w:r>
          </w:p>
          <w:p w:rsidR="00806F7B" w:rsidRPr="0046360F" w:rsidRDefault="00806F7B" w:rsidP="00221DAD">
            <w:pPr>
              <w:pStyle w:val="TableText"/>
              <w:keepNext w:val="0"/>
            </w:pPr>
            <w:r w:rsidRPr="0046360F">
              <w:rPr>
                <w:bCs w:val="0"/>
              </w:rPr>
              <w:t>(ii</w:t>
            </w:r>
            <w:r w:rsidRPr="0046360F">
              <w:t>)  Clinical evidence of heart failure without hospitalisation that required treatment with a diuretic for improvement</w:t>
            </w:r>
          </w:p>
          <w:p w:rsidR="00806F7B" w:rsidRPr="0046360F" w:rsidRDefault="00806F7B" w:rsidP="00221DAD">
            <w:pPr>
              <w:pStyle w:val="TableText"/>
              <w:keepNext w:val="0"/>
            </w:pPr>
          </w:p>
          <w:p w:rsidR="00806F7B" w:rsidRPr="0046360F" w:rsidRDefault="00806F7B" w:rsidP="00221DAD">
            <w:pPr>
              <w:pStyle w:val="TableText"/>
              <w:keepNext w:val="0"/>
            </w:pPr>
            <w:r w:rsidRPr="0046360F">
              <w:t>Persistent NYHA class III is heart failure which is not returned to NYHA class II despite adequate management e.g. diuretics after 3-6 months</w:t>
            </w:r>
          </w:p>
        </w:tc>
      </w:tr>
    </w:tbl>
    <w:p w:rsidR="00806F7B" w:rsidRPr="0046360F" w:rsidRDefault="00806F7B" w:rsidP="00CC7D48">
      <w:pPr>
        <w:pStyle w:val="TableFigureCaption"/>
      </w:pPr>
    </w:p>
    <w:tbl>
      <w:tblPr>
        <w:tblW w:w="4924" w:type="pct"/>
        <w:tblInd w:w="137" w:type="dxa"/>
        <w:tblLook w:val="0000" w:firstRow="0" w:lastRow="0" w:firstColumn="0" w:lastColumn="0" w:noHBand="0" w:noVBand="0"/>
      </w:tblPr>
      <w:tblGrid>
        <w:gridCol w:w="1986"/>
        <w:gridCol w:w="6894"/>
      </w:tblGrid>
      <w:tr w:rsidR="00806F7B" w:rsidRPr="0046360F" w:rsidTr="00221DAD">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b/>
              </w:rPr>
            </w:pPr>
            <w:r w:rsidRPr="0046360F">
              <w:rPr>
                <w:b/>
              </w:rPr>
              <w:t>Category / Program:</w:t>
            </w:r>
          </w:p>
        </w:tc>
        <w:tc>
          <w:tcPr>
            <w:tcW w:w="3882"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pPr>
            <w:r w:rsidRPr="0046360F">
              <w:t>GENERAL – General Schedule (Code GE)</w:t>
            </w:r>
          </w:p>
        </w:tc>
      </w:tr>
      <w:tr w:rsidR="00806F7B" w:rsidRPr="0046360F" w:rsidTr="00221DAD">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b/>
              </w:rPr>
            </w:pPr>
            <w:r w:rsidRPr="0046360F">
              <w:rPr>
                <w:b/>
              </w:rPr>
              <w:t>Prescriber type:</w:t>
            </w:r>
          </w:p>
        </w:tc>
        <w:tc>
          <w:tcPr>
            <w:tcW w:w="3882" w:type="pct"/>
            <w:tcBorders>
              <w:top w:val="single" w:sz="4" w:space="0" w:color="auto"/>
              <w:left w:val="single" w:sz="4" w:space="0" w:color="auto"/>
              <w:bottom w:val="single" w:sz="4" w:space="0" w:color="auto"/>
              <w:right w:val="single" w:sz="4" w:space="0" w:color="auto"/>
            </w:tcBorders>
          </w:tcPr>
          <w:p w:rsidR="00806F7B" w:rsidRPr="0046360F" w:rsidRDefault="00806F7B" w:rsidP="00E31F22">
            <w:pPr>
              <w:pStyle w:val="TableText"/>
              <w:keepNext w:val="0"/>
            </w:pPr>
            <w:r w:rsidRPr="0046360F">
              <w:t>Medical Practitioners</w:t>
            </w:r>
          </w:p>
        </w:tc>
      </w:tr>
      <w:tr w:rsidR="00806F7B" w:rsidRPr="0046360F" w:rsidTr="00221DAD">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b/>
              </w:rPr>
            </w:pPr>
            <w:r w:rsidRPr="0046360F">
              <w:rPr>
                <w:b/>
              </w:rPr>
              <w:t>Condition:</w:t>
            </w:r>
          </w:p>
        </w:tc>
        <w:tc>
          <w:tcPr>
            <w:tcW w:w="3882"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pPr>
            <w:r w:rsidRPr="0046360F">
              <w:rPr>
                <w:rFonts w:cs="Calibri"/>
                <w:szCs w:val="18"/>
              </w:rPr>
              <w:t>Transthyretin amyloid cardiomyopathy</w:t>
            </w:r>
          </w:p>
        </w:tc>
      </w:tr>
      <w:tr w:rsidR="00806F7B" w:rsidRPr="0046360F" w:rsidTr="00221DAD">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b/>
              </w:rPr>
            </w:pPr>
            <w:r w:rsidRPr="0046360F">
              <w:rPr>
                <w:b/>
              </w:rPr>
              <w:t>PBS Indication:</w:t>
            </w:r>
          </w:p>
        </w:tc>
        <w:tc>
          <w:tcPr>
            <w:tcW w:w="3882"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pPr>
            <w:r w:rsidRPr="0046360F">
              <w:rPr>
                <w:rFonts w:cs="Calibri"/>
                <w:szCs w:val="18"/>
              </w:rPr>
              <w:t>Transthyretin amyloid cardiomyopathy</w:t>
            </w:r>
          </w:p>
        </w:tc>
      </w:tr>
      <w:tr w:rsidR="00806F7B" w:rsidRPr="0046360F" w:rsidTr="00221DAD">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b/>
              </w:rPr>
            </w:pPr>
            <w:r w:rsidRPr="0046360F">
              <w:rPr>
                <w:b/>
              </w:rPr>
              <w:t>Treatment phase:</w:t>
            </w:r>
          </w:p>
        </w:tc>
        <w:tc>
          <w:tcPr>
            <w:tcW w:w="3882"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pPr>
            <w:r w:rsidRPr="0046360F">
              <w:t>Continuing</w:t>
            </w:r>
          </w:p>
        </w:tc>
      </w:tr>
      <w:tr w:rsidR="00806F7B" w:rsidRPr="0046360F" w:rsidTr="00221DAD">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i/>
              </w:rPr>
            </w:pPr>
            <w:r w:rsidRPr="0046360F">
              <w:rPr>
                <w:b/>
              </w:rPr>
              <w:t>Restriction:</w:t>
            </w:r>
          </w:p>
        </w:tc>
        <w:tc>
          <w:tcPr>
            <w:tcW w:w="3882" w:type="pct"/>
            <w:tcBorders>
              <w:top w:val="single" w:sz="4" w:space="0" w:color="auto"/>
              <w:left w:val="single" w:sz="4" w:space="0" w:color="auto"/>
              <w:bottom w:val="single" w:sz="4" w:space="0" w:color="auto"/>
              <w:right w:val="single" w:sz="4" w:space="0" w:color="auto"/>
            </w:tcBorders>
          </w:tcPr>
          <w:p w:rsidR="00806F7B" w:rsidRPr="0046360F" w:rsidRDefault="00806F7B" w:rsidP="00E31F22">
            <w:pPr>
              <w:pStyle w:val="TableText"/>
              <w:keepNext w:val="0"/>
            </w:pPr>
            <w:r w:rsidRPr="0046360F">
              <w:t>Authority Required - In Writing</w:t>
            </w:r>
          </w:p>
        </w:tc>
      </w:tr>
      <w:tr w:rsidR="00806F7B" w:rsidRPr="0046360F" w:rsidTr="00221DAD">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b/>
              </w:rPr>
            </w:pPr>
            <w:r w:rsidRPr="0046360F">
              <w:rPr>
                <w:b/>
              </w:rPr>
              <w:t>Treatment criteria:</w:t>
            </w:r>
          </w:p>
        </w:tc>
        <w:tc>
          <w:tcPr>
            <w:tcW w:w="3882"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rFonts w:cs="Arial"/>
              </w:rPr>
            </w:pPr>
            <w:r w:rsidRPr="0046360F">
              <w:rPr>
                <w:rFonts w:cs="Arial"/>
              </w:rPr>
              <w:t>Must be treated by a specialist cardiologist; or</w:t>
            </w:r>
          </w:p>
          <w:p w:rsidR="00806F7B" w:rsidRPr="0046360F" w:rsidRDefault="00806F7B" w:rsidP="00221DAD">
            <w:pPr>
              <w:pStyle w:val="TableText"/>
              <w:keepNext w:val="0"/>
              <w:rPr>
                <w:rFonts w:cs="Arial"/>
              </w:rPr>
            </w:pPr>
            <w:r w:rsidRPr="0046360F">
              <w:rPr>
                <w:rFonts w:cs="Arial"/>
              </w:rPr>
              <w:t>Must be treated by a consultant physician with experience in the management of amyloid disorders</w:t>
            </w:r>
          </w:p>
        </w:tc>
      </w:tr>
      <w:tr w:rsidR="00806F7B" w:rsidRPr="0046360F" w:rsidTr="00221DAD">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b/>
              </w:rPr>
            </w:pPr>
            <w:r w:rsidRPr="0046360F">
              <w:rPr>
                <w:b/>
              </w:rPr>
              <w:t>Clinical criteria:</w:t>
            </w:r>
          </w:p>
          <w:p w:rsidR="00806F7B" w:rsidRPr="0046360F" w:rsidRDefault="00806F7B" w:rsidP="00221DAD">
            <w:pPr>
              <w:pStyle w:val="TableText"/>
              <w:keepNext w:val="0"/>
            </w:pPr>
          </w:p>
        </w:tc>
        <w:tc>
          <w:tcPr>
            <w:tcW w:w="3882"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rFonts w:cs="Arial"/>
              </w:rPr>
            </w:pPr>
            <w:r w:rsidRPr="0046360F">
              <w:rPr>
                <w:rFonts w:cs="Arial"/>
              </w:rPr>
              <w:t>Patient must have previously received PBS-subsidised treatment with this drug for this condition</w:t>
            </w:r>
          </w:p>
          <w:p w:rsidR="00806F7B" w:rsidRPr="0046360F" w:rsidRDefault="00806F7B" w:rsidP="00221DAD">
            <w:pPr>
              <w:pStyle w:val="TableText"/>
              <w:keepNext w:val="0"/>
              <w:rPr>
                <w:rFonts w:cs="Arial"/>
              </w:rPr>
            </w:pPr>
          </w:p>
          <w:p w:rsidR="00806F7B" w:rsidRPr="0046360F" w:rsidRDefault="00806F7B" w:rsidP="00221DAD">
            <w:pPr>
              <w:pStyle w:val="TableText"/>
              <w:keepNext w:val="0"/>
              <w:rPr>
                <w:rFonts w:cs="Arial"/>
              </w:rPr>
            </w:pPr>
            <w:r w:rsidRPr="0046360F">
              <w:rPr>
                <w:rFonts w:cs="Arial"/>
              </w:rPr>
              <w:t>Patient must have an estimated glomerular filtration rate (eGFR) greater than 25 ml/minute/1.73m</w:t>
            </w:r>
            <w:r w:rsidRPr="0046360F">
              <w:rPr>
                <w:rFonts w:cs="Arial"/>
                <w:vertAlign w:val="superscript"/>
              </w:rPr>
              <w:t>2</w:t>
            </w:r>
          </w:p>
          <w:p w:rsidR="00806F7B" w:rsidRPr="0046360F" w:rsidRDefault="00806F7B" w:rsidP="00221DAD">
            <w:pPr>
              <w:pStyle w:val="TableText"/>
              <w:keepNext w:val="0"/>
              <w:rPr>
                <w:rFonts w:cs="Arial"/>
              </w:rPr>
            </w:pPr>
          </w:p>
          <w:p w:rsidR="00806F7B" w:rsidRPr="0046360F" w:rsidRDefault="00806F7B" w:rsidP="00221DAD">
            <w:pPr>
              <w:pStyle w:val="TableText"/>
              <w:keepNext w:val="0"/>
              <w:rPr>
                <w:rFonts w:cs="Arial"/>
              </w:rPr>
            </w:pPr>
            <w:r w:rsidRPr="0046360F">
              <w:rPr>
                <w:rFonts w:cs="Arial"/>
              </w:rPr>
              <w:t>Patient must have New York Heart Association class I to III heart failure</w:t>
            </w:r>
          </w:p>
        </w:tc>
      </w:tr>
      <w:tr w:rsidR="00806F7B" w:rsidRPr="0046360F" w:rsidTr="00221DAD">
        <w:trPr>
          <w:cantSplit/>
        </w:trPr>
        <w:tc>
          <w:tcPr>
            <w:tcW w:w="1118"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rPr>
                <w:b/>
              </w:rPr>
            </w:pPr>
            <w:r w:rsidRPr="0046360F">
              <w:rPr>
                <w:b/>
              </w:rPr>
              <w:t>Prescriber Instructions:</w:t>
            </w:r>
          </w:p>
        </w:tc>
        <w:tc>
          <w:tcPr>
            <w:tcW w:w="3882" w:type="pct"/>
            <w:tcBorders>
              <w:top w:val="single" w:sz="4" w:space="0" w:color="auto"/>
              <w:left w:val="single" w:sz="4" w:space="0" w:color="auto"/>
              <w:bottom w:val="single" w:sz="4" w:space="0" w:color="auto"/>
              <w:right w:val="single" w:sz="4" w:space="0" w:color="auto"/>
            </w:tcBorders>
          </w:tcPr>
          <w:p w:rsidR="00806F7B" w:rsidRPr="0046360F" w:rsidRDefault="00806F7B" w:rsidP="00221DAD">
            <w:pPr>
              <w:pStyle w:val="TableText"/>
              <w:keepNext w:val="0"/>
            </w:pPr>
            <w:r w:rsidRPr="0046360F">
              <w:t>The treatment must be ceased if any of the following occur:</w:t>
            </w:r>
          </w:p>
          <w:p w:rsidR="00806F7B" w:rsidRPr="0046360F" w:rsidRDefault="00806F7B" w:rsidP="00221DAD">
            <w:pPr>
              <w:pStyle w:val="TableText"/>
              <w:keepNext w:val="0"/>
            </w:pPr>
            <w:r w:rsidRPr="0046360F">
              <w:t xml:space="preserve">(i) Patient progresses to New York Heart Association class IV heart failure, or </w:t>
            </w:r>
          </w:p>
          <w:p w:rsidR="00806F7B" w:rsidRPr="0046360F" w:rsidRDefault="00806F7B" w:rsidP="00221DAD">
            <w:pPr>
              <w:pStyle w:val="TableText"/>
              <w:keepNext w:val="0"/>
            </w:pPr>
            <w:r w:rsidRPr="0046360F">
              <w:t>(ii) Patient receives a heart / liver transplant, or an implanted cardiac ventricular assist device</w:t>
            </w:r>
          </w:p>
        </w:tc>
      </w:tr>
    </w:tbl>
    <w:p w:rsidR="00806F7B" w:rsidRPr="0046360F" w:rsidRDefault="00806F7B" w:rsidP="00806F7B">
      <w:pPr>
        <w:pStyle w:val="TableFigureFooter"/>
        <w:ind w:left="142"/>
      </w:pPr>
      <w:r w:rsidRPr="0046360F">
        <w:t xml:space="preserve">Source: Tables 1.4.2-1.4.3, pp.35-37 of the resubmission. </w:t>
      </w:r>
    </w:p>
    <w:p w:rsidR="00DF6F23" w:rsidRPr="0046360F" w:rsidRDefault="00070978" w:rsidP="00070978">
      <w:pPr>
        <w:pStyle w:val="ExecSumBodyText"/>
      </w:pPr>
      <w:r w:rsidRPr="0046360F">
        <w:t xml:space="preserve">The resubmission proposed a lower effective DPMQ </w:t>
      </w:r>
      <w:r w:rsidR="00132A63" w:rsidRPr="0046360F">
        <w:t xml:space="preserve">than the previous submission </w:t>
      </w:r>
      <w:r w:rsidRPr="0046360F">
        <w:t>($</w:t>
      </w:r>
      <w:r w:rsidR="002F07A9">
        <w:rPr>
          <w:noProof/>
          <w:color w:val="000000"/>
          <w:highlight w:val="black"/>
        </w:rPr>
        <w:t>'''''''''''''''</w:t>
      </w:r>
      <w:r w:rsidRPr="0046360F">
        <w:t>; a 58.7% reduction compared to the previous submission), and</w:t>
      </w:r>
      <w:r w:rsidR="00DF6F23" w:rsidRPr="0046360F">
        <w:t xml:space="preserve"> a special pricing arrangement with a </w:t>
      </w:r>
      <w:r w:rsidR="002F07A9">
        <w:rPr>
          <w:noProof/>
          <w:color w:val="000000"/>
          <w:highlight w:val="black"/>
        </w:rPr>
        <w:t>''''''</w:t>
      </w:r>
      <w:r w:rsidR="00DF6F23" w:rsidRPr="0046360F">
        <w:t>% rebate on the published DPMQ per script.</w:t>
      </w:r>
      <w:r w:rsidR="007A2883" w:rsidRPr="0046360F" w:rsidDel="007A2883">
        <w:t xml:space="preserve"> </w:t>
      </w:r>
    </w:p>
    <w:p w:rsidR="00DF6F23" w:rsidRPr="0046360F" w:rsidRDefault="00DF6F23" w:rsidP="00DF6F23">
      <w:pPr>
        <w:pStyle w:val="ExecSumBodyText"/>
        <w:numPr>
          <w:ilvl w:val="1"/>
          <w:numId w:val="1"/>
        </w:numPr>
      </w:pPr>
      <w:r w:rsidRPr="0046360F">
        <w:t xml:space="preserve">The proposed listing </w:t>
      </w:r>
      <w:r w:rsidR="00FB614E" w:rsidRPr="0046360F">
        <w:t>was</w:t>
      </w:r>
      <w:r w:rsidRPr="0046360F">
        <w:t xml:space="preserve"> for the tafamidis 61 mg free acid formulation (bioequivalent to tafamidis meglumine 80 mg). </w:t>
      </w:r>
      <w:r w:rsidR="001E4CFB" w:rsidRPr="0046360F">
        <w:t>Consistent with the previous submission, t</w:t>
      </w:r>
      <w:r w:rsidRPr="0046360F">
        <w:t xml:space="preserve">he sponsor </w:t>
      </w:r>
      <w:r w:rsidR="00FB614E" w:rsidRPr="0046360F">
        <w:t xml:space="preserve">did </w:t>
      </w:r>
      <w:r w:rsidRPr="0046360F">
        <w:t>not request listing of the tafamidis meglumine 20 mg formulation.</w:t>
      </w:r>
    </w:p>
    <w:p w:rsidR="00DF6F23" w:rsidRPr="0046360F" w:rsidRDefault="00DF6F23" w:rsidP="00DF6F23">
      <w:pPr>
        <w:pStyle w:val="ExecSumBodyText"/>
        <w:numPr>
          <w:ilvl w:val="1"/>
          <w:numId w:val="1"/>
        </w:numPr>
      </w:pPr>
      <w:r w:rsidRPr="0046360F">
        <w:t xml:space="preserve">The requested restriction </w:t>
      </w:r>
      <w:r w:rsidR="00FB614E" w:rsidRPr="0046360F">
        <w:t>was</w:t>
      </w:r>
      <w:r w:rsidRPr="0046360F">
        <w:t xml:space="preserve"> narrower than the registered TGA indication, </w:t>
      </w:r>
      <w:r w:rsidR="00305F81" w:rsidRPr="0046360F">
        <w:t>which is broadly for hereditary or wild-type ATTR-CM</w:t>
      </w:r>
      <w:r w:rsidRPr="0046360F">
        <w:t>.</w:t>
      </w:r>
    </w:p>
    <w:p w:rsidR="00B42DF9" w:rsidRPr="0046360F" w:rsidRDefault="00953E10" w:rsidP="00DF6F23">
      <w:pPr>
        <w:pStyle w:val="ExecSumBodyText"/>
        <w:numPr>
          <w:ilvl w:val="1"/>
          <w:numId w:val="1"/>
        </w:numPr>
      </w:pPr>
      <w:r w:rsidRPr="0046360F">
        <w:t>The resubmission noted the PBAC</w:t>
      </w:r>
      <w:r w:rsidR="009A676F" w:rsidRPr="0046360F">
        <w:t>’s previous</w:t>
      </w:r>
      <w:r w:rsidRPr="0046360F">
        <w:t xml:space="preserve"> concerns that the magnitude of benefit of tafamidis was uncertain </w:t>
      </w:r>
      <w:r w:rsidRPr="0046360F">
        <w:rPr>
          <w:bCs/>
        </w:rPr>
        <w:t xml:space="preserve">in patients with baseline NYHA class III heart failure, and that tafamidis was associated with an increase in hospitalisations and an uncertain impact on survival in these patients (para 7.9, </w:t>
      </w:r>
      <w:r w:rsidR="00FB614E" w:rsidRPr="0046360F">
        <w:rPr>
          <w:bCs/>
        </w:rPr>
        <w:t>t</w:t>
      </w:r>
      <w:r w:rsidRPr="0046360F">
        <w:rPr>
          <w:bCs/>
        </w:rPr>
        <w:t xml:space="preserve">afamidis </w:t>
      </w:r>
      <w:r w:rsidR="00F91798" w:rsidRPr="0046360F">
        <w:rPr>
          <w:bCs/>
        </w:rPr>
        <w:t>Public Summary Document (</w:t>
      </w:r>
      <w:r w:rsidRPr="0046360F">
        <w:rPr>
          <w:bCs/>
        </w:rPr>
        <w:t>PSD</w:t>
      </w:r>
      <w:r w:rsidR="00F91798" w:rsidRPr="0046360F">
        <w:rPr>
          <w:bCs/>
        </w:rPr>
        <w:t>)</w:t>
      </w:r>
      <w:r w:rsidRPr="0046360F">
        <w:rPr>
          <w:bCs/>
        </w:rPr>
        <w:t>, July 2020 PBAC meeting</w:t>
      </w:r>
      <w:r w:rsidRPr="0046360F">
        <w:t>)</w:t>
      </w:r>
      <w:r w:rsidRPr="0046360F">
        <w:rPr>
          <w:bCs/>
        </w:rPr>
        <w:t xml:space="preserve">. </w:t>
      </w:r>
      <w:r w:rsidRPr="0046360F">
        <w:t>Therefore, the resubmission proposed that p</w:t>
      </w:r>
      <w:r w:rsidR="00DF6F23" w:rsidRPr="0046360F">
        <w:t xml:space="preserve">atients with non-persistent NYHA class III heart failure may be eligible to initiate PBS listed tafamidis if their heart failure transitions to NYHA class II with appropriate treatment (e.g. diuretics), but patients with persistent NYHA class III heart failure (i.e. heart failure which is not returned to NYHA class II despite adequate management after 3-6 months) </w:t>
      </w:r>
      <w:r w:rsidR="00F174DD" w:rsidRPr="0046360F">
        <w:t>are</w:t>
      </w:r>
      <w:r w:rsidR="00DF6F23" w:rsidRPr="0046360F">
        <w:t xml:space="preserve"> ineligible. </w:t>
      </w:r>
    </w:p>
    <w:p w:rsidR="007E5AC6" w:rsidRPr="0046360F" w:rsidRDefault="006E6B4E" w:rsidP="00720208">
      <w:pPr>
        <w:pStyle w:val="ExecSumBodyText"/>
      </w:pPr>
      <w:r w:rsidRPr="0046360F">
        <w:t>The requested restriction for continuing treatment include</w:t>
      </w:r>
      <w:r w:rsidR="00FF3E87" w:rsidRPr="0046360F">
        <w:t>d</w:t>
      </w:r>
      <w:r w:rsidRPr="0046360F">
        <w:t xml:space="preserve"> patients who progress to NYHA class III heart failure after initiation of tafamidis. </w:t>
      </w:r>
    </w:p>
    <w:p w:rsidR="00DF6F23" w:rsidRPr="0046360F" w:rsidRDefault="00BB13DC" w:rsidP="001F4FE1">
      <w:pPr>
        <w:pStyle w:val="ExecSumBodyText"/>
        <w:numPr>
          <w:ilvl w:val="1"/>
          <w:numId w:val="1"/>
        </w:numPr>
      </w:pPr>
      <w:r w:rsidRPr="0046360F">
        <w:t xml:space="preserve">The PBAC </w:t>
      </w:r>
      <w:r w:rsidR="00781058" w:rsidRPr="0046360F">
        <w:t xml:space="preserve">noted </w:t>
      </w:r>
      <w:r w:rsidRPr="0046360F">
        <w:t>that t</w:t>
      </w:r>
      <w:r w:rsidR="007E5AC6" w:rsidRPr="0046360F">
        <w:t xml:space="preserve">he proportions of patients with persistent NYHA class III heart failure (i.e. not eligible for initiation of PBS subsidised tafamidis), in the Australian population is not known. </w:t>
      </w:r>
      <w:r w:rsidR="00B56545" w:rsidRPr="0046360F">
        <w:t xml:space="preserve">The submission </w:t>
      </w:r>
      <w:r w:rsidR="00305F81" w:rsidRPr="0046360F">
        <w:t>claimed</w:t>
      </w:r>
      <w:r w:rsidR="00B56545" w:rsidRPr="0046360F">
        <w:t xml:space="preserve"> that, based on the ATTR-ACT trial, only 20% of patients with NYHA class III heart failure at </w:t>
      </w:r>
      <w:r w:rsidR="00923EAA" w:rsidRPr="0046360F">
        <w:t xml:space="preserve">the </w:t>
      </w:r>
      <w:r w:rsidR="00B56545" w:rsidRPr="0046360F">
        <w:t xml:space="preserve">time of diagnosis are likely to improve to class II (and hence become eligible for tafamidis), although the </w:t>
      </w:r>
      <w:r w:rsidR="00DA1273">
        <w:t>Pre-Sub-Committee Response (</w:t>
      </w:r>
      <w:r w:rsidR="00B56545" w:rsidRPr="0046360F">
        <w:t>PSCR</w:t>
      </w:r>
      <w:r w:rsidR="00DA1273">
        <w:t>)</w:t>
      </w:r>
      <w:r w:rsidR="00305F81" w:rsidRPr="0046360F">
        <w:t xml:space="preserve"> noted that clinical experts consulted indicated that </w:t>
      </w:r>
      <w:r w:rsidR="00B56545" w:rsidRPr="0046360F">
        <w:t xml:space="preserve">this may be as high as 50%. </w:t>
      </w:r>
    </w:p>
    <w:p w:rsidR="00DF6F23" w:rsidRPr="0046360F" w:rsidRDefault="00DF6F23" w:rsidP="00DF6F23">
      <w:pPr>
        <w:pStyle w:val="ExecSumBodyText"/>
        <w:numPr>
          <w:ilvl w:val="1"/>
          <w:numId w:val="1"/>
        </w:numPr>
      </w:pPr>
      <w:r w:rsidRPr="0046360F">
        <w:t>The restriction for continuing treatment include</w:t>
      </w:r>
      <w:r w:rsidR="00781058" w:rsidRPr="0046360F">
        <w:t>d</w:t>
      </w:r>
      <w:r w:rsidRPr="0046360F">
        <w:t xml:space="preserve"> two discontinuation criteria: (i) progression to NYHA class IV heart failure; and (ii) heart/liver transplant, or implanted cardiac ventricular assist device.</w:t>
      </w:r>
    </w:p>
    <w:p w:rsidR="006E0C18" w:rsidRPr="0046360F" w:rsidRDefault="006E0C18" w:rsidP="00DF6F23">
      <w:pPr>
        <w:pStyle w:val="ExecSumBodyText"/>
        <w:numPr>
          <w:ilvl w:val="1"/>
          <w:numId w:val="1"/>
        </w:numPr>
      </w:pPr>
      <w:r w:rsidRPr="0046360F">
        <w:t xml:space="preserve">The resubmission assumed that 300 patients would be grandfathered onto the PBS. These numbers were unconfirmed, and no restriction wording was proposed. </w:t>
      </w:r>
    </w:p>
    <w:p w:rsidR="00A87DE7" w:rsidRPr="0046360F" w:rsidRDefault="00A87DE7" w:rsidP="003D0235">
      <w:pPr>
        <w:pStyle w:val="ExecSumBodyText"/>
        <w:numPr>
          <w:ilvl w:val="0"/>
          <w:numId w:val="0"/>
        </w:numPr>
        <w:rPr>
          <w:i/>
        </w:rPr>
      </w:pPr>
      <w:r w:rsidRPr="0046360F">
        <w:rPr>
          <w:i/>
        </w:rPr>
        <w:t>For more detail on the PBAC’s view, see section 7 PBAC outcome.</w:t>
      </w:r>
    </w:p>
    <w:p w:rsidR="00B50DB8" w:rsidRPr="0046360F" w:rsidRDefault="00203181" w:rsidP="004E18E9">
      <w:pPr>
        <w:pStyle w:val="2-SectionHeading"/>
      </w:pPr>
      <w:bookmarkStart w:id="11" w:name="_Toc62050858"/>
      <w:r w:rsidRPr="0046360F">
        <w:t xml:space="preserve">Population and </w:t>
      </w:r>
      <w:r w:rsidR="008E0D3C" w:rsidRPr="0046360F">
        <w:t>d</w:t>
      </w:r>
      <w:r w:rsidRPr="0046360F">
        <w:t>isease</w:t>
      </w:r>
      <w:bookmarkEnd w:id="11"/>
    </w:p>
    <w:p w:rsidR="007142BC" w:rsidRPr="0046360F" w:rsidRDefault="007142BC" w:rsidP="007142BC">
      <w:pPr>
        <w:pStyle w:val="ExecSumBodyText"/>
        <w:numPr>
          <w:ilvl w:val="1"/>
          <w:numId w:val="1"/>
        </w:numPr>
        <w:rPr>
          <w:color w:val="0066FF"/>
        </w:rPr>
      </w:pPr>
      <w:r w:rsidRPr="0046360F">
        <w:t>ATTR-CM is a rare, late onset, progressive disease, characterised by extracellular deposition of misfolded transthyretin (TTR) amyloid fibrils in the cardiac atrial and ventricular walls, and/or direct amyloid proteotoxicity (Siddiqi et al. 2018). Amyloid fibril deposition results in progressive myocardial hypertrophy, restrictive cardiomyopathy with diastolic dysfunction (with or without systolic dysfunction), and progressive fulminant heart failure (Donnelly and Hanna 2017; Mankad and Shah 2017). Fibril infiltration around cardiac conduction tissue may result in cardiac arrhythmias (e.g. atrial fibrillation), or atrioventricular conduction defects.</w:t>
      </w:r>
      <w:r w:rsidRPr="0046360F">
        <w:rPr>
          <w:color w:val="0066FF"/>
        </w:rPr>
        <w:t xml:space="preserve"> </w:t>
      </w:r>
    </w:p>
    <w:p w:rsidR="007142BC" w:rsidRPr="0046360F" w:rsidRDefault="007142BC" w:rsidP="007142BC">
      <w:pPr>
        <w:pStyle w:val="ExecSumBodyText"/>
        <w:numPr>
          <w:ilvl w:val="1"/>
          <w:numId w:val="1"/>
        </w:numPr>
        <w:rPr>
          <w:color w:val="0066FF"/>
        </w:rPr>
      </w:pPr>
      <w:r w:rsidRPr="0046360F">
        <w:t xml:space="preserve">ATTR-CM is related to either a wild TTR genotype (ATTRwt; most common), or </w:t>
      </w:r>
      <w:r w:rsidRPr="0046360F">
        <w:rPr>
          <w:rFonts w:eastAsia="OTNEJMQuadraat"/>
        </w:rPr>
        <w:t xml:space="preserve">an autosomal dominant, </w:t>
      </w:r>
      <w:r w:rsidRPr="0046360F">
        <w:t>inherited or variant TTR genotype (ATTRm), and is most prevalent in males ≥ 60 years of age, with prevalence increasing with age (Siddiqi et al. 2018). Disease trajectory is heterogeneous between TTR genotypes in terms of organ involvement, age of onset, presentation and prognosis, and the ATTRm genotype also varies between mutations in terms of prevalence, pattern of organ involvement, prognosis, race and region.</w:t>
      </w:r>
    </w:p>
    <w:p w:rsidR="007142BC" w:rsidRPr="0046360F" w:rsidRDefault="007142BC" w:rsidP="007142BC">
      <w:pPr>
        <w:pStyle w:val="ExecSumBodyText"/>
        <w:numPr>
          <w:ilvl w:val="1"/>
          <w:numId w:val="1"/>
        </w:numPr>
        <w:rPr>
          <w:color w:val="0066FF"/>
        </w:rPr>
      </w:pPr>
      <w:r w:rsidRPr="0046360F">
        <w:rPr>
          <w:rFonts w:cstheme="minorHAnsi"/>
        </w:rPr>
        <w:t xml:space="preserve">ATTR-CM commonly presents with systemic manifestations of fibril deposition; </w:t>
      </w:r>
      <w:r w:rsidRPr="0046360F">
        <w:t>e.g. carpal tunnel syndrome, lumbar spinal stenosis, bicep tendon rupture, bilateral ascending sensory-motor polyneuropathy, dysautonomia, diarrhoea/constipation, erectile dysfunction, glaucoma (</w:t>
      </w:r>
      <w:r w:rsidRPr="0046360F">
        <w:rPr>
          <w:rFonts w:cstheme="minorHAnsi"/>
        </w:rPr>
        <w:t xml:space="preserve">Siddiqi et al. 2018). However, diagnosis of ATTR-CM </w:t>
      </w:r>
      <w:r w:rsidR="00FB36A0" w:rsidRPr="0046360F">
        <w:rPr>
          <w:rFonts w:cstheme="minorHAnsi"/>
        </w:rPr>
        <w:t xml:space="preserve">in current clinical practice </w:t>
      </w:r>
      <w:r w:rsidRPr="0046360F">
        <w:rPr>
          <w:rFonts w:cstheme="minorHAnsi"/>
        </w:rPr>
        <w:t xml:space="preserve">is difficult and frequently delayed until the presentation of progressive heart failure. Median survival after diagnosis in untreated patients has been estimated to be 2.5 years for ATTRm and 3.5 years for ATTRwt, with death most likely due to </w:t>
      </w:r>
      <w:r w:rsidR="00BE7405" w:rsidRPr="0046360F">
        <w:rPr>
          <w:rFonts w:cstheme="minorHAnsi"/>
        </w:rPr>
        <w:t>cardiovascular (</w:t>
      </w:r>
      <w:r w:rsidR="0026392E" w:rsidRPr="0046360F">
        <w:rPr>
          <w:rFonts w:cstheme="minorHAnsi"/>
        </w:rPr>
        <w:t>CV</w:t>
      </w:r>
      <w:r w:rsidR="00BE7405" w:rsidRPr="0046360F">
        <w:rPr>
          <w:rFonts w:cstheme="minorHAnsi"/>
        </w:rPr>
        <w:t>)</w:t>
      </w:r>
      <w:r w:rsidR="0026392E" w:rsidRPr="0046360F">
        <w:rPr>
          <w:rFonts w:cstheme="minorHAnsi"/>
        </w:rPr>
        <w:t xml:space="preserve"> </w:t>
      </w:r>
      <w:r w:rsidRPr="0046360F">
        <w:rPr>
          <w:rFonts w:cstheme="minorHAnsi"/>
        </w:rPr>
        <w:t>causes (cardiac arrhythmia, fulminant heart failure; Dungu et al. 2012; Maurer et al. 2017; Ruberg et al. 2012).</w:t>
      </w:r>
    </w:p>
    <w:p w:rsidR="00BD3AAA" w:rsidRPr="0046360F" w:rsidRDefault="00BD3AAA" w:rsidP="00BD3AAA">
      <w:pPr>
        <w:pStyle w:val="ExecSumBodyText"/>
        <w:numPr>
          <w:ilvl w:val="1"/>
          <w:numId w:val="1"/>
        </w:numPr>
        <w:rPr>
          <w:rFonts w:cstheme="minorHAnsi"/>
        </w:rPr>
      </w:pPr>
      <w:r w:rsidRPr="0046360F">
        <w:rPr>
          <w:rFonts w:cstheme="minorHAnsi"/>
        </w:rPr>
        <w:t xml:space="preserve">The current and proposed clinical management algorithms </w:t>
      </w:r>
      <w:r w:rsidR="00BE7405" w:rsidRPr="0046360F">
        <w:rPr>
          <w:rFonts w:cstheme="minorHAnsi"/>
        </w:rPr>
        <w:t xml:space="preserve">were </w:t>
      </w:r>
      <w:r w:rsidRPr="0046360F">
        <w:rPr>
          <w:rFonts w:cstheme="minorHAnsi"/>
        </w:rPr>
        <w:t>the same as presented in the previous submission, with the addition of standard management of ATTR-CM related heart failure (i.e. symptomatic treatment with appropriate diuretics and antiarrhythmics), as a treatment option prior to or concomitant with tafamidis. This position</w:t>
      </w:r>
      <w:r w:rsidR="00BE7405" w:rsidRPr="0046360F">
        <w:rPr>
          <w:rFonts w:cstheme="minorHAnsi"/>
        </w:rPr>
        <w:t>ed</w:t>
      </w:r>
      <w:r w:rsidRPr="0046360F">
        <w:rPr>
          <w:rFonts w:cstheme="minorHAnsi"/>
        </w:rPr>
        <w:t xml:space="preserve"> tafamidis as a disease modifying treatment in addition to or in place of standard management of ATTR-CM heart failure, in patients with ATTR-CM related heart failure confirmed by bone scintigraphy</w:t>
      </w:r>
      <w:r w:rsidR="00D33912">
        <w:rPr>
          <w:rFonts w:cstheme="minorHAnsi"/>
        </w:rPr>
        <w:t xml:space="preserve">, </w:t>
      </w:r>
      <w:r w:rsidRPr="0046360F">
        <w:rPr>
          <w:rFonts w:cstheme="minorHAnsi"/>
        </w:rPr>
        <w:t xml:space="preserve">histological confirmation of transthyretin precursor protein in cardiac tissue, and immunochemistry or mass spectrometry as required, with or without gene testing. </w:t>
      </w:r>
    </w:p>
    <w:p w:rsidR="00BD3AAA" w:rsidRPr="0046360F" w:rsidRDefault="00BD3AAA" w:rsidP="00BD3AAA">
      <w:pPr>
        <w:pStyle w:val="ExecSumBodyText"/>
        <w:numPr>
          <w:ilvl w:val="1"/>
          <w:numId w:val="1"/>
        </w:numPr>
        <w:rPr>
          <w:rFonts w:cstheme="minorHAnsi"/>
        </w:rPr>
      </w:pPr>
      <w:r w:rsidRPr="0046360F">
        <w:rPr>
          <w:rFonts w:cstheme="minorHAnsi"/>
        </w:rPr>
        <w:t xml:space="preserve">At the July 2020 meeting, the PBAC noted that the data supporting the use of bone scintigraphy were based on use in a specialised amyloid centre, and considered that the positive predictive value may not be reproduced in non-specialised centres given that interpretation of bone scans is potentially subjective. In addition, the PBAC noted the potential for inconsistency in bone scintigraphy reporting, especially by facilities with little prior experience or expertise in reporting studies for the diagnosis of ATTR-CM (para 7.4-7.5, Tafamidis PSD, July 2020 PBAC meeting). </w:t>
      </w:r>
    </w:p>
    <w:p w:rsidR="00BD3AAA" w:rsidRPr="0046360F" w:rsidRDefault="003F32F2" w:rsidP="00BD3AAA">
      <w:pPr>
        <w:pStyle w:val="ExecSumBodyText"/>
        <w:numPr>
          <w:ilvl w:val="1"/>
          <w:numId w:val="1"/>
        </w:numPr>
        <w:rPr>
          <w:rFonts w:cstheme="minorHAnsi"/>
        </w:rPr>
      </w:pPr>
      <w:r w:rsidRPr="0046360F">
        <w:rPr>
          <w:szCs w:val="20"/>
        </w:rPr>
        <w:t xml:space="preserve">The </w:t>
      </w:r>
      <w:r w:rsidR="00C92C9D" w:rsidRPr="0046360F">
        <w:rPr>
          <w:szCs w:val="20"/>
        </w:rPr>
        <w:t xml:space="preserve">PBAC </w:t>
      </w:r>
      <w:r w:rsidRPr="0046360F">
        <w:rPr>
          <w:szCs w:val="20"/>
        </w:rPr>
        <w:t>noted that t</w:t>
      </w:r>
      <w:r w:rsidR="00BD3AAA" w:rsidRPr="0046360F">
        <w:rPr>
          <w:szCs w:val="20"/>
        </w:rPr>
        <w:t xml:space="preserve">he resubmission presented expert opinion from a leading Australian nuclear medicine specialist that </w:t>
      </w:r>
      <w:r w:rsidR="000D4E20">
        <w:rPr>
          <w:szCs w:val="20"/>
        </w:rPr>
        <w:t xml:space="preserve">bone scintigraphy </w:t>
      </w:r>
      <w:r w:rsidR="00BD3AAA" w:rsidRPr="0046360F">
        <w:rPr>
          <w:szCs w:val="20"/>
        </w:rPr>
        <w:t>scans are able to be performed by all centres, and that reporting is now performed with standard criteria from consensus guidelines</w:t>
      </w:r>
      <w:r w:rsidRPr="0046360F">
        <w:rPr>
          <w:szCs w:val="20"/>
        </w:rPr>
        <w:t xml:space="preserve"> in Dorbala et al, 2019</w:t>
      </w:r>
      <w:r w:rsidR="00BD3AAA" w:rsidRPr="0046360F">
        <w:rPr>
          <w:szCs w:val="20"/>
        </w:rPr>
        <w:t>.</w:t>
      </w:r>
    </w:p>
    <w:p w:rsidR="00A87DE7" w:rsidRPr="0046360F" w:rsidRDefault="00A87DE7" w:rsidP="003D0235">
      <w:pPr>
        <w:pStyle w:val="ExecSumBodyText"/>
        <w:numPr>
          <w:ilvl w:val="0"/>
          <w:numId w:val="0"/>
        </w:numPr>
        <w:rPr>
          <w:rFonts w:cstheme="minorHAnsi"/>
          <w:i/>
        </w:rPr>
      </w:pPr>
      <w:r w:rsidRPr="0046360F">
        <w:rPr>
          <w:rFonts w:cstheme="minorHAnsi"/>
          <w:i/>
        </w:rPr>
        <w:t>For more detail on the PBAC’s view, see section 7 PBAC outcome.</w:t>
      </w:r>
    </w:p>
    <w:p w:rsidR="00B50DB8" w:rsidRPr="0046360F" w:rsidRDefault="00B50DB8" w:rsidP="004E18E9">
      <w:pPr>
        <w:pStyle w:val="2-SectionHeading"/>
      </w:pPr>
      <w:bookmarkStart w:id="12" w:name="_Toc62050859"/>
      <w:r w:rsidRPr="0046360F">
        <w:t>Comparator</w:t>
      </w:r>
      <w:bookmarkEnd w:id="12"/>
    </w:p>
    <w:p w:rsidR="006E0C18" w:rsidRPr="0046360F" w:rsidRDefault="001862FE" w:rsidP="001862FE">
      <w:pPr>
        <w:pStyle w:val="ExecSumBodyText"/>
        <w:numPr>
          <w:ilvl w:val="1"/>
          <w:numId w:val="1"/>
        </w:numPr>
        <w:rPr>
          <w:snapToGrid/>
        </w:rPr>
      </w:pPr>
      <w:r w:rsidRPr="0046360F">
        <w:t>The resubmission nominated standard management of the symptoms of ATTR-CM (diuretic and/or antiarrhythmic medicines) as the main comparator. At the July 2020 meeting</w:t>
      </w:r>
      <w:r w:rsidR="003F32F2" w:rsidRPr="0046360F">
        <w:t>,</w:t>
      </w:r>
      <w:r w:rsidRPr="0046360F">
        <w:t xml:space="preserve"> the PBAC considered that standard management of ATTR-CM </w:t>
      </w:r>
      <w:r w:rsidR="006D5A5D" w:rsidRPr="0046360F">
        <w:t>was</w:t>
      </w:r>
      <w:r w:rsidRPr="0046360F">
        <w:t xml:space="preserve"> the appropriate comparator (para, 7.7, Tafamidis </w:t>
      </w:r>
      <w:r w:rsidR="001B0935" w:rsidRPr="0046360F">
        <w:t>PSD</w:t>
      </w:r>
      <w:r w:rsidRPr="0046360F">
        <w:t>, July 2020 PBAC meeting).</w:t>
      </w:r>
      <w:r w:rsidRPr="0046360F">
        <w:rPr>
          <w:snapToGrid/>
        </w:rPr>
        <w:t xml:space="preserve"> </w:t>
      </w:r>
    </w:p>
    <w:p w:rsidR="00A87DE7" w:rsidRPr="0046360F" w:rsidRDefault="00A87DE7" w:rsidP="006E0C18">
      <w:pPr>
        <w:pStyle w:val="ExecSumBodyText"/>
        <w:numPr>
          <w:ilvl w:val="0"/>
          <w:numId w:val="0"/>
        </w:numPr>
        <w:rPr>
          <w:rFonts w:cstheme="minorHAnsi"/>
          <w:i/>
        </w:rPr>
      </w:pPr>
      <w:r w:rsidRPr="0046360F">
        <w:rPr>
          <w:rFonts w:cstheme="minorHAnsi"/>
          <w:i/>
        </w:rPr>
        <w:t>For more detail on the PBAC’s view, see section 7 PBAC outcome.</w:t>
      </w:r>
    </w:p>
    <w:p w:rsidR="00223D5A" w:rsidRPr="0046360F" w:rsidRDefault="00223D5A" w:rsidP="00223D5A">
      <w:pPr>
        <w:pStyle w:val="2-SectionHeading"/>
        <w:numPr>
          <w:ilvl w:val="0"/>
          <w:numId w:val="1"/>
        </w:numPr>
      </w:pPr>
      <w:bookmarkStart w:id="13" w:name="_Toc62050860"/>
      <w:bookmarkStart w:id="14" w:name="_Toc22897640"/>
      <w:r w:rsidRPr="0046360F">
        <w:t>Consideration of the evidence</w:t>
      </w:r>
      <w:bookmarkEnd w:id="13"/>
    </w:p>
    <w:p w:rsidR="00BC3183" w:rsidRPr="0046360F" w:rsidRDefault="00BC3183" w:rsidP="00DD6C92">
      <w:pPr>
        <w:pStyle w:val="3-SubsectionHeading"/>
      </w:pPr>
      <w:bookmarkStart w:id="15" w:name="_Toc62050861"/>
      <w:r w:rsidRPr="0046360F">
        <w:t>Sponsor hearing</w:t>
      </w:r>
    </w:p>
    <w:p w:rsidR="00BC3183" w:rsidRPr="0046360F" w:rsidRDefault="00BC3183" w:rsidP="005C3373">
      <w:pPr>
        <w:widowControl w:val="0"/>
        <w:numPr>
          <w:ilvl w:val="1"/>
          <w:numId w:val="1"/>
        </w:numPr>
        <w:spacing w:after="120"/>
        <w:rPr>
          <w:rFonts w:asciiTheme="minorHAnsi" w:hAnsiTheme="minorHAnsi"/>
          <w:bCs/>
          <w:snapToGrid w:val="0"/>
        </w:rPr>
      </w:pPr>
      <w:r w:rsidRPr="0046360F">
        <w:rPr>
          <w:rFonts w:asciiTheme="minorHAnsi" w:hAnsiTheme="minorHAnsi"/>
          <w:bCs/>
          <w:snapToGrid w:val="0"/>
        </w:rPr>
        <w:t xml:space="preserve">The sponsor requested a hearing for this item. The clinician discussed the natural history of the disease, </w:t>
      </w:r>
      <w:r w:rsidR="00326BD7" w:rsidRPr="0046360F">
        <w:rPr>
          <w:rFonts w:asciiTheme="minorHAnsi" w:hAnsiTheme="minorHAnsi"/>
          <w:bCs/>
          <w:snapToGrid w:val="0"/>
        </w:rPr>
        <w:t>and highlighted the lack of effect</w:t>
      </w:r>
      <w:r w:rsidR="004757E5" w:rsidRPr="0046360F">
        <w:rPr>
          <w:rFonts w:asciiTheme="minorHAnsi" w:hAnsiTheme="minorHAnsi"/>
          <w:bCs/>
          <w:snapToGrid w:val="0"/>
        </w:rPr>
        <w:t>ive therapies available for this condition</w:t>
      </w:r>
      <w:r w:rsidR="00326BD7" w:rsidRPr="0046360F">
        <w:rPr>
          <w:rFonts w:asciiTheme="minorHAnsi" w:hAnsiTheme="minorHAnsi"/>
          <w:bCs/>
          <w:snapToGrid w:val="0"/>
        </w:rPr>
        <w:t xml:space="preserve">. The clinician considered that ATTR-CM patients seen in Australia broadly reflect the population included in the ATTR-ACT trial, and noted that there has been an increasing awareness of the condition, resulting in earlier diagnoses. </w:t>
      </w:r>
      <w:r w:rsidR="005C3373" w:rsidRPr="0046360F">
        <w:rPr>
          <w:rFonts w:asciiTheme="minorHAnsi" w:hAnsiTheme="minorHAnsi"/>
          <w:bCs/>
          <w:snapToGrid w:val="0"/>
        </w:rPr>
        <w:t xml:space="preserve">The clinician </w:t>
      </w:r>
      <w:r w:rsidR="004757E5" w:rsidRPr="0046360F">
        <w:rPr>
          <w:rFonts w:asciiTheme="minorHAnsi" w:hAnsiTheme="minorHAnsi"/>
          <w:bCs/>
          <w:snapToGrid w:val="0"/>
        </w:rPr>
        <w:t xml:space="preserve">also </w:t>
      </w:r>
      <w:r w:rsidR="005C3373" w:rsidRPr="0046360F">
        <w:rPr>
          <w:rFonts w:asciiTheme="minorHAnsi" w:hAnsiTheme="minorHAnsi"/>
          <w:bCs/>
          <w:snapToGrid w:val="0"/>
        </w:rPr>
        <w:t xml:space="preserve">estimated that approximately 50% of patients diagnosed as </w:t>
      </w:r>
      <w:r w:rsidR="0046360F" w:rsidRPr="0046360F">
        <w:rPr>
          <w:rFonts w:asciiTheme="minorHAnsi" w:hAnsiTheme="minorHAnsi"/>
          <w:bCs/>
          <w:snapToGrid w:val="0"/>
        </w:rPr>
        <w:t>NYHA</w:t>
      </w:r>
      <w:r w:rsidR="005C3373" w:rsidRPr="0046360F">
        <w:rPr>
          <w:rFonts w:asciiTheme="minorHAnsi" w:hAnsiTheme="minorHAnsi"/>
          <w:bCs/>
          <w:snapToGrid w:val="0"/>
        </w:rPr>
        <w:t xml:space="preserve"> class III would go on to improve to class II, as patients frequently arrive in clinics on inappropriate medications and diet, and improvements are seen once these are corrected. The clinician emphasise</w:t>
      </w:r>
      <w:r w:rsidR="004757E5" w:rsidRPr="0046360F">
        <w:rPr>
          <w:rFonts w:asciiTheme="minorHAnsi" w:hAnsiTheme="minorHAnsi"/>
          <w:bCs/>
          <w:snapToGrid w:val="0"/>
        </w:rPr>
        <w:t>d</w:t>
      </w:r>
      <w:r w:rsidR="005C3373" w:rsidRPr="0046360F">
        <w:rPr>
          <w:rFonts w:asciiTheme="minorHAnsi" w:hAnsiTheme="minorHAnsi"/>
          <w:bCs/>
          <w:snapToGrid w:val="0"/>
        </w:rPr>
        <w:t xml:space="preserve"> that tafamidis was </w:t>
      </w:r>
      <w:r w:rsidR="00820EEC" w:rsidRPr="0046360F">
        <w:rPr>
          <w:rFonts w:asciiTheme="minorHAnsi" w:hAnsiTheme="minorHAnsi"/>
          <w:bCs/>
          <w:snapToGrid w:val="0"/>
        </w:rPr>
        <w:t xml:space="preserve">a </w:t>
      </w:r>
      <w:r w:rsidR="005C3373" w:rsidRPr="0046360F">
        <w:rPr>
          <w:rFonts w:asciiTheme="minorHAnsi" w:hAnsiTheme="minorHAnsi"/>
          <w:bCs/>
          <w:snapToGrid w:val="0"/>
        </w:rPr>
        <w:t xml:space="preserve">highly </w:t>
      </w:r>
      <w:r w:rsidR="00820EEC" w:rsidRPr="0046360F">
        <w:rPr>
          <w:rFonts w:asciiTheme="minorHAnsi" w:hAnsiTheme="minorHAnsi"/>
          <w:bCs/>
          <w:snapToGrid w:val="0"/>
        </w:rPr>
        <w:t>tolerable once</w:t>
      </w:r>
      <w:r w:rsidR="009F3B61" w:rsidRPr="0046360F">
        <w:rPr>
          <w:rFonts w:asciiTheme="minorHAnsi" w:hAnsiTheme="minorHAnsi"/>
          <w:bCs/>
          <w:snapToGrid w:val="0"/>
        </w:rPr>
        <w:t>-</w:t>
      </w:r>
      <w:r w:rsidR="00820EEC" w:rsidRPr="0046360F">
        <w:rPr>
          <w:rFonts w:asciiTheme="minorHAnsi" w:hAnsiTheme="minorHAnsi"/>
          <w:bCs/>
          <w:snapToGrid w:val="0"/>
        </w:rPr>
        <w:t>a</w:t>
      </w:r>
      <w:r w:rsidR="009F3B61" w:rsidRPr="0046360F">
        <w:rPr>
          <w:rFonts w:asciiTheme="minorHAnsi" w:hAnsiTheme="minorHAnsi"/>
          <w:bCs/>
          <w:snapToGrid w:val="0"/>
        </w:rPr>
        <w:t>-</w:t>
      </w:r>
      <w:r w:rsidR="00820EEC" w:rsidRPr="0046360F">
        <w:rPr>
          <w:rFonts w:asciiTheme="minorHAnsi" w:hAnsiTheme="minorHAnsi"/>
          <w:bCs/>
          <w:snapToGrid w:val="0"/>
        </w:rPr>
        <w:t>day oral treatment</w:t>
      </w:r>
      <w:r w:rsidR="005C3373" w:rsidRPr="0046360F">
        <w:rPr>
          <w:rFonts w:asciiTheme="minorHAnsi" w:hAnsiTheme="minorHAnsi"/>
          <w:bCs/>
          <w:snapToGrid w:val="0"/>
        </w:rPr>
        <w:t>, easily managed by patients</w:t>
      </w:r>
      <w:r w:rsidRPr="0046360F">
        <w:rPr>
          <w:rFonts w:asciiTheme="minorHAnsi" w:hAnsiTheme="minorHAnsi"/>
          <w:bCs/>
          <w:snapToGrid w:val="0"/>
        </w:rPr>
        <w:t>. The PBAC considered that the hearing was informative as it provided a clinical perspective on treating this uncommon disease.</w:t>
      </w:r>
    </w:p>
    <w:p w:rsidR="00BC3183" w:rsidRPr="0046360F" w:rsidRDefault="00BC3183" w:rsidP="00DD6C92">
      <w:pPr>
        <w:pStyle w:val="3-SubsectionHeading"/>
      </w:pPr>
      <w:r w:rsidRPr="0046360F">
        <w:t>Consumer comments</w:t>
      </w:r>
    </w:p>
    <w:p w:rsidR="00BC3183" w:rsidRPr="0046360F" w:rsidRDefault="00BC3183" w:rsidP="000C2D96">
      <w:pPr>
        <w:pStyle w:val="ExecSumBodyText"/>
      </w:pPr>
      <w:r w:rsidRPr="0046360F">
        <w:t xml:space="preserve">The PBAC noted and welcomed the input from individuals (11) and health care professionals (2) via the Consumer Comments facility on the PBS website. The comments described </w:t>
      </w:r>
      <w:r w:rsidR="00D2297F" w:rsidRPr="0046360F">
        <w:t xml:space="preserve">the debilitating symptoms of ATTR-CM and the disease’s impact on the quality of life of both patients and their families. The comments highlighted the challenges of timely diagnosis, the lack of available therapies, and the difficulties in accessing privately funded tafamidis. Individuals who had used tafamidis described </w:t>
      </w:r>
      <w:r w:rsidRPr="0046360F">
        <w:t xml:space="preserve">a range of benefits of treatment including slowing down </w:t>
      </w:r>
      <w:r w:rsidR="00D2297F" w:rsidRPr="0046360F">
        <w:t>disease progression and s</w:t>
      </w:r>
      <w:r w:rsidRPr="0046360F">
        <w:t xml:space="preserve">upporting </w:t>
      </w:r>
      <w:r w:rsidR="00D2297F" w:rsidRPr="0046360F">
        <w:t>them to continue with normal day-to-day activities</w:t>
      </w:r>
      <w:r w:rsidRPr="0046360F">
        <w:t xml:space="preserve">. The PBAC noted the advice received from </w:t>
      </w:r>
      <w:r w:rsidR="0093107F" w:rsidRPr="0046360F">
        <w:t>a</w:t>
      </w:r>
      <w:r w:rsidR="00C92C9D" w:rsidRPr="0046360F">
        <w:t xml:space="preserve"> cardiologist with experience managing patient</w:t>
      </w:r>
      <w:r w:rsidR="0093107F" w:rsidRPr="0046360F">
        <w:t>s</w:t>
      </w:r>
      <w:r w:rsidR="00C92C9D" w:rsidRPr="0046360F">
        <w:t xml:space="preserve"> with ATTR-CM that </w:t>
      </w:r>
      <w:r w:rsidR="0093107F" w:rsidRPr="0046360F">
        <w:t xml:space="preserve">an increasing number of patients with this condition were being referred to specialist clinics. </w:t>
      </w:r>
    </w:p>
    <w:p w:rsidR="00B60939" w:rsidRPr="0046360F" w:rsidRDefault="00B60939" w:rsidP="002E4F02">
      <w:pPr>
        <w:pStyle w:val="3-SubsectionHeading"/>
      </w:pPr>
      <w:r w:rsidRPr="0046360F">
        <w:t>Clinical trials</w:t>
      </w:r>
      <w:bookmarkEnd w:id="14"/>
      <w:bookmarkEnd w:id="15"/>
    </w:p>
    <w:p w:rsidR="00A90833" w:rsidRPr="0046360F" w:rsidRDefault="00A90833" w:rsidP="00A90833">
      <w:pPr>
        <w:pStyle w:val="ExecSumBodyText"/>
        <w:numPr>
          <w:ilvl w:val="1"/>
          <w:numId w:val="1"/>
        </w:numPr>
        <w:rPr>
          <w:color w:val="0066FF"/>
        </w:rPr>
      </w:pPr>
      <w:r w:rsidRPr="0046360F">
        <w:t xml:space="preserve">The submission was based on one randomised placebo controlled trial (ATTR-ACT) considered in the previous submission, comparing tafamidis meglumine in combination with standard management to standard management alone, in patients with transthyretin amyloid cardiomyopathy with evidence of cardiac involvement by echocardiography with an end-diastolic interventricular septal wall thickness ≥ 12 mm, and </w:t>
      </w:r>
      <w:r w:rsidRPr="0046360F">
        <w:rPr>
          <w:snapToGrid/>
        </w:rPr>
        <w:t>interim results from the ongoing long term extension safety study B3461045, considered in the previous submission.</w:t>
      </w:r>
      <w:r w:rsidR="00075B94" w:rsidRPr="0046360F">
        <w:rPr>
          <w:snapToGrid/>
        </w:rPr>
        <w:t xml:space="preserve"> </w:t>
      </w:r>
    </w:p>
    <w:p w:rsidR="00A90833" w:rsidRPr="0046360F" w:rsidRDefault="00A90833" w:rsidP="00A90833">
      <w:pPr>
        <w:pStyle w:val="ExecSumBodyText"/>
        <w:numPr>
          <w:ilvl w:val="1"/>
          <w:numId w:val="1"/>
        </w:numPr>
        <w:rPr>
          <w:snapToGrid/>
        </w:rPr>
      </w:pPr>
      <w:r w:rsidRPr="0046360F">
        <w:rPr>
          <w:snapToGrid/>
        </w:rPr>
        <w:t xml:space="preserve">In addition, the resubmission presented new </w:t>
      </w:r>
      <w:r w:rsidR="008B0291" w:rsidRPr="0046360F">
        <w:rPr>
          <w:snapToGrid/>
        </w:rPr>
        <w:t>post hoc</w:t>
      </w:r>
      <w:r w:rsidRPr="0046360F">
        <w:rPr>
          <w:snapToGrid/>
        </w:rPr>
        <w:t xml:space="preserve"> subgroup analyses of the ATTR-ACT trial, further interim results from the ongoing long term extension study B3461045, and </w:t>
      </w:r>
      <w:r w:rsidR="008B0291" w:rsidRPr="0046360F">
        <w:rPr>
          <w:snapToGrid/>
        </w:rPr>
        <w:t>post hoc</w:t>
      </w:r>
      <w:r w:rsidRPr="0046360F">
        <w:rPr>
          <w:snapToGrid/>
        </w:rPr>
        <w:t xml:space="preserve"> subgroup analyses of the combined ATTR-ACT and B3461045 data sets.</w:t>
      </w:r>
      <w:r w:rsidR="00075B94" w:rsidRPr="0046360F">
        <w:rPr>
          <w:snapToGrid/>
        </w:rPr>
        <w:t xml:space="preserve"> Safety outcomes were unchanged from the July 2020 submission. Treatment emergent adverse events </w:t>
      </w:r>
      <w:r w:rsidR="009102C5" w:rsidRPr="0046360F">
        <w:rPr>
          <w:snapToGrid/>
        </w:rPr>
        <w:t>reported in</w:t>
      </w:r>
      <w:r w:rsidR="00075B94" w:rsidRPr="0046360F">
        <w:rPr>
          <w:snapToGrid/>
        </w:rPr>
        <w:t xml:space="preserve"> the ongoing B3461045 </w:t>
      </w:r>
      <w:r w:rsidR="009102C5" w:rsidRPr="0046360F">
        <w:rPr>
          <w:snapToGrid/>
        </w:rPr>
        <w:t xml:space="preserve">long term extension </w:t>
      </w:r>
      <w:r w:rsidR="00075B94" w:rsidRPr="0046360F">
        <w:rPr>
          <w:snapToGrid/>
        </w:rPr>
        <w:t xml:space="preserve">study were not presented. </w:t>
      </w:r>
    </w:p>
    <w:p w:rsidR="00960BF1" w:rsidRPr="0046360F" w:rsidRDefault="00960BF1" w:rsidP="00CC7D48">
      <w:pPr>
        <w:pStyle w:val="TableFigureCaption"/>
      </w:pPr>
      <w:r w:rsidRPr="0046360F">
        <w:t xml:space="preserve">Table </w:t>
      </w:r>
      <w:r w:rsidR="00C170ED">
        <w:rPr>
          <w:noProof/>
        </w:rPr>
        <w:t>3</w:t>
      </w:r>
      <w:r w:rsidR="00CC7D48" w:rsidRPr="0046360F">
        <w:t xml:space="preserve">: </w:t>
      </w:r>
      <w:r w:rsidRPr="0046360F">
        <w:t>Trials and studies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1"/>
        <w:gridCol w:w="5104"/>
        <w:gridCol w:w="2642"/>
      </w:tblGrid>
      <w:tr w:rsidR="00960BF1" w:rsidRPr="0046360F" w:rsidTr="00221DAD">
        <w:trPr>
          <w:tblHeader/>
        </w:trPr>
        <w:tc>
          <w:tcPr>
            <w:tcW w:w="705" w:type="pct"/>
            <w:vAlign w:val="center"/>
          </w:tcPr>
          <w:p w:rsidR="00960BF1" w:rsidRPr="0046360F" w:rsidRDefault="00960BF1" w:rsidP="00221DAD">
            <w:pPr>
              <w:pStyle w:val="Tableheadingrow"/>
              <w:rPr>
                <w:lang w:val="en-AU"/>
              </w:rPr>
            </w:pPr>
            <w:r w:rsidRPr="0046360F">
              <w:rPr>
                <w:lang w:val="en-AU"/>
              </w:rPr>
              <w:t>Trial ID</w:t>
            </w:r>
          </w:p>
        </w:tc>
        <w:tc>
          <w:tcPr>
            <w:tcW w:w="2830" w:type="pct"/>
            <w:vAlign w:val="center"/>
          </w:tcPr>
          <w:p w:rsidR="00960BF1" w:rsidRPr="0046360F" w:rsidRDefault="00960BF1" w:rsidP="00221DAD">
            <w:pPr>
              <w:pStyle w:val="Tableheadingrow"/>
              <w:rPr>
                <w:lang w:val="en-AU"/>
              </w:rPr>
            </w:pPr>
            <w:r w:rsidRPr="0046360F">
              <w:rPr>
                <w:lang w:val="en-AU"/>
              </w:rPr>
              <w:t>Protocol title/ Publication title</w:t>
            </w:r>
          </w:p>
        </w:tc>
        <w:tc>
          <w:tcPr>
            <w:tcW w:w="1465" w:type="pct"/>
            <w:vAlign w:val="center"/>
          </w:tcPr>
          <w:p w:rsidR="00960BF1" w:rsidRPr="0046360F" w:rsidRDefault="00960BF1" w:rsidP="00221DAD">
            <w:pPr>
              <w:pStyle w:val="Tableheadingrow"/>
              <w:rPr>
                <w:lang w:val="en-AU"/>
              </w:rPr>
            </w:pPr>
            <w:r w:rsidRPr="0046360F">
              <w:rPr>
                <w:lang w:val="en-AU"/>
              </w:rPr>
              <w:t>Publication citation</w:t>
            </w:r>
          </w:p>
        </w:tc>
      </w:tr>
      <w:tr w:rsidR="00960BF1" w:rsidRPr="0046360F" w:rsidTr="00221DAD">
        <w:tc>
          <w:tcPr>
            <w:tcW w:w="705" w:type="pct"/>
            <w:tcBorders>
              <w:bottom w:val="nil"/>
            </w:tcBorders>
          </w:tcPr>
          <w:p w:rsidR="00960BF1" w:rsidRPr="0046360F" w:rsidRDefault="00960BF1" w:rsidP="00221DAD">
            <w:pPr>
              <w:pStyle w:val="TableText"/>
            </w:pPr>
            <w:r w:rsidRPr="0046360F">
              <w:t>ATTR-ACT</w:t>
            </w:r>
          </w:p>
          <w:p w:rsidR="00960BF1" w:rsidRPr="0046360F" w:rsidRDefault="00960BF1" w:rsidP="00221DAD">
            <w:pPr>
              <w:pStyle w:val="TableText"/>
            </w:pPr>
            <w:r w:rsidRPr="0046360F">
              <w:t>(B3461028)</w:t>
            </w:r>
          </w:p>
          <w:p w:rsidR="00960BF1" w:rsidRPr="0046360F" w:rsidRDefault="00960BF1" w:rsidP="00221DAD">
            <w:pPr>
              <w:pStyle w:val="TableText"/>
            </w:pPr>
            <w:r w:rsidRPr="0046360F">
              <w:t xml:space="preserve">(NCT01994889) </w:t>
            </w:r>
          </w:p>
        </w:tc>
        <w:tc>
          <w:tcPr>
            <w:tcW w:w="2830" w:type="pct"/>
            <w:tcBorders>
              <w:bottom w:val="nil"/>
            </w:tcBorders>
          </w:tcPr>
          <w:p w:rsidR="00960BF1" w:rsidRPr="0046360F" w:rsidRDefault="00960BF1" w:rsidP="00221DAD">
            <w:pPr>
              <w:pStyle w:val="TableText"/>
              <w:spacing w:after="120"/>
              <w:rPr>
                <w:szCs w:val="18"/>
              </w:rPr>
            </w:pPr>
            <w:r w:rsidRPr="0046360F">
              <w:rPr>
                <w:szCs w:val="18"/>
              </w:rPr>
              <w:t>A multicentre, international, phase 3, double-blind, placebo-controlled, randomised study to evaluate the efficacy, safety, and tolerability of daily oral dosing of tafamidis meglumine (PF-06291826) 20 mg or 80 mg in comparison to placebo in subjects diagnosed with transthyretin cardiomyopathy (TTR-CM).</w:t>
            </w:r>
          </w:p>
        </w:tc>
        <w:tc>
          <w:tcPr>
            <w:tcW w:w="1465" w:type="pct"/>
            <w:tcBorders>
              <w:bottom w:val="nil"/>
            </w:tcBorders>
          </w:tcPr>
          <w:p w:rsidR="00960BF1" w:rsidRPr="0046360F" w:rsidRDefault="00960BF1" w:rsidP="00221DAD">
            <w:pPr>
              <w:pStyle w:val="TableText"/>
              <w:spacing w:after="120"/>
            </w:pPr>
            <w:r w:rsidRPr="0046360F">
              <w:t>Report date: 28 August 2018</w:t>
            </w:r>
          </w:p>
        </w:tc>
      </w:tr>
      <w:tr w:rsidR="00960BF1" w:rsidRPr="0046360F" w:rsidTr="00221DAD">
        <w:tc>
          <w:tcPr>
            <w:tcW w:w="705" w:type="pct"/>
            <w:tcBorders>
              <w:top w:val="nil"/>
              <w:bottom w:val="nil"/>
            </w:tcBorders>
          </w:tcPr>
          <w:p w:rsidR="00960BF1" w:rsidRPr="0046360F" w:rsidRDefault="00960BF1" w:rsidP="00221DAD">
            <w:pPr>
              <w:pStyle w:val="TableText"/>
            </w:pPr>
          </w:p>
        </w:tc>
        <w:tc>
          <w:tcPr>
            <w:tcW w:w="2830" w:type="pct"/>
            <w:tcBorders>
              <w:top w:val="nil"/>
              <w:bottom w:val="nil"/>
            </w:tcBorders>
          </w:tcPr>
          <w:p w:rsidR="00960BF1" w:rsidRPr="0046360F" w:rsidRDefault="00960BF1" w:rsidP="00221DAD">
            <w:pPr>
              <w:pStyle w:val="TableText"/>
              <w:spacing w:after="120"/>
              <w:rPr>
                <w:szCs w:val="18"/>
              </w:rPr>
            </w:pPr>
            <w:r w:rsidRPr="0046360F">
              <w:rPr>
                <w:szCs w:val="18"/>
              </w:rPr>
              <w:t xml:space="preserve">Maurer MS et al. Tafamidis treatment for patients with transthyretin amyloid cardiomyopathy. </w:t>
            </w:r>
          </w:p>
        </w:tc>
        <w:tc>
          <w:tcPr>
            <w:tcW w:w="1465" w:type="pct"/>
            <w:tcBorders>
              <w:top w:val="nil"/>
              <w:bottom w:val="nil"/>
            </w:tcBorders>
          </w:tcPr>
          <w:p w:rsidR="00960BF1" w:rsidRPr="0046360F" w:rsidRDefault="00960BF1" w:rsidP="00221DAD">
            <w:pPr>
              <w:pStyle w:val="TableText"/>
              <w:spacing w:after="120"/>
              <w:rPr>
                <w:szCs w:val="18"/>
              </w:rPr>
            </w:pPr>
            <w:r w:rsidRPr="0046360F">
              <w:rPr>
                <w:i/>
                <w:szCs w:val="18"/>
              </w:rPr>
              <w:t>New England Journal of Medicine</w:t>
            </w:r>
            <w:r w:rsidRPr="0046360F">
              <w:rPr>
                <w:szCs w:val="18"/>
              </w:rPr>
              <w:t>, 2018; 379(11): 1007-1016.</w:t>
            </w:r>
          </w:p>
        </w:tc>
      </w:tr>
      <w:tr w:rsidR="00960BF1" w:rsidRPr="0046360F" w:rsidTr="00221DAD">
        <w:tc>
          <w:tcPr>
            <w:tcW w:w="705" w:type="pct"/>
            <w:tcBorders>
              <w:top w:val="nil"/>
              <w:bottom w:val="single" w:sz="4" w:space="0" w:color="auto"/>
            </w:tcBorders>
          </w:tcPr>
          <w:p w:rsidR="00960BF1" w:rsidRPr="0046360F" w:rsidRDefault="00960BF1" w:rsidP="00221DAD">
            <w:pPr>
              <w:pStyle w:val="TableText"/>
            </w:pPr>
          </w:p>
        </w:tc>
        <w:tc>
          <w:tcPr>
            <w:tcW w:w="2830" w:type="pct"/>
            <w:tcBorders>
              <w:top w:val="nil"/>
              <w:bottom w:val="single" w:sz="4" w:space="0" w:color="auto"/>
            </w:tcBorders>
          </w:tcPr>
          <w:p w:rsidR="00960BF1" w:rsidRPr="0046360F" w:rsidRDefault="00960BF1" w:rsidP="00175862">
            <w:pPr>
              <w:pStyle w:val="TableText"/>
              <w:spacing w:after="120"/>
              <w:rPr>
                <w:szCs w:val="18"/>
              </w:rPr>
            </w:pPr>
            <w:r w:rsidRPr="0046360F">
              <w:rPr>
                <w:szCs w:val="18"/>
              </w:rPr>
              <w:t xml:space="preserve">Grogan M et al. Efficacy of tafamidis in patients with hereditary or wild-type transthyretin amyloid cardiomyopathy: further results from the ATTR-ACT Trial. </w:t>
            </w:r>
          </w:p>
        </w:tc>
        <w:tc>
          <w:tcPr>
            <w:tcW w:w="1465" w:type="pct"/>
            <w:tcBorders>
              <w:top w:val="nil"/>
              <w:bottom w:val="single" w:sz="4" w:space="0" w:color="auto"/>
            </w:tcBorders>
          </w:tcPr>
          <w:p w:rsidR="00960BF1" w:rsidRPr="0046360F" w:rsidRDefault="00960BF1" w:rsidP="00221DAD">
            <w:pPr>
              <w:pStyle w:val="TableText"/>
              <w:spacing w:after="120"/>
              <w:rPr>
                <w:i/>
                <w:szCs w:val="18"/>
              </w:rPr>
            </w:pPr>
            <w:r w:rsidRPr="0046360F">
              <w:rPr>
                <w:i/>
                <w:szCs w:val="18"/>
              </w:rPr>
              <w:t>Journal of Heart and Lung Transplantation</w:t>
            </w:r>
            <w:r w:rsidRPr="0046360F">
              <w:rPr>
                <w:szCs w:val="18"/>
              </w:rPr>
              <w:t>, 2019</w:t>
            </w:r>
            <w:r w:rsidR="00CF1B7C" w:rsidRPr="0046360F">
              <w:rPr>
                <w:szCs w:val="18"/>
              </w:rPr>
              <w:t>;</w:t>
            </w:r>
            <w:r w:rsidRPr="0046360F">
              <w:rPr>
                <w:szCs w:val="18"/>
              </w:rPr>
              <w:t xml:space="preserve"> 38(4):S204.</w:t>
            </w:r>
          </w:p>
        </w:tc>
      </w:tr>
      <w:tr w:rsidR="00960BF1" w:rsidRPr="0046360F" w:rsidTr="00221DAD">
        <w:tc>
          <w:tcPr>
            <w:tcW w:w="705" w:type="pct"/>
            <w:tcBorders>
              <w:top w:val="single" w:sz="4" w:space="0" w:color="auto"/>
              <w:bottom w:val="single" w:sz="4" w:space="0" w:color="auto"/>
            </w:tcBorders>
          </w:tcPr>
          <w:p w:rsidR="00960BF1" w:rsidRPr="0046360F" w:rsidRDefault="00960BF1" w:rsidP="00221DAD">
            <w:pPr>
              <w:pStyle w:val="TableText"/>
            </w:pPr>
            <w:r w:rsidRPr="0046360F">
              <w:t xml:space="preserve">B3461045 </w:t>
            </w:r>
          </w:p>
          <w:p w:rsidR="00960BF1" w:rsidRPr="0046360F" w:rsidRDefault="00960BF1" w:rsidP="00221DAD">
            <w:pPr>
              <w:pStyle w:val="TableText"/>
            </w:pPr>
            <w:r w:rsidRPr="0046360F">
              <w:t>(extension study)</w:t>
            </w:r>
          </w:p>
        </w:tc>
        <w:tc>
          <w:tcPr>
            <w:tcW w:w="2830" w:type="pct"/>
            <w:tcBorders>
              <w:top w:val="single" w:sz="4" w:space="0" w:color="auto"/>
              <w:bottom w:val="single" w:sz="4" w:space="0" w:color="auto"/>
            </w:tcBorders>
          </w:tcPr>
          <w:p w:rsidR="00960BF1" w:rsidRPr="0046360F" w:rsidRDefault="00960BF1" w:rsidP="00221DAD">
            <w:pPr>
              <w:pStyle w:val="TableText"/>
              <w:spacing w:after="120"/>
              <w:rPr>
                <w:szCs w:val="18"/>
              </w:rPr>
            </w:pPr>
            <w:r w:rsidRPr="0046360F">
              <w:rPr>
                <w:szCs w:val="18"/>
              </w:rPr>
              <w:t>Elliot P et al. Interim analysis of data from a long-term, extension trial of tafamidis meglumine in patients with transthyretin amyloid cardiomyopathy (ongoing).</w:t>
            </w:r>
          </w:p>
        </w:tc>
        <w:tc>
          <w:tcPr>
            <w:tcW w:w="1465" w:type="pct"/>
            <w:tcBorders>
              <w:top w:val="single" w:sz="4" w:space="0" w:color="auto"/>
              <w:bottom w:val="single" w:sz="4" w:space="0" w:color="auto"/>
            </w:tcBorders>
          </w:tcPr>
          <w:p w:rsidR="00960BF1" w:rsidRPr="0046360F" w:rsidRDefault="00960BF1" w:rsidP="00221DAD">
            <w:pPr>
              <w:pStyle w:val="TableText"/>
              <w:spacing w:after="120"/>
              <w:rPr>
                <w:i/>
                <w:szCs w:val="18"/>
              </w:rPr>
            </w:pPr>
            <w:r w:rsidRPr="0046360F">
              <w:rPr>
                <w:i/>
                <w:szCs w:val="18"/>
              </w:rPr>
              <w:t xml:space="preserve">European Heart Journal, </w:t>
            </w:r>
            <w:r w:rsidRPr="0046360F">
              <w:rPr>
                <w:szCs w:val="18"/>
              </w:rPr>
              <w:t>2019: 40(Supplement 1, October 2019), 1169.</w:t>
            </w:r>
          </w:p>
        </w:tc>
      </w:tr>
    </w:tbl>
    <w:p w:rsidR="00960BF1" w:rsidRPr="0046360F" w:rsidRDefault="00960BF1" w:rsidP="00960BF1">
      <w:pPr>
        <w:pStyle w:val="TableFigureFooter"/>
        <w:rPr>
          <w:sz w:val="20"/>
        </w:rPr>
      </w:pPr>
      <w:r w:rsidRPr="0046360F">
        <w:t>Source: Table 2.2.1, pp.47-49 of the resubmission.</w:t>
      </w:r>
    </w:p>
    <w:p w:rsidR="007F1017" w:rsidRPr="0046360F" w:rsidRDefault="008F120A" w:rsidP="00EC5836">
      <w:pPr>
        <w:pStyle w:val="ExecSumBodyText"/>
        <w:rPr>
          <w:color w:val="0066FF"/>
        </w:rPr>
      </w:pPr>
      <w:r w:rsidRPr="0046360F">
        <w:t xml:space="preserve">The key features of the </w:t>
      </w:r>
      <w:r w:rsidR="00960BF1" w:rsidRPr="0046360F">
        <w:t>studies</w:t>
      </w:r>
      <w:r w:rsidRPr="0046360F">
        <w:t xml:space="preserve"> are summarised in the table below.</w:t>
      </w:r>
    </w:p>
    <w:p w:rsidR="00067AB1" w:rsidRPr="0046360F" w:rsidRDefault="00067AB1" w:rsidP="00CC7D48">
      <w:pPr>
        <w:pStyle w:val="TableFigureCaption"/>
      </w:pPr>
      <w:r w:rsidRPr="0046360F">
        <w:t xml:space="preserve">Table </w:t>
      </w:r>
      <w:r w:rsidR="00C170ED">
        <w:rPr>
          <w:noProof/>
        </w:rPr>
        <w:t>4</w:t>
      </w:r>
      <w:r w:rsidRPr="0046360F">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5"/>
        <w:gridCol w:w="1702"/>
        <w:gridCol w:w="849"/>
        <w:gridCol w:w="709"/>
        <w:gridCol w:w="2004"/>
        <w:gridCol w:w="1454"/>
        <w:gridCol w:w="1454"/>
      </w:tblGrid>
      <w:tr w:rsidR="00067AB1" w:rsidRPr="0046360F" w:rsidTr="00521363">
        <w:trPr>
          <w:cantSplit/>
          <w:tblHeader/>
        </w:trPr>
        <w:tc>
          <w:tcPr>
            <w:tcW w:w="469" w:type="pct"/>
            <w:shd w:val="clear" w:color="auto" w:fill="auto"/>
            <w:vAlign w:val="center"/>
          </w:tcPr>
          <w:p w:rsidR="00067AB1" w:rsidRPr="0046360F" w:rsidRDefault="00067AB1" w:rsidP="00221DAD">
            <w:pPr>
              <w:pStyle w:val="Tableheadingrow"/>
              <w:rPr>
                <w:lang w:val="en-AU"/>
              </w:rPr>
            </w:pPr>
            <w:r w:rsidRPr="0046360F">
              <w:rPr>
                <w:lang w:val="en-AU"/>
              </w:rPr>
              <w:t>Trial</w:t>
            </w:r>
          </w:p>
        </w:tc>
        <w:tc>
          <w:tcPr>
            <w:tcW w:w="944" w:type="pct"/>
            <w:shd w:val="clear" w:color="auto" w:fill="auto"/>
            <w:vAlign w:val="center"/>
          </w:tcPr>
          <w:p w:rsidR="00067AB1" w:rsidRPr="0046360F" w:rsidRDefault="00067AB1" w:rsidP="00221DAD">
            <w:pPr>
              <w:pStyle w:val="Tableheadingrow"/>
              <w:jc w:val="center"/>
              <w:rPr>
                <w:lang w:val="en-AU"/>
              </w:rPr>
            </w:pPr>
            <w:r w:rsidRPr="0046360F">
              <w:rPr>
                <w:lang w:val="en-AU"/>
              </w:rPr>
              <w:t>N</w:t>
            </w:r>
          </w:p>
        </w:tc>
        <w:tc>
          <w:tcPr>
            <w:tcW w:w="471" w:type="pct"/>
            <w:shd w:val="clear" w:color="auto" w:fill="auto"/>
            <w:vAlign w:val="center"/>
          </w:tcPr>
          <w:p w:rsidR="00067AB1" w:rsidRPr="0046360F" w:rsidRDefault="00067AB1" w:rsidP="00221DAD">
            <w:pPr>
              <w:pStyle w:val="Tableheadingrow"/>
              <w:jc w:val="center"/>
              <w:rPr>
                <w:lang w:val="en-AU"/>
              </w:rPr>
            </w:pPr>
            <w:r w:rsidRPr="0046360F">
              <w:rPr>
                <w:lang w:val="en-AU"/>
              </w:rPr>
              <w:t>Design/ duration</w:t>
            </w:r>
          </w:p>
        </w:tc>
        <w:tc>
          <w:tcPr>
            <w:tcW w:w="393" w:type="pct"/>
            <w:shd w:val="clear" w:color="auto" w:fill="auto"/>
            <w:vAlign w:val="center"/>
          </w:tcPr>
          <w:p w:rsidR="00067AB1" w:rsidRPr="0046360F" w:rsidRDefault="00067AB1" w:rsidP="00221DAD">
            <w:pPr>
              <w:pStyle w:val="Tableheadingrow"/>
              <w:jc w:val="center"/>
              <w:rPr>
                <w:lang w:val="en-AU"/>
              </w:rPr>
            </w:pPr>
            <w:r w:rsidRPr="0046360F">
              <w:rPr>
                <w:lang w:val="en-AU"/>
              </w:rPr>
              <w:t>Risk of bias</w:t>
            </w:r>
          </w:p>
        </w:tc>
        <w:tc>
          <w:tcPr>
            <w:tcW w:w="1111" w:type="pct"/>
            <w:shd w:val="clear" w:color="auto" w:fill="auto"/>
            <w:vAlign w:val="center"/>
          </w:tcPr>
          <w:p w:rsidR="00067AB1" w:rsidRPr="0046360F" w:rsidRDefault="00067AB1" w:rsidP="00221DAD">
            <w:pPr>
              <w:pStyle w:val="Tableheadingrow"/>
              <w:jc w:val="center"/>
              <w:rPr>
                <w:lang w:val="en-AU"/>
              </w:rPr>
            </w:pPr>
            <w:r w:rsidRPr="0046360F">
              <w:rPr>
                <w:lang w:val="en-AU"/>
              </w:rPr>
              <w:t>Patient population</w:t>
            </w:r>
          </w:p>
        </w:tc>
        <w:tc>
          <w:tcPr>
            <w:tcW w:w="806" w:type="pct"/>
            <w:shd w:val="clear" w:color="auto" w:fill="auto"/>
            <w:vAlign w:val="center"/>
          </w:tcPr>
          <w:p w:rsidR="00067AB1" w:rsidRPr="0046360F" w:rsidRDefault="00067AB1" w:rsidP="00221DAD">
            <w:pPr>
              <w:pStyle w:val="Tableheadingrow"/>
              <w:jc w:val="center"/>
              <w:rPr>
                <w:lang w:val="en-AU"/>
              </w:rPr>
            </w:pPr>
            <w:r w:rsidRPr="0046360F">
              <w:rPr>
                <w:lang w:val="en-AU"/>
              </w:rPr>
              <w:t>Outcomes</w:t>
            </w:r>
          </w:p>
        </w:tc>
        <w:tc>
          <w:tcPr>
            <w:tcW w:w="806" w:type="pct"/>
            <w:shd w:val="clear" w:color="auto" w:fill="auto"/>
            <w:vAlign w:val="center"/>
          </w:tcPr>
          <w:p w:rsidR="00067AB1" w:rsidRPr="0046360F" w:rsidRDefault="00067AB1" w:rsidP="00221DAD">
            <w:pPr>
              <w:pStyle w:val="Tableheadingrow"/>
              <w:jc w:val="center"/>
              <w:rPr>
                <w:lang w:val="en-AU"/>
              </w:rPr>
            </w:pPr>
            <w:r w:rsidRPr="0046360F">
              <w:rPr>
                <w:lang w:val="en-AU"/>
              </w:rPr>
              <w:t>Use in modelled evaluation</w:t>
            </w:r>
          </w:p>
        </w:tc>
      </w:tr>
      <w:tr w:rsidR="00067AB1" w:rsidRPr="0046360F" w:rsidTr="00521363">
        <w:trPr>
          <w:cantSplit/>
        </w:trPr>
        <w:tc>
          <w:tcPr>
            <w:tcW w:w="469" w:type="pct"/>
            <w:shd w:val="clear" w:color="auto" w:fill="auto"/>
            <w:vAlign w:val="center"/>
          </w:tcPr>
          <w:p w:rsidR="00067AB1" w:rsidRPr="0046360F" w:rsidRDefault="00067AB1" w:rsidP="00221DAD">
            <w:pPr>
              <w:pStyle w:val="TableText"/>
            </w:pPr>
            <w:r w:rsidRPr="0046360F">
              <w:t>ATTR-ACT</w:t>
            </w:r>
          </w:p>
        </w:tc>
        <w:tc>
          <w:tcPr>
            <w:tcW w:w="944" w:type="pct"/>
            <w:shd w:val="clear" w:color="auto" w:fill="auto"/>
            <w:vAlign w:val="center"/>
          </w:tcPr>
          <w:p w:rsidR="00067AB1" w:rsidRPr="0046360F" w:rsidRDefault="00067AB1" w:rsidP="00221DAD">
            <w:pPr>
              <w:pStyle w:val="TableText"/>
              <w:jc w:val="center"/>
            </w:pPr>
            <w:r w:rsidRPr="0046360F">
              <w:t xml:space="preserve">Tafamidis meglumine </w:t>
            </w:r>
            <w:r w:rsidRPr="0046360F">
              <w:br/>
              <w:t>20 mg (N=88);</w:t>
            </w:r>
          </w:p>
          <w:p w:rsidR="00067AB1" w:rsidRPr="0046360F" w:rsidRDefault="00067AB1" w:rsidP="00221DAD">
            <w:pPr>
              <w:pStyle w:val="TableText"/>
              <w:jc w:val="center"/>
            </w:pPr>
            <w:r w:rsidRPr="0046360F">
              <w:t xml:space="preserve">Tafamidis meglumine </w:t>
            </w:r>
            <w:r w:rsidRPr="0046360F">
              <w:br/>
              <w:t>80 mg (N=176);</w:t>
            </w:r>
          </w:p>
          <w:p w:rsidR="00067AB1" w:rsidRPr="0046360F" w:rsidRDefault="00067AB1" w:rsidP="00221DAD">
            <w:pPr>
              <w:pStyle w:val="TableText"/>
              <w:jc w:val="center"/>
            </w:pPr>
            <w:r w:rsidRPr="0046360F">
              <w:t>Placebo (N=177)</w:t>
            </w:r>
          </w:p>
        </w:tc>
        <w:tc>
          <w:tcPr>
            <w:tcW w:w="471" w:type="pct"/>
            <w:shd w:val="clear" w:color="auto" w:fill="auto"/>
            <w:vAlign w:val="center"/>
          </w:tcPr>
          <w:p w:rsidR="00067AB1" w:rsidRPr="0046360F" w:rsidRDefault="00067AB1" w:rsidP="00221DAD">
            <w:pPr>
              <w:pStyle w:val="TableText"/>
              <w:jc w:val="center"/>
            </w:pPr>
            <w:r w:rsidRPr="0046360F">
              <w:t xml:space="preserve">R, DB, PC, MC, </w:t>
            </w:r>
          </w:p>
          <w:p w:rsidR="00067AB1" w:rsidRPr="0046360F" w:rsidRDefault="00067AB1" w:rsidP="00221DAD">
            <w:pPr>
              <w:pStyle w:val="TableText"/>
              <w:jc w:val="center"/>
            </w:pPr>
            <w:r w:rsidRPr="0046360F">
              <w:t>30 months</w:t>
            </w:r>
          </w:p>
        </w:tc>
        <w:tc>
          <w:tcPr>
            <w:tcW w:w="393" w:type="pct"/>
            <w:shd w:val="clear" w:color="auto" w:fill="auto"/>
            <w:vAlign w:val="center"/>
          </w:tcPr>
          <w:p w:rsidR="00067AB1" w:rsidRPr="0046360F" w:rsidRDefault="00067AB1" w:rsidP="00221DAD">
            <w:pPr>
              <w:pStyle w:val="TableText"/>
              <w:jc w:val="center"/>
            </w:pPr>
            <w:r w:rsidRPr="0046360F">
              <w:t>Unclear</w:t>
            </w:r>
          </w:p>
        </w:tc>
        <w:tc>
          <w:tcPr>
            <w:tcW w:w="1111" w:type="pct"/>
            <w:shd w:val="clear" w:color="auto" w:fill="auto"/>
            <w:vAlign w:val="center"/>
          </w:tcPr>
          <w:p w:rsidR="00067AB1" w:rsidRPr="0046360F" w:rsidRDefault="00067AB1" w:rsidP="00221DAD">
            <w:pPr>
              <w:pStyle w:val="TableText"/>
              <w:jc w:val="center"/>
            </w:pPr>
            <w:r w:rsidRPr="0046360F">
              <w:t>18-90 years,</w:t>
            </w:r>
          </w:p>
          <w:p w:rsidR="00067AB1" w:rsidRPr="0046360F" w:rsidRDefault="00067AB1" w:rsidP="00221DAD">
            <w:pPr>
              <w:pStyle w:val="TableText"/>
              <w:jc w:val="center"/>
              <w:rPr>
                <w:vertAlign w:val="superscript"/>
              </w:rPr>
            </w:pPr>
            <w:r w:rsidRPr="0046360F">
              <w:t xml:space="preserve">ATTR-CM with </w:t>
            </w:r>
            <w:r w:rsidR="0026392E" w:rsidRPr="0046360F">
              <w:t xml:space="preserve">CV </w:t>
            </w:r>
            <w:r w:rsidRPr="0046360F">
              <w:t>involvement</w:t>
            </w:r>
            <w:r w:rsidRPr="0046360F">
              <w:rPr>
                <w:vertAlign w:val="superscript"/>
              </w:rPr>
              <w:t>b</w:t>
            </w:r>
          </w:p>
        </w:tc>
        <w:tc>
          <w:tcPr>
            <w:tcW w:w="806" w:type="pct"/>
            <w:shd w:val="clear" w:color="auto" w:fill="auto"/>
            <w:vAlign w:val="center"/>
          </w:tcPr>
          <w:p w:rsidR="00067AB1" w:rsidRPr="0046360F" w:rsidRDefault="00067AB1" w:rsidP="00221DAD">
            <w:pPr>
              <w:pStyle w:val="TableText"/>
              <w:jc w:val="center"/>
            </w:pPr>
            <w:r w:rsidRPr="0046360F">
              <w:t xml:space="preserve">All-cause mortality, </w:t>
            </w:r>
            <w:r w:rsidR="0026392E" w:rsidRPr="0046360F">
              <w:t xml:space="preserve">CV </w:t>
            </w:r>
            <w:r w:rsidRPr="0046360F">
              <w:t>mortality,</w:t>
            </w:r>
          </w:p>
          <w:p w:rsidR="00067AB1" w:rsidRPr="0046360F" w:rsidRDefault="0026392E" w:rsidP="00221DAD">
            <w:pPr>
              <w:pStyle w:val="TableText"/>
              <w:jc w:val="center"/>
            </w:pPr>
            <w:r w:rsidRPr="0046360F">
              <w:t xml:space="preserve">CV </w:t>
            </w:r>
            <w:r w:rsidR="00067AB1" w:rsidRPr="0046360F">
              <w:t>hospitalisation,</w:t>
            </w:r>
          </w:p>
          <w:p w:rsidR="00067AB1" w:rsidRPr="0046360F" w:rsidRDefault="00067AB1" w:rsidP="00221DAD">
            <w:pPr>
              <w:pStyle w:val="TableText"/>
              <w:jc w:val="center"/>
            </w:pPr>
            <w:r w:rsidRPr="0046360F">
              <w:t xml:space="preserve">6MWT, </w:t>
            </w:r>
          </w:p>
          <w:p w:rsidR="00067AB1" w:rsidRPr="0046360F" w:rsidRDefault="00067AB1" w:rsidP="00221DAD">
            <w:pPr>
              <w:pStyle w:val="TableText"/>
              <w:jc w:val="center"/>
            </w:pPr>
            <w:r w:rsidRPr="0046360F">
              <w:t>KCCQ-OS,</w:t>
            </w:r>
          </w:p>
          <w:p w:rsidR="00067AB1" w:rsidRPr="0046360F" w:rsidRDefault="00067AB1" w:rsidP="00221DAD">
            <w:pPr>
              <w:pStyle w:val="TableText"/>
              <w:jc w:val="center"/>
            </w:pPr>
            <w:r w:rsidRPr="0046360F">
              <w:t>EQ-5D-3L</w:t>
            </w:r>
          </w:p>
        </w:tc>
        <w:tc>
          <w:tcPr>
            <w:tcW w:w="806" w:type="pct"/>
            <w:shd w:val="clear" w:color="auto" w:fill="auto"/>
            <w:vAlign w:val="center"/>
          </w:tcPr>
          <w:p w:rsidR="00067AB1" w:rsidRPr="0046360F" w:rsidRDefault="00BD4185" w:rsidP="00BD4185">
            <w:pPr>
              <w:pStyle w:val="TableText"/>
              <w:jc w:val="center"/>
            </w:pPr>
            <w:r w:rsidRPr="0046360F">
              <w:t>IPD</w:t>
            </w:r>
            <w:r w:rsidR="00067AB1" w:rsidRPr="0046360F">
              <w:t xml:space="preserve"> </w:t>
            </w:r>
            <w:r w:rsidR="00C510B7" w:rsidRPr="0046360F">
              <w:t xml:space="preserve">in the </w:t>
            </w:r>
            <w:r w:rsidRPr="0046360F">
              <w:t xml:space="preserve">NYHA class I/II </w:t>
            </w:r>
            <w:r w:rsidR="00C510B7" w:rsidRPr="0046360F">
              <w:t>subgroup inform</w:t>
            </w:r>
            <w:r w:rsidRPr="0046360F">
              <w:t>ed</w:t>
            </w:r>
            <w:r w:rsidR="00C510B7" w:rsidRPr="0046360F">
              <w:t xml:space="preserve"> mortality, NYHA class and </w:t>
            </w:r>
            <w:r w:rsidR="0026392E" w:rsidRPr="0046360F">
              <w:t xml:space="preserve">CV </w:t>
            </w:r>
            <w:r w:rsidR="00C510B7" w:rsidRPr="0046360F">
              <w:t>hospitalisation transitions</w:t>
            </w:r>
            <w:r w:rsidRPr="0046360F">
              <w:t>, utilities and t</w:t>
            </w:r>
            <w:r w:rsidR="00067AB1" w:rsidRPr="0046360F">
              <w:t>reatment discontinuation</w:t>
            </w:r>
          </w:p>
        </w:tc>
      </w:tr>
      <w:tr w:rsidR="00067AB1" w:rsidRPr="0046360F" w:rsidTr="00521363">
        <w:trPr>
          <w:cantSplit/>
        </w:trPr>
        <w:tc>
          <w:tcPr>
            <w:tcW w:w="469" w:type="pct"/>
            <w:shd w:val="clear" w:color="auto" w:fill="auto"/>
            <w:vAlign w:val="center"/>
          </w:tcPr>
          <w:p w:rsidR="00067AB1" w:rsidRPr="0046360F" w:rsidRDefault="00067AB1" w:rsidP="00221DAD">
            <w:pPr>
              <w:pStyle w:val="TableText"/>
            </w:pPr>
            <w:r w:rsidRPr="0046360F">
              <w:t xml:space="preserve">B3461045 </w:t>
            </w:r>
          </w:p>
          <w:p w:rsidR="00067AB1" w:rsidRPr="0046360F" w:rsidRDefault="00067AB1" w:rsidP="00221DAD">
            <w:pPr>
              <w:pStyle w:val="TableText"/>
              <w:rPr>
                <w:vertAlign w:val="superscript"/>
              </w:rPr>
            </w:pPr>
            <w:r w:rsidRPr="0046360F">
              <w:t>(extension study)</w:t>
            </w:r>
            <w:r w:rsidRPr="0046360F">
              <w:rPr>
                <w:vertAlign w:val="superscript"/>
              </w:rPr>
              <w:t>c</w:t>
            </w:r>
          </w:p>
        </w:tc>
        <w:tc>
          <w:tcPr>
            <w:tcW w:w="944" w:type="pct"/>
            <w:shd w:val="clear" w:color="auto" w:fill="auto"/>
            <w:vAlign w:val="center"/>
          </w:tcPr>
          <w:p w:rsidR="00067AB1" w:rsidRPr="0046360F" w:rsidRDefault="00067AB1" w:rsidP="00221DAD">
            <w:pPr>
              <w:pStyle w:val="TableText"/>
              <w:jc w:val="center"/>
            </w:pPr>
          </w:p>
          <w:p w:rsidR="00067AB1" w:rsidRPr="0046360F" w:rsidRDefault="00067AB1" w:rsidP="00221DAD">
            <w:pPr>
              <w:pStyle w:val="TableText"/>
              <w:jc w:val="center"/>
              <w:rPr>
                <w:vertAlign w:val="superscript"/>
              </w:rPr>
            </w:pPr>
            <w:r w:rsidRPr="0046360F">
              <w:t>Broad Cohort</w:t>
            </w:r>
          </w:p>
          <w:p w:rsidR="00067AB1" w:rsidRPr="0046360F" w:rsidRDefault="00175862" w:rsidP="00221DAD">
            <w:pPr>
              <w:pStyle w:val="TableText"/>
              <w:jc w:val="center"/>
            </w:pPr>
            <w:r w:rsidRPr="0046360F">
              <w:t>T</w:t>
            </w:r>
            <w:r w:rsidR="00067AB1" w:rsidRPr="0046360F">
              <w:t xml:space="preserve">afamidis 20/61 mg </w:t>
            </w:r>
          </w:p>
          <w:p w:rsidR="00067AB1" w:rsidRPr="0046360F" w:rsidRDefault="00067AB1" w:rsidP="00221DAD">
            <w:pPr>
              <w:pStyle w:val="TableText"/>
              <w:jc w:val="center"/>
            </w:pPr>
            <w:r w:rsidRPr="0046360F">
              <w:t>(N=116)</w:t>
            </w:r>
            <w:r w:rsidRPr="0046360F">
              <w:rPr>
                <w:vertAlign w:val="superscript"/>
              </w:rPr>
              <w:t>e</w:t>
            </w:r>
          </w:p>
          <w:p w:rsidR="00067AB1" w:rsidRPr="0046360F" w:rsidRDefault="00067AB1" w:rsidP="00221DAD">
            <w:pPr>
              <w:pStyle w:val="TableText"/>
              <w:jc w:val="center"/>
              <w:rPr>
                <w:vertAlign w:val="superscript"/>
              </w:rPr>
            </w:pPr>
            <w:r w:rsidRPr="0046360F">
              <w:t>Tafamidis 80/61 mg (N=230)</w:t>
            </w:r>
            <w:r w:rsidRPr="0046360F">
              <w:rPr>
                <w:vertAlign w:val="superscript"/>
              </w:rPr>
              <w:t>e</w:t>
            </w:r>
          </w:p>
        </w:tc>
        <w:tc>
          <w:tcPr>
            <w:tcW w:w="471" w:type="pct"/>
            <w:shd w:val="clear" w:color="auto" w:fill="auto"/>
            <w:vAlign w:val="center"/>
          </w:tcPr>
          <w:p w:rsidR="00067AB1" w:rsidRPr="0046360F" w:rsidRDefault="00067AB1" w:rsidP="00221DAD">
            <w:pPr>
              <w:pStyle w:val="TableText"/>
              <w:jc w:val="center"/>
            </w:pPr>
            <w:r w:rsidRPr="0046360F">
              <w:t>51 months</w:t>
            </w:r>
            <w:r w:rsidRPr="0046360F">
              <w:rPr>
                <w:vertAlign w:val="superscript"/>
              </w:rPr>
              <w:t>a</w:t>
            </w:r>
          </w:p>
          <w:p w:rsidR="00067AB1" w:rsidRPr="0046360F" w:rsidRDefault="00067AB1" w:rsidP="00221DAD">
            <w:pPr>
              <w:pStyle w:val="TableText"/>
              <w:jc w:val="center"/>
            </w:pPr>
            <w:r w:rsidRPr="0046360F">
              <w:t>(ongoing)</w:t>
            </w:r>
          </w:p>
        </w:tc>
        <w:tc>
          <w:tcPr>
            <w:tcW w:w="393" w:type="pct"/>
            <w:shd w:val="clear" w:color="auto" w:fill="auto"/>
            <w:vAlign w:val="center"/>
          </w:tcPr>
          <w:p w:rsidR="00067AB1" w:rsidRPr="0046360F" w:rsidRDefault="00067AB1" w:rsidP="00221DAD">
            <w:pPr>
              <w:pStyle w:val="TableText"/>
              <w:jc w:val="center"/>
            </w:pPr>
            <w:r w:rsidRPr="0046360F">
              <w:t>High</w:t>
            </w:r>
          </w:p>
        </w:tc>
        <w:tc>
          <w:tcPr>
            <w:tcW w:w="1111" w:type="pct"/>
            <w:shd w:val="clear" w:color="auto" w:fill="auto"/>
            <w:vAlign w:val="center"/>
          </w:tcPr>
          <w:p w:rsidR="00067AB1" w:rsidRPr="0046360F" w:rsidRDefault="00067AB1" w:rsidP="00221DAD">
            <w:pPr>
              <w:pStyle w:val="TableText"/>
              <w:jc w:val="center"/>
            </w:pPr>
            <w:r w:rsidRPr="0046360F">
              <w:t>Cohort A</w:t>
            </w:r>
          </w:p>
          <w:p w:rsidR="00067AB1" w:rsidRPr="0046360F" w:rsidRDefault="00067AB1" w:rsidP="00221DAD">
            <w:pPr>
              <w:pStyle w:val="TableText"/>
              <w:jc w:val="center"/>
            </w:pPr>
            <w:r w:rsidRPr="0046360F">
              <w:t xml:space="preserve">Patients completing </w:t>
            </w:r>
          </w:p>
          <w:p w:rsidR="00067AB1" w:rsidRPr="0046360F" w:rsidRDefault="00067AB1" w:rsidP="00221DAD">
            <w:pPr>
              <w:pStyle w:val="TableText"/>
              <w:jc w:val="center"/>
            </w:pPr>
            <w:r w:rsidRPr="0046360F">
              <w:t>30 months treatment in ATTR-ACT;</w:t>
            </w:r>
          </w:p>
          <w:p w:rsidR="00067AB1" w:rsidRPr="0046360F" w:rsidRDefault="00067AB1" w:rsidP="00221DAD">
            <w:pPr>
              <w:pStyle w:val="TableText"/>
              <w:jc w:val="center"/>
            </w:pPr>
            <w:r w:rsidRPr="0046360F">
              <w:t>Cohort B</w:t>
            </w:r>
          </w:p>
          <w:p w:rsidR="00067AB1" w:rsidRPr="0046360F" w:rsidRDefault="00067AB1" w:rsidP="00221DAD">
            <w:pPr>
              <w:pStyle w:val="TableText"/>
              <w:jc w:val="center"/>
              <w:rPr>
                <w:vertAlign w:val="superscript"/>
              </w:rPr>
            </w:pPr>
            <w:r w:rsidRPr="0046360F">
              <w:t>Patients with ATTR-CM not enrolled in ATTR-ACT</w:t>
            </w:r>
            <w:r w:rsidRPr="0046360F">
              <w:rPr>
                <w:vertAlign w:val="superscript"/>
              </w:rPr>
              <w:t>d</w:t>
            </w:r>
          </w:p>
        </w:tc>
        <w:tc>
          <w:tcPr>
            <w:tcW w:w="806" w:type="pct"/>
            <w:shd w:val="clear" w:color="auto" w:fill="auto"/>
            <w:vAlign w:val="center"/>
          </w:tcPr>
          <w:p w:rsidR="00067AB1" w:rsidRPr="0046360F" w:rsidRDefault="00067AB1" w:rsidP="00221DAD">
            <w:pPr>
              <w:pStyle w:val="TableText"/>
              <w:jc w:val="center"/>
            </w:pPr>
            <w:r w:rsidRPr="0046360F">
              <w:t xml:space="preserve">Safety all-cause mortality and treatment emergent adverse events, </w:t>
            </w:r>
            <w:r w:rsidR="0026392E" w:rsidRPr="0046360F">
              <w:t xml:space="preserve">CV </w:t>
            </w:r>
            <w:r w:rsidRPr="0046360F">
              <w:t>hospitalisation</w:t>
            </w:r>
          </w:p>
        </w:tc>
        <w:tc>
          <w:tcPr>
            <w:tcW w:w="806" w:type="pct"/>
            <w:shd w:val="clear" w:color="auto" w:fill="auto"/>
            <w:vAlign w:val="center"/>
          </w:tcPr>
          <w:p w:rsidR="00067AB1" w:rsidRPr="0046360F" w:rsidRDefault="00961538" w:rsidP="00221DAD">
            <w:pPr>
              <w:pStyle w:val="TableText"/>
              <w:jc w:val="center"/>
            </w:pPr>
            <w:r w:rsidRPr="0046360F">
              <w:t>Used in sensitivity analyses.</w:t>
            </w:r>
          </w:p>
        </w:tc>
      </w:tr>
    </w:tbl>
    <w:p w:rsidR="00067AB1" w:rsidRPr="0046360F" w:rsidRDefault="00067AB1" w:rsidP="00067AB1">
      <w:pPr>
        <w:pStyle w:val="TableFigureFooter"/>
      </w:pPr>
      <w:r w:rsidRPr="0046360F">
        <w:t>Source: Sections 2.3 and 2.4 of the resubmission; Elliot (2019).</w:t>
      </w:r>
    </w:p>
    <w:p w:rsidR="00067AB1" w:rsidRPr="0046360F" w:rsidRDefault="00067AB1" w:rsidP="00067AB1">
      <w:pPr>
        <w:pStyle w:val="TableFigureFooter"/>
      </w:pPr>
      <w:r w:rsidRPr="0046360F">
        <w:t xml:space="preserve">Abbreviations: </w:t>
      </w:r>
      <w:r w:rsidRPr="0046360F">
        <w:rPr>
          <w:szCs w:val="18"/>
        </w:rPr>
        <w:t>6MWT, six minute walk test;</w:t>
      </w:r>
      <w:r w:rsidRPr="0046360F">
        <w:t xml:space="preserve"> </w:t>
      </w:r>
      <w:r w:rsidRPr="0046360F">
        <w:rPr>
          <w:szCs w:val="18"/>
        </w:rPr>
        <w:t>ATTR-CM, transthyretin amyloid cardiomyopathy</w:t>
      </w:r>
      <w:r w:rsidRPr="0046360F">
        <w:t xml:space="preserve">; </w:t>
      </w:r>
      <w:r w:rsidR="0026392E" w:rsidRPr="0046360F">
        <w:t xml:space="preserve">CV, cardiovascular; </w:t>
      </w:r>
      <w:r w:rsidRPr="0046360F">
        <w:t xml:space="preserve">DB, double blind; </w:t>
      </w:r>
      <w:r w:rsidRPr="0046360F">
        <w:rPr>
          <w:szCs w:val="18"/>
        </w:rPr>
        <w:t>EQ-5D, European quality of life 5 dimension questionnaire;</w:t>
      </w:r>
      <w:r w:rsidR="001539E3" w:rsidRPr="0046360F">
        <w:rPr>
          <w:szCs w:val="18"/>
        </w:rPr>
        <w:t xml:space="preserve"> IPD, individual patient data;</w:t>
      </w:r>
      <w:r w:rsidRPr="0046360F">
        <w:t xml:space="preserve"> </w:t>
      </w:r>
      <w:r w:rsidRPr="0046360F">
        <w:rPr>
          <w:szCs w:val="18"/>
        </w:rPr>
        <w:t xml:space="preserve">KCCQ, Kansas City Cardiomyopathy Questionnaire; </w:t>
      </w:r>
      <w:r w:rsidRPr="0046360F">
        <w:t>MC, multi-centre; NK, not known; NR, not reported; PC, placebo controlled; R, randomised.</w:t>
      </w:r>
    </w:p>
    <w:p w:rsidR="00067AB1" w:rsidRPr="0046360F" w:rsidRDefault="00067AB1" w:rsidP="00067AB1">
      <w:pPr>
        <w:pStyle w:val="TableFigureFooter"/>
      </w:pPr>
      <w:r w:rsidRPr="0046360F">
        <w:rPr>
          <w:vertAlign w:val="superscript"/>
        </w:rPr>
        <w:t>a</w:t>
      </w:r>
      <w:r w:rsidRPr="0046360F">
        <w:t xml:space="preserve"> ATTR-ACT treatment phase duration and extension study duration. </w:t>
      </w:r>
    </w:p>
    <w:p w:rsidR="00067AB1" w:rsidRPr="0046360F" w:rsidRDefault="00067AB1" w:rsidP="00067AB1">
      <w:pPr>
        <w:pStyle w:val="TableFigureFooter"/>
      </w:pPr>
      <w:r w:rsidRPr="0046360F">
        <w:rPr>
          <w:vertAlign w:val="superscript"/>
        </w:rPr>
        <w:t>b</w:t>
      </w:r>
      <w:r w:rsidRPr="0046360F">
        <w:t xml:space="preserve"> Evidence of cardiac involvement by echocardiography with an end-diastolic interventricular septal wall thickness ≥ 12 mm.</w:t>
      </w:r>
    </w:p>
    <w:p w:rsidR="00067AB1" w:rsidRPr="0046360F" w:rsidRDefault="00067AB1" w:rsidP="00067AB1">
      <w:pPr>
        <w:pStyle w:val="TableFigureFooter"/>
      </w:pPr>
      <w:r w:rsidRPr="0046360F">
        <w:rPr>
          <w:vertAlign w:val="superscript"/>
        </w:rPr>
        <w:t>c</w:t>
      </w:r>
      <w:r w:rsidRPr="0046360F">
        <w:t xml:space="preserve"> Study features based on preliminary results published in conference poster presentation, for patients continuing from ATTR-ACT.</w:t>
      </w:r>
    </w:p>
    <w:p w:rsidR="00067AB1" w:rsidRPr="0046360F" w:rsidRDefault="00067AB1" w:rsidP="00067AB1">
      <w:pPr>
        <w:pStyle w:val="TableFigureFooter"/>
      </w:pPr>
      <w:r w:rsidRPr="0046360F">
        <w:rPr>
          <w:vertAlign w:val="superscript"/>
        </w:rPr>
        <w:t>d</w:t>
      </w:r>
      <w:r w:rsidRPr="0046360F">
        <w:t xml:space="preserve"> Cohort B was excluded from the resubmission.</w:t>
      </w:r>
    </w:p>
    <w:p w:rsidR="00067AB1" w:rsidRPr="0046360F" w:rsidRDefault="00067AB1" w:rsidP="00067AB1">
      <w:pPr>
        <w:pStyle w:val="TableFigureFooter"/>
      </w:pPr>
      <w:r w:rsidRPr="0046360F">
        <w:rPr>
          <w:vertAlign w:val="superscript"/>
        </w:rPr>
        <w:t>e</w:t>
      </w:r>
      <w:r w:rsidRPr="0046360F">
        <w:t xml:space="preserve"> Includes patients switching from placebo.</w:t>
      </w:r>
    </w:p>
    <w:p w:rsidR="00170FF0" w:rsidRPr="0046360F" w:rsidRDefault="00C46B16" w:rsidP="00170FF0">
      <w:pPr>
        <w:pStyle w:val="ExecSumBodyText"/>
        <w:numPr>
          <w:ilvl w:val="1"/>
          <w:numId w:val="1"/>
        </w:numPr>
        <w:rPr>
          <w:color w:val="0066FF"/>
        </w:rPr>
      </w:pPr>
      <w:r w:rsidRPr="0046360F">
        <w:t xml:space="preserve">At the July 2020 meeting the PBAC considered that the ATTR-ACT trial may have been subject to selection bias, and that smaller proportions of patients with baseline NYHA class III heart failure in the tafamidis arms, compared to the placebo arm, may have biased trial outcomes in favour of tafamidis (para 6.10, Tafamidis </w:t>
      </w:r>
      <w:r w:rsidR="001B0935" w:rsidRPr="0046360F">
        <w:t>PSD</w:t>
      </w:r>
      <w:r w:rsidRPr="0046360F">
        <w:t>, July 2020 PBAC meeting).</w:t>
      </w:r>
      <w:r w:rsidR="005F3740" w:rsidRPr="0046360F">
        <w:t xml:space="preserve"> </w:t>
      </w:r>
    </w:p>
    <w:p w:rsidR="003347E9" w:rsidRPr="0046360F" w:rsidRDefault="003347E9" w:rsidP="00170FF0">
      <w:pPr>
        <w:pStyle w:val="ExecSumBodyText"/>
        <w:numPr>
          <w:ilvl w:val="1"/>
          <w:numId w:val="1"/>
        </w:numPr>
        <w:rPr>
          <w:color w:val="0066FF"/>
        </w:rPr>
      </w:pPr>
      <w:bookmarkStart w:id="16" w:name="_Ref69210275"/>
      <w:r w:rsidRPr="0046360F">
        <w:t xml:space="preserve">Differences in baseline risk and disease severity between treatment arms in the ATTR-ACT trial were not adequately explained in the resubmission. </w:t>
      </w:r>
      <w:r w:rsidR="00873361" w:rsidRPr="0046360F">
        <w:t>The PSCR  argued that the baseline difference in proportions of patients with NYHA Class III did not bias outcomes in favour of tafamidis because this had been taken into account in statistical analyses.</w:t>
      </w:r>
      <w:r w:rsidR="00873361" w:rsidRPr="0046360F">
        <w:rPr>
          <w:i/>
        </w:rPr>
        <w:t xml:space="preserve"> </w:t>
      </w:r>
      <w:r w:rsidRPr="0046360F">
        <w:t>Use of the Finkelstein-Schoenfeld methodology stratified by NYHA class and TTR genotype, and inclusion of NYHA class and TTR genotype as a covariates in statistical models, may not have addressed differences between treatment arms in terms of other known (e.g. NT-proBNP) and unknown prognostic factors. The impact of differences between treatments arms on the results of the ATTR-ACT trial remain</w:t>
      </w:r>
      <w:r w:rsidR="00521363" w:rsidRPr="0046360F">
        <w:t>ed</w:t>
      </w:r>
      <w:r w:rsidRPr="0046360F">
        <w:t xml:space="preserve"> unclear.</w:t>
      </w:r>
      <w:bookmarkEnd w:id="16"/>
    </w:p>
    <w:p w:rsidR="00170FF0" w:rsidRPr="0046360F" w:rsidRDefault="005F3740" w:rsidP="00170FF0">
      <w:pPr>
        <w:pStyle w:val="ExecSumBodyText"/>
        <w:numPr>
          <w:ilvl w:val="1"/>
          <w:numId w:val="1"/>
        </w:numPr>
        <w:rPr>
          <w:color w:val="0066FF"/>
        </w:rPr>
      </w:pPr>
      <w:r w:rsidRPr="0046360F">
        <w:t>As shown in the figure below, p</w:t>
      </w:r>
      <w:r w:rsidR="00A038FE" w:rsidRPr="0046360F">
        <w:t>atients in the ATTR-ACT trial tafamidis treatment arms continued treatment into the B3461045 extension study, while patients in the placebo arm were randomised on a 2:1 ratio to initiate tafamidis 80 mg and 20 mg respectively. Blinding of patients and investigators was maintained</w:t>
      </w:r>
      <w:r w:rsidR="00A038FE" w:rsidRPr="0046360F">
        <w:rPr>
          <w:color w:val="0066FF"/>
        </w:rPr>
        <w:t xml:space="preserve"> </w:t>
      </w:r>
      <w:r w:rsidR="00A038FE" w:rsidRPr="0046360F">
        <w:t xml:space="preserve">until a July 2018 protocol amendment added Cohort B (patients with ATTR-CM treated with tafamidis not enrolled in ATTR-ACT) and migrated all patients in Cohorts A and B from tafamidis meglumine 20 mg or 80 mg, to the tafamidis 61 mg free acid formulation. The B3461045 extension study switched to a single arm study design and was unblinded. </w:t>
      </w:r>
    </w:p>
    <w:p w:rsidR="005F3740" w:rsidRPr="0046360F" w:rsidRDefault="0029295E" w:rsidP="0029295E">
      <w:pPr>
        <w:pStyle w:val="Caption"/>
        <w:jc w:val="both"/>
      </w:pPr>
      <w:r w:rsidRPr="0046360F">
        <w:t xml:space="preserve">Figure </w:t>
      </w:r>
      <w:r w:rsidR="00C170ED">
        <w:rPr>
          <w:noProof/>
        </w:rPr>
        <w:t>1</w:t>
      </w:r>
      <w:r w:rsidRPr="0046360F">
        <w:t xml:space="preserve">: </w:t>
      </w:r>
      <w:r w:rsidR="005F3740" w:rsidRPr="0046360F">
        <w:t>ATTR-ACT and B3461045 long term extension study design</w:t>
      </w:r>
    </w:p>
    <w:p w:rsidR="005F3740" w:rsidRPr="0046360F" w:rsidRDefault="005F3740" w:rsidP="005F3740">
      <w:pPr>
        <w:keepNext/>
        <w:keepLines/>
      </w:pPr>
      <w:r w:rsidRPr="0046360F">
        <w:rPr>
          <w:noProof/>
        </w:rPr>
        <w:drawing>
          <wp:inline distT="0" distB="0" distL="0" distR="0" wp14:anchorId="3115387F" wp14:editId="1625370E">
            <wp:extent cx="4906682" cy="2825356"/>
            <wp:effectExtent l="0" t="0" r="8255" b="0"/>
            <wp:docPr id="18" name="Picture 18" title="Figure 1: ATTR-ACT and B3461045 long term extension stud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583"/>
                    <a:stretch/>
                  </pic:blipFill>
                  <pic:spPr bwMode="auto">
                    <a:xfrm>
                      <a:off x="0" y="0"/>
                      <a:ext cx="4912690" cy="2828815"/>
                    </a:xfrm>
                    <a:prstGeom prst="rect">
                      <a:avLst/>
                    </a:prstGeom>
                    <a:ln>
                      <a:noFill/>
                    </a:ln>
                    <a:extLst>
                      <a:ext uri="{53640926-AAD7-44D8-BBD7-CCE9431645EC}">
                        <a14:shadowObscured xmlns:a14="http://schemas.microsoft.com/office/drawing/2010/main"/>
                      </a:ext>
                    </a:extLst>
                  </pic:spPr>
                </pic:pic>
              </a:graphicData>
            </a:graphic>
          </wp:inline>
        </w:drawing>
      </w:r>
    </w:p>
    <w:p w:rsidR="005F3740" w:rsidRPr="0046360F" w:rsidRDefault="005F3740" w:rsidP="005F3740">
      <w:pPr>
        <w:pStyle w:val="TableFigureFooter"/>
        <w:keepNext/>
        <w:keepLines/>
      </w:pPr>
      <w:r w:rsidRPr="0046360F">
        <w:t>Source: Figure 2.3.1, p.53 of the resubmission; Figure 3 of the PSCR.</w:t>
      </w:r>
    </w:p>
    <w:p w:rsidR="005F3740" w:rsidRPr="0046360F" w:rsidRDefault="005F3740" w:rsidP="005F3740">
      <w:pPr>
        <w:pStyle w:val="TableFigureFooter"/>
        <w:keepNext/>
        <w:keepLines/>
        <w:spacing w:after="240"/>
      </w:pPr>
      <w:r w:rsidRPr="0046360F">
        <w:t xml:space="preserve">Abbreviations: </w:t>
      </w:r>
      <w:r w:rsidRPr="0046360F">
        <w:rPr>
          <w:szCs w:val="18"/>
        </w:rPr>
        <w:t>ATTR-CM, cardiac transthyretin amyloidosis;</w:t>
      </w:r>
      <w:r w:rsidRPr="0046360F">
        <w:t xml:space="preserve"> LTE, long term extension; qd, once daily. </w:t>
      </w:r>
    </w:p>
    <w:p w:rsidR="0016378D" w:rsidRPr="0046360F" w:rsidRDefault="0016378D" w:rsidP="00170FF0">
      <w:pPr>
        <w:pStyle w:val="ExecSumBodyText"/>
        <w:numPr>
          <w:ilvl w:val="1"/>
          <w:numId w:val="1"/>
        </w:numPr>
        <w:rPr>
          <w:color w:val="0066FF"/>
        </w:rPr>
      </w:pPr>
      <w:r w:rsidRPr="0046360F">
        <w:t>The flow of patients from the ATTR-ACT trial through the B3461045 extension study was poorly documented. The proportions of patients continuing or initiating tafamidis in each of the tafamidis 20/61 mg and 80/61 mg treatment arms, as well as the tafamidis dose intensity, exposure and duration of treatment by dose, was not adequately reported, particularly for patients switching from placebo to tafamidis.</w:t>
      </w:r>
      <w:r w:rsidR="00B56545" w:rsidRPr="0046360F">
        <w:rPr>
          <w:i/>
        </w:rPr>
        <w:t xml:space="preserve"> </w:t>
      </w:r>
      <w:r w:rsidR="00B56545" w:rsidRPr="0046360F">
        <w:t>Th</w:t>
      </w:r>
      <w:r w:rsidR="00577DF2" w:rsidRPr="0046360F">
        <w:t>e</w:t>
      </w:r>
      <w:r w:rsidR="00B56545" w:rsidRPr="0046360F">
        <w:t xml:space="preserve"> PSCR</w:t>
      </w:r>
      <w:r w:rsidR="00577DF2" w:rsidRPr="0046360F">
        <w:t xml:space="preserve"> clarified the allocation to treatment arms for continuing patients, although d</w:t>
      </w:r>
      <w:r w:rsidR="00577DF2" w:rsidRPr="0046360F">
        <w:rPr>
          <w:iCs/>
        </w:rPr>
        <w:t>emographic and disease data by prior tafamidis or placebo treatment, discontinuations, duration of treatment exposure and dose intensity were not presented</w:t>
      </w:r>
      <w:r w:rsidR="0046360F" w:rsidRPr="0046360F">
        <w:t xml:space="preserve">. </w:t>
      </w:r>
      <w:r w:rsidRPr="0046360F">
        <w:t>Reporting of outcomes was not pre-specified and was ad-hoc in terms of time intervals and outcomes reported. The risk of bias in the B3461045 study was high.</w:t>
      </w:r>
    </w:p>
    <w:p w:rsidR="00645E68" w:rsidRPr="0046360F" w:rsidRDefault="00645E68" w:rsidP="00645E68">
      <w:pPr>
        <w:pStyle w:val="ExecSumBodyText"/>
        <w:numPr>
          <w:ilvl w:val="1"/>
          <w:numId w:val="1"/>
        </w:numPr>
        <w:rPr>
          <w:color w:val="0066FF"/>
        </w:rPr>
      </w:pPr>
      <w:r w:rsidRPr="0046360F">
        <w:t xml:space="preserve">At the July 2020 meeting the PBAC considered that it was unclear whether the distribution of NYHA classes from the ATTR-ACT trial will be applicable to the Australian setting, </w:t>
      </w:r>
      <w:r w:rsidR="007F01A7" w:rsidRPr="0046360F">
        <w:t xml:space="preserve">particularly </w:t>
      </w:r>
      <w:r w:rsidRPr="0046360F">
        <w:t>as changes in the diagnostic algorithm will likely affect the distribution of NYHA classes among patients with ATTR-CM. The July 2020 pre-PBAC response argued that earlier diagnosis will better align the eligible Australian population with the ATTR-ACT trial, but the PBAC considered that it was unclear whether newly diagnosed patients would have more benign clinical courses and that the overall natural history of ATTR-CM may evolve with changing diagnostic paradigms.</w:t>
      </w:r>
    </w:p>
    <w:p w:rsidR="00006ACE" w:rsidRPr="0046360F" w:rsidRDefault="00D25684" w:rsidP="00F23978">
      <w:pPr>
        <w:pStyle w:val="ExecSumBodyText"/>
        <w:rPr>
          <w:color w:val="0066FF"/>
        </w:rPr>
      </w:pPr>
      <w:bookmarkStart w:id="17" w:name="_Ref69208260"/>
      <w:r w:rsidRPr="0046360F">
        <w:t>To inform the applicability of the ATTR-ACT trial to the Australian setting, t</w:t>
      </w:r>
      <w:r w:rsidR="00006ACE" w:rsidRPr="0046360F">
        <w:t>he resubmission presented a comparison of the ATTR-ACT trial population to two Australian ATTR-CM study abstracts previously considered at the July 2020 PBAC meeting (Burrage et al. 2017; Lasica et al. 2018), and Choi et al. 2020 (an update of Lasica</w:t>
      </w:r>
      <w:r w:rsidR="00811A94" w:rsidRPr="0046360F">
        <w:t xml:space="preserve"> et al.</w:t>
      </w:r>
      <w:r w:rsidR="00006ACE" w:rsidRPr="0046360F">
        <w:t xml:space="preserve"> 2018)</w:t>
      </w:r>
      <w:r w:rsidR="003D77F1" w:rsidRPr="0046360F">
        <w:t xml:space="preserve">. </w:t>
      </w:r>
      <w:r w:rsidR="00006ACE" w:rsidRPr="0046360F">
        <w:t>In addition, the resubmission presented data from the B3461045 Cohort</w:t>
      </w:r>
      <w:r w:rsidR="00EA2262" w:rsidRPr="0046360F">
        <w:t> </w:t>
      </w:r>
      <w:r w:rsidR="00006ACE" w:rsidRPr="0046360F">
        <w:t>B, not previous</w:t>
      </w:r>
      <w:r w:rsidR="00EA2262" w:rsidRPr="0046360F">
        <w:t>ly</w:t>
      </w:r>
      <w:r w:rsidR="00006ACE" w:rsidRPr="0046360F">
        <w:t xml:space="preserve"> considered by the PBAC (Australian subgroup, N=32</w:t>
      </w:r>
      <w:r w:rsidR="00C91B1C" w:rsidRPr="0046360F">
        <w:t>)</w:t>
      </w:r>
      <w:r w:rsidR="00006ACE" w:rsidRPr="0046360F">
        <w:t xml:space="preserve">. </w:t>
      </w:r>
      <w:r w:rsidR="00AB414F" w:rsidRPr="0046360F">
        <w:t xml:space="preserve">The resubmission </w:t>
      </w:r>
      <w:r w:rsidR="003D77F1" w:rsidRPr="0046360F">
        <w:t xml:space="preserve">acknowledged that all these studies excluded patients with the ATTRm genotype, but </w:t>
      </w:r>
      <w:r w:rsidR="00AB414F" w:rsidRPr="0046360F">
        <w:t xml:space="preserve">argued that </w:t>
      </w:r>
      <w:r w:rsidR="00AB414F" w:rsidRPr="0046360F">
        <w:rPr>
          <w:lang w:eastAsia="en-US"/>
        </w:rPr>
        <w:t xml:space="preserve">if the Australian studies had included patients with ATTRm, the </w:t>
      </w:r>
      <w:r w:rsidR="003D77F1" w:rsidRPr="0046360F">
        <w:rPr>
          <w:lang w:eastAsia="en-US"/>
        </w:rPr>
        <w:t xml:space="preserve">populations would be </w:t>
      </w:r>
      <w:r w:rsidR="00AB414F" w:rsidRPr="0046360F">
        <w:rPr>
          <w:lang w:eastAsia="en-US"/>
        </w:rPr>
        <w:t>similar</w:t>
      </w:r>
      <w:r w:rsidR="003D77F1" w:rsidRPr="0046360F">
        <w:rPr>
          <w:lang w:eastAsia="en-US"/>
        </w:rPr>
        <w:t xml:space="preserve"> to the Australian setting</w:t>
      </w:r>
      <w:r w:rsidR="00AB414F" w:rsidRPr="0046360F">
        <w:rPr>
          <w:lang w:eastAsia="en-US"/>
        </w:rPr>
        <w:t xml:space="preserve">. </w:t>
      </w:r>
      <w:r w:rsidR="00AB414F" w:rsidRPr="0046360F">
        <w:t xml:space="preserve">Only sparse demographic and disease characteristics of patients included in Cohort B </w:t>
      </w:r>
      <w:r w:rsidR="003D77F1" w:rsidRPr="0046360F">
        <w:t>of the B3461045 study were</w:t>
      </w:r>
      <w:r w:rsidR="00AB414F" w:rsidRPr="0046360F">
        <w:t xml:space="preserve"> </w:t>
      </w:r>
      <w:r w:rsidR="003D77F1" w:rsidRPr="0046360F">
        <w:t>reported</w:t>
      </w:r>
      <w:r w:rsidR="00AB414F" w:rsidRPr="0046360F">
        <w:t xml:space="preserve"> and it </w:t>
      </w:r>
      <w:r w:rsidR="007F01A7" w:rsidRPr="0046360F">
        <w:t>was</w:t>
      </w:r>
      <w:r w:rsidR="00AB414F" w:rsidRPr="0046360F">
        <w:t xml:space="preserve"> unclear whether this population would be eligible for PBS</w:t>
      </w:r>
      <w:r w:rsidR="00EA2262" w:rsidRPr="0046360F">
        <w:t>-</w:t>
      </w:r>
      <w:r w:rsidR="00AB414F" w:rsidRPr="0046360F">
        <w:t>subsidised tafamidis under the requested restriction.</w:t>
      </w:r>
      <w:r w:rsidR="00577DF2" w:rsidRPr="0046360F">
        <w:t xml:space="preserve"> The PSCR presented demographic and disease data for Cohort A</w:t>
      </w:r>
      <w:r w:rsidR="00F23978" w:rsidRPr="0046360F">
        <w:t xml:space="preserve">. </w:t>
      </w:r>
      <w:r w:rsidR="00D62689" w:rsidRPr="0046360F">
        <w:t>However, t</w:t>
      </w:r>
      <w:r w:rsidR="00F23978" w:rsidRPr="0046360F">
        <w:t xml:space="preserve">he proportion of </w:t>
      </w:r>
      <w:r w:rsidR="00D62689" w:rsidRPr="0046360F">
        <w:t xml:space="preserve">patients </w:t>
      </w:r>
      <w:r w:rsidR="00F23978" w:rsidRPr="0046360F">
        <w:t xml:space="preserve">enrolled in Cohort B of the extension study </w:t>
      </w:r>
      <w:r w:rsidR="00D62689" w:rsidRPr="0046360F">
        <w:t xml:space="preserve">who would be eligible under the proposed restriction </w:t>
      </w:r>
      <w:r w:rsidR="00F23978" w:rsidRPr="0046360F">
        <w:t>w</w:t>
      </w:r>
      <w:r w:rsidR="00D62689" w:rsidRPr="0046360F">
        <w:t>as</w:t>
      </w:r>
      <w:r w:rsidR="00F23978" w:rsidRPr="0046360F">
        <w:t xml:space="preserve"> not addressed.</w:t>
      </w:r>
      <w:bookmarkEnd w:id="17"/>
    </w:p>
    <w:p w:rsidR="00887181" w:rsidRPr="0046360F" w:rsidRDefault="00D25684" w:rsidP="00645E68">
      <w:pPr>
        <w:pStyle w:val="ExecSumBodyText"/>
        <w:numPr>
          <w:ilvl w:val="1"/>
          <w:numId w:val="1"/>
        </w:numPr>
        <w:rPr>
          <w:color w:val="0066FF"/>
        </w:rPr>
      </w:pPr>
      <w:r w:rsidRPr="0046360F">
        <w:t>As</w:t>
      </w:r>
      <w:r w:rsidR="003D77F1" w:rsidRPr="0046360F">
        <w:t xml:space="preserve"> with the July 2020 submission, the</w:t>
      </w:r>
      <w:r w:rsidR="00887181" w:rsidRPr="0046360F">
        <w:t>re</w:t>
      </w:r>
      <w:r w:rsidR="003D77F1" w:rsidRPr="0046360F">
        <w:t xml:space="preserve"> </w:t>
      </w:r>
      <w:r w:rsidR="00EA2262" w:rsidRPr="0046360F">
        <w:t>were</w:t>
      </w:r>
      <w:r w:rsidR="003D77F1" w:rsidRPr="0046360F">
        <w:t xml:space="preserve"> limited data available to assess the applicability of the ATTR-ACT trial to the Australian setting. </w:t>
      </w:r>
      <w:r w:rsidR="006319D5" w:rsidRPr="0046360F">
        <w:t xml:space="preserve">This </w:t>
      </w:r>
      <w:r w:rsidR="007F01A7" w:rsidRPr="0046360F">
        <w:t>was</w:t>
      </w:r>
      <w:r w:rsidR="006319D5" w:rsidRPr="0046360F">
        <w:t xml:space="preserve"> not unexpected given the relative rarity of ATTR-CM. </w:t>
      </w:r>
      <w:r w:rsidR="00887181" w:rsidRPr="0046360F">
        <w:t xml:space="preserve">However, age, NYHA class, TTR genotype and ATTRm mutation phenotype </w:t>
      </w:r>
      <w:r w:rsidRPr="0046360F">
        <w:t xml:space="preserve">have been identified as </w:t>
      </w:r>
      <w:r w:rsidR="00887181" w:rsidRPr="0046360F">
        <w:t>baseline prognostic indicators for ATTR-CM</w:t>
      </w:r>
      <w:r w:rsidRPr="0046360F">
        <w:t xml:space="preserve"> and may therefore affect baseline risk. Any differences </w:t>
      </w:r>
      <w:r w:rsidR="00887181" w:rsidRPr="0046360F">
        <w:t>between the ATTR-ACT trial and the Australian setting</w:t>
      </w:r>
      <w:r w:rsidRPr="0046360F">
        <w:t xml:space="preserve"> in these indicators</w:t>
      </w:r>
      <w:r w:rsidR="00887181" w:rsidRPr="0046360F">
        <w:t xml:space="preserve"> may </w:t>
      </w:r>
      <w:r w:rsidRPr="0046360F">
        <w:t xml:space="preserve">therefore </w:t>
      </w:r>
      <w:r w:rsidR="00887181" w:rsidRPr="0046360F">
        <w:t>result in differences in the absolute benefit of tafamidis</w:t>
      </w:r>
      <w:r w:rsidR="00A92AC8" w:rsidRPr="0046360F">
        <w:t>.</w:t>
      </w:r>
    </w:p>
    <w:p w:rsidR="00645E68" w:rsidRPr="0046360F" w:rsidRDefault="00F823DB" w:rsidP="00645E68">
      <w:pPr>
        <w:pStyle w:val="ExecSumBodyText"/>
        <w:numPr>
          <w:ilvl w:val="1"/>
          <w:numId w:val="1"/>
        </w:numPr>
        <w:rPr>
          <w:color w:val="0066FF"/>
        </w:rPr>
      </w:pPr>
      <w:bookmarkStart w:id="18" w:name="_Ref69208271"/>
      <w:r w:rsidRPr="0046360F">
        <w:t xml:space="preserve">The resubmission presented Australian data from Choi et al. 2020 and </w:t>
      </w:r>
      <w:r w:rsidRPr="0046360F">
        <w:rPr>
          <w:lang w:eastAsia="en-US"/>
        </w:rPr>
        <w:t>selected international studies (</w:t>
      </w:r>
      <w:r w:rsidR="008E6E9C" w:rsidRPr="0046360F">
        <w:t xml:space="preserve">Connors et al. 2016, </w:t>
      </w:r>
      <w:r w:rsidRPr="0046360F">
        <w:rPr>
          <w:lang w:eastAsia="en-US"/>
        </w:rPr>
        <w:t xml:space="preserve">Grogan et al. 2016; Lane et al. 2019; Law et al. 2020; Staron et al. 2019; Nativi-Nicolau et al. 2020) to address </w:t>
      </w:r>
      <w:r w:rsidR="00E42DC3" w:rsidRPr="0046360F">
        <w:rPr>
          <w:lang w:eastAsia="en-US"/>
        </w:rPr>
        <w:t xml:space="preserve">the </w:t>
      </w:r>
      <w:r w:rsidRPr="0046360F">
        <w:rPr>
          <w:lang w:eastAsia="en-US"/>
        </w:rPr>
        <w:t>PBAC</w:t>
      </w:r>
      <w:r w:rsidR="00E42DC3" w:rsidRPr="0046360F">
        <w:rPr>
          <w:lang w:eastAsia="en-US"/>
        </w:rPr>
        <w:t>’s previous</w:t>
      </w:r>
      <w:r w:rsidRPr="0046360F">
        <w:rPr>
          <w:lang w:eastAsia="en-US"/>
        </w:rPr>
        <w:t xml:space="preserve"> concerns regarding the potential for the natural history of ATTR-CM to evolve with changing diagnostic paradigms. </w:t>
      </w:r>
      <w:r w:rsidR="00006ACE" w:rsidRPr="0046360F">
        <w:t>T</w:t>
      </w:r>
      <w:r w:rsidR="00645E68" w:rsidRPr="0046360F">
        <w:t xml:space="preserve">he </w:t>
      </w:r>
      <w:r w:rsidRPr="0046360F">
        <w:t>studies</w:t>
      </w:r>
      <w:r w:rsidR="00645E68" w:rsidRPr="0046360F">
        <w:t xml:space="preserve"> suggested the availability of non-invasive diagnostic tests (scintigraphy) and an effective disease modifying treatment option has substantially increased the incidence of ATTR-CM diagnoses in the international and Australian settings. </w:t>
      </w:r>
      <w:r w:rsidR="00645E68" w:rsidRPr="0046360F">
        <w:rPr>
          <w:lang w:eastAsia="en-US"/>
        </w:rPr>
        <w:t xml:space="preserve">The importance of earlier diagnosis and treatment of ATTR-CM was emphasised in all studies, but the </w:t>
      </w:r>
      <w:r w:rsidR="006E0C18" w:rsidRPr="0046360F">
        <w:rPr>
          <w:lang w:eastAsia="en-US"/>
        </w:rPr>
        <w:t>re</w:t>
      </w:r>
      <w:r w:rsidR="005B68D9" w:rsidRPr="0046360F">
        <w:rPr>
          <w:lang w:eastAsia="en-US"/>
        </w:rPr>
        <w:t xml:space="preserve">submission’s </w:t>
      </w:r>
      <w:r w:rsidR="00A92AC8" w:rsidRPr="0046360F">
        <w:rPr>
          <w:lang w:eastAsia="en-US"/>
        </w:rPr>
        <w:t xml:space="preserve">claim </w:t>
      </w:r>
      <w:r w:rsidR="00645E68" w:rsidRPr="0046360F">
        <w:rPr>
          <w:lang w:eastAsia="en-US"/>
        </w:rPr>
        <w:t>that</w:t>
      </w:r>
      <w:r w:rsidR="00D25684" w:rsidRPr="0046360F">
        <w:rPr>
          <w:lang w:eastAsia="en-US"/>
        </w:rPr>
        <w:t xml:space="preserve"> earlier diagnosis and treatment would result in</w:t>
      </w:r>
      <w:r w:rsidR="00645E68" w:rsidRPr="0046360F">
        <w:rPr>
          <w:lang w:eastAsia="en-US"/>
        </w:rPr>
        <w:t xml:space="preserve"> improvements in </w:t>
      </w:r>
      <w:r w:rsidR="00046D51" w:rsidRPr="0046360F">
        <w:rPr>
          <w:lang w:eastAsia="en-US"/>
        </w:rPr>
        <w:t>survival was</w:t>
      </w:r>
      <w:r w:rsidR="00645E68" w:rsidRPr="0046360F">
        <w:rPr>
          <w:lang w:eastAsia="en-US"/>
        </w:rPr>
        <w:t xml:space="preserve"> </w:t>
      </w:r>
      <w:r w:rsidR="00D25684" w:rsidRPr="0046360F">
        <w:rPr>
          <w:lang w:eastAsia="en-US"/>
        </w:rPr>
        <w:t>unsupported</w:t>
      </w:r>
      <w:r w:rsidR="00645E68" w:rsidRPr="0046360F">
        <w:rPr>
          <w:lang w:eastAsia="en-US"/>
        </w:rPr>
        <w:t>.</w:t>
      </w:r>
      <w:bookmarkEnd w:id="18"/>
    </w:p>
    <w:p w:rsidR="00B60939" w:rsidRPr="0046360F" w:rsidRDefault="00B60939" w:rsidP="00EC5836">
      <w:pPr>
        <w:pStyle w:val="3-SubsectionHeading"/>
      </w:pPr>
      <w:bookmarkStart w:id="19" w:name="_Toc22897641"/>
      <w:bookmarkStart w:id="20" w:name="_Toc62050862"/>
      <w:r w:rsidRPr="0046360F">
        <w:t>Comparative effectiveness</w:t>
      </w:r>
      <w:bookmarkEnd w:id="19"/>
      <w:bookmarkEnd w:id="20"/>
    </w:p>
    <w:p w:rsidR="00B678BB" w:rsidRPr="0046360F" w:rsidRDefault="00B678BB" w:rsidP="00B678BB">
      <w:pPr>
        <w:pStyle w:val="ExecSumBodyText"/>
        <w:numPr>
          <w:ilvl w:val="0"/>
          <w:numId w:val="0"/>
        </w:numPr>
        <w:rPr>
          <w:b/>
        </w:rPr>
      </w:pPr>
      <w:r w:rsidRPr="0046360F">
        <w:rPr>
          <w:b/>
        </w:rPr>
        <w:t xml:space="preserve">ATTR-ACT trial results </w:t>
      </w:r>
    </w:p>
    <w:p w:rsidR="00B678BB" w:rsidRPr="0046360F" w:rsidRDefault="00B678BB" w:rsidP="00B678BB">
      <w:pPr>
        <w:pStyle w:val="ExecSumBodyText"/>
      </w:pPr>
      <w:r w:rsidRPr="0046360F">
        <w:t>The results of the ATTR-ACT trial</w:t>
      </w:r>
      <w:r w:rsidR="00DD6432" w:rsidRPr="0046360F">
        <w:t>, presented in the July 2020 submission, are reproduced below.</w:t>
      </w:r>
    </w:p>
    <w:p w:rsidR="00D9036F" w:rsidRPr="0046360F" w:rsidRDefault="00D9036F" w:rsidP="00D9036F">
      <w:pPr>
        <w:pStyle w:val="ExecSumBodyText"/>
        <w:numPr>
          <w:ilvl w:val="1"/>
          <w:numId w:val="1"/>
        </w:numPr>
        <w:rPr>
          <w:color w:val="0066FF"/>
        </w:rPr>
      </w:pPr>
      <w:r w:rsidRPr="0046360F">
        <w:t xml:space="preserve">Table 5 summarises time to all-cause mortality by tafamidis dose for the ATTR-ACT trial at 30 months (ITT). Figure </w:t>
      </w:r>
      <w:r w:rsidR="002D3181" w:rsidRPr="0046360F">
        <w:t>2</w:t>
      </w:r>
      <w:r w:rsidRPr="0046360F">
        <w:t xml:space="preserve"> show</w:t>
      </w:r>
      <w:r w:rsidR="004D1E0C" w:rsidRPr="0046360F">
        <w:t>s the</w:t>
      </w:r>
      <w:r w:rsidRPr="0046360F">
        <w:t xml:space="preserve"> Kaplan-Meier plot of time to all-cause mortality by tafamidis dose.</w:t>
      </w:r>
    </w:p>
    <w:p w:rsidR="00B24766" w:rsidRPr="0046360F" w:rsidRDefault="00B24766" w:rsidP="00CC7D48">
      <w:pPr>
        <w:pStyle w:val="TableFigureCaption"/>
      </w:pPr>
      <w:r w:rsidRPr="0046360F">
        <w:t xml:space="preserve">Table </w:t>
      </w:r>
      <w:r w:rsidR="00C170ED">
        <w:rPr>
          <w:noProof/>
        </w:rPr>
        <w:t>5</w:t>
      </w:r>
      <w:r w:rsidR="00CC7D48" w:rsidRPr="0046360F">
        <w:t xml:space="preserve">: </w:t>
      </w:r>
      <w:r w:rsidRPr="0046360F">
        <w:t>Summary of all-cause mortality events for ATTR-ACT (ITT; randomisation to 30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710"/>
        <w:gridCol w:w="1710"/>
        <w:gridCol w:w="1710"/>
        <w:gridCol w:w="1470"/>
      </w:tblGrid>
      <w:tr w:rsidR="00B24766" w:rsidRPr="0046360F" w:rsidTr="00221DAD">
        <w:trPr>
          <w:tblHeader/>
        </w:trPr>
        <w:tc>
          <w:tcPr>
            <w:tcW w:w="1341" w:type="pct"/>
            <w:vAlign w:val="center"/>
          </w:tcPr>
          <w:p w:rsidR="00B24766" w:rsidRPr="0046360F" w:rsidRDefault="00B24766" w:rsidP="00221DAD">
            <w:pPr>
              <w:pStyle w:val="Tableheadingrow"/>
              <w:tabs>
                <w:tab w:val="left" w:pos="175"/>
              </w:tabs>
              <w:rPr>
                <w:lang w:val="en-AU"/>
              </w:rPr>
            </w:pPr>
            <w:r w:rsidRPr="0046360F">
              <w:rPr>
                <w:lang w:val="en-AU"/>
              </w:rPr>
              <w:t>Events, n (%)</w:t>
            </w:r>
          </w:p>
        </w:tc>
        <w:tc>
          <w:tcPr>
            <w:tcW w:w="948" w:type="pct"/>
            <w:vAlign w:val="center"/>
          </w:tcPr>
          <w:p w:rsidR="00B24766" w:rsidRPr="0046360F" w:rsidRDefault="00B24766" w:rsidP="00221DAD">
            <w:pPr>
              <w:pStyle w:val="Tableheadingrow"/>
              <w:jc w:val="center"/>
              <w:rPr>
                <w:szCs w:val="20"/>
                <w:lang w:val="en-AU"/>
              </w:rPr>
            </w:pPr>
            <w:r w:rsidRPr="0046360F">
              <w:rPr>
                <w:szCs w:val="20"/>
                <w:lang w:val="en-AU"/>
              </w:rPr>
              <w:t>Tafamidis 20 mg</w:t>
            </w:r>
          </w:p>
        </w:tc>
        <w:tc>
          <w:tcPr>
            <w:tcW w:w="948" w:type="pct"/>
            <w:vAlign w:val="center"/>
          </w:tcPr>
          <w:p w:rsidR="00B24766" w:rsidRPr="0046360F" w:rsidRDefault="00B24766" w:rsidP="00221DAD">
            <w:pPr>
              <w:pStyle w:val="Tableheadingrow"/>
              <w:jc w:val="center"/>
              <w:rPr>
                <w:szCs w:val="20"/>
                <w:lang w:val="en-AU"/>
              </w:rPr>
            </w:pPr>
            <w:r w:rsidRPr="0046360F">
              <w:rPr>
                <w:szCs w:val="20"/>
                <w:lang w:val="en-AU"/>
              </w:rPr>
              <w:t>Tafamidis 80 mg</w:t>
            </w:r>
          </w:p>
        </w:tc>
        <w:tc>
          <w:tcPr>
            <w:tcW w:w="948" w:type="pct"/>
            <w:vAlign w:val="center"/>
          </w:tcPr>
          <w:p w:rsidR="00B24766" w:rsidRPr="0046360F" w:rsidRDefault="00B24766" w:rsidP="00221DAD">
            <w:pPr>
              <w:pStyle w:val="Tableheadingrow"/>
              <w:jc w:val="center"/>
              <w:rPr>
                <w:szCs w:val="20"/>
                <w:lang w:val="en-AU"/>
              </w:rPr>
            </w:pPr>
            <w:r w:rsidRPr="0046360F">
              <w:rPr>
                <w:szCs w:val="20"/>
                <w:lang w:val="en-AU"/>
              </w:rPr>
              <w:t>Tafamidis pooled</w:t>
            </w:r>
          </w:p>
        </w:tc>
        <w:tc>
          <w:tcPr>
            <w:tcW w:w="815" w:type="pct"/>
            <w:vAlign w:val="center"/>
          </w:tcPr>
          <w:p w:rsidR="00B24766" w:rsidRPr="0046360F" w:rsidRDefault="00B24766" w:rsidP="00221DAD">
            <w:pPr>
              <w:pStyle w:val="Tableheadingrow"/>
              <w:jc w:val="center"/>
              <w:rPr>
                <w:szCs w:val="20"/>
                <w:lang w:val="en-AU"/>
              </w:rPr>
            </w:pPr>
            <w:r w:rsidRPr="0046360F">
              <w:rPr>
                <w:szCs w:val="20"/>
                <w:lang w:val="en-AU"/>
              </w:rPr>
              <w:t>Placebo</w:t>
            </w:r>
          </w:p>
        </w:tc>
      </w:tr>
      <w:tr w:rsidR="00B24766" w:rsidRPr="0046360F" w:rsidTr="00221DAD">
        <w:tc>
          <w:tcPr>
            <w:tcW w:w="1341" w:type="pct"/>
            <w:vAlign w:val="center"/>
          </w:tcPr>
          <w:p w:rsidR="00B24766" w:rsidRPr="0046360F" w:rsidRDefault="00B24766" w:rsidP="00221DAD">
            <w:pPr>
              <w:pStyle w:val="TableText"/>
              <w:tabs>
                <w:tab w:val="left" w:pos="175"/>
              </w:tabs>
            </w:pPr>
            <w:r w:rsidRPr="0046360F">
              <w:t>N</w:t>
            </w:r>
          </w:p>
        </w:tc>
        <w:tc>
          <w:tcPr>
            <w:tcW w:w="948" w:type="pct"/>
            <w:vAlign w:val="center"/>
          </w:tcPr>
          <w:p w:rsidR="00B24766" w:rsidRPr="0046360F" w:rsidRDefault="00B24766" w:rsidP="00221DAD">
            <w:pPr>
              <w:pStyle w:val="TableText"/>
              <w:jc w:val="center"/>
              <w:rPr>
                <w:szCs w:val="20"/>
              </w:rPr>
            </w:pPr>
            <w:r w:rsidRPr="0046360F">
              <w:rPr>
                <w:szCs w:val="20"/>
              </w:rPr>
              <w:t>88</w:t>
            </w:r>
          </w:p>
        </w:tc>
        <w:tc>
          <w:tcPr>
            <w:tcW w:w="948" w:type="pct"/>
            <w:vAlign w:val="center"/>
          </w:tcPr>
          <w:p w:rsidR="00B24766" w:rsidRPr="0046360F" w:rsidRDefault="00B24766" w:rsidP="00221DAD">
            <w:pPr>
              <w:pStyle w:val="TableText"/>
              <w:jc w:val="center"/>
              <w:rPr>
                <w:szCs w:val="20"/>
              </w:rPr>
            </w:pPr>
            <w:r w:rsidRPr="0046360F">
              <w:rPr>
                <w:szCs w:val="20"/>
              </w:rPr>
              <w:t>176</w:t>
            </w:r>
          </w:p>
        </w:tc>
        <w:tc>
          <w:tcPr>
            <w:tcW w:w="948" w:type="pct"/>
            <w:vAlign w:val="center"/>
          </w:tcPr>
          <w:p w:rsidR="00B24766" w:rsidRPr="0046360F" w:rsidRDefault="00B24766" w:rsidP="00221DAD">
            <w:pPr>
              <w:pStyle w:val="TableText"/>
              <w:jc w:val="center"/>
              <w:rPr>
                <w:szCs w:val="20"/>
              </w:rPr>
            </w:pPr>
            <w:r w:rsidRPr="0046360F">
              <w:rPr>
                <w:szCs w:val="20"/>
              </w:rPr>
              <w:t>264</w:t>
            </w:r>
          </w:p>
        </w:tc>
        <w:tc>
          <w:tcPr>
            <w:tcW w:w="815" w:type="pct"/>
            <w:vAlign w:val="center"/>
          </w:tcPr>
          <w:p w:rsidR="00B24766" w:rsidRPr="0046360F" w:rsidRDefault="00B24766" w:rsidP="00221DAD">
            <w:pPr>
              <w:pStyle w:val="TableText"/>
              <w:jc w:val="center"/>
              <w:rPr>
                <w:szCs w:val="20"/>
              </w:rPr>
            </w:pPr>
            <w:r w:rsidRPr="0046360F">
              <w:rPr>
                <w:szCs w:val="20"/>
              </w:rPr>
              <w:t>177</w:t>
            </w:r>
          </w:p>
        </w:tc>
      </w:tr>
      <w:tr w:rsidR="00B24766" w:rsidRPr="0046360F" w:rsidTr="00221DAD">
        <w:tc>
          <w:tcPr>
            <w:tcW w:w="1341" w:type="pct"/>
            <w:vAlign w:val="center"/>
          </w:tcPr>
          <w:p w:rsidR="00B24766" w:rsidRPr="0046360F" w:rsidRDefault="00B24766" w:rsidP="00221DAD">
            <w:pPr>
              <w:pStyle w:val="TableText"/>
              <w:tabs>
                <w:tab w:val="left" w:pos="175"/>
              </w:tabs>
              <w:rPr>
                <w:vertAlign w:val="superscript"/>
              </w:rPr>
            </w:pPr>
            <w:r w:rsidRPr="0046360F">
              <w:t>All-cause mortality events</w:t>
            </w:r>
            <w:r w:rsidRPr="0046360F">
              <w:rPr>
                <w:vertAlign w:val="superscript"/>
              </w:rPr>
              <w:t>a</w:t>
            </w:r>
          </w:p>
        </w:tc>
        <w:tc>
          <w:tcPr>
            <w:tcW w:w="948" w:type="pct"/>
          </w:tcPr>
          <w:p w:rsidR="00B24766" w:rsidRPr="0046360F" w:rsidRDefault="00B24766" w:rsidP="00221DAD">
            <w:pPr>
              <w:pStyle w:val="TableText"/>
              <w:jc w:val="center"/>
              <w:rPr>
                <w:rFonts w:eastAsia="Times New Roman"/>
                <w:color w:val="000000"/>
                <w:szCs w:val="20"/>
              </w:rPr>
            </w:pPr>
            <w:r w:rsidRPr="0046360F">
              <w:rPr>
                <w:rFonts w:eastAsia="Times New Roman"/>
                <w:color w:val="000000"/>
                <w:szCs w:val="20"/>
              </w:rPr>
              <w:t>24 (27.3%)</w:t>
            </w:r>
          </w:p>
        </w:tc>
        <w:tc>
          <w:tcPr>
            <w:tcW w:w="948" w:type="pct"/>
          </w:tcPr>
          <w:p w:rsidR="00B24766" w:rsidRPr="0046360F" w:rsidRDefault="00B24766" w:rsidP="00221DAD">
            <w:pPr>
              <w:pStyle w:val="TableText"/>
              <w:jc w:val="center"/>
              <w:rPr>
                <w:rFonts w:eastAsia="Times New Roman"/>
                <w:color w:val="000000"/>
                <w:szCs w:val="20"/>
              </w:rPr>
            </w:pPr>
            <w:r w:rsidRPr="0046360F">
              <w:rPr>
                <w:rFonts w:eastAsia="Times New Roman"/>
                <w:color w:val="000000"/>
                <w:szCs w:val="20"/>
              </w:rPr>
              <w:t>54 (30.7%)</w:t>
            </w:r>
          </w:p>
        </w:tc>
        <w:tc>
          <w:tcPr>
            <w:tcW w:w="948" w:type="pct"/>
          </w:tcPr>
          <w:p w:rsidR="00B24766" w:rsidRPr="0046360F" w:rsidRDefault="00B24766" w:rsidP="00221DAD">
            <w:pPr>
              <w:pStyle w:val="TableText"/>
              <w:jc w:val="center"/>
              <w:rPr>
                <w:rFonts w:eastAsia="Times New Roman"/>
                <w:color w:val="000000"/>
                <w:szCs w:val="20"/>
              </w:rPr>
            </w:pPr>
            <w:r w:rsidRPr="0046360F">
              <w:rPr>
                <w:rFonts w:eastAsia="Times New Roman"/>
                <w:color w:val="000000"/>
                <w:szCs w:val="20"/>
              </w:rPr>
              <w:t>78 (29.5%)</w:t>
            </w:r>
          </w:p>
        </w:tc>
        <w:tc>
          <w:tcPr>
            <w:tcW w:w="815" w:type="pct"/>
          </w:tcPr>
          <w:p w:rsidR="00B24766" w:rsidRPr="0046360F" w:rsidRDefault="00B24766" w:rsidP="00221DAD">
            <w:pPr>
              <w:pStyle w:val="TableText"/>
              <w:jc w:val="center"/>
              <w:rPr>
                <w:rFonts w:eastAsia="Times New Roman"/>
                <w:color w:val="000000"/>
                <w:szCs w:val="20"/>
              </w:rPr>
            </w:pPr>
            <w:r w:rsidRPr="0046360F">
              <w:rPr>
                <w:rFonts w:eastAsia="Times New Roman"/>
                <w:color w:val="000000"/>
                <w:szCs w:val="20"/>
              </w:rPr>
              <w:t>76 (42.9%)</w:t>
            </w:r>
          </w:p>
        </w:tc>
      </w:tr>
      <w:tr w:rsidR="00B24766" w:rsidRPr="0046360F" w:rsidTr="00221DAD">
        <w:tc>
          <w:tcPr>
            <w:tcW w:w="1341" w:type="pct"/>
            <w:vAlign w:val="center"/>
          </w:tcPr>
          <w:p w:rsidR="00B24766" w:rsidRPr="0046360F" w:rsidRDefault="00B24766" w:rsidP="00221DAD">
            <w:pPr>
              <w:pStyle w:val="TableText"/>
              <w:tabs>
                <w:tab w:val="left" w:pos="175"/>
              </w:tabs>
            </w:pPr>
            <w:r w:rsidRPr="0046360F">
              <w:tab/>
              <w:t>Total deaths</w:t>
            </w:r>
          </w:p>
        </w:tc>
        <w:tc>
          <w:tcPr>
            <w:tcW w:w="948" w:type="pct"/>
          </w:tcPr>
          <w:p w:rsidR="00B24766" w:rsidRPr="0046360F" w:rsidRDefault="00B24766" w:rsidP="00221DAD">
            <w:pPr>
              <w:pStyle w:val="TableText"/>
              <w:jc w:val="center"/>
              <w:rPr>
                <w:szCs w:val="20"/>
              </w:rPr>
            </w:pPr>
            <w:r w:rsidRPr="0046360F">
              <w:rPr>
                <w:rFonts w:eastAsia="Times New Roman"/>
                <w:color w:val="000000"/>
                <w:szCs w:val="20"/>
              </w:rPr>
              <w:t>23 (26.1%)</w:t>
            </w:r>
          </w:p>
        </w:tc>
        <w:tc>
          <w:tcPr>
            <w:tcW w:w="948" w:type="pct"/>
            <w:shd w:val="clear" w:color="auto" w:fill="auto"/>
          </w:tcPr>
          <w:p w:rsidR="00B24766" w:rsidRPr="0046360F" w:rsidRDefault="00B24766" w:rsidP="00221DAD">
            <w:pPr>
              <w:pStyle w:val="TableText"/>
              <w:jc w:val="center"/>
              <w:rPr>
                <w:szCs w:val="20"/>
                <w:vertAlign w:val="superscript"/>
              </w:rPr>
            </w:pPr>
            <w:r w:rsidRPr="0046360F">
              <w:rPr>
                <w:rFonts w:eastAsia="Times New Roman"/>
                <w:color w:val="000000"/>
                <w:szCs w:val="20"/>
              </w:rPr>
              <w:t>46 (26.1%)</w:t>
            </w:r>
          </w:p>
        </w:tc>
        <w:tc>
          <w:tcPr>
            <w:tcW w:w="948" w:type="pct"/>
            <w:shd w:val="clear" w:color="auto" w:fill="auto"/>
          </w:tcPr>
          <w:p w:rsidR="00B24766" w:rsidRPr="0046360F" w:rsidRDefault="00B24766" w:rsidP="00221DAD">
            <w:pPr>
              <w:pStyle w:val="TableText"/>
              <w:jc w:val="center"/>
              <w:rPr>
                <w:szCs w:val="20"/>
              </w:rPr>
            </w:pPr>
            <w:r w:rsidRPr="0046360F">
              <w:rPr>
                <w:rFonts w:eastAsia="Times New Roman"/>
                <w:color w:val="000000"/>
                <w:szCs w:val="20"/>
              </w:rPr>
              <w:t>69 (26.1%)</w:t>
            </w:r>
          </w:p>
        </w:tc>
        <w:tc>
          <w:tcPr>
            <w:tcW w:w="815" w:type="pct"/>
          </w:tcPr>
          <w:p w:rsidR="00B24766" w:rsidRPr="0046360F" w:rsidRDefault="00B24766" w:rsidP="00221DAD">
            <w:pPr>
              <w:pStyle w:val="TableText"/>
              <w:jc w:val="center"/>
              <w:rPr>
                <w:szCs w:val="20"/>
              </w:rPr>
            </w:pPr>
            <w:r w:rsidRPr="0046360F">
              <w:rPr>
                <w:rFonts w:eastAsia="Times New Roman"/>
                <w:color w:val="000000"/>
                <w:szCs w:val="20"/>
              </w:rPr>
              <w:t>72 (40.7%)</w:t>
            </w:r>
          </w:p>
        </w:tc>
      </w:tr>
      <w:tr w:rsidR="00B24766" w:rsidRPr="0046360F" w:rsidTr="00221DAD">
        <w:tc>
          <w:tcPr>
            <w:tcW w:w="1341" w:type="pct"/>
            <w:vAlign w:val="center"/>
          </w:tcPr>
          <w:p w:rsidR="00B24766" w:rsidRPr="0046360F" w:rsidRDefault="00B24766" w:rsidP="00221DAD">
            <w:pPr>
              <w:pStyle w:val="TableText"/>
              <w:tabs>
                <w:tab w:val="left" w:pos="175"/>
              </w:tabs>
            </w:pPr>
            <w:r w:rsidRPr="0046360F">
              <w:tab/>
              <w:t>Heart transplants</w:t>
            </w:r>
          </w:p>
        </w:tc>
        <w:tc>
          <w:tcPr>
            <w:tcW w:w="948" w:type="pct"/>
          </w:tcPr>
          <w:p w:rsidR="00B24766" w:rsidRPr="0046360F" w:rsidRDefault="00B24766" w:rsidP="00221DAD">
            <w:pPr>
              <w:pStyle w:val="TableText"/>
              <w:jc w:val="center"/>
              <w:rPr>
                <w:szCs w:val="20"/>
              </w:rPr>
            </w:pPr>
            <w:r w:rsidRPr="0046360F">
              <w:rPr>
                <w:rFonts w:eastAsia="Times New Roman"/>
                <w:color w:val="000000"/>
                <w:szCs w:val="20"/>
              </w:rPr>
              <w:t>1 (1.1%)</w:t>
            </w:r>
          </w:p>
        </w:tc>
        <w:tc>
          <w:tcPr>
            <w:tcW w:w="948" w:type="pct"/>
          </w:tcPr>
          <w:p w:rsidR="00B24766" w:rsidRPr="0046360F" w:rsidRDefault="00B24766" w:rsidP="00221DAD">
            <w:pPr>
              <w:pStyle w:val="TableText"/>
              <w:jc w:val="center"/>
              <w:rPr>
                <w:szCs w:val="20"/>
              </w:rPr>
            </w:pPr>
            <w:r w:rsidRPr="0046360F">
              <w:rPr>
                <w:rFonts w:eastAsia="Times New Roman"/>
                <w:color w:val="000000"/>
                <w:szCs w:val="20"/>
              </w:rPr>
              <w:t>6 (3.4%)</w:t>
            </w:r>
          </w:p>
        </w:tc>
        <w:tc>
          <w:tcPr>
            <w:tcW w:w="948" w:type="pct"/>
          </w:tcPr>
          <w:p w:rsidR="00B24766" w:rsidRPr="0046360F" w:rsidRDefault="00B24766" w:rsidP="00221DAD">
            <w:pPr>
              <w:pStyle w:val="TableText"/>
              <w:jc w:val="center"/>
              <w:rPr>
                <w:szCs w:val="20"/>
              </w:rPr>
            </w:pPr>
            <w:r w:rsidRPr="0046360F">
              <w:rPr>
                <w:rFonts w:eastAsia="Times New Roman"/>
                <w:color w:val="000000"/>
                <w:szCs w:val="20"/>
              </w:rPr>
              <w:t>7 (2.7%)</w:t>
            </w:r>
          </w:p>
        </w:tc>
        <w:tc>
          <w:tcPr>
            <w:tcW w:w="815" w:type="pct"/>
          </w:tcPr>
          <w:p w:rsidR="00B24766" w:rsidRPr="0046360F" w:rsidRDefault="00B24766" w:rsidP="00221DAD">
            <w:pPr>
              <w:pStyle w:val="TableText"/>
              <w:jc w:val="center"/>
              <w:rPr>
                <w:szCs w:val="20"/>
              </w:rPr>
            </w:pPr>
            <w:r w:rsidRPr="0046360F">
              <w:rPr>
                <w:rFonts w:eastAsia="Times New Roman"/>
                <w:color w:val="000000"/>
                <w:szCs w:val="20"/>
              </w:rPr>
              <w:t>4 (2.3%)</w:t>
            </w:r>
          </w:p>
        </w:tc>
      </w:tr>
      <w:tr w:rsidR="00B24766" w:rsidRPr="0046360F" w:rsidTr="00221DAD">
        <w:tc>
          <w:tcPr>
            <w:tcW w:w="1341" w:type="pct"/>
            <w:vAlign w:val="center"/>
          </w:tcPr>
          <w:p w:rsidR="00B24766" w:rsidRPr="0046360F" w:rsidRDefault="00B24766" w:rsidP="00221DAD">
            <w:pPr>
              <w:pStyle w:val="TableText"/>
              <w:tabs>
                <w:tab w:val="left" w:pos="175"/>
              </w:tabs>
            </w:pPr>
            <w:r w:rsidRPr="0046360F">
              <w:tab/>
              <w:t>Cardiac device implants</w:t>
            </w:r>
          </w:p>
        </w:tc>
        <w:tc>
          <w:tcPr>
            <w:tcW w:w="948" w:type="pct"/>
          </w:tcPr>
          <w:p w:rsidR="00B24766" w:rsidRPr="0046360F" w:rsidRDefault="00B24766" w:rsidP="00221DAD">
            <w:pPr>
              <w:pStyle w:val="TableText"/>
              <w:jc w:val="center"/>
              <w:rPr>
                <w:szCs w:val="20"/>
              </w:rPr>
            </w:pPr>
            <w:r w:rsidRPr="0046360F">
              <w:rPr>
                <w:rFonts w:eastAsia="Times New Roman"/>
                <w:color w:val="000000"/>
                <w:szCs w:val="20"/>
              </w:rPr>
              <w:t>0</w:t>
            </w:r>
          </w:p>
        </w:tc>
        <w:tc>
          <w:tcPr>
            <w:tcW w:w="948" w:type="pct"/>
          </w:tcPr>
          <w:p w:rsidR="00B24766" w:rsidRPr="0046360F" w:rsidRDefault="00B24766" w:rsidP="00221DAD">
            <w:pPr>
              <w:pStyle w:val="TableText"/>
              <w:jc w:val="center"/>
              <w:rPr>
                <w:szCs w:val="20"/>
              </w:rPr>
            </w:pPr>
            <w:r w:rsidRPr="0046360F">
              <w:rPr>
                <w:rFonts w:eastAsia="Times New Roman"/>
                <w:color w:val="000000"/>
                <w:szCs w:val="20"/>
              </w:rPr>
              <w:t>2 (1.1%)</w:t>
            </w:r>
          </w:p>
        </w:tc>
        <w:tc>
          <w:tcPr>
            <w:tcW w:w="948" w:type="pct"/>
          </w:tcPr>
          <w:p w:rsidR="00B24766" w:rsidRPr="0046360F" w:rsidRDefault="00B24766" w:rsidP="00221DAD">
            <w:pPr>
              <w:pStyle w:val="TableText"/>
              <w:jc w:val="center"/>
              <w:rPr>
                <w:szCs w:val="20"/>
              </w:rPr>
            </w:pPr>
            <w:r w:rsidRPr="0046360F">
              <w:rPr>
                <w:rFonts w:eastAsia="Times New Roman"/>
                <w:color w:val="000000"/>
                <w:szCs w:val="20"/>
              </w:rPr>
              <w:t>2 (0.8%)</w:t>
            </w:r>
          </w:p>
        </w:tc>
        <w:tc>
          <w:tcPr>
            <w:tcW w:w="815" w:type="pct"/>
          </w:tcPr>
          <w:p w:rsidR="00B24766" w:rsidRPr="0046360F" w:rsidRDefault="00B24766" w:rsidP="00221DAD">
            <w:pPr>
              <w:pStyle w:val="TableText"/>
              <w:jc w:val="center"/>
              <w:rPr>
                <w:szCs w:val="20"/>
              </w:rPr>
            </w:pPr>
            <w:r w:rsidRPr="0046360F">
              <w:rPr>
                <w:rFonts w:eastAsia="Times New Roman"/>
                <w:color w:val="000000"/>
                <w:szCs w:val="20"/>
              </w:rPr>
              <w:t>0</w:t>
            </w:r>
          </w:p>
        </w:tc>
      </w:tr>
      <w:tr w:rsidR="00B24766" w:rsidRPr="0046360F" w:rsidTr="00221DAD">
        <w:tc>
          <w:tcPr>
            <w:tcW w:w="1341" w:type="pct"/>
            <w:vAlign w:val="center"/>
          </w:tcPr>
          <w:p w:rsidR="00B24766" w:rsidRPr="0046360F" w:rsidRDefault="00B24766" w:rsidP="00221DAD">
            <w:pPr>
              <w:pStyle w:val="TableText"/>
              <w:tabs>
                <w:tab w:val="left" w:pos="175"/>
              </w:tabs>
            </w:pPr>
            <w:r w:rsidRPr="0046360F">
              <w:t>Censored</w:t>
            </w:r>
            <w:r w:rsidRPr="0046360F">
              <w:rPr>
                <w:vertAlign w:val="superscript"/>
              </w:rPr>
              <w:t>b</w:t>
            </w:r>
          </w:p>
        </w:tc>
        <w:tc>
          <w:tcPr>
            <w:tcW w:w="948" w:type="pct"/>
          </w:tcPr>
          <w:p w:rsidR="00B24766" w:rsidRPr="0046360F" w:rsidRDefault="00B24766" w:rsidP="00221DAD">
            <w:pPr>
              <w:pStyle w:val="TableText"/>
              <w:jc w:val="center"/>
              <w:rPr>
                <w:szCs w:val="20"/>
              </w:rPr>
            </w:pPr>
            <w:r w:rsidRPr="0046360F">
              <w:rPr>
                <w:rFonts w:eastAsia="Times New Roman"/>
                <w:color w:val="000000"/>
                <w:szCs w:val="20"/>
              </w:rPr>
              <w:t>64 (72.7%)</w:t>
            </w:r>
          </w:p>
        </w:tc>
        <w:tc>
          <w:tcPr>
            <w:tcW w:w="948" w:type="pct"/>
          </w:tcPr>
          <w:p w:rsidR="00B24766" w:rsidRPr="0046360F" w:rsidRDefault="00B24766" w:rsidP="00221DAD">
            <w:pPr>
              <w:pStyle w:val="TableText"/>
              <w:jc w:val="center"/>
              <w:rPr>
                <w:szCs w:val="20"/>
              </w:rPr>
            </w:pPr>
            <w:r w:rsidRPr="0046360F">
              <w:rPr>
                <w:rFonts w:eastAsia="Times New Roman"/>
                <w:color w:val="000000"/>
                <w:szCs w:val="20"/>
              </w:rPr>
              <w:t>122 (69.3%)</w:t>
            </w:r>
          </w:p>
        </w:tc>
        <w:tc>
          <w:tcPr>
            <w:tcW w:w="948" w:type="pct"/>
          </w:tcPr>
          <w:p w:rsidR="00B24766" w:rsidRPr="0046360F" w:rsidRDefault="00B24766" w:rsidP="00221DAD">
            <w:pPr>
              <w:pStyle w:val="TableText"/>
              <w:jc w:val="center"/>
              <w:rPr>
                <w:szCs w:val="20"/>
              </w:rPr>
            </w:pPr>
            <w:r w:rsidRPr="0046360F">
              <w:rPr>
                <w:rFonts w:eastAsia="Times New Roman"/>
                <w:color w:val="000000"/>
                <w:szCs w:val="20"/>
              </w:rPr>
              <w:t>186 (70.5%)</w:t>
            </w:r>
          </w:p>
        </w:tc>
        <w:tc>
          <w:tcPr>
            <w:tcW w:w="815" w:type="pct"/>
          </w:tcPr>
          <w:p w:rsidR="00B24766" w:rsidRPr="0046360F" w:rsidRDefault="00B24766" w:rsidP="00221DAD">
            <w:pPr>
              <w:pStyle w:val="TableText"/>
              <w:jc w:val="center"/>
              <w:rPr>
                <w:szCs w:val="20"/>
              </w:rPr>
            </w:pPr>
            <w:r w:rsidRPr="0046360F">
              <w:rPr>
                <w:rFonts w:eastAsia="Times New Roman"/>
                <w:color w:val="000000"/>
                <w:szCs w:val="20"/>
              </w:rPr>
              <w:t>101 (57.1%)</w:t>
            </w:r>
          </w:p>
        </w:tc>
      </w:tr>
      <w:tr w:rsidR="00B24766" w:rsidRPr="0046360F" w:rsidTr="00221DAD">
        <w:tc>
          <w:tcPr>
            <w:tcW w:w="5000" w:type="pct"/>
            <w:gridSpan w:val="5"/>
            <w:vAlign w:val="center"/>
          </w:tcPr>
          <w:p w:rsidR="00B24766" w:rsidRPr="0046360F" w:rsidRDefault="00B24766" w:rsidP="00221DAD">
            <w:pPr>
              <w:pStyle w:val="TableText"/>
              <w:ind w:left="-75" w:right="-85"/>
              <w:rPr>
                <w:szCs w:val="20"/>
              </w:rPr>
            </w:pPr>
            <w:r w:rsidRPr="0046360F">
              <w:t>Kaplan-Meier estimates of time to event (months) by Quartiles (95% CI)</w:t>
            </w:r>
          </w:p>
        </w:tc>
      </w:tr>
      <w:tr w:rsidR="00B24766" w:rsidRPr="0046360F" w:rsidTr="00221DAD">
        <w:tc>
          <w:tcPr>
            <w:tcW w:w="1341" w:type="pct"/>
            <w:vAlign w:val="center"/>
          </w:tcPr>
          <w:p w:rsidR="00B24766" w:rsidRPr="0046360F" w:rsidRDefault="00B24766" w:rsidP="00221DAD">
            <w:pPr>
              <w:pStyle w:val="TableText"/>
              <w:tabs>
                <w:tab w:val="left" w:pos="175"/>
              </w:tabs>
            </w:pPr>
            <w:r w:rsidRPr="0046360F">
              <w:tab/>
              <w:t xml:space="preserve">25% </w:t>
            </w:r>
          </w:p>
        </w:tc>
        <w:tc>
          <w:tcPr>
            <w:tcW w:w="948" w:type="pct"/>
            <w:vAlign w:val="center"/>
          </w:tcPr>
          <w:p w:rsidR="00B24766" w:rsidRPr="0046360F" w:rsidRDefault="00B24766" w:rsidP="00221DAD">
            <w:pPr>
              <w:pStyle w:val="TableText"/>
              <w:ind w:left="-75" w:right="-85"/>
              <w:jc w:val="center"/>
              <w:rPr>
                <w:szCs w:val="20"/>
              </w:rPr>
            </w:pPr>
            <w:r w:rsidRPr="0046360F">
              <w:rPr>
                <w:szCs w:val="20"/>
              </w:rPr>
              <w:t>26.0 (14.5, NE)</w:t>
            </w:r>
          </w:p>
        </w:tc>
        <w:tc>
          <w:tcPr>
            <w:tcW w:w="948" w:type="pct"/>
            <w:vAlign w:val="center"/>
          </w:tcPr>
          <w:p w:rsidR="00B24766" w:rsidRPr="0046360F" w:rsidRDefault="00B24766" w:rsidP="00221DAD">
            <w:pPr>
              <w:pStyle w:val="TableText"/>
              <w:ind w:left="-75" w:right="-85"/>
              <w:jc w:val="center"/>
              <w:rPr>
                <w:szCs w:val="20"/>
              </w:rPr>
            </w:pPr>
            <w:r w:rsidRPr="0046360F">
              <w:rPr>
                <w:szCs w:val="20"/>
              </w:rPr>
              <w:t>24.6 (18.6, NE)</w:t>
            </w:r>
          </w:p>
        </w:tc>
        <w:tc>
          <w:tcPr>
            <w:tcW w:w="948" w:type="pct"/>
            <w:vAlign w:val="center"/>
          </w:tcPr>
          <w:p w:rsidR="00B24766" w:rsidRPr="0046360F" w:rsidRDefault="00B24766" w:rsidP="00221DAD">
            <w:pPr>
              <w:pStyle w:val="TableText"/>
              <w:ind w:left="-75" w:right="-85"/>
              <w:jc w:val="center"/>
              <w:rPr>
                <w:szCs w:val="20"/>
              </w:rPr>
            </w:pPr>
            <w:r w:rsidRPr="0046360F">
              <w:rPr>
                <w:szCs w:val="20"/>
              </w:rPr>
              <w:t>25.9 (19.8, NE)</w:t>
            </w:r>
          </w:p>
        </w:tc>
        <w:tc>
          <w:tcPr>
            <w:tcW w:w="815" w:type="pct"/>
            <w:vAlign w:val="center"/>
          </w:tcPr>
          <w:p w:rsidR="00B24766" w:rsidRPr="0046360F" w:rsidRDefault="00B24766" w:rsidP="00221DAD">
            <w:pPr>
              <w:pStyle w:val="TableText"/>
              <w:ind w:left="-75" w:right="-85"/>
              <w:jc w:val="center"/>
              <w:rPr>
                <w:szCs w:val="20"/>
              </w:rPr>
            </w:pPr>
            <w:r w:rsidRPr="0046360F">
              <w:rPr>
                <w:szCs w:val="20"/>
              </w:rPr>
              <w:t>20.9 (17.1, 23.0)</w:t>
            </w:r>
          </w:p>
        </w:tc>
      </w:tr>
      <w:tr w:rsidR="00B24766" w:rsidRPr="0046360F" w:rsidTr="00221DAD">
        <w:tc>
          <w:tcPr>
            <w:tcW w:w="1341" w:type="pct"/>
            <w:vAlign w:val="center"/>
          </w:tcPr>
          <w:p w:rsidR="00B24766" w:rsidRPr="0046360F" w:rsidRDefault="00B24766" w:rsidP="00221DAD">
            <w:pPr>
              <w:pStyle w:val="TableText"/>
              <w:tabs>
                <w:tab w:val="left" w:pos="175"/>
              </w:tabs>
            </w:pPr>
            <w:r w:rsidRPr="0046360F">
              <w:tab/>
              <w:t xml:space="preserve">50% </w:t>
            </w:r>
          </w:p>
        </w:tc>
        <w:tc>
          <w:tcPr>
            <w:tcW w:w="948" w:type="pct"/>
            <w:vAlign w:val="center"/>
          </w:tcPr>
          <w:p w:rsidR="00B24766" w:rsidRPr="0046360F" w:rsidRDefault="00B24766" w:rsidP="00221DAD">
            <w:pPr>
              <w:pStyle w:val="TableText"/>
              <w:ind w:left="-75" w:right="-85"/>
              <w:jc w:val="center"/>
              <w:rPr>
                <w:szCs w:val="20"/>
              </w:rPr>
            </w:pPr>
            <w:r w:rsidRPr="0046360F">
              <w:rPr>
                <w:szCs w:val="20"/>
              </w:rPr>
              <w:t>NE</w:t>
            </w:r>
          </w:p>
        </w:tc>
        <w:tc>
          <w:tcPr>
            <w:tcW w:w="948" w:type="pct"/>
            <w:vAlign w:val="center"/>
          </w:tcPr>
          <w:p w:rsidR="00B24766" w:rsidRPr="0046360F" w:rsidRDefault="00B24766" w:rsidP="00221DAD">
            <w:pPr>
              <w:pStyle w:val="TableText"/>
              <w:ind w:left="-75" w:right="-85"/>
              <w:jc w:val="center"/>
              <w:rPr>
                <w:szCs w:val="20"/>
              </w:rPr>
            </w:pPr>
            <w:r w:rsidRPr="0046360F">
              <w:rPr>
                <w:szCs w:val="20"/>
              </w:rPr>
              <w:t>NE</w:t>
            </w:r>
          </w:p>
        </w:tc>
        <w:tc>
          <w:tcPr>
            <w:tcW w:w="948" w:type="pct"/>
            <w:vAlign w:val="center"/>
          </w:tcPr>
          <w:p w:rsidR="00B24766" w:rsidRPr="0046360F" w:rsidRDefault="00B24766" w:rsidP="00221DAD">
            <w:pPr>
              <w:pStyle w:val="TableText"/>
              <w:ind w:left="-75" w:right="-85"/>
              <w:jc w:val="center"/>
              <w:rPr>
                <w:b/>
                <w:szCs w:val="20"/>
              </w:rPr>
            </w:pPr>
            <w:r w:rsidRPr="0046360F">
              <w:rPr>
                <w:szCs w:val="20"/>
              </w:rPr>
              <w:t>NE</w:t>
            </w:r>
          </w:p>
        </w:tc>
        <w:tc>
          <w:tcPr>
            <w:tcW w:w="815" w:type="pct"/>
            <w:vAlign w:val="center"/>
          </w:tcPr>
          <w:p w:rsidR="00B24766" w:rsidRPr="0046360F" w:rsidRDefault="00B24766" w:rsidP="00221DAD">
            <w:pPr>
              <w:pStyle w:val="TableText"/>
              <w:ind w:left="-75" w:right="-85"/>
              <w:jc w:val="center"/>
              <w:rPr>
                <w:szCs w:val="20"/>
              </w:rPr>
            </w:pPr>
            <w:r w:rsidRPr="0046360F">
              <w:rPr>
                <w:szCs w:val="20"/>
              </w:rPr>
              <w:t>NE (29.7, NE)</w:t>
            </w:r>
          </w:p>
        </w:tc>
      </w:tr>
      <w:tr w:rsidR="00B24766" w:rsidRPr="0046360F" w:rsidTr="00221DAD">
        <w:tc>
          <w:tcPr>
            <w:tcW w:w="1341" w:type="pct"/>
            <w:vAlign w:val="center"/>
          </w:tcPr>
          <w:p w:rsidR="00B24766" w:rsidRPr="0046360F" w:rsidRDefault="00B24766" w:rsidP="00221DAD">
            <w:pPr>
              <w:pStyle w:val="TableText"/>
              <w:tabs>
                <w:tab w:val="left" w:pos="175"/>
              </w:tabs>
            </w:pPr>
            <w:r w:rsidRPr="0046360F">
              <w:tab/>
              <w:t>75%</w:t>
            </w:r>
          </w:p>
        </w:tc>
        <w:tc>
          <w:tcPr>
            <w:tcW w:w="948" w:type="pct"/>
            <w:vAlign w:val="center"/>
          </w:tcPr>
          <w:p w:rsidR="00B24766" w:rsidRPr="0046360F" w:rsidRDefault="00B24766" w:rsidP="00221DAD">
            <w:pPr>
              <w:pStyle w:val="TableText"/>
              <w:ind w:left="-75" w:right="-85"/>
              <w:jc w:val="center"/>
              <w:rPr>
                <w:szCs w:val="20"/>
              </w:rPr>
            </w:pPr>
            <w:r w:rsidRPr="0046360F">
              <w:rPr>
                <w:szCs w:val="20"/>
              </w:rPr>
              <w:t>NE</w:t>
            </w:r>
          </w:p>
        </w:tc>
        <w:tc>
          <w:tcPr>
            <w:tcW w:w="948" w:type="pct"/>
            <w:vAlign w:val="center"/>
          </w:tcPr>
          <w:p w:rsidR="00B24766" w:rsidRPr="0046360F" w:rsidRDefault="00B24766" w:rsidP="00221DAD">
            <w:pPr>
              <w:pStyle w:val="TableText"/>
              <w:ind w:left="-75" w:right="-85"/>
              <w:jc w:val="center"/>
              <w:rPr>
                <w:szCs w:val="20"/>
              </w:rPr>
            </w:pPr>
            <w:r w:rsidRPr="0046360F">
              <w:rPr>
                <w:szCs w:val="20"/>
              </w:rPr>
              <w:t>NE</w:t>
            </w:r>
          </w:p>
        </w:tc>
        <w:tc>
          <w:tcPr>
            <w:tcW w:w="948" w:type="pct"/>
            <w:vAlign w:val="center"/>
          </w:tcPr>
          <w:p w:rsidR="00B24766" w:rsidRPr="0046360F" w:rsidRDefault="00B24766" w:rsidP="00221DAD">
            <w:pPr>
              <w:pStyle w:val="TableText"/>
              <w:ind w:left="-75" w:right="-85"/>
              <w:jc w:val="center"/>
              <w:rPr>
                <w:szCs w:val="20"/>
              </w:rPr>
            </w:pPr>
            <w:r w:rsidRPr="0046360F">
              <w:rPr>
                <w:szCs w:val="20"/>
              </w:rPr>
              <w:t>NE</w:t>
            </w:r>
          </w:p>
        </w:tc>
        <w:tc>
          <w:tcPr>
            <w:tcW w:w="815" w:type="pct"/>
            <w:vAlign w:val="center"/>
          </w:tcPr>
          <w:p w:rsidR="00B24766" w:rsidRPr="0046360F" w:rsidRDefault="00B24766" w:rsidP="00221DAD">
            <w:pPr>
              <w:pStyle w:val="TableText"/>
              <w:ind w:left="-75" w:right="-85"/>
              <w:jc w:val="center"/>
              <w:rPr>
                <w:szCs w:val="20"/>
              </w:rPr>
            </w:pPr>
            <w:r w:rsidRPr="0046360F">
              <w:rPr>
                <w:szCs w:val="20"/>
              </w:rPr>
              <w:t>NE</w:t>
            </w:r>
          </w:p>
        </w:tc>
      </w:tr>
      <w:tr w:rsidR="00B24766" w:rsidRPr="0046360F" w:rsidTr="00221DAD">
        <w:tc>
          <w:tcPr>
            <w:tcW w:w="1341" w:type="pct"/>
            <w:vAlign w:val="center"/>
          </w:tcPr>
          <w:p w:rsidR="00B24766" w:rsidRPr="0046360F" w:rsidRDefault="00B24766" w:rsidP="00221DAD">
            <w:pPr>
              <w:pStyle w:val="TableText"/>
              <w:tabs>
                <w:tab w:val="left" w:pos="175"/>
              </w:tabs>
            </w:pPr>
            <w:r w:rsidRPr="0046360F">
              <w:t>Cox proportional hazard ratio vs placebo (95% CI)</w:t>
            </w:r>
          </w:p>
        </w:tc>
        <w:tc>
          <w:tcPr>
            <w:tcW w:w="948" w:type="pct"/>
            <w:vAlign w:val="center"/>
          </w:tcPr>
          <w:p w:rsidR="00B24766" w:rsidRPr="0046360F" w:rsidRDefault="00B24766" w:rsidP="00221DAD">
            <w:pPr>
              <w:pStyle w:val="TableText"/>
              <w:ind w:left="-75" w:right="-85"/>
              <w:jc w:val="center"/>
              <w:rPr>
                <w:szCs w:val="20"/>
              </w:rPr>
            </w:pPr>
            <w:r w:rsidRPr="0046360F">
              <w:rPr>
                <w:szCs w:val="20"/>
              </w:rPr>
              <w:t>0.715 (0.450, 1.137)</w:t>
            </w:r>
          </w:p>
        </w:tc>
        <w:tc>
          <w:tcPr>
            <w:tcW w:w="948" w:type="pct"/>
            <w:vAlign w:val="center"/>
          </w:tcPr>
          <w:p w:rsidR="00B24766" w:rsidRPr="0046360F" w:rsidRDefault="00B24766" w:rsidP="00221DAD">
            <w:pPr>
              <w:pStyle w:val="TableText"/>
              <w:ind w:left="-75" w:right="-85"/>
              <w:jc w:val="center"/>
              <w:rPr>
                <w:b/>
                <w:szCs w:val="20"/>
              </w:rPr>
            </w:pPr>
            <w:r w:rsidRPr="0046360F">
              <w:rPr>
                <w:b/>
                <w:szCs w:val="20"/>
              </w:rPr>
              <w:t>0.690 (0.487, 0.979)</w:t>
            </w:r>
          </w:p>
        </w:tc>
        <w:tc>
          <w:tcPr>
            <w:tcW w:w="948" w:type="pct"/>
            <w:vAlign w:val="center"/>
          </w:tcPr>
          <w:p w:rsidR="00B24766" w:rsidRPr="0046360F" w:rsidRDefault="00B24766" w:rsidP="00221DAD">
            <w:pPr>
              <w:pStyle w:val="TableText"/>
              <w:ind w:left="-75" w:right="-85"/>
              <w:jc w:val="center"/>
              <w:rPr>
                <w:b/>
                <w:szCs w:val="20"/>
              </w:rPr>
            </w:pPr>
            <w:r w:rsidRPr="0046360F">
              <w:rPr>
                <w:b/>
                <w:szCs w:val="20"/>
              </w:rPr>
              <w:t>0.698 (0.508, 0.958)</w:t>
            </w:r>
          </w:p>
        </w:tc>
        <w:tc>
          <w:tcPr>
            <w:tcW w:w="815" w:type="pct"/>
            <w:vAlign w:val="center"/>
          </w:tcPr>
          <w:p w:rsidR="00B24766" w:rsidRPr="0046360F" w:rsidRDefault="00B24766" w:rsidP="00221DAD">
            <w:pPr>
              <w:pStyle w:val="TableText"/>
              <w:ind w:left="-75" w:right="-85"/>
              <w:jc w:val="center"/>
              <w:rPr>
                <w:szCs w:val="20"/>
              </w:rPr>
            </w:pPr>
            <w:r w:rsidRPr="0046360F">
              <w:rPr>
                <w:szCs w:val="20"/>
              </w:rPr>
              <w:t>-</w:t>
            </w:r>
          </w:p>
        </w:tc>
      </w:tr>
    </w:tbl>
    <w:p w:rsidR="00B24766" w:rsidRPr="0046360F" w:rsidRDefault="00B24766" w:rsidP="00B24766">
      <w:pPr>
        <w:pStyle w:val="TableFigureFooter"/>
      </w:pPr>
      <w:r w:rsidRPr="0046360F">
        <w:t>Source: Table 2.5.3, p.80 and Table 2.5.12, p.107 of the July 2020 submission. Statistically significant results in bold.</w:t>
      </w:r>
    </w:p>
    <w:p w:rsidR="00B24766" w:rsidRPr="0046360F" w:rsidRDefault="00B24766" w:rsidP="00B24766">
      <w:pPr>
        <w:pStyle w:val="TableFigureFooter"/>
      </w:pPr>
      <w:r w:rsidRPr="0046360F">
        <w:t>Abbreviations: CI, confidence interval; ITT, intention-to-treat; NE, not evaluable.</w:t>
      </w:r>
    </w:p>
    <w:p w:rsidR="00B24766" w:rsidRPr="0046360F" w:rsidRDefault="00B24766" w:rsidP="00B24766">
      <w:pPr>
        <w:pStyle w:val="TableFigureFooter"/>
      </w:pPr>
      <w:r w:rsidRPr="0046360F">
        <w:rPr>
          <w:vertAlign w:val="superscript"/>
        </w:rPr>
        <w:t>a</w:t>
      </w:r>
      <w:r w:rsidRPr="0046360F">
        <w:t xml:space="preserve"> Heart transplant or implantation of a cardiac mechanical assist device handled as death.</w:t>
      </w:r>
    </w:p>
    <w:p w:rsidR="00B24766" w:rsidRPr="0046360F" w:rsidRDefault="00B24766" w:rsidP="00B24766">
      <w:pPr>
        <w:pStyle w:val="TableFigureFooter"/>
      </w:pPr>
      <w:r w:rsidRPr="0046360F">
        <w:rPr>
          <w:vertAlign w:val="superscript"/>
        </w:rPr>
        <w:t>b</w:t>
      </w:r>
      <w:r w:rsidRPr="0046360F">
        <w:t xml:space="preserve"> Censored alive at time of analysis.</w:t>
      </w:r>
    </w:p>
    <w:p w:rsidR="00B24766" w:rsidRPr="0046360F" w:rsidRDefault="0029295E" w:rsidP="0029295E">
      <w:pPr>
        <w:pStyle w:val="Caption"/>
      </w:pPr>
      <w:r w:rsidRPr="0046360F">
        <w:t xml:space="preserve">Figure </w:t>
      </w:r>
      <w:r w:rsidR="00C170ED">
        <w:rPr>
          <w:noProof/>
        </w:rPr>
        <w:t>2</w:t>
      </w:r>
      <w:r w:rsidR="00CC7D48" w:rsidRPr="0046360F">
        <w:t xml:space="preserve">: </w:t>
      </w:r>
      <w:r w:rsidR="00B24766" w:rsidRPr="0046360F">
        <w:t>Kaplan-Meier plot of time to all-cause mortality for tafamidis by dose versus placebo in ATTR-ACT (ITT)</w:t>
      </w:r>
    </w:p>
    <w:p w:rsidR="00B24766" w:rsidRPr="0046360F" w:rsidRDefault="00B24766" w:rsidP="00B24766">
      <w:pPr>
        <w:kinsoku w:val="0"/>
        <w:overflowPunct w:val="0"/>
        <w:autoSpaceDE w:val="0"/>
        <w:autoSpaceDN w:val="0"/>
        <w:adjustRightInd w:val="0"/>
        <w:jc w:val="left"/>
        <w:rPr>
          <w:rFonts w:ascii="Times New Roman" w:hAnsi="Times New Roman" w:cs="Times New Roman"/>
          <w:sz w:val="20"/>
          <w:szCs w:val="20"/>
        </w:rPr>
      </w:pPr>
      <w:r w:rsidRPr="0046360F">
        <w:rPr>
          <w:rFonts w:ascii="Times New Roman" w:hAnsi="Times New Roman" w:cs="Times New Roman"/>
          <w:noProof/>
          <w:sz w:val="20"/>
          <w:szCs w:val="20"/>
        </w:rPr>
        <w:drawing>
          <wp:inline distT="0" distB="0" distL="0" distR="0" wp14:anchorId="2CBDE28A" wp14:editId="0BA8826E">
            <wp:extent cx="5677469" cy="3138933"/>
            <wp:effectExtent l="0" t="0" r="0" b="4445"/>
            <wp:docPr id="29" name="Picture 29" title="Figure 2: Kaplan-Meier plot of time to all-cause mortality for tafamidis by dose versus placebo in ATTR-ACT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424" cy="3166552"/>
                    </a:xfrm>
                    <a:prstGeom prst="rect">
                      <a:avLst/>
                    </a:prstGeom>
                    <a:noFill/>
                    <a:ln>
                      <a:noFill/>
                    </a:ln>
                  </pic:spPr>
                </pic:pic>
              </a:graphicData>
            </a:graphic>
          </wp:inline>
        </w:drawing>
      </w:r>
    </w:p>
    <w:p w:rsidR="00B24766" w:rsidRPr="0046360F" w:rsidRDefault="00B24766" w:rsidP="00B24766">
      <w:pPr>
        <w:pStyle w:val="TableFigureFooter"/>
      </w:pPr>
      <w:r w:rsidRPr="0046360F">
        <w:t>Source: Figure 15, p.128 of the ATTR-ACT Clinical Study Report.</w:t>
      </w:r>
    </w:p>
    <w:p w:rsidR="00B24766" w:rsidRPr="0046360F" w:rsidRDefault="00B24766" w:rsidP="00B24766">
      <w:pPr>
        <w:pStyle w:val="TableFigureFooter"/>
      </w:pPr>
      <w:r w:rsidRPr="0046360F">
        <w:t>Abbreviations: ITT, intention-to-treat.</w:t>
      </w:r>
    </w:p>
    <w:p w:rsidR="00D9036F" w:rsidRPr="0046360F" w:rsidRDefault="00B24766" w:rsidP="004D1E0C">
      <w:pPr>
        <w:pStyle w:val="TableFigureFooter"/>
      </w:pPr>
      <w:r w:rsidRPr="0046360F">
        <w:t>Note: Heart transplant and implantation of a cardiac mechanical assist device handled as deaths.</w:t>
      </w:r>
    </w:p>
    <w:p w:rsidR="00B34D8D" w:rsidRPr="0046360F" w:rsidRDefault="00B34D8D" w:rsidP="00B34D8D">
      <w:pPr>
        <w:pStyle w:val="ExecSumBodyText"/>
        <w:numPr>
          <w:ilvl w:val="1"/>
          <w:numId w:val="1"/>
        </w:numPr>
      </w:pPr>
      <w:bookmarkStart w:id="21" w:name="_Ref64622672"/>
      <w:r w:rsidRPr="0046360F">
        <w:t>All-cause mortality was lower in the tafamidis 80 mg (30.7%) and pooled tafamidis (29.5%) treatment arms at 30 months compared to placebo (42.9%), with the Cox-proportional hazard ratios demonstrating a statistically significant reduction in the risk of death of 31.0% for tafamidis 80 mg and 30.2% for pooled tafamidis, relative to placebo. There was no statistically significant difference in time to all-cause mortality between tafamidis 20 mg and placebo</w:t>
      </w:r>
      <w:r w:rsidR="006319D5" w:rsidRPr="0046360F">
        <w:rPr>
          <w:i/>
        </w:rPr>
        <w:t xml:space="preserve">, </w:t>
      </w:r>
      <w:r w:rsidR="006319D5" w:rsidRPr="0046360F">
        <w:t xml:space="preserve">although </w:t>
      </w:r>
      <w:r w:rsidR="00D62689" w:rsidRPr="0046360F">
        <w:t xml:space="preserve">the ESC considered </w:t>
      </w:r>
      <w:r w:rsidR="006319D5" w:rsidRPr="0046360F">
        <w:t xml:space="preserve">this </w:t>
      </w:r>
      <w:r w:rsidR="000D4E20">
        <w:t xml:space="preserve">was likely </w:t>
      </w:r>
      <w:r w:rsidR="006319D5" w:rsidRPr="0046360F">
        <w:t>due to the smaller sample size in the tafamidis 20</w:t>
      </w:r>
      <w:r w:rsidR="005C01F2" w:rsidRPr="0046360F">
        <w:t xml:space="preserve"> </w:t>
      </w:r>
      <w:r w:rsidR="006319D5" w:rsidRPr="0046360F">
        <w:t>mg treatment arm given the lower mortality point estimate for the 20</w:t>
      </w:r>
      <w:r w:rsidR="0041057C" w:rsidRPr="0046360F">
        <w:t> </w:t>
      </w:r>
      <w:r w:rsidR="006319D5" w:rsidRPr="0046360F">
        <w:t>mg dose compared to the 80</w:t>
      </w:r>
      <w:r w:rsidR="0041057C" w:rsidRPr="0046360F">
        <w:t> </w:t>
      </w:r>
      <w:r w:rsidR="006319D5" w:rsidRPr="0046360F">
        <w:t>mg dose</w:t>
      </w:r>
      <w:r w:rsidRPr="0046360F">
        <w:t>. The observed treatment effect of tafamidis on all-cause mortality emerged after approximately 18 months of treatment, consistent with the slow, progressive disease trajectory of ATTR-CM.</w:t>
      </w:r>
      <w:bookmarkEnd w:id="21"/>
    </w:p>
    <w:p w:rsidR="00B34D8D" w:rsidRPr="0046360F" w:rsidRDefault="00B34D8D" w:rsidP="00B34D8D">
      <w:pPr>
        <w:pStyle w:val="ExecSumBodyText"/>
        <w:numPr>
          <w:ilvl w:val="1"/>
          <w:numId w:val="1"/>
        </w:numPr>
      </w:pPr>
      <w:r w:rsidRPr="0046360F">
        <w:t xml:space="preserve">Table 6 summarises the frequency of </w:t>
      </w:r>
      <w:r w:rsidR="00B33F8B" w:rsidRPr="0046360F">
        <w:t>CV-</w:t>
      </w:r>
      <w:r w:rsidRPr="0046360F">
        <w:t>related hospitalisations by tafamidis dose for the ATTR-ACT trial from randomisation to 30 months (ITT).</w:t>
      </w:r>
    </w:p>
    <w:p w:rsidR="00982528" w:rsidRPr="0046360F" w:rsidRDefault="00982528" w:rsidP="00CC7D48">
      <w:pPr>
        <w:pStyle w:val="TableFigureCaption"/>
      </w:pPr>
      <w:r w:rsidRPr="0046360F">
        <w:t xml:space="preserve">Table </w:t>
      </w:r>
      <w:r w:rsidR="00C170ED">
        <w:rPr>
          <w:noProof/>
        </w:rPr>
        <w:t>6</w:t>
      </w:r>
      <w:r w:rsidR="00CC7D48" w:rsidRPr="0046360F">
        <w:t xml:space="preserve">: </w:t>
      </w:r>
      <w:r w:rsidRPr="0046360F">
        <w:t xml:space="preserve">Summary of the frequency of </w:t>
      </w:r>
      <w:r w:rsidR="0026392E" w:rsidRPr="0046360F">
        <w:t xml:space="preserve">CV </w:t>
      </w:r>
      <w:r w:rsidRPr="0046360F">
        <w:t>hospitalisation events by tafamidis dose for ATTR-ACT (ITT; randomisation to 30 months)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9"/>
        <w:gridCol w:w="1573"/>
        <w:gridCol w:w="1569"/>
        <w:gridCol w:w="1569"/>
        <w:gridCol w:w="1568"/>
      </w:tblGrid>
      <w:tr w:rsidR="00982528" w:rsidRPr="0046360F" w:rsidTr="005B68D9">
        <w:trPr>
          <w:tblHeader/>
        </w:trPr>
        <w:tc>
          <w:tcPr>
            <w:tcW w:w="1499" w:type="pct"/>
            <w:vAlign w:val="center"/>
          </w:tcPr>
          <w:p w:rsidR="00982528" w:rsidRPr="0046360F" w:rsidRDefault="00982528" w:rsidP="00221DAD">
            <w:pPr>
              <w:pStyle w:val="Tableheadingrow"/>
              <w:tabs>
                <w:tab w:val="left" w:pos="175"/>
              </w:tabs>
              <w:ind w:right="117"/>
              <w:rPr>
                <w:lang w:val="en-AU"/>
              </w:rPr>
            </w:pPr>
            <w:r w:rsidRPr="0046360F">
              <w:rPr>
                <w:lang w:val="en-AU"/>
              </w:rPr>
              <w:t>Cardiovascular hospitalisation events</w:t>
            </w:r>
          </w:p>
        </w:tc>
        <w:tc>
          <w:tcPr>
            <w:tcW w:w="877" w:type="pct"/>
            <w:vAlign w:val="center"/>
          </w:tcPr>
          <w:p w:rsidR="00982528" w:rsidRPr="0046360F" w:rsidRDefault="00982528" w:rsidP="00221DAD">
            <w:pPr>
              <w:pStyle w:val="Tableheadingrow"/>
              <w:jc w:val="center"/>
              <w:rPr>
                <w:szCs w:val="20"/>
                <w:lang w:val="en-AU"/>
              </w:rPr>
            </w:pPr>
            <w:r w:rsidRPr="0046360F">
              <w:rPr>
                <w:szCs w:val="20"/>
                <w:lang w:val="en-AU"/>
              </w:rPr>
              <w:t xml:space="preserve">Tafamidis </w:t>
            </w:r>
          </w:p>
          <w:p w:rsidR="00982528" w:rsidRPr="0046360F" w:rsidRDefault="00982528" w:rsidP="00221DAD">
            <w:pPr>
              <w:pStyle w:val="Tableheadingrow"/>
              <w:jc w:val="center"/>
              <w:rPr>
                <w:szCs w:val="20"/>
                <w:lang w:val="en-AU"/>
              </w:rPr>
            </w:pPr>
            <w:r w:rsidRPr="0046360F">
              <w:rPr>
                <w:szCs w:val="20"/>
                <w:lang w:val="en-AU"/>
              </w:rPr>
              <w:t>20 mg</w:t>
            </w:r>
          </w:p>
        </w:tc>
        <w:tc>
          <w:tcPr>
            <w:tcW w:w="875" w:type="pct"/>
            <w:vAlign w:val="center"/>
          </w:tcPr>
          <w:p w:rsidR="00982528" w:rsidRPr="0046360F" w:rsidRDefault="00982528" w:rsidP="00221DAD">
            <w:pPr>
              <w:pStyle w:val="Tableheadingrow"/>
              <w:jc w:val="center"/>
              <w:rPr>
                <w:szCs w:val="20"/>
                <w:lang w:val="en-AU"/>
              </w:rPr>
            </w:pPr>
            <w:r w:rsidRPr="0046360F">
              <w:rPr>
                <w:szCs w:val="20"/>
                <w:lang w:val="en-AU"/>
              </w:rPr>
              <w:t xml:space="preserve">Tafamidis </w:t>
            </w:r>
          </w:p>
          <w:p w:rsidR="00982528" w:rsidRPr="0046360F" w:rsidRDefault="00982528" w:rsidP="00221DAD">
            <w:pPr>
              <w:pStyle w:val="Tableheadingrow"/>
              <w:jc w:val="center"/>
              <w:rPr>
                <w:szCs w:val="20"/>
                <w:lang w:val="en-AU"/>
              </w:rPr>
            </w:pPr>
            <w:r w:rsidRPr="0046360F">
              <w:rPr>
                <w:szCs w:val="20"/>
                <w:lang w:val="en-AU"/>
              </w:rPr>
              <w:t>80 mg</w:t>
            </w:r>
          </w:p>
        </w:tc>
        <w:tc>
          <w:tcPr>
            <w:tcW w:w="875" w:type="pct"/>
            <w:vAlign w:val="center"/>
          </w:tcPr>
          <w:p w:rsidR="00982528" w:rsidRPr="0046360F" w:rsidRDefault="00982528" w:rsidP="00221DAD">
            <w:pPr>
              <w:pStyle w:val="Tableheadingrow"/>
              <w:jc w:val="center"/>
              <w:rPr>
                <w:szCs w:val="20"/>
                <w:lang w:val="en-AU"/>
              </w:rPr>
            </w:pPr>
            <w:r w:rsidRPr="0046360F">
              <w:rPr>
                <w:szCs w:val="20"/>
                <w:lang w:val="en-AU"/>
              </w:rPr>
              <w:t>Tafamidis pooled</w:t>
            </w:r>
          </w:p>
        </w:tc>
        <w:tc>
          <w:tcPr>
            <w:tcW w:w="874" w:type="pct"/>
            <w:vAlign w:val="center"/>
          </w:tcPr>
          <w:p w:rsidR="00982528" w:rsidRPr="0046360F" w:rsidRDefault="00982528" w:rsidP="00221DAD">
            <w:pPr>
              <w:pStyle w:val="Tableheadingrow"/>
              <w:jc w:val="center"/>
              <w:rPr>
                <w:szCs w:val="20"/>
                <w:lang w:val="en-AU"/>
              </w:rPr>
            </w:pPr>
            <w:r w:rsidRPr="0046360F">
              <w:rPr>
                <w:szCs w:val="20"/>
                <w:lang w:val="en-AU"/>
              </w:rPr>
              <w:t>Placebo</w:t>
            </w:r>
          </w:p>
        </w:tc>
      </w:tr>
      <w:tr w:rsidR="00982528" w:rsidRPr="0046360F" w:rsidTr="005B68D9">
        <w:tc>
          <w:tcPr>
            <w:tcW w:w="1499" w:type="pct"/>
            <w:vAlign w:val="center"/>
          </w:tcPr>
          <w:p w:rsidR="00982528" w:rsidRPr="0046360F" w:rsidRDefault="00982528" w:rsidP="00221DAD">
            <w:pPr>
              <w:pStyle w:val="TableText"/>
              <w:tabs>
                <w:tab w:val="left" w:pos="175"/>
              </w:tabs>
              <w:ind w:right="-69"/>
            </w:pPr>
            <w:r w:rsidRPr="0046360F">
              <w:t>N</w:t>
            </w:r>
          </w:p>
        </w:tc>
        <w:tc>
          <w:tcPr>
            <w:tcW w:w="877" w:type="pct"/>
            <w:vAlign w:val="center"/>
          </w:tcPr>
          <w:p w:rsidR="00982528" w:rsidRPr="0046360F" w:rsidRDefault="00982528" w:rsidP="00221DAD">
            <w:pPr>
              <w:pStyle w:val="TableText"/>
              <w:jc w:val="center"/>
              <w:rPr>
                <w:szCs w:val="20"/>
              </w:rPr>
            </w:pPr>
            <w:r w:rsidRPr="0046360F">
              <w:rPr>
                <w:szCs w:val="20"/>
              </w:rPr>
              <w:t>88</w:t>
            </w:r>
          </w:p>
        </w:tc>
        <w:tc>
          <w:tcPr>
            <w:tcW w:w="875" w:type="pct"/>
            <w:vAlign w:val="center"/>
          </w:tcPr>
          <w:p w:rsidR="00982528" w:rsidRPr="0046360F" w:rsidRDefault="00982528" w:rsidP="00221DAD">
            <w:pPr>
              <w:pStyle w:val="TableText"/>
              <w:jc w:val="center"/>
              <w:rPr>
                <w:szCs w:val="20"/>
              </w:rPr>
            </w:pPr>
            <w:r w:rsidRPr="0046360F">
              <w:rPr>
                <w:szCs w:val="20"/>
              </w:rPr>
              <w:t>176</w:t>
            </w:r>
          </w:p>
        </w:tc>
        <w:tc>
          <w:tcPr>
            <w:tcW w:w="875" w:type="pct"/>
            <w:vAlign w:val="center"/>
          </w:tcPr>
          <w:p w:rsidR="00982528" w:rsidRPr="0046360F" w:rsidRDefault="00982528" w:rsidP="00221DAD">
            <w:pPr>
              <w:pStyle w:val="TableText"/>
              <w:jc w:val="center"/>
              <w:rPr>
                <w:szCs w:val="20"/>
              </w:rPr>
            </w:pPr>
            <w:r w:rsidRPr="0046360F">
              <w:rPr>
                <w:szCs w:val="20"/>
              </w:rPr>
              <w:t>264</w:t>
            </w:r>
          </w:p>
        </w:tc>
        <w:tc>
          <w:tcPr>
            <w:tcW w:w="874" w:type="pct"/>
            <w:vAlign w:val="center"/>
          </w:tcPr>
          <w:p w:rsidR="00982528" w:rsidRPr="0046360F" w:rsidRDefault="00982528" w:rsidP="00221DAD">
            <w:pPr>
              <w:pStyle w:val="TableText"/>
              <w:jc w:val="center"/>
              <w:rPr>
                <w:szCs w:val="20"/>
              </w:rPr>
            </w:pPr>
            <w:r w:rsidRPr="0046360F">
              <w:rPr>
                <w:szCs w:val="20"/>
              </w:rPr>
              <w:t>177</w:t>
            </w:r>
          </w:p>
        </w:tc>
      </w:tr>
      <w:tr w:rsidR="00982528" w:rsidRPr="0046360F" w:rsidTr="005B68D9">
        <w:tc>
          <w:tcPr>
            <w:tcW w:w="1499" w:type="pct"/>
            <w:tcBorders>
              <w:bottom w:val="single" w:sz="4" w:space="0" w:color="auto"/>
            </w:tcBorders>
            <w:vAlign w:val="center"/>
          </w:tcPr>
          <w:p w:rsidR="00982528" w:rsidRPr="0046360F" w:rsidRDefault="00982528" w:rsidP="005B68D9">
            <w:pPr>
              <w:pStyle w:val="TableText"/>
              <w:tabs>
                <w:tab w:val="left" w:pos="175"/>
              </w:tabs>
              <w:ind w:right="-69"/>
            </w:pPr>
            <w:r w:rsidRPr="0046360F">
              <w:t>Patients experiencing events,</w:t>
            </w:r>
            <w:r w:rsidR="005B68D9" w:rsidRPr="0046360F">
              <w:t xml:space="preserve"> </w:t>
            </w:r>
            <w:r w:rsidRPr="0046360F">
              <w:t>n (%)</w:t>
            </w:r>
          </w:p>
        </w:tc>
        <w:tc>
          <w:tcPr>
            <w:tcW w:w="877" w:type="pct"/>
            <w:vAlign w:val="center"/>
          </w:tcPr>
          <w:p w:rsidR="00982528" w:rsidRPr="0046360F" w:rsidRDefault="00982528" w:rsidP="00221DAD">
            <w:pPr>
              <w:pStyle w:val="TableText"/>
              <w:jc w:val="center"/>
              <w:rPr>
                <w:rFonts w:eastAsia="Times New Roman"/>
                <w:color w:val="000000"/>
                <w:szCs w:val="20"/>
              </w:rPr>
            </w:pPr>
            <w:r w:rsidRPr="0046360F">
              <w:rPr>
                <w:rFonts w:eastAsia="Times New Roman"/>
                <w:color w:val="000000"/>
                <w:szCs w:val="20"/>
              </w:rPr>
              <w:t>42 (47.5%)</w:t>
            </w:r>
          </w:p>
        </w:tc>
        <w:tc>
          <w:tcPr>
            <w:tcW w:w="875" w:type="pct"/>
            <w:vAlign w:val="center"/>
          </w:tcPr>
          <w:p w:rsidR="00982528" w:rsidRPr="0046360F" w:rsidRDefault="00982528" w:rsidP="00221DAD">
            <w:pPr>
              <w:pStyle w:val="TableText"/>
              <w:jc w:val="center"/>
              <w:rPr>
                <w:rFonts w:eastAsia="Times New Roman"/>
                <w:color w:val="000000"/>
                <w:szCs w:val="20"/>
              </w:rPr>
            </w:pPr>
            <w:r w:rsidRPr="0046360F">
              <w:rPr>
                <w:rFonts w:eastAsia="Times New Roman"/>
                <w:color w:val="000000"/>
                <w:szCs w:val="20"/>
              </w:rPr>
              <w:t>96 (54.5%)</w:t>
            </w:r>
          </w:p>
        </w:tc>
        <w:tc>
          <w:tcPr>
            <w:tcW w:w="875" w:type="pct"/>
            <w:vAlign w:val="center"/>
          </w:tcPr>
          <w:p w:rsidR="00982528" w:rsidRPr="0046360F" w:rsidRDefault="00982528" w:rsidP="00221DAD">
            <w:pPr>
              <w:pStyle w:val="TableText"/>
              <w:jc w:val="center"/>
              <w:rPr>
                <w:rFonts w:eastAsia="Times New Roman"/>
                <w:color w:val="000000"/>
                <w:szCs w:val="20"/>
              </w:rPr>
            </w:pPr>
            <w:r w:rsidRPr="0046360F">
              <w:rPr>
                <w:rFonts w:eastAsia="Times New Roman"/>
                <w:color w:val="000000"/>
                <w:szCs w:val="20"/>
              </w:rPr>
              <w:t>138 (52.3%)</w:t>
            </w:r>
          </w:p>
        </w:tc>
        <w:tc>
          <w:tcPr>
            <w:tcW w:w="874" w:type="pct"/>
            <w:vAlign w:val="center"/>
          </w:tcPr>
          <w:p w:rsidR="00982528" w:rsidRPr="0046360F" w:rsidRDefault="00982528" w:rsidP="00221DAD">
            <w:pPr>
              <w:pStyle w:val="TableText"/>
              <w:jc w:val="center"/>
              <w:rPr>
                <w:rFonts w:eastAsia="Times New Roman"/>
                <w:color w:val="000000"/>
                <w:szCs w:val="20"/>
              </w:rPr>
            </w:pPr>
            <w:r w:rsidRPr="0046360F">
              <w:rPr>
                <w:rFonts w:eastAsia="Times New Roman"/>
                <w:color w:val="000000"/>
                <w:szCs w:val="20"/>
              </w:rPr>
              <w:t>107 (60.5%)</w:t>
            </w:r>
          </w:p>
        </w:tc>
      </w:tr>
      <w:tr w:rsidR="00982528" w:rsidRPr="0046360F" w:rsidTr="005B68D9">
        <w:tc>
          <w:tcPr>
            <w:tcW w:w="1499" w:type="pct"/>
            <w:tcBorders>
              <w:bottom w:val="single" w:sz="4" w:space="0" w:color="auto"/>
            </w:tcBorders>
            <w:vAlign w:val="center"/>
          </w:tcPr>
          <w:p w:rsidR="00982528" w:rsidRPr="0046360F" w:rsidRDefault="00982528" w:rsidP="00221DAD">
            <w:pPr>
              <w:pStyle w:val="TableText"/>
              <w:tabs>
                <w:tab w:val="left" w:pos="175"/>
              </w:tabs>
              <w:ind w:right="-69"/>
            </w:pPr>
            <w:r w:rsidRPr="0046360F">
              <w:t xml:space="preserve">Mean (SD) </w:t>
            </w:r>
            <w:r w:rsidR="0026392E" w:rsidRPr="0046360F">
              <w:t xml:space="preserve">CV </w:t>
            </w:r>
            <w:r w:rsidRPr="0046360F">
              <w:t>hospitalisations per year</w:t>
            </w:r>
            <w:r w:rsidRPr="0046360F">
              <w:rPr>
                <w:vertAlign w:val="superscript"/>
              </w:rPr>
              <w:t>a</w:t>
            </w:r>
          </w:p>
        </w:tc>
        <w:tc>
          <w:tcPr>
            <w:tcW w:w="877" w:type="pct"/>
            <w:vAlign w:val="center"/>
          </w:tcPr>
          <w:p w:rsidR="00982528" w:rsidRPr="0046360F" w:rsidRDefault="00982528" w:rsidP="00221DAD">
            <w:pPr>
              <w:pStyle w:val="TableText"/>
              <w:jc w:val="center"/>
              <w:rPr>
                <w:szCs w:val="20"/>
              </w:rPr>
            </w:pPr>
            <w:r w:rsidRPr="0046360F">
              <w:rPr>
                <w:szCs w:val="20"/>
              </w:rPr>
              <w:t>0.976 (2.117)</w:t>
            </w:r>
          </w:p>
        </w:tc>
        <w:tc>
          <w:tcPr>
            <w:tcW w:w="875" w:type="pct"/>
            <w:vAlign w:val="center"/>
          </w:tcPr>
          <w:p w:rsidR="00982528" w:rsidRPr="0046360F" w:rsidRDefault="00982528" w:rsidP="00221DAD">
            <w:pPr>
              <w:pStyle w:val="TableText"/>
              <w:jc w:val="center"/>
              <w:rPr>
                <w:szCs w:val="20"/>
              </w:rPr>
            </w:pPr>
            <w:r w:rsidRPr="0046360F">
              <w:rPr>
                <w:szCs w:val="20"/>
              </w:rPr>
              <w:t>1.010 (2.360)</w:t>
            </w:r>
          </w:p>
        </w:tc>
        <w:tc>
          <w:tcPr>
            <w:tcW w:w="875" w:type="pct"/>
            <w:vAlign w:val="center"/>
          </w:tcPr>
          <w:p w:rsidR="00982528" w:rsidRPr="0046360F" w:rsidRDefault="00982528" w:rsidP="00221DAD">
            <w:pPr>
              <w:pStyle w:val="TableText"/>
              <w:jc w:val="center"/>
              <w:rPr>
                <w:szCs w:val="20"/>
              </w:rPr>
            </w:pPr>
            <w:r w:rsidRPr="0046360F">
              <w:rPr>
                <w:rFonts w:eastAsia="Times New Roman"/>
                <w:color w:val="000000"/>
                <w:szCs w:val="20"/>
              </w:rPr>
              <w:t>0.999 (2.278)</w:t>
            </w:r>
          </w:p>
        </w:tc>
        <w:tc>
          <w:tcPr>
            <w:tcW w:w="874" w:type="pct"/>
            <w:vAlign w:val="center"/>
          </w:tcPr>
          <w:p w:rsidR="00982528" w:rsidRPr="0046360F" w:rsidRDefault="00982528" w:rsidP="00221DAD">
            <w:pPr>
              <w:pStyle w:val="TableText"/>
              <w:jc w:val="center"/>
              <w:rPr>
                <w:szCs w:val="20"/>
              </w:rPr>
            </w:pPr>
            <w:r w:rsidRPr="0046360F">
              <w:rPr>
                <w:rFonts w:eastAsia="Times New Roman"/>
                <w:color w:val="000000"/>
                <w:szCs w:val="20"/>
              </w:rPr>
              <w:t>0.884 (1.203)</w:t>
            </w:r>
          </w:p>
        </w:tc>
      </w:tr>
      <w:tr w:rsidR="00982528" w:rsidRPr="0046360F" w:rsidTr="005B68D9">
        <w:tc>
          <w:tcPr>
            <w:tcW w:w="1499" w:type="pct"/>
            <w:tcBorders>
              <w:top w:val="single" w:sz="4" w:space="0" w:color="auto"/>
            </w:tcBorders>
            <w:vAlign w:val="center"/>
          </w:tcPr>
          <w:p w:rsidR="00982528" w:rsidRPr="0046360F" w:rsidRDefault="00982528" w:rsidP="00221DAD">
            <w:pPr>
              <w:pStyle w:val="TableText"/>
              <w:tabs>
                <w:tab w:val="left" w:pos="175"/>
              </w:tabs>
              <w:ind w:right="-69"/>
            </w:pPr>
            <w:r w:rsidRPr="0046360F">
              <w:t xml:space="preserve">Median (range) </w:t>
            </w:r>
            <w:r w:rsidR="0026392E" w:rsidRPr="0046360F">
              <w:t xml:space="preserve">CV </w:t>
            </w:r>
            <w:r w:rsidRPr="0046360F">
              <w:t>hospitalisations per year</w:t>
            </w:r>
            <w:r w:rsidRPr="0046360F">
              <w:rPr>
                <w:vertAlign w:val="superscript"/>
              </w:rPr>
              <w:t>a</w:t>
            </w:r>
          </w:p>
        </w:tc>
        <w:tc>
          <w:tcPr>
            <w:tcW w:w="877" w:type="pct"/>
            <w:vAlign w:val="center"/>
          </w:tcPr>
          <w:p w:rsidR="00982528" w:rsidRPr="0046360F" w:rsidRDefault="00982528" w:rsidP="00221DAD">
            <w:pPr>
              <w:pStyle w:val="TableText"/>
              <w:jc w:val="center"/>
              <w:rPr>
                <w:szCs w:val="20"/>
              </w:rPr>
            </w:pPr>
            <w:r w:rsidRPr="0046360F">
              <w:rPr>
                <w:szCs w:val="20"/>
              </w:rPr>
              <w:t>0 (0, 12.04)</w:t>
            </w:r>
          </w:p>
        </w:tc>
        <w:tc>
          <w:tcPr>
            <w:tcW w:w="875" w:type="pct"/>
            <w:vAlign w:val="center"/>
          </w:tcPr>
          <w:p w:rsidR="00982528" w:rsidRPr="0046360F" w:rsidRDefault="00982528" w:rsidP="00221DAD">
            <w:pPr>
              <w:pStyle w:val="TableText"/>
              <w:jc w:val="center"/>
              <w:rPr>
                <w:szCs w:val="20"/>
              </w:rPr>
            </w:pPr>
            <w:r w:rsidRPr="0046360F">
              <w:rPr>
                <w:szCs w:val="20"/>
              </w:rPr>
              <w:t>0.397 (0, 21.49)</w:t>
            </w:r>
          </w:p>
        </w:tc>
        <w:tc>
          <w:tcPr>
            <w:tcW w:w="875" w:type="pct"/>
            <w:vAlign w:val="center"/>
          </w:tcPr>
          <w:p w:rsidR="00982528" w:rsidRPr="0046360F" w:rsidRDefault="00982528" w:rsidP="00221DAD">
            <w:pPr>
              <w:pStyle w:val="TableText"/>
              <w:jc w:val="center"/>
              <w:rPr>
                <w:szCs w:val="20"/>
              </w:rPr>
            </w:pPr>
            <w:r w:rsidRPr="0046360F">
              <w:rPr>
                <w:szCs w:val="20"/>
              </w:rPr>
              <w:t>0.395 (0, 21.49)</w:t>
            </w:r>
          </w:p>
        </w:tc>
        <w:tc>
          <w:tcPr>
            <w:tcW w:w="874" w:type="pct"/>
            <w:vAlign w:val="center"/>
          </w:tcPr>
          <w:p w:rsidR="00982528" w:rsidRPr="0046360F" w:rsidRDefault="00982528" w:rsidP="00221DAD">
            <w:pPr>
              <w:pStyle w:val="TableText"/>
              <w:jc w:val="center"/>
              <w:rPr>
                <w:szCs w:val="20"/>
              </w:rPr>
            </w:pPr>
            <w:r w:rsidRPr="0046360F">
              <w:rPr>
                <w:szCs w:val="20"/>
              </w:rPr>
              <w:t>0.403 (0, 7.23)</w:t>
            </w:r>
          </w:p>
        </w:tc>
      </w:tr>
      <w:tr w:rsidR="00982528" w:rsidRPr="0046360F" w:rsidTr="005B68D9">
        <w:tc>
          <w:tcPr>
            <w:tcW w:w="1499" w:type="pct"/>
            <w:vAlign w:val="center"/>
          </w:tcPr>
          <w:p w:rsidR="00982528" w:rsidRPr="0046360F" w:rsidRDefault="00982528" w:rsidP="00221DAD">
            <w:pPr>
              <w:pStyle w:val="TableText"/>
              <w:tabs>
                <w:tab w:val="left" w:pos="175"/>
              </w:tabs>
              <w:ind w:right="-69"/>
              <w:rPr>
                <w:vertAlign w:val="superscript"/>
              </w:rPr>
            </w:pPr>
            <w:r w:rsidRPr="0046360F">
              <w:t xml:space="preserve">Frequency of </w:t>
            </w:r>
            <w:r w:rsidR="0026392E" w:rsidRPr="0046360F">
              <w:t xml:space="preserve">CV </w:t>
            </w:r>
            <w:r w:rsidRPr="0046360F">
              <w:t>hospitalisations (95% CI)</w:t>
            </w:r>
            <w:r w:rsidRPr="0046360F">
              <w:rPr>
                <w:vertAlign w:val="superscript"/>
              </w:rPr>
              <w:t>b</w:t>
            </w:r>
          </w:p>
        </w:tc>
        <w:tc>
          <w:tcPr>
            <w:tcW w:w="877" w:type="pct"/>
            <w:vAlign w:val="center"/>
          </w:tcPr>
          <w:p w:rsidR="00982528" w:rsidRPr="0046360F" w:rsidRDefault="00982528" w:rsidP="00221DAD">
            <w:pPr>
              <w:pStyle w:val="TableText"/>
              <w:ind w:left="-89" w:right="-71"/>
              <w:jc w:val="center"/>
              <w:rPr>
                <w:szCs w:val="20"/>
              </w:rPr>
            </w:pPr>
            <w:r w:rsidRPr="0046360F">
              <w:rPr>
                <w:szCs w:val="20"/>
              </w:rPr>
              <w:t>0.464 (0.371, 0.581)</w:t>
            </w:r>
          </w:p>
        </w:tc>
        <w:tc>
          <w:tcPr>
            <w:tcW w:w="875" w:type="pct"/>
            <w:vAlign w:val="center"/>
          </w:tcPr>
          <w:p w:rsidR="00982528" w:rsidRPr="0046360F" w:rsidRDefault="00982528" w:rsidP="00221DAD">
            <w:pPr>
              <w:pStyle w:val="TableText"/>
              <w:ind w:left="-89" w:right="-71"/>
              <w:jc w:val="center"/>
              <w:rPr>
                <w:szCs w:val="20"/>
              </w:rPr>
            </w:pPr>
            <w:r w:rsidRPr="0046360F">
              <w:rPr>
                <w:szCs w:val="20"/>
              </w:rPr>
              <w:t>0.491 (0.421, 0.572</w:t>
            </w:r>
            <w:r w:rsidR="005B68D9" w:rsidRPr="0046360F">
              <w:rPr>
                <w:szCs w:val="20"/>
              </w:rPr>
              <w:t>)</w:t>
            </w:r>
          </w:p>
        </w:tc>
        <w:tc>
          <w:tcPr>
            <w:tcW w:w="875" w:type="pct"/>
            <w:vAlign w:val="center"/>
          </w:tcPr>
          <w:p w:rsidR="00982528" w:rsidRPr="0046360F" w:rsidRDefault="00982528" w:rsidP="00221DAD">
            <w:pPr>
              <w:pStyle w:val="TableText"/>
              <w:ind w:left="-89" w:right="-71"/>
              <w:jc w:val="center"/>
              <w:rPr>
                <w:szCs w:val="20"/>
              </w:rPr>
            </w:pPr>
            <w:r w:rsidRPr="0046360F">
              <w:rPr>
                <w:szCs w:val="20"/>
              </w:rPr>
              <w:t>0.475 (0.418, 0.540)</w:t>
            </w:r>
          </w:p>
        </w:tc>
        <w:tc>
          <w:tcPr>
            <w:tcW w:w="874" w:type="pct"/>
            <w:vAlign w:val="center"/>
          </w:tcPr>
          <w:p w:rsidR="00982528" w:rsidRPr="0046360F" w:rsidRDefault="00982528" w:rsidP="00221DAD">
            <w:pPr>
              <w:pStyle w:val="TableText"/>
              <w:ind w:left="-89" w:right="-71"/>
              <w:jc w:val="center"/>
              <w:rPr>
                <w:szCs w:val="20"/>
              </w:rPr>
            </w:pPr>
            <w:r w:rsidRPr="0046360F">
              <w:rPr>
                <w:szCs w:val="20"/>
              </w:rPr>
              <w:t>0.702 (0.617, 0.799)</w:t>
            </w:r>
          </w:p>
        </w:tc>
      </w:tr>
      <w:tr w:rsidR="00982528" w:rsidRPr="0046360F" w:rsidTr="005B68D9">
        <w:tc>
          <w:tcPr>
            <w:tcW w:w="1499" w:type="pct"/>
            <w:vAlign w:val="center"/>
          </w:tcPr>
          <w:p w:rsidR="00982528" w:rsidRPr="0046360F" w:rsidRDefault="00982528" w:rsidP="00221DAD">
            <w:pPr>
              <w:pStyle w:val="TableText"/>
              <w:tabs>
                <w:tab w:val="left" w:pos="175"/>
              </w:tabs>
              <w:ind w:right="-69"/>
            </w:pPr>
            <w:r w:rsidRPr="0046360F">
              <w:t xml:space="preserve">Relative risk vs placebo </w:t>
            </w:r>
          </w:p>
          <w:p w:rsidR="00982528" w:rsidRPr="0046360F" w:rsidRDefault="00982528" w:rsidP="00221DAD">
            <w:pPr>
              <w:pStyle w:val="TableText"/>
              <w:tabs>
                <w:tab w:val="left" w:pos="175"/>
              </w:tabs>
              <w:ind w:right="-69"/>
            </w:pPr>
            <w:r w:rsidRPr="0046360F">
              <w:t>(95% CI)</w:t>
            </w:r>
          </w:p>
        </w:tc>
        <w:tc>
          <w:tcPr>
            <w:tcW w:w="877" w:type="pct"/>
            <w:vAlign w:val="center"/>
          </w:tcPr>
          <w:p w:rsidR="00982528" w:rsidRPr="0046360F" w:rsidRDefault="00982528" w:rsidP="00221DAD">
            <w:pPr>
              <w:pStyle w:val="TableText"/>
              <w:ind w:left="-89" w:right="-71"/>
              <w:jc w:val="center"/>
              <w:rPr>
                <w:b/>
                <w:szCs w:val="20"/>
              </w:rPr>
            </w:pPr>
            <w:r w:rsidRPr="0046360F">
              <w:rPr>
                <w:b/>
                <w:szCs w:val="20"/>
              </w:rPr>
              <w:t>0.661 (0.511, 0.856)</w:t>
            </w:r>
          </w:p>
        </w:tc>
        <w:tc>
          <w:tcPr>
            <w:tcW w:w="875" w:type="pct"/>
            <w:vAlign w:val="center"/>
          </w:tcPr>
          <w:p w:rsidR="00982528" w:rsidRPr="0046360F" w:rsidRDefault="00982528" w:rsidP="00221DAD">
            <w:pPr>
              <w:pStyle w:val="TableText"/>
              <w:ind w:left="-89" w:right="-71"/>
              <w:jc w:val="center"/>
              <w:rPr>
                <w:b/>
                <w:szCs w:val="20"/>
              </w:rPr>
            </w:pPr>
            <w:r w:rsidRPr="0046360F">
              <w:rPr>
                <w:b/>
                <w:szCs w:val="20"/>
              </w:rPr>
              <w:t>0.699 (0.572, 0.855)</w:t>
            </w:r>
          </w:p>
        </w:tc>
        <w:tc>
          <w:tcPr>
            <w:tcW w:w="875" w:type="pct"/>
            <w:vAlign w:val="center"/>
          </w:tcPr>
          <w:p w:rsidR="00982528" w:rsidRPr="0046360F" w:rsidRDefault="00982528" w:rsidP="00221DAD">
            <w:pPr>
              <w:pStyle w:val="TableText"/>
              <w:ind w:left="-89" w:right="-71"/>
              <w:jc w:val="center"/>
              <w:rPr>
                <w:b/>
                <w:szCs w:val="20"/>
              </w:rPr>
            </w:pPr>
            <w:r w:rsidRPr="0046360F">
              <w:rPr>
                <w:b/>
                <w:szCs w:val="20"/>
              </w:rPr>
              <w:t>0.676 (0.564, 0.811)</w:t>
            </w:r>
          </w:p>
        </w:tc>
        <w:tc>
          <w:tcPr>
            <w:tcW w:w="874" w:type="pct"/>
            <w:vAlign w:val="center"/>
          </w:tcPr>
          <w:p w:rsidR="00982528" w:rsidRPr="0046360F" w:rsidRDefault="00982528" w:rsidP="00221DAD">
            <w:pPr>
              <w:pStyle w:val="TableText"/>
              <w:ind w:left="-89" w:right="-71"/>
              <w:jc w:val="center"/>
              <w:rPr>
                <w:szCs w:val="20"/>
              </w:rPr>
            </w:pPr>
            <w:r w:rsidRPr="0046360F">
              <w:rPr>
                <w:szCs w:val="20"/>
              </w:rPr>
              <w:t>-</w:t>
            </w:r>
          </w:p>
        </w:tc>
      </w:tr>
    </w:tbl>
    <w:p w:rsidR="00982528" w:rsidRPr="0046360F" w:rsidRDefault="00982528" w:rsidP="00982528">
      <w:pPr>
        <w:pStyle w:val="TableFigureFooter"/>
        <w:keepNext/>
      </w:pPr>
      <w:r w:rsidRPr="0046360F">
        <w:t>Source: Table 2.5.4, p.81 and Table 2.5.13, p.107 of the July 2020 submission. Statistically significant results in bold.</w:t>
      </w:r>
    </w:p>
    <w:p w:rsidR="00982528" w:rsidRPr="0046360F" w:rsidRDefault="00982528" w:rsidP="00982528">
      <w:pPr>
        <w:pStyle w:val="TableFigureFooter"/>
        <w:keepNext/>
      </w:pPr>
      <w:r w:rsidRPr="0046360F">
        <w:t xml:space="preserve">Abbreviations: CI, confidence interval; </w:t>
      </w:r>
      <w:r w:rsidR="0026392E" w:rsidRPr="0046360F">
        <w:t xml:space="preserve">CV, cardiovascular; </w:t>
      </w:r>
      <w:r w:rsidRPr="0046360F">
        <w:t xml:space="preserve">ITT, intention-to-treat; </w:t>
      </w:r>
      <w:r w:rsidRPr="0046360F">
        <w:rPr>
          <w:szCs w:val="18"/>
        </w:rPr>
        <w:t>NYHA, New York Heart Association heart failure classification; SD, standard deviation; TTR, transthyretin</w:t>
      </w:r>
      <w:r w:rsidRPr="0046360F">
        <w:t>.</w:t>
      </w:r>
    </w:p>
    <w:p w:rsidR="00982528" w:rsidRPr="0046360F" w:rsidRDefault="00982528" w:rsidP="00982528">
      <w:pPr>
        <w:pStyle w:val="TableFigureFooter"/>
        <w:keepNext/>
      </w:pPr>
      <w:r w:rsidRPr="0046360F">
        <w:rPr>
          <w:vertAlign w:val="superscript"/>
        </w:rPr>
        <w:t>a</w:t>
      </w:r>
      <w:r w:rsidRPr="0046360F">
        <w:t xml:space="preserve"> Cardiovascular-related hospitalisations per year calculated as (patient’s number of cardiovascular hospitalisations)/(duration on study in years).</w:t>
      </w:r>
    </w:p>
    <w:p w:rsidR="00982528" w:rsidRPr="0046360F" w:rsidRDefault="00982528" w:rsidP="00982528">
      <w:pPr>
        <w:pStyle w:val="TableFigureFooter"/>
        <w:keepNext/>
        <w:rPr>
          <w:sz w:val="20"/>
        </w:rPr>
      </w:pPr>
      <w:r w:rsidRPr="0046360F">
        <w:rPr>
          <w:vertAlign w:val="superscript"/>
        </w:rPr>
        <w:t>b</w:t>
      </w:r>
      <w:r w:rsidRPr="0046360F">
        <w:t xml:space="preserve"> Poisson regression analysis with treatment, TTR genotype, NYHA baseline classification (NYHA I &amp; II; NYHA III), treatment-by-TTR genotype interaction, and treatment by NYHA baseline classification interaction terms as factors, adjusted for treatment duration. </w:t>
      </w:r>
    </w:p>
    <w:p w:rsidR="00A25D8F" w:rsidRPr="0046360F" w:rsidRDefault="00A25D8F" w:rsidP="00A25D8F">
      <w:pPr>
        <w:pStyle w:val="ExecSumBodyText"/>
        <w:numPr>
          <w:ilvl w:val="1"/>
          <w:numId w:val="1"/>
        </w:numPr>
      </w:pPr>
      <w:r w:rsidRPr="0046360F">
        <w:t xml:space="preserve">Smaller proportions of patients experienced </w:t>
      </w:r>
      <w:r w:rsidR="0026392E" w:rsidRPr="0046360F">
        <w:t xml:space="preserve">CV </w:t>
      </w:r>
      <w:r w:rsidRPr="0046360F">
        <w:t>hospitalisation events in the tafamidis 20</w:t>
      </w:r>
      <w:r w:rsidR="00514839" w:rsidRPr="0046360F">
        <w:t xml:space="preserve"> </w:t>
      </w:r>
      <w:r w:rsidRPr="0046360F">
        <w:t>mg (47.5%) and tafamidis 80 mg (54.5%) treatment arms compared to placebo (60.5%). The median number of hospitalisations per year was similar between the tafamidis 80 mg and placebo arms. However, when estimates were reported as mean number of hospitalisations per year, patients in the placebo arm had similar or slightly lower events (0.884) compared to tafamidis treated patients (0.976-1.010).</w:t>
      </w:r>
    </w:p>
    <w:p w:rsidR="00A25D8F" w:rsidRPr="0046360F" w:rsidRDefault="00A25D8F" w:rsidP="00A25D8F">
      <w:pPr>
        <w:pStyle w:val="ExecSumBodyText"/>
        <w:numPr>
          <w:ilvl w:val="1"/>
          <w:numId w:val="1"/>
        </w:numPr>
      </w:pPr>
      <w:r w:rsidRPr="0046360F">
        <w:t xml:space="preserve">Comparisons between treatment arms based on a Poisson regression analysis with treatment, TTR genotype, NYHA baseline classification, treatment-by-TTR genotype interaction, and treatment-by-NYHA baseline classification interaction terms as factors, adjusted for treatment duration, showed the risk of </w:t>
      </w:r>
      <w:r w:rsidR="0026392E" w:rsidRPr="0046360F">
        <w:t xml:space="preserve">CV </w:t>
      </w:r>
      <w:r w:rsidRPr="0046360F">
        <w:t xml:space="preserve">hospitalisation was 33.9% lower for tafamidis 20 mg, 30.0% lower for tafamidis 80 mg and 32.4% lower for the pooled tafamidis arms compared to placebo. The reasons for the differences in estimates between mean and median </w:t>
      </w:r>
      <w:r w:rsidR="0026392E" w:rsidRPr="0046360F">
        <w:t xml:space="preserve">CV </w:t>
      </w:r>
      <w:r w:rsidRPr="0046360F">
        <w:t xml:space="preserve">hospitalisations per year and frequency of </w:t>
      </w:r>
      <w:r w:rsidR="0026392E" w:rsidRPr="0046360F">
        <w:t xml:space="preserve">CV </w:t>
      </w:r>
      <w:r w:rsidRPr="0046360F">
        <w:t xml:space="preserve">hospitalisation </w:t>
      </w:r>
      <w:r w:rsidR="00FF661D" w:rsidRPr="0046360F">
        <w:t xml:space="preserve">were </w:t>
      </w:r>
      <w:r w:rsidRPr="0046360F">
        <w:t>unclear.</w:t>
      </w:r>
    </w:p>
    <w:p w:rsidR="00A25D8F" w:rsidRPr="0046360F" w:rsidRDefault="00A25D8F" w:rsidP="00A25D8F">
      <w:pPr>
        <w:pStyle w:val="ExecSumBodyText"/>
        <w:numPr>
          <w:ilvl w:val="1"/>
          <w:numId w:val="1"/>
        </w:numPr>
      </w:pPr>
      <w:r w:rsidRPr="0046360F">
        <w:t xml:space="preserve">Table 7 summarises the results of the primary outcome in the ATTR-ACT trial; the Finkelstein-Schoenfeld prioritised pairwise comparison of all-cause mortality and </w:t>
      </w:r>
      <w:r w:rsidR="0026392E" w:rsidRPr="0046360F">
        <w:t xml:space="preserve">CV </w:t>
      </w:r>
      <w:r w:rsidRPr="0046360F">
        <w:t>hospitalisation for tafamidis versus placebo (ITT).</w:t>
      </w:r>
    </w:p>
    <w:p w:rsidR="00D62D18" w:rsidRPr="0046360F" w:rsidRDefault="00D62D18" w:rsidP="00CC7D48">
      <w:pPr>
        <w:pStyle w:val="TableFigureCaption"/>
      </w:pPr>
      <w:r w:rsidRPr="0046360F">
        <w:t xml:space="preserve">Table </w:t>
      </w:r>
      <w:r w:rsidR="00C170ED">
        <w:rPr>
          <w:noProof/>
        </w:rPr>
        <w:t>7</w:t>
      </w:r>
      <w:r w:rsidR="00CC7D48" w:rsidRPr="0046360F">
        <w:t xml:space="preserve">: </w:t>
      </w:r>
      <w:r w:rsidRPr="0046360F">
        <w:t xml:space="preserve">Finkelstein-Schoenfeld analysis of all-cause mortality and frequency of </w:t>
      </w:r>
      <w:r w:rsidR="0026392E" w:rsidRPr="0046360F">
        <w:t xml:space="preserve">CV </w:t>
      </w:r>
      <w:r w:rsidRPr="0046360F">
        <w:t>hospitalisation for tafamidis versus placebo for ATTR-ACT (ITT)</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7"/>
        <w:gridCol w:w="1568"/>
        <w:gridCol w:w="1569"/>
        <w:gridCol w:w="1569"/>
        <w:gridCol w:w="1564"/>
      </w:tblGrid>
      <w:tr w:rsidR="00D62D18" w:rsidRPr="0046360F" w:rsidTr="00FF661D">
        <w:trPr>
          <w:tblHeader/>
        </w:trPr>
        <w:tc>
          <w:tcPr>
            <w:tcW w:w="1504" w:type="pct"/>
            <w:gridSpan w:val="2"/>
            <w:vAlign w:val="center"/>
          </w:tcPr>
          <w:p w:rsidR="00D62D18" w:rsidRPr="0046360F" w:rsidRDefault="00D62D18" w:rsidP="00221DAD">
            <w:pPr>
              <w:pStyle w:val="Tableheadingrow"/>
              <w:rPr>
                <w:szCs w:val="20"/>
                <w:lang w:val="en-AU"/>
              </w:rPr>
            </w:pPr>
          </w:p>
        </w:tc>
        <w:tc>
          <w:tcPr>
            <w:tcW w:w="874" w:type="pct"/>
            <w:vAlign w:val="center"/>
          </w:tcPr>
          <w:p w:rsidR="00D62D18" w:rsidRPr="0046360F" w:rsidRDefault="00D62D18" w:rsidP="00221DAD">
            <w:pPr>
              <w:pStyle w:val="Tableheadingrow"/>
              <w:jc w:val="center"/>
              <w:rPr>
                <w:szCs w:val="20"/>
                <w:lang w:val="en-AU"/>
              </w:rPr>
            </w:pPr>
            <w:r w:rsidRPr="0046360F">
              <w:rPr>
                <w:szCs w:val="20"/>
                <w:lang w:val="en-AU"/>
              </w:rPr>
              <w:t>Tafamidis</w:t>
            </w:r>
          </w:p>
          <w:p w:rsidR="00D62D18" w:rsidRPr="0046360F" w:rsidRDefault="00D62D18" w:rsidP="00221DAD">
            <w:pPr>
              <w:pStyle w:val="Tableheadingrow"/>
              <w:jc w:val="center"/>
              <w:rPr>
                <w:szCs w:val="20"/>
                <w:lang w:val="en-AU"/>
              </w:rPr>
            </w:pPr>
            <w:r w:rsidRPr="0046360F">
              <w:rPr>
                <w:szCs w:val="20"/>
                <w:lang w:val="en-AU"/>
              </w:rPr>
              <w:t>20 mg</w:t>
            </w:r>
          </w:p>
        </w:tc>
        <w:tc>
          <w:tcPr>
            <w:tcW w:w="874" w:type="pct"/>
            <w:vAlign w:val="center"/>
          </w:tcPr>
          <w:p w:rsidR="00D62D18" w:rsidRPr="0046360F" w:rsidRDefault="00D62D18" w:rsidP="00221DAD">
            <w:pPr>
              <w:pStyle w:val="Tableheadingrow"/>
              <w:jc w:val="center"/>
              <w:rPr>
                <w:szCs w:val="20"/>
                <w:lang w:val="en-AU"/>
              </w:rPr>
            </w:pPr>
            <w:r w:rsidRPr="0046360F">
              <w:rPr>
                <w:szCs w:val="20"/>
                <w:lang w:val="en-AU"/>
              </w:rPr>
              <w:t>Tafamidis</w:t>
            </w:r>
          </w:p>
          <w:p w:rsidR="00D62D18" w:rsidRPr="0046360F" w:rsidRDefault="00D62D18" w:rsidP="00221DAD">
            <w:pPr>
              <w:pStyle w:val="Tableheadingrow"/>
              <w:jc w:val="center"/>
              <w:rPr>
                <w:szCs w:val="20"/>
                <w:lang w:val="en-AU"/>
              </w:rPr>
            </w:pPr>
            <w:r w:rsidRPr="0046360F">
              <w:rPr>
                <w:szCs w:val="20"/>
                <w:lang w:val="en-AU"/>
              </w:rPr>
              <w:t>80 mg</w:t>
            </w:r>
          </w:p>
        </w:tc>
        <w:tc>
          <w:tcPr>
            <w:tcW w:w="874" w:type="pct"/>
            <w:vAlign w:val="center"/>
          </w:tcPr>
          <w:p w:rsidR="00D62D18" w:rsidRPr="0046360F" w:rsidRDefault="00D62D18" w:rsidP="00221DAD">
            <w:pPr>
              <w:pStyle w:val="Tableheadingrow"/>
              <w:jc w:val="center"/>
              <w:rPr>
                <w:szCs w:val="20"/>
                <w:lang w:val="en-AU"/>
              </w:rPr>
            </w:pPr>
            <w:r w:rsidRPr="0046360F">
              <w:rPr>
                <w:szCs w:val="20"/>
                <w:lang w:val="en-AU"/>
              </w:rPr>
              <w:t>Tafamidis pooled</w:t>
            </w:r>
          </w:p>
        </w:tc>
        <w:tc>
          <w:tcPr>
            <w:tcW w:w="874" w:type="pct"/>
            <w:vAlign w:val="center"/>
          </w:tcPr>
          <w:p w:rsidR="00D62D18" w:rsidRPr="0046360F" w:rsidRDefault="00D62D18" w:rsidP="00221DAD">
            <w:pPr>
              <w:pStyle w:val="Tableheadingrow"/>
              <w:jc w:val="center"/>
              <w:rPr>
                <w:szCs w:val="20"/>
                <w:lang w:val="en-AU"/>
              </w:rPr>
            </w:pPr>
            <w:r w:rsidRPr="0046360F">
              <w:rPr>
                <w:szCs w:val="20"/>
                <w:lang w:val="en-AU"/>
              </w:rPr>
              <w:t>Placebo</w:t>
            </w:r>
          </w:p>
        </w:tc>
      </w:tr>
      <w:tr w:rsidR="00D62D18" w:rsidRPr="0046360F" w:rsidTr="00FF661D">
        <w:tc>
          <w:tcPr>
            <w:tcW w:w="1500" w:type="pct"/>
            <w:vAlign w:val="center"/>
          </w:tcPr>
          <w:p w:rsidR="00D62D18" w:rsidRPr="0046360F" w:rsidRDefault="00D62D18" w:rsidP="00221DAD">
            <w:pPr>
              <w:pStyle w:val="TableText"/>
              <w:tabs>
                <w:tab w:val="left" w:pos="175"/>
              </w:tabs>
            </w:pPr>
            <w:r w:rsidRPr="0046360F">
              <w:t>N</w:t>
            </w:r>
          </w:p>
        </w:tc>
        <w:tc>
          <w:tcPr>
            <w:tcW w:w="875" w:type="pct"/>
            <w:gridSpan w:val="2"/>
            <w:vAlign w:val="center"/>
          </w:tcPr>
          <w:p w:rsidR="00D62D18" w:rsidRPr="0046360F" w:rsidRDefault="00D62D18" w:rsidP="00221DAD">
            <w:pPr>
              <w:pStyle w:val="TableText"/>
              <w:jc w:val="center"/>
              <w:rPr>
                <w:szCs w:val="20"/>
              </w:rPr>
            </w:pPr>
            <w:r w:rsidRPr="0046360F">
              <w:rPr>
                <w:szCs w:val="20"/>
              </w:rPr>
              <w:t>88</w:t>
            </w:r>
          </w:p>
        </w:tc>
        <w:tc>
          <w:tcPr>
            <w:tcW w:w="875" w:type="pct"/>
            <w:vAlign w:val="center"/>
          </w:tcPr>
          <w:p w:rsidR="00D62D18" w:rsidRPr="0046360F" w:rsidRDefault="00D62D18" w:rsidP="00221DAD">
            <w:pPr>
              <w:pStyle w:val="TableText"/>
              <w:jc w:val="center"/>
              <w:rPr>
                <w:szCs w:val="20"/>
              </w:rPr>
            </w:pPr>
            <w:r w:rsidRPr="0046360F">
              <w:rPr>
                <w:szCs w:val="20"/>
              </w:rPr>
              <w:t>176</w:t>
            </w:r>
          </w:p>
        </w:tc>
        <w:tc>
          <w:tcPr>
            <w:tcW w:w="875" w:type="pct"/>
            <w:vAlign w:val="center"/>
          </w:tcPr>
          <w:p w:rsidR="00D62D18" w:rsidRPr="0046360F" w:rsidRDefault="00D62D18" w:rsidP="00221DAD">
            <w:pPr>
              <w:pStyle w:val="TableText"/>
              <w:jc w:val="center"/>
              <w:rPr>
                <w:szCs w:val="20"/>
              </w:rPr>
            </w:pPr>
            <w:r w:rsidRPr="0046360F">
              <w:rPr>
                <w:szCs w:val="20"/>
              </w:rPr>
              <w:t>264</w:t>
            </w:r>
          </w:p>
        </w:tc>
        <w:tc>
          <w:tcPr>
            <w:tcW w:w="875" w:type="pct"/>
            <w:vAlign w:val="center"/>
          </w:tcPr>
          <w:p w:rsidR="00D62D18" w:rsidRPr="0046360F" w:rsidRDefault="00D62D18" w:rsidP="00221DAD">
            <w:pPr>
              <w:pStyle w:val="TableText"/>
              <w:jc w:val="center"/>
              <w:rPr>
                <w:szCs w:val="20"/>
              </w:rPr>
            </w:pPr>
            <w:r w:rsidRPr="0046360F">
              <w:rPr>
                <w:szCs w:val="20"/>
              </w:rPr>
              <w:t>177</w:t>
            </w:r>
          </w:p>
        </w:tc>
      </w:tr>
      <w:tr w:rsidR="00D62D18" w:rsidRPr="0046360F" w:rsidTr="00FF661D">
        <w:tc>
          <w:tcPr>
            <w:tcW w:w="1504" w:type="pct"/>
            <w:gridSpan w:val="2"/>
            <w:vAlign w:val="center"/>
          </w:tcPr>
          <w:p w:rsidR="00D62D18" w:rsidRPr="0046360F" w:rsidRDefault="00D62D18" w:rsidP="00221DAD">
            <w:pPr>
              <w:pStyle w:val="TableText"/>
              <w:tabs>
                <w:tab w:val="left" w:pos="175"/>
              </w:tabs>
            </w:pPr>
            <w:r w:rsidRPr="0046360F">
              <w:t xml:space="preserve">Number of subjects alive at </w:t>
            </w:r>
          </w:p>
          <w:p w:rsidR="00D62D18" w:rsidRPr="0046360F" w:rsidRDefault="00D62D18" w:rsidP="00221DAD">
            <w:pPr>
              <w:pStyle w:val="TableText"/>
              <w:tabs>
                <w:tab w:val="left" w:pos="175"/>
              </w:tabs>
            </w:pPr>
            <w:r w:rsidRPr="0046360F">
              <w:t>30 months, n (%)</w:t>
            </w:r>
            <w:r w:rsidRPr="0046360F">
              <w:rPr>
                <w:vertAlign w:val="superscript"/>
              </w:rPr>
              <w:t>a</w:t>
            </w:r>
            <w:r w:rsidRPr="0046360F">
              <w:t xml:space="preserve"> </w:t>
            </w:r>
          </w:p>
        </w:tc>
        <w:tc>
          <w:tcPr>
            <w:tcW w:w="874" w:type="pct"/>
            <w:vAlign w:val="center"/>
          </w:tcPr>
          <w:p w:rsidR="00D62D18" w:rsidRPr="0046360F" w:rsidRDefault="00D62D18" w:rsidP="00221DAD">
            <w:pPr>
              <w:pStyle w:val="TableText"/>
              <w:jc w:val="center"/>
              <w:rPr>
                <w:szCs w:val="20"/>
              </w:rPr>
            </w:pPr>
            <w:r w:rsidRPr="0046360F">
              <w:rPr>
                <w:szCs w:val="20"/>
              </w:rPr>
              <w:t>64 (72.7%)</w:t>
            </w:r>
          </w:p>
        </w:tc>
        <w:tc>
          <w:tcPr>
            <w:tcW w:w="874" w:type="pct"/>
            <w:vAlign w:val="center"/>
          </w:tcPr>
          <w:p w:rsidR="00D62D18" w:rsidRPr="0046360F" w:rsidRDefault="00D62D18" w:rsidP="00221DAD">
            <w:pPr>
              <w:pStyle w:val="TableText"/>
              <w:jc w:val="center"/>
              <w:rPr>
                <w:szCs w:val="20"/>
              </w:rPr>
            </w:pPr>
            <w:r w:rsidRPr="0046360F">
              <w:rPr>
                <w:szCs w:val="20"/>
              </w:rPr>
              <w:t>122 (69.3%)</w:t>
            </w:r>
          </w:p>
        </w:tc>
        <w:tc>
          <w:tcPr>
            <w:tcW w:w="874" w:type="pct"/>
            <w:vAlign w:val="center"/>
          </w:tcPr>
          <w:p w:rsidR="00D62D18" w:rsidRPr="0046360F" w:rsidRDefault="00D62D18" w:rsidP="00221DAD">
            <w:pPr>
              <w:pStyle w:val="TableText"/>
              <w:jc w:val="center"/>
              <w:rPr>
                <w:szCs w:val="20"/>
              </w:rPr>
            </w:pPr>
            <w:r w:rsidRPr="0046360F">
              <w:t>186 (70.5%)</w:t>
            </w:r>
          </w:p>
        </w:tc>
        <w:tc>
          <w:tcPr>
            <w:tcW w:w="874" w:type="pct"/>
            <w:vAlign w:val="center"/>
          </w:tcPr>
          <w:p w:rsidR="00D62D18" w:rsidRPr="0046360F" w:rsidRDefault="00D62D18" w:rsidP="00221DAD">
            <w:pPr>
              <w:pStyle w:val="TableText"/>
              <w:jc w:val="center"/>
              <w:rPr>
                <w:szCs w:val="20"/>
              </w:rPr>
            </w:pPr>
            <w:r w:rsidRPr="0046360F">
              <w:t>101 (57.1%)</w:t>
            </w:r>
          </w:p>
        </w:tc>
      </w:tr>
      <w:tr w:rsidR="00D62D18" w:rsidRPr="0046360F" w:rsidTr="00FF661D">
        <w:tc>
          <w:tcPr>
            <w:tcW w:w="1504" w:type="pct"/>
            <w:gridSpan w:val="2"/>
            <w:vAlign w:val="center"/>
          </w:tcPr>
          <w:p w:rsidR="00D62D18" w:rsidRPr="0046360F" w:rsidRDefault="00D62D18" w:rsidP="00221DAD">
            <w:pPr>
              <w:pStyle w:val="TableText"/>
              <w:rPr>
                <w:szCs w:val="20"/>
                <w:vertAlign w:val="superscript"/>
              </w:rPr>
            </w:pPr>
            <w:r w:rsidRPr="0046360F">
              <w:t xml:space="preserve">Average number/patient/year of </w:t>
            </w:r>
            <w:r w:rsidR="0026392E" w:rsidRPr="0046360F">
              <w:t xml:space="preserve">CV </w:t>
            </w:r>
            <w:r w:rsidRPr="0046360F">
              <w:t>hospitalisations at 30 months</w:t>
            </w:r>
            <w:r w:rsidRPr="0046360F">
              <w:rPr>
                <w:vertAlign w:val="superscript"/>
              </w:rPr>
              <w:t>b</w:t>
            </w:r>
          </w:p>
        </w:tc>
        <w:tc>
          <w:tcPr>
            <w:tcW w:w="874" w:type="pct"/>
            <w:vAlign w:val="center"/>
          </w:tcPr>
          <w:p w:rsidR="00D62D18" w:rsidRPr="0046360F" w:rsidRDefault="00D62D18" w:rsidP="00221DAD">
            <w:pPr>
              <w:pStyle w:val="TableText"/>
              <w:jc w:val="center"/>
            </w:pPr>
            <w:r w:rsidRPr="0046360F">
              <w:t>0.218</w:t>
            </w:r>
          </w:p>
        </w:tc>
        <w:tc>
          <w:tcPr>
            <w:tcW w:w="874" w:type="pct"/>
            <w:vAlign w:val="center"/>
          </w:tcPr>
          <w:p w:rsidR="00D62D18" w:rsidRPr="0046360F" w:rsidRDefault="00D62D18" w:rsidP="00221DAD">
            <w:pPr>
              <w:pStyle w:val="TableText"/>
              <w:jc w:val="center"/>
            </w:pPr>
            <w:r w:rsidRPr="0046360F">
              <w:t>0.339</w:t>
            </w:r>
          </w:p>
        </w:tc>
        <w:tc>
          <w:tcPr>
            <w:tcW w:w="874" w:type="pct"/>
            <w:vAlign w:val="center"/>
          </w:tcPr>
          <w:p w:rsidR="00D62D18" w:rsidRPr="0046360F" w:rsidRDefault="00D62D18" w:rsidP="00221DAD">
            <w:pPr>
              <w:pStyle w:val="TableText"/>
              <w:jc w:val="center"/>
              <w:rPr>
                <w:szCs w:val="20"/>
              </w:rPr>
            </w:pPr>
            <w:r w:rsidRPr="0046360F">
              <w:t>0.297</w:t>
            </w:r>
          </w:p>
        </w:tc>
        <w:tc>
          <w:tcPr>
            <w:tcW w:w="874" w:type="pct"/>
            <w:vAlign w:val="center"/>
          </w:tcPr>
          <w:p w:rsidR="00D62D18" w:rsidRPr="0046360F" w:rsidRDefault="00D62D18" w:rsidP="00221DAD">
            <w:pPr>
              <w:pStyle w:val="TableText"/>
              <w:jc w:val="center"/>
              <w:rPr>
                <w:szCs w:val="20"/>
              </w:rPr>
            </w:pPr>
            <w:r w:rsidRPr="0046360F">
              <w:t>0.455</w:t>
            </w:r>
          </w:p>
        </w:tc>
      </w:tr>
      <w:tr w:rsidR="00D62D18" w:rsidRPr="0046360F" w:rsidTr="00FF661D">
        <w:tc>
          <w:tcPr>
            <w:tcW w:w="1504" w:type="pct"/>
            <w:gridSpan w:val="2"/>
            <w:vAlign w:val="center"/>
          </w:tcPr>
          <w:p w:rsidR="00D62D18" w:rsidRPr="0046360F" w:rsidRDefault="00D62D18" w:rsidP="00221DAD">
            <w:pPr>
              <w:pStyle w:val="TableText"/>
              <w:rPr>
                <w:szCs w:val="20"/>
              </w:rPr>
            </w:pPr>
            <w:r w:rsidRPr="0046360F">
              <w:t xml:space="preserve">Finkelstein-Schoenfeld analysis versus placebo (p-value) </w:t>
            </w:r>
          </w:p>
        </w:tc>
        <w:tc>
          <w:tcPr>
            <w:tcW w:w="874" w:type="pct"/>
            <w:vAlign w:val="center"/>
          </w:tcPr>
          <w:p w:rsidR="00D62D18" w:rsidRPr="0046360F" w:rsidRDefault="00D62D18" w:rsidP="00221DAD">
            <w:pPr>
              <w:pStyle w:val="TableText"/>
              <w:jc w:val="center"/>
              <w:rPr>
                <w:b/>
              </w:rPr>
            </w:pPr>
            <w:r w:rsidRPr="0046360F">
              <w:rPr>
                <w:b/>
              </w:rPr>
              <w:t>p = 0.0048</w:t>
            </w:r>
          </w:p>
        </w:tc>
        <w:tc>
          <w:tcPr>
            <w:tcW w:w="874" w:type="pct"/>
            <w:vAlign w:val="center"/>
          </w:tcPr>
          <w:p w:rsidR="00D62D18" w:rsidRPr="0046360F" w:rsidRDefault="00D62D18" w:rsidP="00221DAD">
            <w:pPr>
              <w:pStyle w:val="TableText"/>
              <w:jc w:val="center"/>
              <w:rPr>
                <w:b/>
              </w:rPr>
            </w:pPr>
            <w:r w:rsidRPr="0046360F">
              <w:rPr>
                <w:b/>
              </w:rPr>
              <w:t>p = 0.0030</w:t>
            </w:r>
          </w:p>
        </w:tc>
        <w:tc>
          <w:tcPr>
            <w:tcW w:w="874" w:type="pct"/>
            <w:vAlign w:val="center"/>
          </w:tcPr>
          <w:p w:rsidR="00D62D18" w:rsidRPr="0046360F" w:rsidRDefault="00240DAD" w:rsidP="00221DAD">
            <w:pPr>
              <w:pStyle w:val="TableText"/>
              <w:jc w:val="center"/>
              <w:rPr>
                <w:b/>
                <w:szCs w:val="20"/>
              </w:rPr>
            </w:pPr>
            <w:r>
              <w:rPr>
                <w:b/>
              </w:rPr>
              <w:t xml:space="preserve"> </w:t>
            </w:r>
            <w:r w:rsidR="00D62D18" w:rsidRPr="0046360F">
              <w:rPr>
                <w:b/>
              </w:rPr>
              <w:t>p = 0.0006</w:t>
            </w:r>
          </w:p>
        </w:tc>
        <w:tc>
          <w:tcPr>
            <w:tcW w:w="874" w:type="pct"/>
            <w:vAlign w:val="center"/>
          </w:tcPr>
          <w:p w:rsidR="00D62D18" w:rsidRPr="0046360F" w:rsidRDefault="00D62D18" w:rsidP="00221DAD">
            <w:pPr>
              <w:pStyle w:val="TableText"/>
              <w:jc w:val="center"/>
              <w:rPr>
                <w:bCs w:val="0"/>
                <w:szCs w:val="20"/>
              </w:rPr>
            </w:pPr>
            <w:r w:rsidRPr="0046360F">
              <w:rPr>
                <w:bCs w:val="0"/>
                <w:szCs w:val="20"/>
              </w:rPr>
              <w:t>-</w:t>
            </w:r>
          </w:p>
        </w:tc>
      </w:tr>
    </w:tbl>
    <w:p w:rsidR="00D62D18" w:rsidRPr="0046360F" w:rsidRDefault="00D62D18" w:rsidP="00D62D18">
      <w:pPr>
        <w:pStyle w:val="TableFigureFooter"/>
      </w:pPr>
      <w:r w:rsidRPr="0046360F">
        <w:t>Source: Table 2.5.1, p.77 of the July 2020 submission. Statistically significant results in bold.</w:t>
      </w:r>
    </w:p>
    <w:p w:rsidR="00D62D18" w:rsidRPr="0046360F" w:rsidRDefault="00D62D18" w:rsidP="00D62D18">
      <w:pPr>
        <w:pStyle w:val="TableFigureFooter"/>
      </w:pPr>
      <w:r w:rsidRPr="0046360F">
        <w:t>Abbreviations:</w:t>
      </w:r>
      <w:r w:rsidR="0026392E" w:rsidRPr="0046360F">
        <w:t xml:space="preserve"> CV, cardiovascular;</w:t>
      </w:r>
      <w:r w:rsidRPr="0046360F">
        <w:t xml:space="preserve"> ITT, intention-to-treat.</w:t>
      </w:r>
    </w:p>
    <w:p w:rsidR="00D62D18" w:rsidRPr="0046360F" w:rsidRDefault="00D62D18" w:rsidP="00D62D18">
      <w:pPr>
        <w:pStyle w:val="TableFigureFooter"/>
      </w:pPr>
      <w:r w:rsidRPr="0046360F">
        <w:rPr>
          <w:vertAlign w:val="superscript"/>
        </w:rPr>
        <w:t>a</w:t>
      </w:r>
      <w:r w:rsidRPr="0046360F">
        <w:t xml:space="preserve"> Heart transplant or implantation of a cardiac mechanical assist device handled as death.</w:t>
      </w:r>
    </w:p>
    <w:p w:rsidR="00D62D18" w:rsidRPr="0046360F" w:rsidRDefault="00D62D18" w:rsidP="00D62D18">
      <w:pPr>
        <w:pStyle w:val="TableFigureFooter"/>
      </w:pPr>
      <w:r w:rsidRPr="0046360F">
        <w:rPr>
          <w:vertAlign w:val="superscript"/>
        </w:rPr>
        <w:t xml:space="preserve">b </w:t>
      </w:r>
      <w:r w:rsidRPr="0046360F">
        <w:t>Calculated as [patient’s number of hospitalisations] / [study duration in years] among those alive at 30 months.</w:t>
      </w:r>
    </w:p>
    <w:p w:rsidR="00A25D8F" w:rsidRPr="0046360F" w:rsidRDefault="00A25D8F" w:rsidP="00A25D8F">
      <w:pPr>
        <w:pStyle w:val="ExecSumBodyText"/>
        <w:numPr>
          <w:ilvl w:val="1"/>
          <w:numId w:val="1"/>
        </w:numPr>
      </w:pPr>
      <w:r w:rsidRPr="0046360F">
        <w:t xml:space="preserve">In the primary outcome for the ATTR-ACT trial, the Finkelstein-Schoenfeld prioritised pairwise comparison of all-cause mortality and </w:t>
      </w:r>
      <w:r w:rsidR="0026392E" w:rsidRPr="0046360F">
        <w:t xml:space="preserve">CV </w:t>
      </w:r>
      <w:r w:rsidRPr="0046360F">
        <w:t xml:space="preserve">hospitalisations showed statistically significant results in favour of tafamidis 20 mg, tafamidis 80 mg and the pooled tafamidis treatment arm, versus placebo, suggesting a statistically significant difference between tafamidis and placebo in at least one or both outcomes. The average number of </w:t>
      </w:r>
      <w:r w:rsidR="0026392E" w:rsidRPr="0046360F">
        <w:t>CV</w:t>
      </w:r>
      <w:r w:rsidRPr="0046360F">
        <w:t>-related hospitalisations per patient per year amongst those alive at 30 months was lowest in patients treated with tafamidis 20 mg (0.218), compared to tafamidis 80 mg (0.339) and placebo (0.455). Similarly, the proportion of patients alive at 30 months was larger in the tafamidis 20 mg treatment arm (72.7%) compared to tafamidis 80 mg (69.3%) and placebo (57.1%).</w:t>
      </w:r>
    </w:p>
    <w:p w:rsidR="00A25D8F" w:rsidRPr="0046360F" w:rsidRDefault="00A25D8F" w:rsidP="00D62689">
      <w:pPr>
        <w:pStyle w:val="ExecSumBodyText"/>
      </w:pPr>
      <w:r w:rsidRPr="0046360F">
        <w:t xml:space="preserve">The results </w:t>
      </w:r>
      <w:r w:rsidR="009B14D8" w:rsidRPr="0046360F">
        <w:t xml:space="preserve">of the pairwise comparison </w:t>
      </w:r>
      <w:r w:rsidR="00FF661D" w:rsidRPr="0046360F">
        <w:t xml:space="preserve">were </w:t>
      </w:r>
      <w:r w:rsidRPr="0046360F">
        <w:t>consistent with those for individual outcomes</w:t>
      </w:r>
      <w:r w:rsidR="009B14D8" w:rsidRPr="0046360F">
        <w:t xml:space="preserve"> in that</w:t>
      </w:r>
      <w:r w:rsidRPr="0046360F">
        <w:t xml:space="preserve"> </w:t>
      </w:r>
      <w:r w:rsidR="009B14D8" w:rsidRPr="0046360F">
        <w:t>r</w:t>
      </w:r>
      <w:r w:rsidRPr="0046360F">
        <w:t>esults for tafamidis 20</w:t>
      </w:r>
      <w:r w:rsidR="007E3AEA" w:rsidRPr="0046360F">
        <w:t> </w:t>
      </w:r>
      <w:r w:rsidRPr="0046360F">
        <w:t>mg showed no statistically significant difference compared to placebo in all-cause mortality</w:t>
      </w:r>
      <w:r w:rsidR="006319D5" w:rsidRPr="0046360F">
        <w:rPr>
          <w:i/>
        </w:rPr>
        <w:t xml:space="preserve"> </w:t>
      </w:r>
      <w:r w:rsidR="006319D5" w:rsidRPr="0046360F">
        <w:t>(</w:t>
      </w:r>
      <w:r w:rsidR="00D62689" w:rsidRPr="0046360F">
        <w:t xml:space="preserve">although the ESC considered this was </w:t>
      </w:r>
      <w:r w:rsidR="00D62689" w:rsidRPr="00240DAD">
        <w:t>likely due to the smaller sample size in the tafamidis 20</w:t>
      </w:r>
      <w:r w:rsidR="007639A6" w:rsidRPr="00240DAD">
        <w:t xml:space="preserve"> </w:t>
      </w:r>
      <w:r w:rsidR="00D62689" w:rsidRPr="00240DAD">
        <w:t>mg treatment arm, as outlined in</w:t>
      </w:r>
      <w:r w:rsidR="006319D5" w:rsidRPr="00240DAD">
        <w:t xml:space="preserve"> </w:t>
      </w:r>
      <w:r w:rsidR="009974E4" w:rsidRPr="00240DAD">
        <w:t xml:space="preserve">paragraph </w:t>
      </w:r>
      <w:r w:rsidR="00C170ED" w:rsidRPr="00240DAD">
        <w:t>6.1</w:t>
      </w:r>
      <w:r w:rsidR="000C2D96">
        <w:t>6</w:t>
      </w:r>
      <w:r w:rsidR="006319D5" w:rsidRPr="00240DAD">
        <w:t>)</w:t>
      </w:r>
      <w:r w:rsidRPr="00240DAD">
        <w:t>, but</w:t>
      </w:r>
      <w:r w:rsidRPr="0046360F">
        <w:t xml:space="preserve"> a statistically significant reduction in </w:t>
      </w:r>
      <w:r w:rsidR="0026392E" w:rsidRPr="0046360F">
        <w:t xml:space="preserve">CV </w:t>
      </w:r>
      <w:r w:rsidRPr="0046360F">
        <w:t xml:space="preserve">hospitalisations compared to placebo. Tafamidis 80 mg demonstrated statistically significant reductions in both all-cause mortality and </w:t>
      </w:r>
      <w:r w:rsidR="0026392E" w:rsidRPr="0046360F">
        <w:t xml:space="preserve">CV </w:t>
      </w:r>
      <w:r w:rsidRPr="0046360F">
        <w:t>hospitalisations compared to placebo.</w:t>
      </w:r>
    </w:p>
    <w:p w:rsidR="00A25D8F" w:rsidRPr="0046360F" w:rsidRDefault="00A25D8F" w:rsidP="00A25D8F">
      <w:pPr>
        <w:pStyle w:val="ExecSumBodyText"/>
        <w:numPr>
          <w:ilvl w:val="1"/>
          <w:numId w:val="1"/>
        </w:numPr>
      </w:pPr>
      <w:r w:rsidRPr="0046360F">
        <w:t xml:space="preserve">For the 6MWT, tafamidis was associated with statistically significantly smaller decreases in distance walked from baseline to 30 months, compared to placebo. </w:t>
      </w:r>
      <w:r w:rsidRPr="0046360F">
        <w:rPr>
          <w:iCs/>
        </w:rPr>
        <w:t>However, there were larger proportions of placebo patients with incomplete or not properly administered 6MWTs in the ATTR-ACT trial and differences between treatment arms may not reflect differences in patient functional capacity.</w:t>
      </w:r>
      <w:r w:rsidR="009974E4" w:rsidRPr="0046360F">
        <w:rPr>
          <w:iCs/>
        </w:rPr>
        <w:t xml:space="preserve"> The PSCR  highlighted that the submission had explored the impact of missing 6MWT data through pattern mixture analyses for the change from baseline to Month 30 in the distance walked during the 6MWT using two dropout pattern cases in the ITT population. The </w:t>
      </w:r>
      <w:r w:rsidR="002D20C5" w:rsidRPr="0046360F">
        <w:rPr>
          <w:iCs/>
        </w:rPr>
        <w:t xml:space="preserve">PSCR stated that the </w:t>
      </w:r>
      <w:r w:rsidR="009974E4" w:rsidRPr="0046360F">
        <w:rPr>
          <w:iCs/>
        </w:rPr>
        <w:t>results of the pattern mixture analyses of the 6MWT were supportive of the key secondary analysis.</w:t>
      </w:r>
    </w:p>
    <w:p w:rsidR="00A25D8F" w:rsidRPr="0046360F" w:rsidRDefault="00A25D8F" w:rsidP="00A25D8F">
      <w:pPr>
        <w:pStyle w:val="ExecSumBodyText"/>
        <w:numPr>
          <w:ilvl w:val="1"/>
          <w:numId w:val="1"/>
        </w:numPr>
      </w:pPr>
      <w:r w:rsidRPr="0046360F">
        <w:t>Patients treated with tafamidis reported statistically significantly smaller mean reductions in the Kansas City Cardiomyopathy Questionnaire-overall score (KCCQ-OS) compared to placebo. However, scores were not consistent across all domains, and mean domain scores reported for symptom-stability and self-efficacy were not statistically significant. Similarly, patients treated with tafamidis reported smaller mean reductions in EQ-5D-3L compared to placebo.</w:t>
      </w:r>
    </w:p>
    <w:p w:rsidR="00A25D8F" w:rsidRPr="0046360F" w:rsidRDefault="00A25D8F" w:rsidP="002D20C5">
      <w:pPr>
        <w:pStyle w:val="ExecSumBodyText"/>
        <w:numPr>
          <w:ilvl w:val="0"/>
          <w:numId w:val="0"/>
        </w:numPr>
        <w:outlineLvl w:val="2"/>
        <w:rPr>
          <w:b/>
        </w:rPr>
      </w:pPr>
      <w:r w:rsidRPr="0046360F">
        <w:rPr>
          <w:b/>
        </w:rPr>
        <w:t xml:space="preserve">Additional </w:t>
      </w:r>
      <w:r w:rsidR="008B0291" w:rsidRPr="0046360F">
        <w:rPr>
          <w:b/>
        </w:rPr>
        <w:t>post hoc</w:t>
      </w:r>
      <w:r w:rsidRPr="0046360F">
        <w:rPr>
          <w:b/>
        </w:rPr>
        <w:t xml:space="preserve"> analyses</w:t>
      </w:r>
      <w:r w:rsidR="00B25C4F" w:rsidRPr="0046360F">
        <w:rPr>
          <w:b/>
        </w:rPr>
        <w:t xml:space="preserve"> </w:t>
      </w:r>
    </w:p>
    <w:p w:rsidR="002D20C5" w:rsidRPr="0046360F" w:rsidRDefault="002D20C5" w:rsidP="002D20C5">
      <w:pPr>
        <w:pStyle w:val="ExecSumBodyText"/>
        <w:numPr>
          <w:ilvl w:val="0"/>
          <w:numId w:val="0"/>
        </w:numPr>
        <w:ind w:left="720" w:hanging="720"/>
        <w:outlineLvl w:val="3"/>
        <w:rPr>
          <w:u w:val="single"/>
        </w:rPr>
      </w:pPr>
      <w:r w:rsidRPr="0046360F">
        <w:rPr>
          <w:u w:val="single"/>
        </w:rPr>
        <w:t>NYHA Class</w:t>
      </w:r>
    </w:p>
    <w:p w:rsidR="00A25D8F" w:rsidRPr="0046360F" w:rsidRDefault="00A25D8F" w:rsidP="00A25D8F">
      <w:pPr>
        <w:pStyle w:val="ExecSumBodyText"/>
        <w:numPr>
          <w:ilvl w:val="1"/>
          <w:numId w:val="1"/>
        </w:numPr>
      </w:pPr>
      <w:r w:rsidRPr="0046360F">
        <w:t xml:space="preserve">At the July 2020 meeting the PBAC considered that the subgroup analyses of the ATTR-ACT trial indicate that the baseline risk of death varies substantially between subgroups. Therefore, even if constant relative treatment effects can be assumed between NYHA classes and TTR genotypes, the absolute benefit of tafamidis treatment will vary substantially between subgroups (para 6.28-31, </w:t>
      </w:r>
      <w:r w:rsidR="00D20318" w:rsidRPr="0046360F">
        <w:t>t</w:t>
      </w:r>
      <w:r w:rsidRPr="0046360F">
        <w:t>afamidis P</w:t>
      </w:r>
      <w:r w:rsidR="001B0935" w:rsidRPr="0046360F">
        <w:t>SD</w:t>
      </w:r>
      <w:r w:rsidRPr="0046360F">
        <w:t xml:space="preserve">, July 2020 PBAC meeting). </w:t>
      </w:r>
    </w:p>
    <w:p w:rsidR="00A25D8F" w:rsidRPr="0046360F" w:rsidRDefault="00A25D8F" w:rsidP="00BE5D07">
      <w:pPr>
        <w:pStyle w:val="ExecSumBodyText"/>
      </w:pPr>
      <w:r w:rsidRPr="0046360F">
        <w:t xml:space="preserve">Tests for treatment effect interaction conducted for the </w:t>
      </w:r>
      <w:r w:rsidR="00B25C4F" w:rsidRPr="0046360F">
        <w:t xml:space="preserve">July 2020 </w:t>
      </w:r>
      <w:r w:rsidRPr="0046360F">
        <w:t xml:space="preserve">submission indicated that NYHA class is a treatment effect modifier for </w:t>
      </w:r>
      <w:r w:rsidR="0026392E" w:rsidRPr="0046360F">
        <w:t xml:space="preserve">CV </w:t>
      </w:r>
      <w:r w:rsidRPr="0046360F">
        <w:t xml:space="preserve">hospitalisation. The </w:t>
      </w:r>
      <w:r w:rsidR="00B25C4F" w:rsidRPr="0046360F">
        <w:t>re</w:t>
      </w:r>
      <w:r w:rsidRPr="0046360F">
        <w:t xml:space="preserve">submission argued that the increased risk of hospitalisation was due to increased survival with tafamidis treatment in patients with severe heart failure. However, </w:t>
      </w:r>
      <w:r w:rsidR="00BE5D07" w:rsidRPr="0046360F">
        <w:t xml:space="preserve">in the NYHA III subgroup, </w:t>
      </w:r>
      <w:r w:rsidRPr="0046360F">
        <w:t xml:space="preserve">there was no statistically significant difference in all-cause mortality or </w:t>
      </w:r>
      <w:r w:rsidR="0026392E" w:rsidRPr="0046360F">
        <w:t xml:space="preserve">CV </w:t>
      </w:r>
      <w:r w:rsidRPr="0046360F">
        <w:t>mortality between patients treated with tafamidis versus placebo.</w:t>
      </w:r>
      <w:r w:rsidR="00BE5D07" w:rsidRPr="0046360F">
        <w:t xml:space="preserve"> </w:t>
      </w:r>
    </w:p>
    <w:p w:rsidR="00A25D8F" w:rsidRPr="0046360F" w:rsidRDefault="00B25C4F" w:rsidP="00A25D8F">
      <w:pPr>
        <w:pStyle w:val="ExecSumBodyText"/>
        <w:numPr>
          <w:ilvl w:val="1"/>
          <w:numId w:val="1"/>
        </w:numPr>
      </w:pPr>
      <w:r w:rsidRPr="0046360F">
        <w:t xml:space="preserve">New </w:t>
      </w:r>
      <w:r w:rsidR="008B0291" w:rsidRPr="0046360F">
        <w:t>post hoc</w:t>
      </w:r>
      <w:r w:rsidR="00A25D8F" w:rsidRPr="0046360F">
        <w:t xml:space="preserve"> analyses of ATTR-ACT data using a Finkelstein-Schoenfeld analysis of all-cause mortality and frequency of </w:t>
      </w:r>
      <w:r w:rsidR="0026392E" w:rsidRPr="0046360F">
        <w:t>CV</w:t>
      </w:r>
      <w:r w:rsidR="00B33F8B" w:rsidRPr="0046360F">
        <w:t>-</w:t>
      </w:r>
      <w:r w:rsidR="00A25D8F" w:rsidRPr="0046360F">
        <w:t xml:space="preserve">related hospitalisation </w:t>
      </w:r>
      <w:r w:rsidRPr="0046360F">
        <w:t>conducted for the resubmission</w:t>
      </w:r>
      <w:r w:rsidR="00A25D8F" w:rsidRPr="0046360F">
        <w:t>, show</w:t>
      </w:r>
      <w:r w:rsidR="00D20318" w:rsidRPr="0046360F">
        <w:t>ed</w:t>
      </w:r>
      <w:r w:rsidR="00A25D8F" w:rsidRPr="0046360F">
        <w:t xml:space="preserve"> a pattern of decreased tafamidis treatment effect with increasing disease severity stratified by NYHA class and 6MWT quartiles (respectively) as measures of disease severity. The higher rates of </w:t>
      </w:r>
      <w:r w:rsidR="0026392E" w:rsidRPr="0046360F">
        <w:t>CV</w:t>
      </w:r>
      <w:r w:rsidR="00B33F8B" w:rsidRPr="0046360F">
        <w:t>-</w:t>
      </w:r>
      <w:r w:rsidR="00A25D8F" w:rsidRPr="0046360F">
        <w:t xml:space="preserve">related hospitalisation associated with NYHA class III heart failure were not adequately explained, and </w:t>
      </w:r>
      <w:r w:rsidR="00D20318" w:rsidRPr="0046360F">
        <w:t xml:space="preserve">were </w:t>
      </w:r>
      <w:r w:rsidR="00A25D8F" w:rsidRPr="0046360F">
        <w:t xml:space="preserve">consistent with the pattern of decreasing treatment effect observed in the </w:t>
      </w:r>
      <w:r w:rsidR="00640163" w:rsidRPr="0046360F">
        <w:t xml:space="preserve">original </w:t>
      </w:r>
      <w:r w:rsidR="008B0291" w:rsidRPr="0046360F">
        <w:t>post hoc</w:t>
      </w:r>
      <w:r w:rsidR="00A25D8F" w:rsidRPr="0046360F">
        <w:t xml:space="preserve"> analyses.</w:t>
      </w:r>
    </w:p>
    <w:p w:rsidR="00A25D8F" w:rsidRPr="0046360F" w:rsidRDefault="00A25D8F" w:rsidP="0015541D">
      <w:pPr>
        <w:pStyle w:val="ExecSumBodyText"/>
      </w:pPr>
      <w:r w:rsidRPr="0046360F">
        <w:t xml:space="preserve">Table 8 shows the results of a </w:t>
      </w:r>
      <w:r w:rsidR="00B25C4F" w:rsidRPr="0046360F">
        <w:t xml:space="preserve">new </w:t>
      </w:r>
      <w:r w:rsidR="008B0291" w:rsidRPr="0046360F">
        <w:t>post hoc</w:t>
      </w:r>
      <w:r w:rsidRPr="0046360F">
        <w:t xml:space="preserve"> analysis of the ATTR-ACT and B3461045 long term extension data for all-cause mortality by NYHA baseline class at August 2019 and March 2020 data cut-offs, stratified by NYHA class I/II and III</w:t>
      </w:r>
      <w:r w:rsidR="00B25C4F" w:rsidRPr="0046360F">
        <w:t>, conducted for the resubmission</w:t>
      </w:r>
      <w:r w:rsidRPr="0046360F">
        <w:t>.</w:t>
      </w:r>
    </w:p>
    <w:p w:rsidR="00AA2330" w:rsidRPr="0046360F" w:rsidRDefault="00AA2330" w:rsidP="00640163">
      <w:pPr>
        <w:pStyle w:val="TableFigureCaption"/>
        <w:keepLines/>
      </w:pPr>
      <w:r w:rsidRPr="0046360F">
        <w:t xml:space="preserve">Table </w:t>
      </w:r>
      <w:r w:rsidR="00C170ED">
        <w:rPr>
          <w:noProof/>
        </w:rPr>
        <w:t>8</w:t>
      </w:r>
      <w:r w:rsidRPr="0046360F">
        <w:t>: All-cause mortality by NYHA baseline class I/II - ATTR-ACT/B3461045 long term e</w:t>
      </w:r>
      <w:r w:rsidR="00640163" w:rsidRPr="0046360F">
        <w:t>xtension data for Cohort </w:t>
      </w:r>
      <w:r w:rsidRPr="0046360F">
        <w:t>A excluding patients randomised to tafamidis 20 mg (ITT; 1 Aug 2019 and 20 March 2020 cut-offs)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675"/>
        <w:gridCol w:w="1675"/>
        <w:gridCol w:w="1675"/>
        <w:gridCol w:w="1679"/>
      </w:tblGrid>
      <w:tr w:rsidR="00AA2330" w:rsidRPr="0046360F" w:rsidTr="00221DAD">
        <w:trPr>
          <w:trHeight w:val="85"/>
          <w:tblHeader/>
        </w:trPr>
        <w:tc>
          <w:tcPr>
            <w:tcW w:w="1262" w:type="pct"/>
            <w:vAlign w:val="center"/>
          </w:tcPr>
          <w:p w:rsidR="00AA2330" w:rsidRPr="0046360F" w:rsidRDefault="00AA2330" w:rsidP="00640163">
            <w:pPr>
              <w:pStyle w:val="Tableheadingrow"/>
              <w:keepLines/>
              <w:tabs>
                <w:tab w:val="left" w:pos="175"/>
              </w:tabs>
              <w:rPr>
                <w:lang w:val="en-AU"/>
              </w:rPr>
            </w:pPr>
          </w:p>
        </w:tc>
        <w:tc>
          <w:tcPr>
            <w:tcW w:w="3738" w:type="pct"/>
            <w:gridSpan w:val="4"/>
            <w:vAlign w:val="center"/>
          </w:tcPr>
          <w:p w:rsidR="00AA2330" w:rsidRPr="0046360F" w:rsidRDefault="00AA2330" w:rsidP="00640163">
            <w:pPr>
              <w:pStyle w:val="Tableheadingrow"/>
              <w:keepLines/>
              <w:ind w:left="-46" w:right="-86"/>
              <w:jc w:val="center"/>
              <w:rPr>
                <w:szCs w:val="20"/>
                <w:lang w:val="en-AU"/>
              </w:rPr>
            </w:pPr>
            <w:r w:rsidRPr="0046360F">
              <w:rPr>
                <w:szCs w:val="20"/>
                <w:lang w:val="en-AU"/>
              </w:rPr>
              <w:t>ATTR-ACT + B3461045 (Cohort A)</w:t>
            </w:r>
          </w:p>
        </w:tc>
      </w:tr>
      <w:tr w:rsidR="00AA2330" w:rsidRPr="0046360F" w:rsidTr="00221DAD">
        <w:trPr>
          <w:tblHeader/>
        </w:trPr>
        <w:tc>
          <w:tcPr>
            <w:tcW w:w="1262" w:type="pct"/>
            <w:vMerge w:val="restart"/>
            <w:vAlign w:val="center"/>
          </w:tcPr>
          <w:p w:rsidR="00AA2330" w:rsidRPr="0046360F" w:rsidRDefault="00AA2330" w:rsidP="00640163">
            <w:pPr>
              <w:pStyle w:val="Tableheadingrow"/>
              <w:keepLines/>
              <w:tabs>
                <w:tab w:val="left" w:pos="175"/>
              </w:tabs>
              <w:rPr>
                <w:lang w:val="en-AU"/>
              </w:rPr>
            </w:pPr>
            <w:r w:rsidRPr="0046360F">
              <w:rPr>
                <w:lang w:val="en-AU"/>
              </w:rPr>
              <w:t>Events, n (%)</w:t>
            </w:r>
          </w:p>
        </w:tc>
        <w:tc>
          <w:tcPr>
            <w:tcW w:w="1868" w:type="pct"/>
            <w:gridSpan w:val="2"/>
            <w:vAlign w:val="center"/>
          </w:tcPr>
          <w:p w:rsidR="00AA2330" w:rsidRPr="0046360F" w:rsidRDefault="00AA2330" w:rsidP="00640163">
            <w:pPr>
              <w:pStyle w:val="Tableheadingrow"/>
              <w:keepLines/>
              <w:ind w:left="-46" w:right="-86"/>
              <w:jc w:val="center"/>
              <w:rPr>
                <w:szCs w:val="20"/>
                <w:lang w:val="en-AU"/>
              </w:rPr>
            </w:pPr>
            <w:r w:rsidRPr="0046360F">
              <w:rPr>
                <w:szCs w:val="20"/>
                <w:lang w:val="en-AU"/>
              </w:rPr>
              <w:t>Baseline NYHA class I or II</w:t>
            </w:r>
          </w:p>
        </w:tc>
        <w:tc>
          <w:tcPr>
            <w:tcW w:w="1870" w:type="pct"/>
            <w:gridSpan w:val="2"/>
            <w:vAlign w:val="center"/>
          </w:tcPr>
          <w:p w:rsidR="00AA2330" w:rsidRPr="0046360F" w:rsidRDefault="00AA2330" w:rsidP="00640163">
            <w:pPr>
              <w:pStyle w:val="Tableheadingrow"/>
              <w:keepLines/>
              <w:ind w:left="-46" w:right="-86"/>
              <w:jc w:val="center"/>
              <w:rPr>
                <w:szCs w:val="20"/>
                <w:lang w:val="en-AU"/>
              </w:rPr>
            </w:pPr>
            <w:r w:rsidRPr="0046360F">
              <w:rPr>
                <w:szCs w:val="20"/>
                <w:lang w:val="en-AU"/>
              </w:rPr>
              <w:t>Baseline NYHA class III</w:t>
            </w:r>
          </w:p>
        </w:tc>
      </w:tr>
      <w:tr w:rsidR="00AA2330" w:rsidRPr="0046360F" w:rsidTr="00221DAD">
        <w:trPr>
          <w:tblHeader/>
        </w:trPr>
        <w:tc>
          <w:tcPr>
            <w:tcW w:w="1262" w:type="pct"/>
            <w:vMerge/>
            <w:vAlign w:val="center"/>
          </w:tcPr>
          <w:p w:rsidR="00AA2330" w:rsidRPr="0046360F" w:rsidRDefault="00AA2330" w:rsidP="00640163">
            <w:pPr>
              <w:pStyle w:val="Tableheadingrow"/>
              <w:keepLines/>
              <w:tabs>
                <w:tab w:val="left" w:pos="175"/>
              </w:tabs>
              <w:rPr>
                <w:lang w:val="en-AU"/>
              </w:rPr>
            </w:pPr>
          </w:p>
        </w:tc>
        <w:tc>
          <w:tcPr>
            <w:tcW w:w="934" w:type="pct"/>
            <w:vAlign w:val="center"/>
          </w:tcPr>
          <w:p w:rsidR="00AA2330" w:rsidRPr="0046360F" w:rsidRDefault="00AA2330" w:rsidP="00640163">
            <w:pPr>
              <w:pStyle w:val="Tableheadingrow"/>
              <w:keepLines/>
              <w:ind w:left="-46" w:right="-86"/>
              <w:jc w:val="center"/>
              <w:rPr>
                <w:szCs w:val="20"/>
                <w:lang w:val="en-AU"/>
              </w:rPr>
            </w:pPr>
            <w:r w:rsidRPr="0046360F">
              <w:rPr>
                <w:szCs w:val="20"/>
                <w:lang w:val="en-AU"/>
              </w:rPr>
              <w:t xml:space="preserve">Tafamidis </w:t>
            </w:r>
          </w:p>
          <w:p w:rsidR="00AA2330" w:rsidRPr="0046360F" w:rsidRDefault="00AA2330" w:rsidP="00640163">
            <w:pPr>
              <w:pStyle w:val="Tableheadingrow"/>
              <w:keepLines/>
              <w:ind w:left="-46" w:right="-86"/>
              <w:jc w:val="center"/>
              <w:rPr>
                <w:szCs w:val="20"/>
                <w:lang w:val="en-AU"/>
              </w:rPr>
            </w:pPr>
            <w:r w:rsidRPr="0046360F">
              <w:rPr>
                <w:szCs w:val="20"/>
                <w:lang w:val="en-AU"/>
              </w:rPr>
              <w:t>80/61 mg</w:t>
            </w:r>
          </w:p>
        </w:tc>
        <w:tc>
          <w:tcPr>
            <w:tcW w:w="934" w:type="pct"/>
            <w:vAlign w:val="center"/>
          </w:tcPr>
          <w:p w:rsidR="00AA2330" w:rsidRPr="0046360F" w:rsidRDefault="00AA2330" w:rsidP="00640163">
            <w:pPr>
              <w:pStyle w:val="Tableheadingrow"/>
              <w:keepLines/>
              <w:ind w:left="-46" w:right="-86"/>
              <w:jc w:val="center"/>
              <w:rPr>
                <w:szCs w:val="20"/>
                <w:lang w:val="en-AU"/>
              </w:rPr>
            </w:pPr>
            <w:r w:rsidRPr="0046360F">
              <w:rPr>
                <w:szCs w:val="20"/>
                <w:lang w:val="en-AU"/>
              </w:rPr>
              <w:t>Pbo/</w:t>
            </w:r>
          </w:p>
          <w:p w:rsidR="00AA2330" w:rsidRPr="0046360F" w:rsidRDefault="00AA2330" w:rsidP="00640163">
            <w:pPr>
              <w:pStyle w:val="Tableheadingrow"/>
              <w:keepLines/>
              <w:ind w:left="-46" w:right="-86"/>
              <w:jc w:val="center"/>
              <w:rPr>
                <w:szCs w:val="20"/>
                <w:vertAlign w:val="superscript"/>
                <w:lang w:val="en-AU"/>
              </w:rPr>
            </w:pPr>
            <w:r w:rsidRPr="0046360F">
              <w:rPr>
                <w:szCs w:val="20"/>
                <w:lang w:val="en-AU"/>
              </w:rPr>
              <w:t>tafamidis</w:t>
            </w:r>
            <w:r w:rsidRPr="0046360F">
              <w:rPr>
                <w:szCs w:val="20"/>
                <w:vertAlign w:val="superscript"/>
                <w:lang w:val="en-AU"/>
              </w:rPr>
              <w:t>a</w:t>
            </w:r>
          </w:p>
        </w:tc>
        <w:tc>
          <w:tcPr>
            <w:tcW w:w="934" w:type="pct"/>
            <w:vAlign w:val="center"/>
          </w:tcPr>
          <w:p w:rsidR="00AA2330" w:rsidRPr="0046360F" w:rsidRDefault="00AA2330" w:rsidP="00640163">
            <w:pPr>
              <w:pStyle w:val="Tableheadingrow"/>
              <w:keepLines/>
              <w:ind w:left="-46" w:right="-86"/>
              <w:jc w:val="center"/>
              <w:rPr>
                <w:szCs w:val="20"/>
                <w:lang w:val="en-AU"/>
              </w:rPr>
            </w:pPr>
            <w:r w:rsidRPr="0046360F">
              <w:rPr>
                <w:szCs w:val="20"/>
                <w:lang w:val="en-AU"/>
              </w:rPr>
              <w:t xml:space="preserve">Tafamidis </w:t>
            </w:r>
          </w:p>
          <w:p w:rsidR="00AA2330" w:rsidRPr="0046360F" w:rsidRDefault="00AA2330" w:rsidP="00640163">
            <w:pPr>
              <w:pStyle w:val="Tableheadingrow"/>
              <w:keepLines/>
              <w:ind w:left="-46" w:right="-86"/>
              <w:jc w:val="center"/>
              <w:rPr>
                <w:szCs w:val="20"/>
                <w:lang w:val="en-AU"/>
              </w:rPr>
            </w:pPr>
            <w:r w:rsidRPr="0046360F">
              <w:rPr>
                <w:szCs w:val="20"/>
                <w:lang w:val="en-AU"/>
              </w:rPr>
              <w:t>80/61 mg</w:t>
            </w:r>
          </w:p>
        </w:tc>
        <w:tc>
          <w:tcPr>
            <w:tcW w:w="936" w:type="pct"/>
            <w:vAlign w:val="center"/>
          </w:tcPr>
          <w:p w:rsidR="00AA2330" w:rsidRPr="0046360F" w:rsidRDefault="00AA2330" w:rsidP="00640163">
            <w:pPr>
              <w:pStyle w:val="Tableheadingrow"/>
              <w:keepLines/>
              <w:ind w:left="-46" w:right="-86"/>
              <w:jc w:val="center"/>
              <w:rPr>
                <w:szCs w:val="20"/>
                <w:lang w:val="en-AU"/>
              </w:rPr>
            </w:pPr>
            <w:r w:rsidRPr="0046360F">
              <w:rPr>
                <w:szCs w:val="20"/>
                <w:lang w:val="en-AU"/>
              </w:rPr>
              <w:t>Pbo/</w:t>
            </w:r>
          </w:p>
          <w:p w:rsidR="00AA2330" w:rsidRPr="0046360F" w:rsidRDefault="00AA2330" w:rsidP="00640163">
            <w:pPr>
              <w:pStyle w:val="Tableheadingrow"/>
              <w:keepLines/>
              <w:ind w:left="-46" w:right="-86"/>
              <w:jc w:val="center"/>
              <w:rPr>
                <w:szCs w:val="20"/>
                <w:vertAlign w:val="superscript"/>
                <w:lang w:val="en-AU"/>
              </w:rPr>
            </w:pPr>
            <w:r w:rsidRPr="0046360F">
              <w:rPr>
                <w:szCs w:val="20"/>
                <w:lang w:val="en-AU"/>
              </w:rPr>
              <w:t>tafamidis</w:t>
            </w:r>
            <w:r w:rsidRPr="0046360F">
              <w:rPr>
                <w:szCs w:val="20"/>
                <w:vertAlign w:val="superscript"/>
                <w:lang w:val="en-AU"/>
              </w:rPr>
              <w:t>a</w:t>
            </w:r>
          </w:p>
        </w:tc>
      </w:tr>
      <w:tr w:rsidR="00AA2330" w:rsidRPr="0046360F" w:rsidTr="00221DAD">
        <w:trPr>
          <w:trHeight w:val="85"/>
        </w:trPr>
        <w:tc>
          <w:tcPr>
            <w:tcW w:w="5000" w:type="pct"/>
            <w:gridSpan w:val="5"/>
            <w:vAlign w:val="center"/>
          </w:tcPr>
          <w:p w:rsidR="00AA2330" w:rsidRPr="0046360F" w:rsidRDefault="00AA2330" w:rsidP="00640163">
            <w:pPr>
              <w:pStyle w:val="TableText"/>
              <w:keepLines/>
              <w:ind w:left="-46" w:right="-86"/>
              <w:rPr>
                <w:b/>
                <w:szCs w:val="20"/>
              </w:rPr>
            </w:pPr>
            <w:r w:rsidRPr="0046360F">
              <w:rPr>
                <w:b/>
                <w:szCs w:val="20"/>
              </w:rPr>
              <w:t>1 August 2019 cut-off</w:t>
            </w:r>
            <w:r w:rsidRPr="0046360F">
              <w:rPr>
                <w:b/>
              </w:rPr>
              <w:t xml:space="preserve"> (median follow up 51 months)</w:t>
            </w:r>
          </w:p>
        </w:tc>
      </w:tr>
      <w:tr w:rsidR="00AA2330" w:rsidRPr="0046360F" w:rsidTr="00221DAD">
        <w:tc>
          <w:tcPr>
            <w:tcW w:w="1262" w:type="pct"/>
            <w:vAlign w:val="center"/>
          </w:tcPr>
          <w:p w:rsidR="00AA2330" w:rsidRPr="0046360F" w:rsidRDefault="00AA2330" w:rsidP="00640163">
            <w:pPr>
              <w:pStyle w:val="TableText"/>
              <w:keepLines/>
              <w:tabs>
                <w:tab w:val="left" w:pos="175"/>
              </w:tabs>
            </w:pPr>
            <w:r w:rsidRPr="0046360F">
              <w:t>N</w:t>
            </w:r>
          </w:p>
        </w:tc>
        <w:tc>
          <w:tcPr>
            <w:tcW w:w="934" w:type="pct"/>
            <w:vAlign w:val="center"/>
          </w:tcPr>
          <w:p w:rsidR="00AA2330" w:rsidRPr="0046360F" w:rsidRDefault="00AA2330" w:rsidP="00640163">
            <w:pPr>
              <w:pStyle w:val="TableText"/>
              <w:keepLines/>
              <w:ind w:left="-46" w:right="-86"/>
              <w:jc w:val="center"/>
              <w:rPr>
                <w:szCs w:val="20"/>
              </w:rPr>
            </w:pPr>
            <w:r w:rsidRPr="0046360F">
              <w:rPr>
                <w:szCs w:val="20"/>
              </w:rPr>
              <w:t>121</w:t>
            </w:r>
          </w:p>
        </w:tc>
        <w:tc>
          <w:tcPr>
            <w:tcW w:w="934" w:type="pct"/>
            <w:vAlign w:val="center"/>
          </w:tcPr>
          <w:p w:rsidR="00AA2330" w:rsidRPr="0046360F" w:rsidRDefault="00AA2330" w:rsidP="00640163">
            <w:pPr>
              <w:pStyle w:val="TableText"/>
              <w:keepLines/>
              <w:ind w:left="-46" w:right="-86"/>
              <w:jc w:val="center"/>
              <w:rPr>
                <w:szCs w:val="20"/>
              </w:rPr>
            </w:pPr>
            <w:r w:rsidRPr="0046360F">
              <w:rPr>
                <w:szCs w:val="20"/>
              </w:rPr>
              <w:t>114</w:t>
            </w:r>
          </w:p>
        </w:tc>
        <w:tc>
          <w:tcPr>
            <w:tcW w:w="934" w:type="pct"/>
            <w:vAlign w:val="center"/>
          </w:tcPr>
          <w:p w:rsidR="00AA2330" w:rsidRPr="0046360F" w:rsidRDefault="00AA2330" w:rsidP="00640163">
            <w:pPr>
              <w:pStyle w:val="TableText"/>
              <w:keepLines/>
              <w:ind w:left="-46" w:right="-86"/>
              <w:jc w:val="center"/>
              <w:rPr>
                <w:szCs w:val="20"/>
              </w:rPr>
            </w:pPr>
            <w:r w:rsidRPr="0046360F">
              <w:rPr>
                <w:szCs w:val="20"/>
              </w:rPr>
              <w:t>55</w:t>
            </w:r>
          </w:p>
        </w:tc>
        <w:tc>
          <w:tcPr>
            <w:tcW w:w="936" w:type="pct"/>
            <w:vAlign w:val="center"/>
          </w:tcPr>
          <w:p w:rsidR="00AA2330" w:rsidRPr="0046360F" w:rsidRDefault="00AA2330" w:rsidP="00640163">
            <w:pPr>
              <w:pStyle w:val="TableText"/>
              <w:keepLines/>
              <w:ind w:left="-46" w:right="-86"/>
              <w:jc w:val="center"/>
              <w:rPr>
                <w:szCs w:val="20"/>
              </w:rPr>
            </w:pPr>
            <w:r w:rsidRPr="0046360F">
              <w:rPr>
                <w:szCs w:val="20"/>
              </w:rPr>
              <w:t>63</w:t>
            </w:r>
          </w:p>
        </w:tc>
      </w:tr>
      <w:tr w:rsidR="00AA2330" w:rsidRPr="0046360F" w:rsidTr="00221DAD">
        <w:tc>
          <w:tcPr>
            <w:tcW w:w="1262" w:type="pct"/>
            <w:vAlign w:val="center"/>
          </w:tcPr>
          <w:p w:rsidR="00AA2330" w:rsidRPr="0046360F" w:rsidRDefault="00AA2330" w:rsidP="00640163">
            <w:pPr>
              <w:pStyle w:val="TableText"/>
              <w:keepLines/>
              <w:tabs>
                <w:tab w:val="left" w:pos="175"/>
              </w:tabs>
              <w:rPr>
                <w:vertAlign w:val="superscript"/>
              </w:rPr>
            </w:pPr>
            <w:r w:rsidRPr="0046360F">
              <w:t>All-cause mortality events</w:t>
            </w:r>
            <w:r w:rsidRPr="0046360F">
              <w:rPr>
                <w:vertAlign w:val="superscript"/>
              </w:rPr>
              <w:t>b</w:t>
            </w:r>
          </w:p>
        </w:tc>
        <w:tc>
          <w:tcPr>
            <w:tcW w:w="934" w:type="pct"/>
          </w:tcPr>
          <w:p w:rsidR="00AA2330" w:rsidRPr="0046360F" w:rsidRDefault="00AA2330" w:rsidP="00640163">
            <w:pPr>
              <w:pStyle w:val="TableText"/>
              <w:keepLines/>
              <w:ind w:left="-46" w:right="-86"/>
              <w:jc w:val="center"/>
              <w:rPr>
                <w:szCs w:val="20"/>
              </w:rPr>
            </w:pPr>
            <w:r w:rsidRPr="0046360F">
              <w:rPr>
                <w:szCs w:val="20"/>
              </w:rPr>
              <w:t>41 (33.9%)</w:t>
            </w:r>
          </w:p>
        </w:tc>
        <w:tc>
          <w:tcPr>
            <w:tcW w:w="934" w:type="pct"/>
          </w:tcPr>
          <w:p w:rsidR="00AA2330" w:rsidRPr="0046360F" w:rsidRDefault="00AA2330" w:rsidP="00640163">
            <w:pPr>
              <w:pStyle w:val="TableText"/>
              <w:keepLines/>
              <w:ind w:left="-46" w:right="-86"/>
              <w:jc w:val="center"/>
              <w:rPr>
                <w:szCs w:val="20"/>
              </w:rPr>
            </w:pPr>
            <w:r w:rsidRPr="0046360F">
              <w:rPr>
                <w:szCs w:val="20"/>
              </w:rPr>
              <w:t>59 (51.8%)</w:t>
            </w:r>
          </w:p>
        </w:tc>
        <w:tc>
          <w:tcPr>
            <w:tcW w:w="934" w:type="pct"/>
          </w:tcPr>
          <w:p w:rsidR="00AA2330" w:rsidRPr="0046360F" w:rsidRDefault="00AA2330" w:rsidP="00640163">
            <w:pPr>
              <w:pStyle w:val="TableText"/>
              <w:keepLines/>
              <w:ind w:left="-46" w:right="-86"/>
              <w:jc w:val="center"/>
              <w:rPr>
                <w:szCs w:val="20"/>
              </w:rPr>
            </w:pPr>
            <w:r w:rsidRPr="0046360F">
              <w:rPr>
                <w:szCs w:val="20"/>
              </w:rPr>
              <w:t>34 (61.8%)</w:t>
            </w:r>
          </w:p>
        </w:tc>
        <w:tc>
          <w:tcPr>
            <w:tcW w:w="936" w:type="pct"/>
          </w:tcPr>
          <w:p w:rsidR="00AA2330" w:rsidRPr="0046360F" w:rsidRDefault="00AA2330" w:rsidP="00640163">
            <w:pPr>
              <w:pStyle w:val="TableText"/>
              <w:keepLines/>
              <w:ind w:left="-46" w:right="-86"/>
              <w:jc w:val="center"/>
              <w:rPr>
                <w:szCs w:val="20"/>
              </w:rPr>
            </w:pPr>
            <w:r w:rsidRPr="0046360F">
              <w:rPr>
                <w:szCs w:val="20"/>
              </w:rPr>
              <w:t>49 (77.8%)</w:t>
            </w:r>
          </w:p>
        </w:tc>
      </w:tr>
      <w:tr w:rsidR="00AA2330" w:rsidRPr="0046360F" w:rsidTr="00221DAD">
        <w:tc>
          <w:tcPr>
            <w:tcW w:w="1262" w:type="pct"/>
            <w:vAlign w:val="center"/>
          </w:tcPr>
          <w:p w:rsidR="00AA2330" w:rsidRPr="0046360F" w:rsidRDefault="00AA2330" w:rsidP="00640163">
            <w:pPr>
              <w:pStyle w:val="TableText"/>
              <w:keepLines/>
              <w:tabs>
                <w:tab w:val="left" w:pos="175"/>
              </w:tabs>
            </w:pPr>
            <w:r w:rsidRPr="0046360F">
              <w:tab/>
              <w:t>Total deaths</w:t>
            </w:r>
          </w:p>
        </w:tc>
        <w:tc>
          <w:tcPr>
            <w:tcW w:w="934" w:type="pct"/>
          </w:tcPr>
          <w:p w:rsidR="00AA2330" w:rsidRPr="0046360F" w:rsidRDefault="00AA2330" w:rsidP="00640163">
            <w:pPr>
              <w:pStyle w:val="TableText"/>
              <w:keepLines/>
              <w:ind w:left="-46" w:right="-86"/>
              <w:jc w:val="center"/>
              <w:rPr>
                <w:szCs w:val="20"/>
              </w:rPr>
            </w:pPr>
            <w:r w:rsidRPr="0046360F">
              <w:rPr>
                <w:szCs w:val="20"/>
              </w:rPr>
              <w:t>35 (28.9%)</w:t>
            </w:r>
          </w:p>
        </w:tc>
        <w:tc>
          <w:tcPr>
            <w:tcW w:w="934" w:type="pct"/>
            <w:shd w:val="clear" w:color="auto" w:fill="auto"/>
          </w:tcPr>
          <w:p w:rsidR="00AA2330" w:rsidRPr="0046360F" w:rsidRDefault="00AA2330" w:rsidP="00640163">
            <w:pPr>
              <w:pStyle w:val="TableText"/>
              <w:keepLines/>
              <w:ind w:left="-46" w:right="-86"/>
              <w:jc w:val="center"/>
              <w:rPr>
                <w:szCs w:val="20"/>
              </w:rPr>
            </w:pPr>
            <w:r w:rsidRPr="0046360F">
              <w:rPr>
                <w:szCs w:val="20"/>
              </w:rPr>
              <w:t>53 (46.5%)</w:t>
            </w:r>
          </w:p>
        </w:tc>
        <w:tc>
          <w:tcPr>
            <w:tcW w:w="934" w:type="pct"/>
            <w:shd w:val="clear" w:color="auto" w:fill="auto"/>
          </w:tcPr>
          <w:p w:rsidR="00AA2330" w:rsidRPr="0046360F" w:rsidRDefault="00AA2330" w:rsidP="00640163">
            <w:pPr>
              <w:pStyle w:val="TableText"/>
              <w:keepLines/>
              <w:ind w:left="-46" w:right="-86"/>
              <w:jc w:val="center"/>
              <w:rPr>
                <w:szCs w:val="20"/>
              </w:rPr>
            </w:pPr>
            <w:r w:rsidRPr="0046360F">
              <w:rPr>
                <w:szCs w:val="20"/>
              </w:rPr>
              <w:t>32 (58.2%)</w:t>
            </w:r>
          </w:p>
        </w:tc>
        <w:tc>
          <w:tcPr>
            <w:tcW w:w="936" w:type="pct"/>
          </w:tcPr>
          <w:p w:rsidR="00AA2330" w:rsidRPr="0046360F" w:rsidRDefault="00AA2330" w:rsidP="00640163">
            <w:pPr>
              <w:pStyle w:val="TableText"/>
              <w:keepLines/>
              <w:ind w:left="-46" w:right="-86"/>
              <w:jc w:val="center"/>
              <w:rPr>
                <w:szCs w:val="20"/>
              </w:rPr>
            </w:pPr>
            <w:r w:rsidRPr="0046360F">
              <w:rPr>
                <w:szCs w:val="20"/>
              </w:rPr>
              <w:t>49 (77.8%)</w:t>
            </w:r>
          </w:p>
        </w:tc>
      </w:tr>
      <w:tr w:rsidR="00AA2330" w:rsidRPr="0046360F" w:rsidTr="00221DAD">
        <w:tc>
          <w:tcPr>
            <w:tcW w:w="1262" w:type="pct"/>
            <w:vAlign w:val="center"/>
          </w:tcPr>
          <w:p w:rsidR="00AA2330" w:rsidRPr="0046360F" w:rsidRDefault="00AA2330" w:rsidP="00640163">
            <w:pPr>
              <w:pStyle w:val="TableText"/>
              <w:keepLines/>
              <w:tabs>
                <w:tab w:val="left" w:pos="175"/>
              </w:tabs>
            </w:pPr>
            <w:r w:rsidRPr="0046360F">
              <w:tab/>
              <w:t>Heart transplants</w:t>
            </w:r>
          </w:p>
        </w:tc>
        <w:tc>
          <w:tcPr>
            <w:tcW w:w="934" w:type="pct"/>
          </w:tcPr>
          <w:p w:rsidR="00AA2330" w:rsidRPr="0046360F" w:rsidRDefault="00AA2330" w:rsidP="00640163">
            <w:pPr>
              <w:pStyle w:val="TableText"/>
              <w:keepLines/>
              <w:ind w:left="-46" w:right="-86"/>
              <w:jc w:val="center"/>
              <w:rPr>
                <w:szCs w:val="20"/>
              </w:rPr>
            </w:pPr>
            <w:r w:rsidRPr="0046360F">
              <w:rPr>
                <w:szCs w:val="20"/>
              </w:rPr>
              <w:t>5 (4.1%)</w:t>
            </w:r>
          </w:p>
        </w:tc>
        <w:tc>
          <w:tcPr>
            <w:tcW w:w="934" w:type="pct"/>
          </w:tcPr>
          <w:p w:rsidR="00AA2330" w:rsidRPr="0046360F" w:rsidRDefault="00AA2330" w:rsidP="00640163">
            <w:pPr>
              <w:pStyle w:val="TableText"/>
              <w:keepLines/>
              <w:ind w:left="-46" w:right="-86"/>
              <w:jc w:val="center"/>
              <w:rPr>
                <w:szCs w:val="20"/>
              </w:rPr>
            </w:pPr>
            <w:r w:rsidRPr="0046360F">
              <w:rPr>
                <w:szCs w:val="20"/>
              </w:rPr>
              <w:t>6 (5.3%)</w:t>
            </w:r>
          </w:p>
        </w:tc>
        <w:tc>
          <w:tcPr>
            <w:tcW w:w="934" w:type="pct"/>
          </w:tcPr>
          <w:p w:rsidR="00AA2330" w:rsidRPr="0046360F" w:rsidRDefault="00AA2330" w:rsidP="00640163">
            <w:pPr>
              <w:pStyle w:val="TableText"/>
              <w:keepLines/>
              <w:ind w:left="-46" w:right="-86"/>
              <w:jc w:val="center"/>
              <w:rPr>
                <w:szCs w:val="20"/>
              </w:rPr>
            </w:pPr>
            <w:r w:rsidRPr="0046360F">
              <w:rPr>
                <w:szCs w:val="20"/>
              </w:rPr>
              <w:t>1 (1.8%)</w:t>
            </w:r>
          </w:p>
        </w:tc>
        <w:tc>
          <w:tcPr>
            <w:tcW w:w="936" w:type="pct"/>
          </w:tcPr>
          <w:p w:rsidR="00AA2330" w:rsidRPr="0046360F" w:rsidRDefault="00AA2330" w:rsidP="00640163">
            <w:pPr>
              <w:pStyle w:val="TableText"/>
              <w:keepLines/>
              <w:ind w:left="-46" w:right="-86"/>
              <w:jc w:val="center"/>
              <w:rPr>
                <w:szCs w:val="20"/>
              </w:rPr>
            </w:pPr>
            <w:r w:rsidRPr="0046360F">
              <w:rPr>
                <w:szCs w:val="20"/>
              </w:rPr>
              <w:t xml:space="preserve"> 0 </w:t>
            </w:r>
          </w:p>
        </w:tc>
      </w:tr>
      <w:tr w:rsidR="00AA2330" w:rsidRPr="0046360F" w:rsidTr="00221DAD">
        <w:tc>
          <w:tcPr>
            <w:tcW w:w="1262" w:type="pct"/>
            <w:vAlign w:val="center"/>
          </w:tcPr>
          <w:p w:rsidR="00AA2330" w:rsidRPr="0046360F" w:rsidRDefault="00AA2330" w:rsidP="00640163">
            <w:pPr>
              <w:pStyle w:val="TableText"/>
              <w:keepLines/>
              <w:tabs>
                <w:tab w:val="left" w:pos="175"/>
              </w:tabs>
            </w:pPr>
            <w:r w:rsidRPr="0046360F">
              <w:tab/>
              <w:t>Cardiac device implants</w:t>
            </w:r>
          </w:p>
        </w:tc>
        <w:tc>
          <w:tcPr>
            <w:tcW w:w="934" w:type="pct"/>
          </w:tcPr>
          <w:p w:rsidR="00AA2330" w:rsidRPr="0046360F" w:rsidRDefault="00AA2330" w:rsidP="00640163">
            <w:pPr>
              <w:pStyle w:val="TableText"/>
              <w:keepLines/>
              <w:ind w:left="-46" w:right="-86"/>
              <w:jc w:val="center"/>
              <w:rPr>
                <w:szCs w:val="20"/>
              </w:rPr>
            </w:pPr>
            <w:r w:rsidRPr="0046360F">
              <w:rPr>
                <w:szCs w:val="20"/>
              </w:rPr>
              <w:t>1 (0.8%)</w:t>
            </w:r>
          </w:p>
        </w:tc>
        <w:tc>
          <w:tcPr>
            <w:tcW w:w="934" w:type="pct"/>
          </w:tcPr>
          <w:p w:rsidR="00AA2330" w:rsidRPr="0046360F" w:rsidRDefault="00AA2330" w:rsidP="00640163">
            <w:pPr>
              <w:pStyle w:val="TableText"/>
              <w:keepLines/>
              <w:ind w:left="-46" w:right="-86"/>
              <w:jc w:val="center"/>
              <w:rPr>
                <w:szCs w:val="20"/>
              </w:rPr>
            </w:pPr>
            <w:r w:rsidRPr="0046360F">
              <w:rPr>
                <w:szCs w:val="20"/>
              </w:rPr>
              <w:t xml:space="preserve">0 </w:t>
            </w:r>
          </w:p>
        </w:tc>
        <w:tc>
          <w:tcPr>
            <w:tcW w:w="934" w:type="pct"/>
          </w:tcPr>
          <w:p w:rsidR="00AA2330" w:rsidRPr="0046360F" w:rsidRDefault="00AA2330" w:rsidP="00640163">
            <w:pPr>
              <w:pStyle w:val="TableText"/>
              <w:keepLines/>
              <w:ind w:left="-46" w:right="-86"/>
              <w:jc w:val="center"/>
              <w:rPr>
                <w:szCs w:val="20"/>
              </w:rPr>
            </w:pPr>
            <w:r w:rsidRPr="0046360F">
              <w:rPr>
                <w:szCs w:val="20"/>
              </w:rPr>
              <w:t>1 (1.8%)</w:t>
            </w:r>
          </w:p>
        </w:tc>
        <w:tc>
          <w:tcPr>
            <w:tcW w:w="936" w:type="pct"/>
          </w:tcPr>
          <w:p w:rsidR="00AA2330" w:rsidRPr="0046360F" w:rsidRDefault="00AA2330" w:rsidP="00640163">
            <w:pPr>
              <w:pStyle w:val="TableText"/>
              <w:keepLines/>
              <w:ind w:left="-46" w:right="-86"/>
              <w:jc w:val="center"/>
              <w:rPr>
                <w:szCs w:val="20"/>
              </w:rPr>
            </w:pPr>
            <w:r w:rsidRPr="0046360F">
              <w:rPr>
                <w:szCs w:val="20"/>
              </w:rPr>
              <w:t xml:space="preserve"> 0 </w:t>
            </w:r>
          </w:p>
        </w:tc>
      </w:tr>
      <w:tr w:rsidR="00AA2330" w:rsidRPr="0046360F" w:rsidTr="00221DAD">
        <w:tc>
          <w:tcPr>
            <w:tcW w:w="1262" w:type="pct"/>
            <w:vAlign w:val="center"/>
          </w:tcPr>
          <w:p w:rsidR="00AA2330" w:rsidRPr="0046360F" w:rsidRDefault="00AA2330" w:rsidP="00640163">
            <w:pPr>
              <w:pStyle w:val="TableText"/>
              <w:keepLines/>
              <w:tabs>
                <w:tab w:val="left" w:pos="175"/>
              </w:tabs>
            </w:pPr>
            <w:r w:rsidRPr="0046360F">
              <w:t>Censored</w:t>
            </w:r>
            <w:r w:rsidRPr="0046360F">
              <w:rPr>
                <w:vertAlign w:val="superscript"/>
              </w:rPr>
              <w:t>c</w:t>
            </w:r>
          </w:p>
        </w:tc>
        <w:tc>
          <w:tcPr>
            <w:tcW w:w="934" w:type="pct"/>
          </w:tcPr>
          <w:p w:rsidR="00AA2330" w:rsidRPr="0046360F" w:rsidRDefault="00AA2330" w:rsidP="00640163">
            <w:pPr>
              <w:pStyle w:val="TableText"/>
              <w:keepLines/>
              <w:ind w:left="-46" w:right="-86"/>
              <w:jc w:val="center"/>
              <w:rPr>
                <w:szCs w:val="20"/>
              </w:rPr>
            </w:pPr>
            <w:r w:rsidRPr="0046360F">
              <w:rPr>
                <w:szCs w:val="20"/>
              </w:rPr>
              <w:t>80 (66.1%)</w:t>
            </w:r>
          </w:p>
        </w:tc>
        <w:tc>
          <w:tcPr>
            <w:tcW w:w="934" w:type="pct"/>
          </w:tcPr>
          <w:p w:rsidR="00AA2330" w:rsidRPr="0046360F" w:rsidRDefault="00AA2330" w:rsidP="00640163">
            <w:pPr>
              <w:pStyle w:val="TableText"/>
              <w:keepLines/>
              <w:ind w:left="-46" w:right="-86"/>
              <w:jc w:val="center"/>
              <w:rPr>
                <w:szCs w:val="20"/>
              </w:rPr>
            </w:pPr>
            <w:r w:rsidRPr="0046360F">
              <w:rPr>
                <w:szCs w:val="20"/>
              </w:rPr>
              <w:t>55 (48.2%)</w:t>
            </w:r>
          </w:p>
        </w:tc>
        <w:tc>
          <w:tcPr>
            <w:tcW w:w="934" w:type="pct"/>
          </w:tcPr>
          <w:p w:rsidR="00AA2330" w:rsidRPr="0046360F" w:rsidRDefault="00AA2330" w:rsidP="00640163">
            <w:pPr>
              <w:pStyle w:val="TableText"/>
              <w:keepLines/>
              <w:ind w:left="-46" w:right="-86"/>
              <w:jc w:val="center"/>
              <w:rPr>
                <w:szCs w:val="20"/>
              </w:rPr>
            </w:pPr>
            <w:r w:rsidRPr="0046360F">
              <w:rPr>
                <w:szCs w:val="20"/>
              </w:rPr>
              <w:t>21 (38.2%)</w:t>
            </w:r>
          </w:p>
        </w:tc>
        <w:tc>
          <w:tcPr>
            <w:tcW w:w="936" w:type="pct"/>
          </w:tcPr>
          <w:p w:rsidR="00AA2330" w:rsidRPr="0046360F" w:rsidRDefault="00AA2330" w:rsidP="00640163">
            <w:pPr>
              <w:pStyle w:val="TableText"/>
              <w:keepLines/>
              <w:ind w:left="-46" w:right="-86"/>
              <w:jc w:val="center"/>
              <w:rPr>
                <w:szCs w:val="20"/>
              </w:rPr>
            </w:pPr>
            <w:r w:rsidRPr="0046360F">
              <w:rPr>
                <w:szCs w:val="20"/>
              </w:rPr>
              <w:t>14 (22.2%)</w:t>
            </w:r>
          </w:p>
        </w:tc>
      </w:tr>
      <w:tr w:rsidR="00AA2330" w:rsidRPr="0046360F" w:rsidTr="00221DAD">
        <w:trPr>
          <w:trHeight w:val="85"/>
        </w:trPr>
        <w:tc>
          <w:tcPr>
            <w:tcW w:w="5000" w:type="pct"/>
            <w:gridSpan w:val="5"/>
            <w:vAlign w:val="center"/>
          </w:tcPr>
          <w:p w:rsidR="00AA2330" w:rsidRPr="0046360F" w:rsidRDefault="00AA2330" w:rsidP="00640163">
            <w:pPr>
              <w:pStyle w:val="TableText"/>
              <w:keepLines/>
              <w:ind w:right="-86"/>
              <w:rPr>
                <w:szCs w:val="20"/>
              </w:rPr>
            </w:pPr>
            <w:r w:rsidRPr="0046360F">
              <w:t>Kaplan-Meier estimates of time to event (months) by Quartiles (95% CI)</w:t>
            </w:r>
          </w:p>
        </w:tc>
      </w:tr>
      <w:tr w:rsidR="00AA2330" w:rsidRPr="0046360F" w:rsidTr="00221DAD">
        <w:tc>
          <w:tcPr>
            <w:tcW w:w="1262" w:type="pct"/>
            <w:vAlign w:val="center"/>
          </w:tcPr>
          <w:p w:rsidR="00AA2330" w:rsidRPr="0046360F" w:rsidRDefault="00AA2330" w:rsidP="00640163">
            <w:pPr>
              <w:pStyle w:val="TableText"/>
              <w:keepLines/>
              <w:tabs>
                <w:tab w:val="left" w:pos="175"/>
              </w:tabs>
            </w:pPr>
            <w:r w:rsidRPr="0046360F">
              <w:tab/>
              <w:t xml:space="preserve">25% </w:t>
            </w:r>
          </w:p>
        </w:tc>
        <w:tc>
          <w:tcPr>
            <w:tcW w:w="934" w:type="pct"/>
          </w:tcPr>
          <w:p w:rsidR="00AA2330" w:rsidRPr="0046360F" w:rsidRDefault="00AA2330" w:rsidP="00640163">
            <w:pPr>
              <w:pStyle w:val="TableText"/>
              <w:keepLines/>
              <w:ind w:left="-46" w:right="-86"/>
              <w:jc w:val="center"/>
              <w:rPr>
                <w:szCs w:val="20"/>
              </w:rPr>
            </w:pPr>
            <w:r w:rsidRPr="0046360F">
              <w:rPr>
                <w:szCs w:val="20"/>
              </w:rPr>
              <w:t>39.0 (22.2, 47.6)</w:t>
            </w:r>
          </w:p>
        </w:tc>
        <w:tc>
          <w:tcPr>
            <w:tcW w:w="934" w:type="pct"/>
          </w:tcPr>
          <w:p w:rsidR="00AA2330" w:rsidRPr="0046360F" w:rsidRDefault="00AA2330" w:rsidP="00640163">
            <w:pPr>
              <w:pStyle w:val="TableText"/>
              <w:keepLines/>
              <w:ind w:left="-46" w:right="-86"/>
              <w:jc w:val="center"/>
              <w:rPr>
                <w:szCs w:val="20"/>
              </w:rPr>
            </w:pPr>
            <w:r w:rsidRPr="0046360F">
              <w:rPr>
                <w:szCs w:val="20"/>
              </w:rPr>
              <w:t>24.5 (20.7, 30.6)</w:t>
            </w:r>
          </w:p>
        </w:tc>
        <w:tc>
          <w:tcPr>
            <w:tcW w:w="934" w:type="pct"/>
          </w:tcPr>
          <w:p w:rsidR="00AA2330" w:rsidRPr="0046360F" w:rsidRDefault="00AA2330" w:rsidP="00640163">
            <w:pPr>
              <w:pStyle w:val="TableText"/>
              <w:keepLines/>
              <w:ind w:left="-46" w:right="-86"/>
              <w:jc w:val="center"/>
              <w:rPr>
                <w:szCs w:val="20"/>
              </w:rPr>
            </w:pPr>
            <w:r w:rsidRPr="0046360F">
              <w:rPr>
                <w:szCs w:val="20"/>
              </w:rPr>
              <w:t>12.7 (9.4, 18.8)</w:t>
            </w:r>
          </w:p>
        </w:tc>
        <w:tc>
          <w:tcPr>
            <w:tcW w:w="936" w:type="pct"/>
          </w:tcPr>
          <w:p w:rsidR="00AA2330" w:rsidRPr="0046360F" w:rsidRDefault="00AA2330" w:rsidP="00640163">
            <w:pPr>
              <w:pStyle w:val="TableText"/>
              <w:keepLines/>
              <w:ind w:left="-46" w:right="-86"/>
              <w:jc w:val="center"/>
              <w:rPr>
                <w:szCs w:val="20"/>
              </w:rPr>
            </w:pPr>
            <w:r w:rsidRPr="0046360F">
              <w:rPr>
                <w:szCs w:val="20"/>
              </w:rPr>
              <w:t>13.6</w:t>
            </w:r>
            <w:r w:rsidR="00240DAD">
              <w:rPr>
                <w:szCs w:val="20"/>
              </w:rPr>
              <w:t xml:space="preserve"> </w:t>
            </w:r>
            <w:r w:rsidRPr="0046360F">
              <w:rPr>
                <w:szCs w:val="20"/>
              </w:rPr>
              <w:t>(8.1, 18.9)</w:t>
            </w:r>
          </w:p>
        </w:tc>
      </w:tr>
      <w:tr w:rsidR="00AA2330" w:rsidRPr="0046360F" w:rsidTr="00221DAD">
        <w:tc>
          <w:tcPr>
            <w:tcW w:w="1262" w:type="pct"/>
            <w:vAlign w:val="center"/>
          </w:tcPr>
          <w:p w:rsidR="00AA2330" w:rsidRPr="0046360F" w:rsidRDefault="00AA2330" w:rsidP="00640163">
            <w:pPr>
              <w:pStyle w:val="TableText"/>
              <w:keepLines/>
              <w:tabs>
                <w:tab w:val="left" w:pos="175"/>
              </w:tabs>
            </w:pPr>
            <w:r w:rsidRPr="0046360F">
              <w:tab/>
              <w:t xml:space="preserve">50% </w:t>
            </w:r>
          </w:p>
        </w:tc>
        <w:tc>
          <w:tcPr>
            <w:tcW w:w="934" w:type="pct"/>
          </w:tcPr>
          <w:p w:rsidR="00AA2330" w:rsidRPr="0046360F" w:rsidRDefault="00AA2330" w:rsidP="00640163">
            <w:pPr>
              <w:pStyle w:val="TableText"/>
              <w:keepLines/>
              <w:ind w:left="-46" w:right="-86"/>
              <w:jc w:val="center"/>
              <w:rPr>
                <w:szCs w:val="20"/>
              </w:rPr>
            </w:pPr>
            <w:r w:rsidRPr="0046360F">
              <w:rPr>
                <w:szCs w:val="20"/>
              </w:rPr>
              <w:t>NE (NE, NE)</w:t>
            </w:r>
          </w:p>
        </w:tc>
        <w:tc>
          <w:tcPr>
            <w:tcW w:w="934" w:type="pct"/>
          </w:tcPr>
          <w:p w:rsidR="00AA2330" w:rsidRPr="0046360F" w:rsidRDefault="00AA2330" w:rsidP="00640163">
            <w:pPr>
              <w:pStyle w:val="TableText"/>
              <w:keepLines/>
              <w:ind w:left="-46" w:right="-86"/>
              <w:jc w:val="center"/>
              <w:rPr>
                <w:szCs w:val="20"/>
              </w:rPr>
            </w:pPr>
            <w:r w:rsidRPr="0046360F">
              <w:rPr>
                <w:szCs w:val="20"/>
              </w:rPr>
              <w:t>46.9 (36.7, NE)</w:t>
            </w:r>
          </w:p>
        </w:tc>
        <w:tc>
          <w:tcPr>
            <w:tcW w:w="934" w:type="pct"/>
          </w:tcPr>
          <w:p w:rsidR="00AA2330" w:rsidRPr="0046360F" w:rsidRDefault="00AA2330" w:rsidP="00640163">
            <w:pPr>
              <w:pStyle w:val="TableText"/>
              <w:keepLines/>
              <w:ind w:left="-46" w:right="-86"/>
              <w:jc w:val="center"/>
              <w:rPr>
                <w:szCs w:val="20"/>
              </w:rPr>
            </w:pPr>
            <w:r w:rsidRPr="0046360F">
              <w:rPr>
                <w:szCs w:val="20"/>
              </w:rPr>
              <w:t xml:space="preserve"> 28.1 (18.8, 41.7)</w:t>
            </w:r>
          </w:p>
        </w:tc>
        <w:tc>
          <w:tcPr>
            <w:tcW w:w="936" w:type="pct"/>
          </w:tcPr>
          <w:p w:rsidR="00AA2330" w:rsidRPr="0046360F" w:rsidRDefault="00AA2330" w:rsidP="00640163">
            <w:pPr>
              <w:pStyle w:val="TableText"/>
              <w:keepLines/>
              <w:ind w:left="-46" w:right="-86"/>
              <w:jc w:val="center"/>
              <w:rPr>
                <w:szCs w:val="20"/>
              </w:rPr>
            </w:pPr>
            <w:r w:rsidRPr="0046360F">
              <w:rPr>
                <w:szCs w:val="20"/>
              </w:rPr>
              <w:t>24.1 (19.1, 30.1)</w:t>
            </w:r>
          </w:p>
        </w:tc>
      </w:tr>
      <w:tr w:rsidR="00AA2330" w:rsidRPr="0046360F" w:rsidTr="00221DAD">
        <w:tc>
          <w:tcPr>
            <w:tcW w:w="1262" w:type="pct"/>
            <w:tcBorders>
              <w:bottom w:val="single" w:sz="4" w:space="0" w:color="auto"/>
            </w:tcBorders>
            <w:vAlign w:val="center"/>
          </w:tcPr>
          <w:p w:rsidR="00AA2330" w:rsidRPr="0046360F" w:rsidRDefault="00AA2330" w:rsidP="00640163">
            <w:pPr>
              <w:pStyle w:val="TableText"/>
              <w:keepLines/>
              <w:tabs>
                <w:tab w:val="left" w:pos="175"/>
              </w:tabs>
            </w:pPr>
            <w:r w:rsidRPr="0046360F">
              <w:tab/>
              <w:t>75%</w:t>
            </w:r>
          </w:p>
        </w:tc>
        <w:tc>
          <w:tcPr>
            <w:tcW w:w="934" w:type="pct"/>
            <w:tcBorders>
              <w:bottom w:val="single" w:sz="4" w:space="0" w:color="auto"/>
            </w:tcBorders>
          </w:tcPr>
          <w:p w:rsidR="00AA2330" w:rsidRPr="0046360F" w:rsidRDefault="00AA2330" w:rsidP="00640163">
            <w:pPr>
              <w:pStyle w:val="TableText"/>
              <w:keepLines/>
              <w:ind w:left="-46" w:right="-86"/>
              <w:jc w:val="center"/>
              <w:rPr>
                <w:szCs w:val="20"/>
              </w:rPr>
            </w:pPr>
            <w:r w:rsidRPr="0046360F">
              <w:rPr>
                <w:szCs w:val="20"/>
              </w:rPr>
              <w:t>NE (NE, NE)</w:t>
            </w:r>
          </w:p>
        </w:tc>
        <w:tc>
          <w:tcPr>
            <w:tcW w:w="934" w:type="pct"/>
            <w:tcBorders>
              <w:bottom w:val="single" w:sz="4" w:space="0" w:color="auto"/>
            </w:tcBorders>
          </w:tcPr>
          <w:p w:rsidR="00AA2330" w:rsidRPr="0046360F" w:rsidRDefault="00AA2330" w:rsidP="00640163">
            <w:pPr>
              <w:pStyle w:val="TableText"/>
              <w:keepLines/>
              <w:ind w:left="-46" w:right="-86"/>
              <w:jc w:val="center"/>
              <w:rPr>
                <w:szCs w:val="20"/>
              </w:rPr>
            </w:pPr>
            <w:r w:rsidRPr="0046360F">
              <w:rPr>
                <w:szCs w:val="20"/>
              </w:rPr>
              <w:t>NE (NE, NE)</w:t>
            </w:r>
          </w:p>
        </w:tc>
        <w:tc>
          <w:tcPr>
            <w:tcW w:w="934" w:type="pct"/>
            <w:tcBorders>
              <w:bottom w:val="single" w:sz="4" w:space="0" w:color="auto"/>
            </w:tcBorders>
          </w:tcPr>
          <w:p w:rsidR="00AA2330" w:rsidRPr="0046360F" w:rsidRDefault="00AA2330" w:rsidP="00640163">
            <w:pPr>
              <w:pStyle w:val="TableText"/>
              <w:keepLines/>
              <w:ind w:left="-46" w:right="-86"/>
              <w:jc w:val="center"/>
              <w:rPr>
                <w:szCs w:val="20"/>
              </w:rPr>
            </w:pPr>
            <w:r w:rsidRPr="0046360F">
              <w:rPr>
                <w:szCs w:val="20"/>
              </w:rPr>
              <w:t>NE (38.8, NE)</w:t>
            </w:r>
          </w:p>
        </w:tc>
        <w:tc>
          <w:tcPr>
            <w:tcW w:w="936" w:type="pct"/>
            <w:tcBorders>
              <w:bottom w:val="single" w:sz="4" w:space="0" w:color="auto"/>
            </w:tcBorders>
          </w:tcPr>
          <w:p w:rsidR="00AA2330" w:rsidRPr="0046360F" w:rsidRDefault="00AA2330" w:rsidP="00640163">
            <w:pPr>
              <w:pStyle w:val="TableText"/>
              <w:keepLines/>
              <w:ind w:left="-46" w:right="-86"/>
              <w:jc w:val="center"/>
              <w:rPr>
                <w:szCs w:val="20"/>
              </w:rPr>
            </w:pPr>
            <w:r w:rsidRPr="0046360F">
              <w:rPr>
                <w:szCs w:val="20"/>
              </w:rPr>
              <w:t>38.4 (30.6, NE)</w:t>
            </w:r>
          </w:p>
        </w:tc>
      </w:tr>
      <w:tr w:rsidR="00AA2330" w:rsidRPr="0046360F" w:rsidTr="00221DAD">
        <w:tc>
          <w:tcPr>
            <w:tcW w:w="1262" w:type="pct"/>
            <w:tcBorders>
              <w:bottom w:val="double" w:sz="4" w:space="0" w:color="auto"/>
            </w:tcBorders>
            <w:vAlign w:val="center"/>
          </w:tcPr>
          <w:p w:rsidR="00AA2330" w:rsidRPr="0046360F" w:rsidRDefault="00AA2330" w:rsidP="00640163">
            <w:pPr>
              <w:pStyle w:val="TableText"/>
              <w:keepLines/>
              <w:tabs>
                <w:tab w:val="left" w:pos="175"/>
              </w:tabs>
            </w:pPr>
            <w:r w:rsidRPr="0046360F">
              <w:t>Cox proportional hazard ratio (95% CI)</w:t>
            </w:r>
          </w:p>
        </w:tc>
        <w:tc>
          <w:tcPr>
            <w:tcW w:w="1868" w:type="pct"/>
            <w:gridSpan w:val="2"/>
            <w:tcBorders>
              <w:bottom w:val="double" w:sz="4" w:space="0" w:color="auto"/>
            </w:tcBorders>
            <w:vAlign w:val="center"/>
          </w:tcPr>
          <w:p w:rsidR="00AA2330" w:rsidRPr="0046360F" w:rsidRDefault="00AA2330" w:rsidP="00640163">
            <w:pPr>
              <w:pStyle w:val="TableText"/>
              <w:keepLines/>
              <w:ind w:left="-46" w:right="-86"/>
              <w:jc w:val="center"/>
              <w:rPr>
                <w:b/>
                <w:szCs w:val="20"/>
              </w:rPr>
            </w:pPr>
            <w:r w:rsidRPr="0046360F">
              <w:rPr>
                <w:b/>
                <w:szCs w:val="20"/>
              </w:rPr>
              <w:t>0.546 (0.366, 0.816)</w:t>
            </w:r>
          </w:p>
        </w:tc>
        <w:tc>
          <w:tcPr>
            <w:tcW w:w="1870" w:type="pct"/>
            <w:gridSpan w:val="2"/>
            <w:tcBorders>
              <w:bottom w:val="double" w:sz="4" w:space="0" w:color="auto"/>
            </w:tcBorders>
            <w:vAlign w:val="center"/>
          </w:tcPr>
          <w:p w:rsidR="00AA2330" w:rsidRPr="0046360F" w:rsidRDefault="00AA2330" w:rsidP="00640163">
            <w:pPr>
              <w:pStyle w:val="TableText"/>
              <w:keepLines/>
              <w:ind w:left="-46" w:right="-86"/>
              <w:jc w:val="center"/>
              <w:rPr>
                <w:szCs w:val="20"/>
              </w:rPr>
            </w:pPr>
            <w:r w:rsidRPr="0046360F">
              <w:rPr>
                <w:szCs w:val="20"/>
              </w:rPr>
              <w:t>0.668 (0.426, 1.046)</w:t>
            </w:r>
          </w:p>
        </w:tc>
      </w:tr>
      <w:tr w:rsidR="00AA2330" w:rsidRPr="0046360F" w:rsidTr="00221DAD">
        <w:trPr>
          <w:trHeight w:val="65"/>
        </w:trPr>
        <w:tc>
          <w:tcPr>
            <w:tcW w:w="5000" w:type="pct"/>
            <w:gridSpan w:val="5"/>
            <w:tcBorders>
              <w:top w:val="double" w:sz="4" w:space="0" w:color="auto"/>
            </w:tcBorders>
            <w:vAlign w:val="center"/>
          </w:tcPr>
          <w:p w:rsidR="00AA2330" w:rsidRPr="0046360F" w:rsidRDefault="00AA2330" w:rsidP="00640163">
            <w:pPr>
              <w:pStyle w:val="TableText"/>
              <w:keepLines/>
              <w:ind w:left="-46" w:right="-86"/>
              <w:rPr>
                <w:b/>
                <w:szCs w:val="20"/>
              </w:rPr>
            </w:pPr>
            <w:r w:rsidRPr="0046360F">
              <w:rPr>
                <w:b/>
                <w:szCs w:val="20"/>
              </w:rPr>
              <w:t>20 March 2020 cut-off</w:t>
            </w:r>
          </w:p>
        </w:tc>
      </w:tr>
      <w:tr w:rsidR="00AA2330" w:rsidRPr="0046360F" w:rsidTr="00221DAD">
        <w:tc>
          <w:tcPr>
            <w:tcW w:w="1262" w:type="pct"/>
            <w:vAlign w:val="center"/>
          </w:tcPr>
          <w:p w:rsidR="00AA2330" w:rsidRPr="0046360F" w:rsidRDefault="00AA2330" w:rsidP="00640163">
            <w:pPr>
              <w:pStyle w:val="TableText"/>
              <w:keepLines/>
              <w:tabs>
                <w:tab w:val="left" w:pos="175"/>
              </w:tabs>
            </w:pPr>
            <w:r w:rsidRPr="0046360F">
              <w:t>N</w:t>
            </w:r>
          </w:p>
        </w:tc>
        <w:tc>
          <w:tcPr>
            <w:tcW w:w="934" w:type="pct"/>
            <w:vAlign w:val="center"/>
          </w:tcPr>
          <w:p w:rsidR="00AA2330" w:rsidRPr="0046360F" w:rsidRDefault="00AA2330" w:rsidP="00640163">
            <w:pPr>
              <w:pStyle w:val="TableText"/>
              <w:keepLines/>
              <w:ind w:left="-46" w:right="-86"/>
              <w:jc w:val="center"/>
              <w:rPr>
                <w:szCs w:val="20"/>
              </w:rPr>
            </w:pPr>
            <w:r w:rsidRPr="0046360F">
              <w:rPr>
                <w:szCs w:val="20"/>
              </w:rPr>
              <w:t>121</w:t>
            </w:r>
          </w:p>
        </w:tc>
        <w:tc>
          <w:tcPr>
            <w:tcW w:w="934" w:type="pct"/>
            <w:vAlign w:val="center"/>
          </w:tcPr>
          <w:p w:rsidR="00AA2330" w:rsidRPr="0046360F" w:rsidRDefault="00AA2330" w:rsidP="00640163">
            <w:pPr>
              <w:pStyle w:val="TableText"/>
              <w:keepLines/>
              <w:ind w:left="-46" w:right="-86"/>
              <w:jc w:val="center"/>
              <w:rPr>
                <w:szCs w:val="20"/>
              </w:rPr>
            </w:pPr>
            <w:r w:rsidRPr="0046360F">
              <w:rPr>
                <w:szCs w:val="20"/>
              </w:rPr>
              <w:t>114</w:t>
            </w:r>
          </w:p>
        </w:tc>
        <w:tc>
          <w:tcPr>
            <w:tcW w:w="934" w:type="pct"/>
            <w:vAlign w:val="center"/>
          </w:tcPr>
          <w:p w:rsidR="00AA2330" w:rsidRPr="0046360F" w:rsidRDefault="00AA2330" w:rsidP="00640163">
            <w:pPr>
              <w:pStyle w:val="TableText"/>
              <w:keepLines/>
              <w:ind w:left="-46" w:right="-86"/>
              <w:jc w:val="center"/>
              <w:rPr>
                <w:szCs w:val="20"/>
              </w:rPr>
            </w:pPr>
            <w:r w:rsidRPr="0046360F">
              <w:rPr>
                <w:szCs w:val="20"/>
              </w:rPr>
              <w:t>55</w:t>
            </w:r>
          </w:p>
        </w:tc>
        <w:tc>
          <w:tcPr>
            <w:tcW w:w="936" w:type="pct"/>
            <w:vAlign w:val="center"/>
          </w:tcPr>
          <w:p w:rsidR="00AA2330" w:rsidRPr="0046360F" w:rsidRDefault="00AA2330" w:rsidP="00640163">
            <w:pPr>
              <w:pStyle w:val="TableText"/>
              <w:keepLines/>
              <w:ind w:left="-46" w:right="-86"/>
              <w:jc w:val="center"/>
              <w:rPr>
                <w:szCs w:val="20"/>
              </w:rPr>
            </w:pPr>
            <w:r w:rsidRPr="0046360F">
              <w:rPr>
                <w:szCs w:val="20"/>
              </w:rPr>
              <w:t>63</w:t>
            </w:r>
          </w:p>
        </w:tc>
      </w:tr>
      <w:tr w:rsidR="00AA2330" w:rsidRPr="0046360F" w:rsidTr="00221DAD">
        <w:tc>
          <w:tcPr>
            <w:tcW w:w="1262" w:type="pct"/>
            <w:vAlign w:val="center"/>
          </w:tcPr>
          <w:p w:rsidR="00AA2330" w:rsidRPr="0046360F" w:rsidRDefault="00AA2330" w:rsidP="00640163">
            <w:pPr>
              <w:pStyle w:val="TableText"/>
              <w:keepLines/>
              <w:tabs>
                <w:tab w:val="left" w:pos="175"/>
              </w:tabs>
              <w:rPr>
                <w:vertAlign w:val="superscript"/>
              </w:rPr>
            </w:pPr>
            <w:r w:rsidRPr="0046360F">
              <w:t>All-cause mortality events</w:t>
            </w:r>
            <w:r w:rsidRPr="0046360F">
              <w:rPr>
                <w:vertAlign w:val="superscript"/>
              </w:rPr>
              <w:t>b</w:t>
            </w:r>
          </w:p>
        </w:tc>
        <w:tc>
          <w:tcPr>
            <w:tcW w:w="934" w:type="pct"/>
          </w:tcPr>
          <w:p w:rsidR="00AA2330" w:rsidRPr="0046360F" w:rsidRDefault="00AA2330" w:rsidP="00640163">
            <w:pPr>
              <w:pStyle w:val="TableText"/>
              <w:keepLines/>
              <w:ind w:left="-46" w:right="-86"/>
              <w:jc w:val="center"/>
              <w:rPr>
                <w:szCs w:val="20"/>
              </w:rPr>
            </w:pPr>
            <w:r w:rsidRPr="0046360F">
              <w:rPr>
                <w:szCs w:val="20"/>
              </w:rPr>
              <w:t>45 (37.2%)</w:t>
            </w:r>
          </w:p>
        </w:tc>
        <w:tc>
          <w:tcPr>
            <w:tcW w:w="934" w:type="pct"/>
          </w:tcPr>
          <w:p w:rsidR="00AA2330" w:rsidRPr="0046360F" w:rsidRDefault="00AA2330" w:rsidP="00640163">
            <w:pPr>
              <w:pStyle w:val="TableText"/>
              <w:keepLines/>
              <w:ind w:left="-46" w:right="-86"/>
              <w:jc w:val="center"/>
              <w:rPr>
                <w:szCs w:val="20"/>
              </w:rPr>
            </w:pPr>
            <w:r w:rsidRPr="0046360F">
              <w:rPr>
                <w:szCs w:val="20"/>
              </w:rPr>
              <w:t>61 (53.5%)</w:t>
            </w:r>
          </w:p>
        </w:tc>
        <w:tc>
          <w:tcPr>
            <w:tcW w:w="934" w:type="pct"/>
          </w:tcPr>
          <w:p w:rsidR="00AA2330" w:rsidRPr="0046360F" w:rsidRDefault="00AA2330" w:rsidP="00640163">
            <w:pPr>
              <w:pStyle w:val="TableText"/>
              <w:keepLines/>
              <w:ind w:left="-46" w:right="-86"/>
              <w:jc w:val="center"/>
              <w:rPr>
                <w:szCs w:val="20"/>
              </w:rPr>
            </w:pPr>
            <w:r w:rsidRPr="0046360F">
              <w:rPr>
                <w:szCs w:val="20"/>
              </w:rPr>
              <w:t>34 (61.8%)</w:t>
            </w:r>
          </w:p>
        </w:tc>
        <w:tc>
          <w:tcPr>
            <w:tcW w:w="936" w:type="pct"/>
          </w:tcPr>
          <w:p w:rsidR="00AA2330" w:rsidRPr="0046360F" w:rsidRDefault="00AA2330" w:rsidP="00640163">
            <w:pPr>
              <w:pStyle w:val="TableText"/>
              <w:keepLines/>
              <w:ind w:left="-46" w:right="-86"/>
              <w:jc w:val="center"/>
              <w:rPr>
                <w:szCs w:val="20"/>
              </w:rPr>
            </w:pPr>
            <w:r w:rsidRPr="0046360F">
              <w:rPr>
                <w:szCs w:val="20"/>
              </w:rPr>
              <w:t>50 (79.4%)</w:t>
            </w:r>
          </w:p>
        </w:tc>
      </w:tr>
      <w:tr w:rsidR="00AA2330" w:rsidRPr="0046360F" w:rsidTr="00221DAD">
        <w:tc>
          <w:tcPr>
            <w:tcW w:w="1262" w:type="pct"/>
            <w:vAlign w:val="center"/>
          </w:tcPr>
          <w:p w:rsidR="00AA2330" w:rsidRPr="0046360F" w:rsidRDefault="00AA2330" w:rsidP="00640163">
            <w:pPr>
              <w:pStyle w:val="TableText"/>
              <w:keepLines/>
              <w:tabs>
                <w:tab w:val="left" w:pos="175"/>
              </w:tabs>
            </w:pPr>
            <w:r w:rsidRPr="0046360F">
              <w:tab/>
              <w:t>Total deaths</w:t>
            </w:r>
          </w:p>
        </w:tc>
        <w:tc>
          <w:tcPr>
            <w:tcW w:w="934" w:type="pct"/>
          </w:tcPr>
          <w:p w:rsidR="00AA2330" w:rsidRPr="0046360F" w:rsidRDefault="00AA2330" w:rsidP="00640163">
            <w:pPr>
              <w:pStyle w:val="TableText"/>
              <w:keepLines/>
              <w:ind w:left="-46" w:right="-86"/>
              <w:jc w:val="center"/>
              <w:rPr>
                <w:szCs w:val="20"/>
              </w:rPr>
            </w:pPr>
            <w:r w:rsidRPr="0046360F">
              <w:rPr>
                <w:szCs w:val="20"/>
              </w:rPr>
              <w:t>39 (32.2%)</w:t>
            </w:r>
          </w:p>
        </w:tc>
        <w:tc>
          <w:tcPr>
            <w:tcW w:w="934" w:type="pct"/>
            <w:shd w:val="clear" w:color="auto" w:fill="auto"/>
          </w:tcPr>
          <w:p w:rsidR="00AA2330" w:rsidRPr="0046360F" w:rsidRDefault="00AA2330" w:rsidP="00640163">
            <w:pPr>
              <w:pStyle w:val="TableText"/>
              <w:keepLines/>
              <w:ind w:left="-46" w:right="-86"/>
              <w:jc w:val="center"/>
              <w:rPr>
                <w:szCs w:val="20"/>
              </w:rPr>
            </w:pPr>
            <w:r w:rsidRPr="0046360F">
              <w:rPr>
                <w:szCs w:val="20"/>
              </w:rPr>
              <w:t>55 (48.2%)</w:t>
            </w:r>
          </w:p>
        </w:tc>
        <w:tc>
          <w:tcPr>
            <w:tcW w:w="934" w:type="pct"/>
            <w:shd w:val="clear" w:color="auto" w:fill="auto"/>
          </w:tcPr>
          <w:p w:rsidR="00AA2330" w:rsidRPr="0046360F" w:rsidRDefault="00AA2330" w:rsidP="00640163">
            <w:pPr>
              <w:pStyle w:val="TableText"/>
              <w:keepLines/>
              <w:ind w:left="-46" w:right="-86"/>
              <w:jc w:val="center"/>
              <w:rPr>
                <w:szCs w:val="20"/>
              </w:rPr>
            </w:pPr>
            <w:r w:rsidRPr="0046360F">
              <w:rPr>
                <w:szCs w:val="20"/>
              </w:rPr>
              <w:t>32 (58.2%)</w:t>
            </w:r>
          </w:p>
        </w:tc>
        <w:tc>
          <w:tcPr>
            <w:tcW w:w="936" w:type="pct"/>
          </w:tcPr>
          <w:p w:rsidR="00AA2330" w:rsidRPr="0046360F" w:rsidRDefault="00AA2330" w:rsidP="00640163">
            <w:pPr>
              <w:pStyle w:val="TableText"/>
              <w:keepLines/>
              <w:ind w:left="-46" w:right="-86"/>
              <w:jc w:val="center"/>
              <w:rPr>
                <w:szCs w:val="20"/>
              </w:rPr>
            </w:pPr>
            <w:r w:rsidRPr="0046360F">
              <w:rPr>
                <w:szCs w:val="20"/>
              </w:rPr>
              <w:t>50 (79.4%)</w:t>
            </w:r>
          </w:p>
        </w:tc>
      </w:tr>
      <w:tr w:rsidR="00AA2330" w:rsidRPr="0046360F" w:rsidTr="00221DAD">
        <w:tc>
          <w:tcPr>
            <w:tcW w:w="1262" w:type="pct"/>
            <w:vAlign w:val="center"/>
          </w:tcPr>
          <w:p w:rsidR="00AA2330" w:rsidRPr="0046360F" w:rsidRDefault="00AA2330" w:rsidP="00640163">
            <w:pPr>
              <w:pStyle w:val="TableText"/>
              <w:keepLines/>
              <w:tabs>
                <w:tab w:val="left" w:pos="175"/>
              </w:tabs>
            </w:pPr>
            <w:r w:rsidRPr="0046360F">
              <w:tab/>
              <w:t>Heart transplants</w:t>
            </w:r>
          </w:p>
        </w:tc>
        <w:tc>
          <w:tcPr>
            <w:tcW w:w="934" w:type="pct"/>
          </w:tcPr>
          <w:p w:rsidR="00AA2330" w:rsidRPr="0046360F" w:rsidRDefault="00AA2330" w:rsidP="00640163">
            <w:pPr>
              <w:pStyle w:val="TableText"/>
              <w:keepLines/>
              <w:ind w:left="-46" w:right="-86"/>
              <w:jc w:val="center"/>
              <w:rPr>
                <w:szCs w:val="20"/>
              </w:rPr>
            </w:pPr>
            <w:r w:rsidRPr="0046360F">
              <w:rPr>
                <w:szCs w:val="20"/>
              </w:rPr>
              <w:t xml:space="preserve"> 5 (4.1%)</w:t>
            </w:r>
          </w:p>
        </w:tc>
        <w:tc>
          <w:tcPr>
            <w:tcW w:w="934" w:type="pct"/>
          </w:tcPr>
          <w:p w:rsidR="00AA2330" w:rsidRPr="0046360F" w:rsidRDefault="00AA2330" w:rsidP="00640163">
            <w:pPr>
              <w:pStyle w:val="TableText"/>
              <w:keepLines/>
              <w:ind w:left="-46" w:right="-86"/>
              <w:jc w:val="center"/>
              <w:rPr>
                <w:szCs w:val="20"/>
              </w:rPr>
            </w:pPr>
            <w:r w:rsidRPr="0046360F">
              <w:rPr>
                <w:szCs w:val="20"/>
              </w:rPr>
              <w:t xml:space="preserve"> 6 (5.3%)</w:t>
            </w:r>
          </w:p>
        </w:tc>
        <w:tc>
          <w:tcPr>
            <w:tcW w:w="934" w:type="pct"/>
          </w:tcPr>
          <w:p w:rsidR="00AA2330" w:rsidRPr="0046360F" w:rsidRDefault="00AA2330" w:rsidP="00640163">
            <w:pPr>
              <w:pStyle w:val="TableText"/>
              <w:keepLines/>
              <w:ind w:left="-46" w:right="-86"/>
              <w:jc w:val="center"/>
              <w:rPr>
                <w:szCs w:val="20"/>
              </w:rPr>
            </w:pPr>
            <w:r w:rsidRPr="0046360F">
              <w:rPr>
                <w:szCs w:val="20"/>
              </w:rPr>
              <w:t>1 (1.8%)</w:t>
            </w:r>
          </w:p>
        </w:tc>
        <w:tc>
          <w:tcPr>
            <w:tcW w:w="936" w:type="pct"/>
          </w:tcPr>
          <w:p w:rsidR="00AA2330" w:rsidRPr="0046360F" w:rsidRDefault="00AA2330" w:rsidP="00640163">
            <w:pPr>
              <w:pStyle w:val="TableText"/>
              <w:keepLines/>
              <w:ind w:left="-46" w:right="-86"/>
              <w:jc w:val="center"/>
              <w:rPr>
                <w:szCs w:val="20"/>
              </w:rPr>
            </w:pPr>
            <w:r w:rsidRPr="0046360F">
              <w:rPr>
                <w:szCs w:val="20"/>
              </w:rPr>
              <w:t xml:space="preserve">0 </w:t>
            </w:r>
          </w:p>
        </w:tc>
      </w:tr>
      <w:tr w:rsidR="00AA2330" w:rsidRPr="0046360F" w:rsidTr="00221DAD">
        <w:tc>
          <w:tcPr>
            <w:tcW w:w="1262" w:type="pct"/>
            <w:vAlign w:val="center"/>
          </w:tcPr>
          <w:p w:rsidR="00AA2330" w:rsidRPr="0046360F" w:rsidRDefault="00AA2330" w:rsidP="00640163">
            <w:pPr>
              <w:pStyle w:val="TableText"/>
              <w:keepLines/>
              <w:tabs>
                <w:tab w:val="left" w:pos="175"/>
              </w:tabs>
            </w:pPr>
            <w:r w:rsidRPr="0046360F">
              <w:tab/>
              <w:t>Cardiac device implants</w:t>
            </w:r>
          </w:p>
        </w:tc>
        <w:tc>
          <w:tcPr>
            <w:tcW w:w="934" w:type="pct"/>
          </w:tcPr>
          <w:p w:rsidR="00AA2330" w:rsidRPr="0046360F" w:rsidRDefault="00AA2330" w:rsidP="00640163">
            <w:pPr>
              <w:pStyle w:val="TableText"/>
              <w:keepLines/>
              <w:ind w:left="-46" w:right="-86"/>
              <w:jc w:val="center"/>
              <w:rPr>
                <w:szCs w:val="20"/>
              </w:rPr>
            </w:pPr>
            <w:r w:rsidRPr="0046360F">
              <w:rPr>
                <w:szCs w:val="20"/>
              </w:rPr>
              <w:t xml:space="preserve"> 1 (0.8%)</w:t>
            </w:r>
          </w:p>
        </w:tc>
        <w:tc>
          <w:tcPr>
            <w:tcW w:w="934" w:type="pct"/>
          </w:tcPr>
          <w:p w:rsidR="00AA2330" w:rsidRPr="0046360F" w:rsidRDefault="00AA2330" w:rsidP="00640163">
            <w:pPr>
              <w:pStyle w:val="TableText"/>
              <w:keepLines/>
              <w:ind w:left="-46" w:right="-86"/>
              <w:jc w:val="center"/>
              <w:rPr>
                <w:szCs w:val="20"/>
              </w:rPr>
            </w:pPr>
            <w:r w:rsidRPr="0046360F">
              <w:rPr>
                <w:szCs w:val="20"/>
              </w:rPr>
              <w:t xml:space="preserve"> 0 </w:t>
            </w:r>
          </w:p>
        </w:tc>
        <w:tc>
          <w:tcPr>
            <w:tcW w:w="934" w:type="pct"/>
          </w:tcPr>
          <w:p w:rsidR="00AA2330" w:rsidRPr="0046360F" w:rsidRDefault="00AA2330" w:rsidP="00640163">
            <w:pPr>
              <w:pStyle w:val="TableText"/>
              <w:keepLines/>
              <w:ind w:left="-46" w:right="-86"/>
              <w:jc w:val="center"/>
              <w:rPr>
                <w:szCs w:val="20"/>
              </w:rPr>
            </w:pPr>
            <w:r w:rsidRPr="0046360F">
              <w:rPr>
                <w:szCs w:val="20"/>
              </w:rPr>
              <w:t>1 (1.8%)</w:t>
            </w:r>
          </w:p>
        </w:tc>
        <w:tc>
          <w:tcPr>
            <w:tcW w:w="936" w:type="pct"/>
          </w:tcPr>
          <w:p w:rsidR="00AA2330" w:rsidRPr="0046360F" w:rsidRDefault="00AA2330" w:rsidP="00640163">
            <w:pPr>
              <w:pStyle w:val="TableText"/>
              <w:keepLines/>
              <w:ind w:left="-46" w:right="-86"/>
              <w:jc w:val="center"/>
              <w:rPr>
                <w:szCs w:val="20"/>
              </w:rPr>
            </w:pPr>
            <w:r w:rsidRPr="0046360F">
              <w:rPr>
                <w:szCs w:val="20"/>
              </w:rPr>
              <w:t xml:space="preserve">0 </w:t>
            </w:r>
          </w:p>
        </w:tc>
      </w:tr>
      <w:tr w:rsidR="00AA2330" w:rsidRPr="0046360F" w:rsidTr="00221DAD">
        <w:tc>
          <w:tcPr>
            <w:tcW w:w="1262" w:type="pct"/>
            <w:vAlign w:val="center"/>
          </w:tcPr>
          <w:p w:rsidR="00AA2330" w:rsidRPr="0046360F" w:rsidRDefault="00AA2330" w:rsidP="00640163">
            <w:pPr>
              <w:pStyle w:val="TableText"/>
              <w:keepLines/>
              <w:tabs>
                <w:tab w:val="left" w:pos="175"/>
              </w:tabs>
            </w:pPr>
            <w:r w:rsidRPr="0046360F">
              <w:t>Censored</w:t>
            </w:r>
            <w:r w:rsidRPr="0046360F">
              <w:rPr>
                <w:vertAlign w:val="superscript"/>
              </w:rPr>
              <w:t>c</w:t>
            </w:r>
          </w:p>
        </w:tc>
        <w:tc>
          <w:tcPr>
            <w:tcW w:w="934" w:type="pct"/>
          </w:tcPr>
          <w:p w:rsidR="00AA2330" w:rsidRPr="0046360F" w:rsidRDefault="00AA2330" w:rsidP="00640163">
            <w:pPr>
              <w:pStyle w:val="TableText"/>
              <w:keepLines/>
              <w:ind w:left="-46" w:right="-86"/>
              <w:jc w:val="center"/>
              <w:rPr>
                <w:szCs w:val="20"/>
              </w:rPr>
            </w:pPr>
            <w:r w:rsidRPr="0046360F">
              <w:rPr>
                <w:szCs w:val="20"/>
              </w:rPr>
              <w:t>76 (62.8%)</w:t>
            </w:r>
          </w:p>
        </w:tc>
        <w:tc>
          <w:tcPr>
            <w:tcW w:w="934" w:type="pct"/>
          </w:tcPr>
          <w:p w:rsidR="00AA2330" w:rsidRPr="0046360F" w:rsidRDefault="00AA2330" w:rsidP="00640163">
            <w:pPr>
              <w:pStyle w:val="TableText"/>
              <w:keepLines/>
              <w:ind w:left="-46" w:right="-86"/>
              <w:jc w:val="center"/>
              <w:rPr>
                <w:szCs w:val="20"/>
              </w:rPr>
            </w:pPr>
            <w:r w:rsidRPr="0046360F">
              <w:rPr>
                <w:szCs w:val="20"/>
              </w:rPr>
              <w:t>53 (46.5%)</w:t>
            </w:r>
          </w:p>
        </w:tc>
        <w:tc>
          <w:tcPr>
            <w:tcW w:w="934" w:type="pct"/>
          </w:tcPr>
          <w:p w:rsidR="00AA2330" w:rsidRPr="0046360F" w:rsidRDefault="00AA2330" w:rsidP="00640163">
            <w:pPr>
              <w:pStyle w:val="TableText"/>
              <w:keepLines/>
              <w:ind w:left="-46" w:right="-86"/>
              <w:jc w:val="center"/>
              <w:rPr>
                <w:szCs w:val="20"/>
              </w:rPr>
            </w:pPr>
            <w:r w:rsidRPr="0046360F">
              <w:rPr>
                <w:szCs w:val="20"/>
              </w:rPr>
              <w:t>21 (38.2%)</w:t>
            </w:r>
          </w:p>
        </w:tc>
        <w:tc>
          <w:tcPr>
            <w:tcW w:w="936" w:type="pct"/>
          </w:tcPr>
          <w:p w:rsidR="00AA2330" w:rsidRPr="0046360F" w:rsidRDefault="00AA2330" w:rsidP="00640163">
            <w:pPr>
              <w:pStyle w:val="TableText"/>
              <w:keepLines/>
              <w:ind w:left="-46" w:right="-86"/>
              <w:jc w:val="center"/>
              <w:rPr>
                <w:szCs w:val="20"/>
              </w:rPr>
            </w:pPr>
            <w:r w:rsidRPr="0046360F">
              <w:rPr>
                <w:szCs w:val="20"/>
              </w:rPr>
              <w:t>13 (20.6%)</w:t>
            </w:r>
          </w:p>
        </w:tc>
      </w:tr>
      <w:tr w:rsidR="00AA2330" w:rsidRPr="0046360F" w:rsidTr="00221DAD">
        <w:tc>
          <w:tcPr>
            <w:tcW w:w="1262" w:type="pct"/>
            <w:vAlign w:val="center"/>
          </w:tcPr>
          <w:p w:rsidR="00AA2330" w:rsidRPr="0046360F" w:rsidRDefault="00AA2330" w:rsidP="00640163">
            <w:pPr>
              <w:pStyle w:val="TableText"/>
              <w:keepLines/>
              <w:tabs>
                <w:tab w:val="left" w:pos="175"/>
              </w:tabs>
            </w:pPr>
            <w:r w:rsidRPr="0046360F">
              <w:t>Cox proportional hazard ratio (95% CI)</w:t>
            </w:r>
          </w:p>
        </w:tc>
        <w:tc>
          <w:tcPr>
            <w:tcW w:w="1868" w:type="pct"/>
            <w:gridSpan w:val="2"/>
            <w:vAlign w:val="center"/>
          </w:tcPr>
          <w:p w:rsidR="00AA2330" w:rsidRPr="0046360F" w:rsidRDefault="00AA2330" w:rsidP="00640163">
            <w:pPr>
              <w:pStyle w:val="TableText"/>
              <w:keepLines/>
              <w:ind w:left="-46" w:right="-86"/>
              <w:jc w:val="center"/>
              <w:rPr>
                <w:b/>
                <w:szCs w:val="20"/>
              </w:rPr>
            </w:pPr>
            <w:r w:rsidRPr="0046360F">
              <w:rPr>
                <w:b/>
                <w:szCs w:val="20"/>
              </w:rPr>
              <w:t>0.556 (0.377, 0.822)</w:t>
            </w:r>
          </w:p>
        </w:tc>
        <w:tc>
          <w:tcPr>
            <w:tcW w:w="1870" w:type="pct"/>
            <w:gridSpan w:val="2"/>
            <w:vAlign w:val="center"/>
          </w:tcPr>
          <w:p w:rsidR="00AA2330" w:rsidRPr="0046360F" w:rsidRDefault="00AA2330" w:rsidP="00640163">
            <w:pPr>
              <w:pStyle w:val="TableText"/>
              <w:keepLines/>
              <w:ind w:left="-46" w:right="-86"/>
              <w:jc w:val="center"/>
              <w:rPr>
                <w:szCs w:val="20"/>
              </w:rPr>
            </w:pPr>
            <w:r w:rsidRPr="0046360F">
              <w:rPr>
                <w:szCs w:val="20"/>
              </w:rPr>
              <w:t>0.647 (0.413, 1.013)</w:t>
            </w:r>
          </w:p>
        </w:tc>
      </w:tr>
    </w:tbl>
    <w:p w:rsidR="00AA2330" w:rsidRPr="0046360F" w:rsidRDefault="00AA2330" w:rsidP="00640163">
      <w:pPr>
        <w:pStyle w:val="TableFigureFooter"/>
        <w:keepNext/>
        <w:keepLines/>
      </w:pPr>
      <w:r w:rsidRPr="0046360F">
        <w:t>Source: Tables 2.6.1 to 2.6.4, pp.70-73 of the resubmission. Statistically significant results in bold.</w:t>
      </w:r>
    </w:p>
    <w:p w:rsidR="00AA2330" w:rsidRPr="0046360F" w:rsidRDefault="00AA2330" w:rsidP="00640163">
      <w:pPr>
        <w:pStyle w:val="TableFigureFooter"/>
        <w:keepNext/>
        <w:keepLines/>
      </w:pPr>
      <w:r w:rsidRPr="0046360F">
        <w:t>Abbreviations: CI, confidence interval; ITT, intention-to-treat; NE, not evaluable.</w:t>
      </w:r>
    </w:p>
    <w:p w:rsidR="00AA2330" w:rsidRPr="0046360F" w:rsidRDefault="00AA2330" w:rsidP="00640163">
      <w:pPr>
        <w:pStyle w:val="TableFigureFooter"/>
        <w:keepNext/>
        <w:keepLines/>
      </w:pPr>
      <w:r w:rsidRPr="0046360F">
        <w:rPr>
          <w:vertAlign w:val="superscript"/>
        </w:rPr>
        <w:t>a</w:t>
      </w:r>
      <w:r w:rsidRPr="0046360F">
        <w:t xml:space="preserve"> Includes patients switching from the ATTR-ACT placebo arm, randomised to tafamidis meglumine 20 mg or 80 mg (1:2 ratio) on enrolment into B3461045, and then all migrated to tafamidis 61 mg (free acid formulation) after the July 2018 protocol amendment.</w:t>
      </w:r>
    </w:p>
    <w:p w:rsidR="00AA2330" w:rsidRPr="0046360F" w:rsidRDefault="00AA2330" w:rsidP="00AA2330">
      <w:pPr>
        <w:pStyle w:val="TableFigureFooter"/>
      </w:pPr>
      <w:r w:rsidRPr="0046360F">
        <w:rPr>
          <w:vertAlign w:val="superscript"/>
        </w:rPr>
        <w:t>b</w:t>
      </w:r>
      <w:r w:rsidRPr="0046360F">
        <w:t xml:space="preserve"> Heart transplant or implantation of a cardiac mechanical assist device handled as death.</w:t>
      </w:r>
    </w:p>
    <w:p w:rsidR="00AA2330" w:rsidRPr="0046360F" w:rsidRDefault="00AA2330" w:rsidP="00AA2330">
      <w:pPr>
        <w:pStyle w:val="TableFigureFooter"/>
      </w:pPr>
      <w:r w:rsidRPr="0046360F">
        <w:rPr>
          <w:vertAlign w:val="superscript"/>
        </w:rPr>
        <w:t>c</w:t>
      </w:r>
      <w:r w:rsidRPr="0046360F">
        <w:t xml:space="preserve"> Censored alive at time of analysis.</w:t>
      </w:r>
    </w:p>
    <w:p w:rsidR="00A25D8F" w:rsidRPr="0046360F" w:rsidRDefault="008B0291" w:rsidP="00A25D8F">
      <w:pPr>
        <w:pStyle w:val="ExecSumBodyText"/>
        <w:numPr>
          <w:ilvl w:val="1"/>
          <w:numId w:val="1"/>
        </w:numPr>
      </w:pPr>
      <w:r w:rsidRPr="0046360F">
        <w:t>In the analysis above,</w:t>
      </w:r>
      <w:r w:rsidR="00A25D8F" w:rsidRPr="0046360F">
        <w:t xml:space="preserve"> in patients with baseline NYHA class I/II, all-cause mortality was lower in the tafamidis 80/61 mg treatment arm at the August 2019 (</w:t>
      </w:r>
      <w:r w:rsidR="00A53A38" w:rsidRPr="0046360F">
        <w:t>33.9</w:t>
      </w:r>
      <w:r w:rsidR="00A25D8F" w:rsidRPr="0046360F">
        <w:t>%) and March 2020 (</w:t>
      </w:r>
      <w:r w:rsidR="00A53A38" w:rsidRPr="0046360F">
        <w:t>37.2</w:t>
      </w:r>
      <w:r w:rsidR="00A25D8F" w:rsidRPr="0046360F">
        <w:t>%) cut-offs compared to placebo/tafamidis (51.8% and 53.5% respectively), with the Cox-proportional hazard ratios demonstrating a statistically significant reduction in the risk of death of 45.4% and 44.4% respectively, relative to placebo/tafamidis. There was no statistically significant difference in all-cause mortality between tafamidis 80/61 mg and placebo/tafamidis in patients with baseline NYHA class III heart failure at either cut-off dates.</w:t>
      </w:r>
    </w:p>
    <w:p w:rsidR="00A25D8F" w:rsidRPr="0046360F" w:rsidRDefault="00EE7157" w:rsidP="00A25D8F">
      <w:pPr>
        <w:pStyle w:val="ExecSumBodyText"/>
        <w:numPr>
          <w:ilvl w:val="1"/>
          <w:numId w:val="1"/>
        </w:numPr>
      </w:pPr>
      <w:bookmarkStart w:id="22" w:name="_Ref69210001"/>
      <w:r w:rsidRPr="0046360F">
        <w:t>T</w:t>
      </w:r>
      <w:r w:rsidR="00A25D8F" w:rsidRPr="0046360F">
        <w:t>he tafamidis 80/61 mg treatment arm excluded patients randomised to tafamidis 20</w:t>
      </w:r>
      <w:r w:rsidR="008B0291" w:rsidRPr="0046360F">
        <w:t> </w:t>
      </w:r>
      <w:r w:rsidR="00A25D8F" w:rsidRPr="0046360F">
        <w:t>mg, while the placebo/tafamidis treatment arm included patients switching to tafamidis 20 mg or 80 mg from placebo. The flow of patients through the B3461045 study was not adequately reported</w:t>
      </w:r>
      <w:r w:rsidRPr="0046360F">
        <w:t>. For example</w:t>
      </w:r>
      <w:r w:rsidR="00A25D8F" w:rsidRPr="0046360F">
        <w:t xml:space="preserve">, it </w:t>
      </w:r>
      <w:r w:rsidR="008B0291" w:rsidRPr="0046360F">
        <w:t xml:space="preserve">was </w:t>
      </w:r>
      <w:r w:rsidR="00A25D8F" w:rsidRPr="0046360F">
        <w:t>unclear whether patients in the placebo/tafamidis treatment arms received ≥18 months of treatment,</w:t>
      </w:r>
      <w:r w:rsidRPr="0046360F">
        <w:t xml:space="preserve"> which was</w:t>
      </w:r>
      <w:r w:rsidR="00A25D8F" w:rsidRPr="0046360F">
        <w:t xml:space="preserve"> the duration of tafamidis treatment </w:t>
      </w:r>
      <w:r w:rsidRPr="0046360F">
        <w:t xml:space="preserve">that patients had received </w:t>
      </w:r>
      <w:r w:rsidR="00A25D8F" w:rsidRPr="0046360F">
        <w:t xml:space="preserve">before differences in all-cause mortality were observed in the ATTR-ACT trial. Given the differences in tafamidis dose intensity, duration of treatment and drug exposure, the results of the </w:t>
      </w:r>
      <w:r w:rsidR="008B0291" w:rsidRPr="0046360F">
        <w:t>post hoc</w:t>
      </w:r>
      <w:r w:rsidR="00A25D8F" w:rsidRPr="0046360F">
        <w:t xml:space="preserve"> subgroup analyses should be interpreted with caution.</w:t>
      </w:r>
      <w:bookmarkEnd w:id="22"/>
    </w:p>
    <w:p w:rsidR="002D20C5" w:rsidRPr="0046360F" w:rsidRDefault="002D20C5" w:rsidP="002D20C5">
      <w:pPr>
        <w:pStyle w:val="ExecSumBodyText"/>
        <w:numPr>
          <w:ilvl w:val="0"/>
          <w:numId w:val="0"/>
        </w:numPr>
        <w:ind w:left="720" w:hanging="720"/>
        <w:outlineLvl w:val="3"/>
        <w:rPr>
          <w:u w:val="single"/>
        </w:rPr>
      </w:pPr>
      <w:r w:rsidRPr="0046360F">
        <w:rPr>
          <w:u w:val="single"/>
        </w:rPr>
        <w:t>Dosing: 80 mg (bioequivalent to 61</w:t>
      </w:r>
      <w:r w:rsidR="008B0291" w:rsidRPr="0046360F">
        <w:rPr>
          <w:u w:val="single"/>
        </w:rPr>
        <w:t> </w:t>
      </w:r>
      <w:r w:rsidRPr="0046360F">
        <w:rPr>
          <w:u w:val="single"/>
        </w:rPr>
        <w:t>mg free acid) versus 20 mg</w:t>
      </w:r>
    </w:p>
    <w:p w:rsidR="00A25D8F" w:rsidRPr="0046360F" w:rsidRDefault="00A25D8F" w:rsidP="00A25D8F">
      <w:pPr>
        <w:pStyle w:val="ExecSumBodyText"/>
        <w:numPr>
          <w:ilvl w:val="1"/>
          <w:numId w:val="1"/>
        </w:numPr>
      </w:pPr>
      <w:r w:rsidRPr="0046360F">
        <w:rPr>
          <w:iCs/>
        </w:rPr>
        <w:t>At the July 2020 meeting</w:t>
      </w:r>
      <w:r w:rsidR="008B0291" w:rsidRPr="0046360F">
        <w:rPr>
          <w:iCs/>
        </w:rPr>
        <w:t>,</w:t>
      </w:r>
      <w:r w:rsidRPr="0046360F">
        <w:rPr>
          <w:iCs/>
        </w:rPr>
        <w:t xml:space="preserve"> the PBAC noted that results for key outcomes were similar for the 20 mg and 80 mg tafamidis dose strengths, and that adequate justification for the 80 mg dose rather than the 20 mg had not been provided </w:t>
      </w:r>
      <w:r w:rsidRPr="0046360F">
        <w:t xml:space="preserve">(para 7.10, </w:t>
      </w:r>
      <w:r w:rsidR="008B0291" w:rsidRPr="0046360F">
        <w:t>t</w:t>
      </w:r>
      <w:r w:rsidRPr="0046360F">
        <w:t>afamidis P</w:t>
      </w:r>
      <w:r w:rsidR="001B0935" w:rsidRPr="0046360F">
        <w:t>SD</w:t>
      </w:r>
      <w:r w:rsidRPr="0046360F">
        <w:t>, July 2020 PBAC meeting).</w:t>
      </w:r>
    </w:p>
    <w:p w:rsidR="00A25D8F" w:rsidRPr="0046360F" w:rsidRDefault="00A25D8F" w:rsidP="00A25D8F">
      <w:pPr>
        <w:pStyle w:val="ExecSumBodyText"/>
        <w:numPr>
          <w:ilvl w:val="1"/>
          <w:numId w:val="1"/>
        </w:numPr>
      </w:pPr>
      <w:r w:rsidRPr="0046360F">
        <w:t xml:space="preserve">The resubmission presented a </w:t>
      </w:r>
      <w:r w:rsidR="00B25C4F" w:rsidRPr="0046360F">
        <w:t xml:space="preserve">new </w:t>
      </w:r>
      <w:r w:rsidR="008B0291" w:rsidRPr="0046360F">
        <w:t>post hoc</w:t>
      </w:r>
      <w:r w:rsidRPr="0046360F">
        <w:t xml:space="preserve"> subgroup analysis by baseline tafamidis dose allocation, for the combined ATTR-ACT and B3461045 data sets, at data points prior to (1 August 2018 data cut-off) and after (1 </w:t>
      </w:r>
      <w:r w:rsidR="00591BE8" w:rsidRPr="0046360F">
        <w:t>August 2019</w:t>
      </w:r>
      <w:r w:rsidRPr="0046360F">
        <w:t xml:space="preserve"> data cut-off) the July</w:t>
      </w:r>
      <w:r w:rsidR="008B0291" w:rsidRPr="0046360F">
        <w:t> </w:t>
      </w:r>
      <w:r w:rsidRPr="0046360F">
        <w:t xml:space="preserve">2018 protocol amendment </w:t>
      </w:r>
      <w:r w:rsidR="002D20C5" w:rsidRPr="0046360F">
        <w:t xml:space="preserve">which </w:t>
      </w:r>
      <w:r w:rsidRPr="0046360F">
        <w:t>migrat</w:t>
      </w:r>
      <w:r w:rsidR="002D20C5" w:rsidRPr="0046360F">
        <w:t>ed</w:t>
      </w:r>
      <w:r w:rsidRPr="0046360F">
        <w:t xml:space="preserve"> all patients to the tafamidis 61 mg (free acid) dose regimen. The resubmission acknowledged that the B3461028 study was not powered to differentiate tafamidis dose strengths by treatment effect.</w:t>
      </w:r>
    </w:p>
    <w:p w:rsidR="00A25D8F" w:rsidRPr="0046360F" w:rsidRDefault="00A25D8F" w:rsidP="00A25D8F">
      <w:pPr>
        <w:pStyle w:val="ExecSumBodyText"/>
        <w:numPr>
          <w:ilvl w:val="1"/>
          <w:numId w:val="1"/>
        </w:numPr>
      </w:pPr>
      <w:bookmarkStart w:id="23" w:name="_Ref69211003"/>
      <w:r w:rsidRPr="0046360F">
        <w:t xml:space="preserve">The </w:t>
      </w:r>
      <w:r w:rsidR="008B0291" w:rsidRPr="0046360F">
        <w:t>post hoc</w:t>
      </w:r>
      <w:r w:rsidRPr="0046360F">
        <w:t xml:space="preserve"> subgroup analysis show</w:t>
      </w:r>
      <w:r w:rsidR="00B1791A" w:rsidRPr="0046360F">
        <w:t>ed</w:t>
      </w:r>
      <w:r w:rsidRPr="0046360F">
        <w:t xml:space="preserve"> </w:t>
      </w:r>
      <w:r w:rsidR="00B1791A" w:rsidRPr="0046360F">
        <w:t xml:space="preserve">reduced </w:t>
      </w:r>
      <w:r w:rsidRPr="0046360F">
        <w:t xml:space="preserve">all-cause mortality in patients randomised to tafamidis 80 mg at baseline compared to patients allocated to tafamidis 20 mg across all analyses at the 1 </w:t>
      </w:r>
      <w:r w:rsidR="00591BE8" w:rsidRPr="0046360F">
        <w:t>August 2019</w:t>
      </w:r>
      <w:r w:rsidRPr="0046360F">
        <w:t xml:space="preserve"> data point, with a statistically significant reduction in the risk of all-cause mortality in the unadjusted analysis of 30.0% (hazard ratio 0.700; 95% CI: 0.501, 0.979)</w:t>
      </w:r>
      <w:r w:rsidR="00B1791A" w:rsidRPr="0046360F">
        <w:t>. T</w:t>
      </w:r>
      <w:r w:rsidR="003810D2" w:rsidRPr="0046360F">
        <w:t>hese data, published by Damy</w:t>
      </w:r>
      <w:r w:rsidR="00B1791A" w:rsidRPr="0046360F">
        <w:t> </w:t>
      </w:r>
      <w:r w:rsidR="003810D2" w:rsidRPr="0046360F">
        <w:t>et</w:t>
      </w:r>
      <w:r w:rsidR="00B1791A" w:rsidRPr="0046360F">
        <w:t> </w:t>
      </w:r>
      <w:r w:rsidR="003810D2" w:rsidRPr="0046360F">
        <w:t>al</w:t>
      </w:r>
      <w:r w:rsidR="00B1791A" w:rsidRPr="0046360F">
        <w:t>. </w:t>
      </w:r>
      <w:r w:rsidR="003810D2" w:rsidRPr="0046360F">
        <w:t xml:space="preserve">2020, were also presented in the PSCR. </w:t>
      </w:r>
      <w:r w:rsidRPr="0046360F">
        <w:t>However, there were no statistically significant differences between baseline tafamidis dose strengths at the 1</w:t>
      </w:r>
      <w:r w:rsidR="00B1791A" w:rsidRPr="0046360F">
        <w:t> </w:t>
      </w:r>
      <w:r w:rsidRPr="0046360F">
        <w:t>August 2018 data point</w:t>
      </w:r>
      <w:r w:rsidRPr="0046360F">
        <w:rPr>
          <w:i/>
        </w:rPr>
        <w:t>.</w:t>
      </w:r>
      <w:r w:rsidR="00772A9A" w:rsidRPr="0046360F">
        <w:t xml:space="preserve"> </w:t>
      </w:r>
      <w:r w:rsidR="00CA4E40" w:rsidRPr="0046360F">
        <w:t>Further, n</w:t>
      </w:r>
      <w:r w:rsidR="00772A9A" w:rsidRPr="0046360F">
        <w:t>o data was provided from the March 2020 analysis for patients allocated to 20 mg and 80 mg doses.</w:t>
      </w:r>
      <w:r w:rsidR="00467513" w:rsidRPr="0046360F">
        <w:t xml:space="preserve"> The ESC noted that the difference was only statistically significant in the 1 August 2019 analysis, which was conducted after patients in the 20 mg arm had transitioned to the higher dose (and thus the 20</w:t>
      </w:r>
      <w:r w:rsidR="00B1791A" w:rsidRPr="0046360F">
        <w:t> </w:t>
      </w:r>
      <w:r w:rsidR="00467513" w:rsidRPr="0046360F">
        <w:t>mg arm included outcomes for patients who had received the higher dose for up to a year).</w:t>
      </w:r>
      <w:bookmarkEnd w:id="23"/>
    </w:p>
    <w:p w:rsidR="00711E55" w:rsidRPr="0046360F" w:rsidRDefault="00A25D8F" w:rsidP="00711E55">
      <w:pPr>
        <w:pStyle w:val="ExecSumBodyText"/>
        <w:numPr>
          <w:ilvl w:val="1"/>
          <w:numId w:val="1"/>
        </w:numPr>
      </w:pPr>
      <w:bookmarkStart w:id="24" w:name="_Ref69211009"/>
      <w:r w:rsidRPr="0046360F">
        <w:t xml:space="preserve">The </w:t>
      </w:r>
      <w:r w:rsidR="0090381F" w:rsidRPr="0046360F">
        <w:t xml:space="preserve">combined ATTR-ACT and B3461045 </w:t>
      </w:r>
      <w:r w:rsidR="0005364D" w:rsidRPr="0046360F">
        <w:t>study</w:t>
      </w:r>
      <w:r w:rsidRPr="0046360F">
        <w:t xml:space="preserve"> treatment arms included patients continuing tafamidis doses from the ATTR-ACT trial or switching to tafamidis 80 mg or 20 mg dose strengths from the ATTR-ACT trial placebo arm (randomised on a 2:1 ratio respectively), with all patients in both treatment arms migrating to the tafamidis 61</w:t>
      </w:r>
      <w:r w:rsidR="00B1791A" w:rsidRPr="0046360F">
        <w:t> </w:t>
      </w:r>
      <w:r w:rsidRPr="0046360F">
        <w:t xml:space="preserve">mg formulation after the July 2018 protocol amendment. Given the differences in tafamidis dose intensity, duration of treatment and drug exposure, particularly in patients switching from placebo in the ATTR-ACT trial to tafamidis in the B3461045 extension study, the results of the subgroup analysis by baseline tafamidis dose allocation </w:t>
      </w:r>
      <w:r w:rsidR="00075723" w:rsidRPr="0046360F">
        <w:t xml:space="preserve">were </w:t>
      </w:r>
      <w:r w:rsidR="006319D5" w:rsidRPr="0046360F">
        <w:t>un</w:t>
      </w:r>
      <w:r w:rsidRPr="0046360F">
        <w:t>reliable, and should be interpreted with caution.</w:t>
      </w:r>
      <w:bookmarkEnd w:id="24"/>
      <w:r w:rsidR="00467513" w:rsidRPr="0046360F">
        <w:rPr>
          <w:i/>
        </w:rPr>
        <w:t xml:space="preserve"> </w:t>
      </w:r>
    </w:p>
    <w:p w:rsidR="00A25D8F" w:rsidRPr="0046360F" w:rsidRDefault="00A25D8F" w:rsidP="00FD3CDD">
      <w:pPr>
        <w:pStyle w:val="3-SubsectionHeading"/>
      </w:pPr>
      <w:bookmarkStart w:id="25" w:name="_Toc61271168"/>
      <w:bookmarkStart w:id="26" w:name="_Toc62050863"/>
      <w:r w:rsidRPr="0046360F">
        <w:t>Comparative harms</w:t>
      </w:r>
      <w:bookmarkEnd w:id="25"/>
      <w:bookmarkEnd w:id="26"/>
    </w:p>
    <w:p w:rsidR="00A25D8F" w:rsidRPr="0046360F" w:rsidRDefault="00A25D8F" w:rsidP="00A25D8F">
      <w:pPr>
        <w:pStyle w:val="ExecSumBodyText"/>
        <w:numPr>
          <w:ilvl w:val="1"/>
          <w:numId w:val="1"/>
        </w:numPr>
      </w:pPr>
      <w:r w:rsidRPr="0046360F">
        <w:t xml:space="preserve">The comparative harms presented in the resubmission </w:t>
      </w:r>
      <w:r w:rsidR="00075723" w:rsidRPr="0046360F">
        <w:t xml:space="preserve">were </w:t>
      </w:r>
      <w:r w:rsidRPr="0046360F">
        <w:t xml:space="preserve">unchanged </w:t>
      </w:r>
      <w:r w:rsidR="008E5F84" w:rsidRPr="0046360F">
        <w:t xml:space="preserve">from the </w:t>
      </w:r>
      <w:r w:rsidRPr="0046360F">
        <w:t>July 2020 submission.</w:t>
      </w:r>
    </w:p>
    <w:p w:rsidR="00A25D8F" w:rsidRPr="0046360F" w:rsidRDefault="00C170ED" w:rsidP="00A25D8F">
      <w:pPr>
        <w:pStyle w:val="ExecSumBodyText"/>
        <w:numPr>
          <w:ilvl w:val="1"/>
          <w:numId w:val="1"/>
        </w:numPr>
      </w:pPr>
      <w:r w:rsidRPr="0046360F">
        <w:t xml:space="preserve">Table </w:t>
      </w:r>
      <w:r>
        <w:rPr>
          <w:noProof/>
        </w:rPr>
        <w:t>9</w:t>
      </w:r>
      <w:r w:rsidR="0029295E" w:rsidRPr="0046360F">
        <w:t xml:space="preserve"> </w:t>
      </w:r>
      <w:r w:rsidR="00A25D8F" w:rsidRPr="0046360F">
        <w:t>summarises the proportions of patients experiencing key treatment emergent adverse events in the ATTR-ACT trial.</w:t>
      </w:r>
    </w:p>
    <w:p w:rsidR="007B2364" w:rsidRPr="0046360F" w:rsidRDefault="0029295E" w:rsidP="00CC7D48">
      <w:pPr>
        <w:pStyle w:val="Caption"/>
      </w:pPr>
      <w:bookmarkStart w:id="27" w:name="_Ref69052621"/>
      <w:r w:rsidRPr="0046360F">
        <w:t xml:space="preserve">Table </w:t>
      </w:r>
      <w:r w:rsidR="00C170ED">
        <w:rPr>
          <w:noProof/>
        </w:rPr>
        <w:t>9</w:t>
      </w:r>
      <w:bookmarkEnd w:id="27"/>
      <w:r w:rsidRPr="0046360F">
        <w:t xml:space="preserve">: </w:t>
      </w:r>
      <w:r w:rsidR="007B2364" w:rsidRPr="0046360F">
        <w:t>Summary of key treatment emergent adverse events in the ATTR-ACT trial (safety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82"/>
        <w:gridCol w:w="1582"/>
        <w:gridCol w:w="1582"/>
        <w:gridCol w:w="1582"/>
      </w:tblGrid>
      <w:tr w:rsidR="007B2364" w:rsidRPr="0046360F" w:rsidTr="00154BF0">
        <w:trPr>
          <w:tblHeader/>
        </w:trPr>
        <w:tc>
          <w:tcPr>
            <w:tcW w:w="2689" w:type="dxa"/>
            <w:vAlign w:val="center"/>
          </w:tcPr>
          <w:p w:rsidR="007B2364" w:rsidRPr="0046360F" w:rsidRDefault="007B2364" w:rsidP="00221DAD">
            <w:pPr>
              <w:pStyle w:val="Tableheadingrow"/>
              <w:rPr>
                <w:szCs w:val="20"/>
                <w:lang w:val="en-AU"/>
              </w:rPr>
            </w:pPr>
            <w:r w:rsidRPr="0046360F">
              <w:rPr>
                <w:szCs w:val="20"/>
                <w:lang w:val="en-AU"/>
              </w:rPr>
              <w:t>Patients with events</w:t>
            </w:r>
          </w:p>
        </w:tc>
        <w:tc>
          <w:tcPr>
            <w:tcW w:w="1582" w:type="dxa"/>
            <w:vAlign w:val="center"/>
          </w:tcPr>
          <w:p w:rsidR="007B2364" w:rsidRPr="0046360F" w:rsidRDefault="007B2364" w:rsidP="00221DAD">
            <w:pPr>
              <w:pStyle w:val="Tableheadingrow"/>
              <w:ind w:left="-95" w:right="-81"/>
              <w:jc w:val="center"/>
              <w:rPr>
                <w:szCs w:val="20"/>
                <w:lang w:val="en-AU"/>
              </w:rPr>
            </w:pPr>
            <w:r w:rsidRPr="0046360F">
              <w:rPr>
                <w:szCs w:val="20"/>
                <w:lang w:val="en-AU"/>
              </w:rPr>
              <w:t xml:space="preserve">Tafamidis </w:t>
            </w:r>
          </w:p>
          <w:p w:rsidR="007B2364" w:rsidRPr="0046360F" w:rsidRDefault="007B2364" w:rsidP="00221DAD">
            <w:pPr>
              <w:pStyle w:val="Tableheadingrow"/>
              <w:jc w:val="center"/>
              <w:rPr>
                <w:szCs w:val="20"/>
                <w:lang w:val="en-AU"/>
              </w:rPr>
            </w:pPr>
            <w:r w:rsidRPr="0046360F">
              <w:rPr>
                <w:szCs w:val="20"/>
                <w:lang w:val="en-AU"/>
              </w:rPr>
              <w:t>20 mg</w:t>
            </w:r>
          </w:p>
        </w:tc>
        <w:tc>
          <w:tcPr>
            <w:tcW w:w="1582" w:type="dxa"/>
            <w:vAlign w:val="center"/>
          </w:tcPr>
          <w:p w:rsidR="007B2364" w:rsidRPr="0046360F" w:rsidRDefault="007B2364" w:rsidP="00221DAD">
            <w:pPr>
              <w:pStyle w:val="Tableheadingrow"/>
              <w:ind w:left="-95" w:right="-81"/>
              <w:jc w:val="center"/>
              <w:rPr>
                <w:szCs w:val="20"/>
                <w:lang w:val="en-AU"/>
              </w:rPr>
            </w:pPr>
            <w:r w:rsidRPr="0046360F">
              <w:rPr>
                <w:szCs w:val="20"/>
                <w:lang w:val="en-AU"/>
              </w:rPr>
              <w:t xml:space="preserve">Tafamidis </w:t>
            </w:r>
          </w:p>
          <w:p w:rsidR="007B2364" w:rsidRPr="0046360F" w:rsidRDefault="007B2364" w:rsidP="00221DAD">
            <w:pPr>
              <w:pStyle w:val="Tableheadingrow"/>
              <w:jc w:val="center"/>
              <w:rPr>
                <w:szCs w:val="20"/>
                <w:lang w:val="en-AU"/>
              </w:rPr>
            </w:pPr>
            <w:r w:rsidRPr="0046360F">
              <w:rPr>
                <w:szCs w:val="20"/>
                <w:lang w:val="en-AU"/>
              </w:rPr>
              <w:t>80 mg</w:t>
            </w:r>
          </w:p>
        </w:tc>
        <w:tc>
          <w:tcPr>
            <w:tcW w:w="1582" w:type="dxa"/>
            <w:vAlign w:val="center"/>
          </w:tcPr>
          <w:p w:rsidR="007B2364" w:rsidRPr="0046360F" w:rsidRDefault="007B2364" w:rsidP="00221DAD">
            <w:pPr>
              <w:pStyle w:val="Tableheadingrow"/>
              <w:jc w:val="center"/>
              <w:rPr>
                <w:szCs w:val="20"/>
                <w:lang w:val="en-AU"/>
              </w:rPr>
            </w:pPr>
            <w:r w:rsidRPr="0046360F">
              <w:rPr>
                <w:szCs w:val="20"/>
                <w:lang w:val="en-AU"/>
              </w:rPr>
              <w:t>Tafamidis pooled</w:t>
            </w:r>
          </w:p>
        </w:tc>
        <w:tc>
          <w:tcPr>
            <w:tcW w:w="1582" w:type="dxa"/>
            <w:vAlign w:val="center"/>
          </w:tcPr>
          <w:p w:rsidR="007B2364" w:rsidRPr="0046360F" w:rsidRDefault="007B2364" w:rsidP="00221DAD">
            <w:pPr>
              <w:pStyle w:val="Tableheadingrow"/>
              <w:jc w:val="center"/>
              <w:rPr>
                <w:szCs w:val="20"/>
                <w:lang w:val="en-AU"/>
              </w:rPr>
            </w:pPr>
            <w:r w:rsidRPr="0046360F">
              <w:rPr>
                <w:szCs w:val="20"/>
                <w:lang w:val="en-AU"/>
              </w:rPr>
              <w:t>Placebo</w:t>
            </w:r>
          </w:p>
        </w:tc>
      </w:tr>
      <w:tr w:rsidR="007B2364" w:rsidRPr="0046360F" w:rsidTr="00154BF0">
        <w:trPr>
          <w:tblHeader/>
        </w:trPr>
        <w:tc>
          <w:tcPr>
            <w:tcW w:w="2689" w:type="dxa"/>
            <w:vAlign w:val="center"/>
          </w:tcPr>
          <w:p w:rsidR="007B2364" w:rsidRPr="0046360F" w:rsidRDefault="007B2364" w:rsidP="00221DAD">
            <w:pPr>
              <w:pStyle w:val="Tableheadingrow"/>
              <w:rPr>
                <w:b w:val="0"/>
                <w:szCs w:val="20"/>
                <w:lang w:val="en-AU"/>
              </w:rPr>
            </w:pPr>
            <w:r w:rsidRPr="0046360F">
              <w:rPr>
                <w:b w:val="0"/>
                <w:szCs w:val="20"/>
                <w:lang w:val="en-AU"/>
              </w:rPr>
              <w:t>N</w:t>
            </w:r>
          </w:p>
        </w:tc>
        <w:tc>
          <w:tcPr>
            <w:tcW w:w="1582" w:type="dxa"/>
            <w:vAlign w:val="center"/>
          </w:tcPr>
          <w:p w:rsidR="007B2364" w:rsidRPr="0046360F" w:rsidRDefault="007B2364" w:rsidP="00221DAD">
            <w:pPr>
              <w:pStyle w:val="Tableheadingrow"/>
              <w:ind w:left="-95" w:right="-81"/>
              <w:jc w:val="center"/>
              <w:rPr>
                <w:b w:val="0"/>
                <w:szCs w:val="20"/>
                <w:lang w:val="en-AU"/>
              </w:rPr>
            </w:pPr>
            <w:r w:rsidRPr="0046360F">
              <w:rPr>
                <w:b w:val="0"/>
                <w:szCs w:val="20"/>
                <w:lang w:val="en-AU"/>
              </w:rPr>
              <w:t>88</w:t>
            </w:r>
          </w:p>
        </w:tc>
        <w:tc>
          <w:tcPr>
            <w:tcW w:w="1582" w:type="dxa"/>
            <w:vAlign w:val="center"/>
          </w:tcPr>
          <w:p w:rsidR="007B2364" w:rsidRPr="0046360F" w:rsidRDefault="007B2364" w:rsidP="00221DAD">
            <w:pPr>
              <w:pStyle w:val="Tableheadingrow"/>
              <w:ind w:left="-95" w:right="-81"/>
              <w:jc w:val="center"/>
              <w:rPr>
                <w:b w:val="0"/>
                <w:szCs w:val="20"/>
                <w:lang w:val="en-AU"/>
              </w:rPr>
            </w:pPr>
            <w:r w:rsidRPr="0046360F">
              <w:rPr>
                <w:b w:val="0"/>
                <w:szCs w:val="20"/>
                <w:lang w:val="en-AU"/>
              </w:rPr>
              <w:t>176</w:t>
            </w:r>
          </w:p>
        </w:tc>
        <w:tc>
          <w:tcPr>
            <w:tcW w:w="1582" w:type="dxa"/>
            <w:vAlign w:val="center"/>
          </w:tcPr>
          <w:p w:rsidR="007B2364" w:rsidRPr="0046360F" w:rsidRDefault="007B2364" w:rsidP="00221DAD">
            <w:pPr>
              <w:pStyle w:val="Tableheadingrow"/>
              <w:jc w:val="center"/>
              <w:rPr>
                <w:b w:val="0"/>
                <w:szCs w:val="20"/>
                <w:lang w:val="en-AU"/>
              </w:rPr>
            </w:pPr>
            <w:r w:rsidRPr="0046360F">
              <w:rPr>
                <w:b w:val="0"/>
                <w:szCs w:val="20"/>
                <w:lang w:val="en-AU"/>
              </w:rPr>
              <w:t>264</w:t>
            </w:r>
          </w:p>
        </w:tc>
        <w:tc>
          <w:tcPr>
            <w:tcW w:w="1582" w:type="dxa"/>
            <w:vAlign w:val="center"/>
          </w:tcPr>
          <w:p w:rsidR="007B2364" w:rsidRPr="0046360F" w:rsidRDefault="007B2364" w:rsidP="00221DAD">
            <w:pPr>
              <w:pStyle w:val="Tableheadingrow"/>
              <w:jc w:val="center"/>
              <w:rPr>
                <w:b w:val="0"/>
                <w:szCs w:val="20"/>
                <w:lang w:val="en-AU"/>
              </w:rPr>
            </w:pPr>
            <w:r w:rsidRPr="0046360F">
              <w:rPr>
                <w:b w:val="0"/>
                <w:szCs w:val="20"/>
                <w:lang w:val="en-AU"/>
              </w:rPr>
              <w:t>177</w:t>
            </w:r>
          </w:p>
        </w:tc>
      </w:tr>
      <w:tr w:rsidR="007B2364" w:rsidRPr="0046360F" w:rsidTr="00154BF0">
        <w:tc>
          <w:tcPr>
            <w:tcW w:w="2689" w:type="dxa"/>
            <w:vAlign w:val="center"/>
          </w:tcPr>
          <w:p w:rsidR="007B2364" w:rsidRPr="0046360F" w:rsidRDefault="007B2364" w:rsidP="00221DAD">
            <w:pPr>
              <w:pStyle w:val="TableText"/>
              <w:rPr>
                <w:szCs w:val="20"/>
              </w:rPr>
            </w:pPr>
            <w:r w:rsidRPr="0046360F">
              <w:rPr>
                <w:szCs w:val="20"/>
              </w:rPr>
              <w:t>Number of events</w:t>
            </w:r>
          </w:p>
        </w:tc>
        <w:tc>
          <w:tcPr>
            <w:tcW w:w="1582" w:type="dxa"/>
          </w:tcPr>
          <w:p w:rsidR="007B2364" w:rsidRPr="0046360F" w:rsidRDefault="007B2364" w:rsidP="00221DAD">
            <w:pPr>
              <w:pStyle w:val="TableText"/>
              <w:jc w:val="center"/>
              <w:rPr>
                <w:szCs w:val="20"/>
              </w:rPr>
            </w:pPr>
            <w:r w:rsidRPr="0046360F">
              <w:rPr>
                <w:spacing w:val="1"/>
                <w:szCs w:val="20"/>
              </w:rPr>
              <w:t>1036</w:t>
            </w:r>
          </w:p>
        </w:tc>
        <w:tc>
          <w:tcPr>
            <w:tcW w:w="1582" w:type="dxa"/>
          </w:tcPr>
          <w:p w:rsidR="007B2364" w:rsidRPr="0046360F" w:rsidRDefault="007B2364" w:rsidP="00221DAD">
            <w:pPr>
              <w:pStyle w:val="TableText"/>
              <w:jc w:val="center"/>
              <w:rPr>
                <w:szCs w:val="20"/>
              </w:rPr>
            </w:pPr>
            <w:r w:rsidRPr="0046360F">
              <w:rPr>
                <w:spacing w:val="1"/>
                <w:szCs w:val="20"/>
              </w:rPr>
              <w:t>2138</w:t>
            </w:r>
          </w:p>
        </w:tc>
        <w:tc>
          <w:tcPr>
            <w:tcW w:w="1582" w:type="dxa"/>
          </w:tcPr>
          <w:p w:rsidR="007B2364" w:rsidRPr="0046360F" w:rsidRDefault="007B2364" w:rsidP="00221DAD">
            <w:pPr>
              <w:pStyle w:val="TableText"/>
              <w:jc w:val="center"/>
              <w:rPr>
                <w:szCs w:val="20"/>
              </w:rPr>
            </w:pPr>
            <w:r w:rsidRPr="0046360F">
              <w:rPr>
                <w:spacing w:val="1"/>
                <w:szCs w:val="20"/>
              </w:rPr>
              <w:t>3174</w:t>
            </w:r>
          </w:p>
        </w:tc>
        <w:tc>
          <w:tcPr>
            <w:tcW w:w="1582" w:type="dxa"/>
          </w:tcPr>
          <w:p w:rsidR="007B2364" w:rsidRPr="0046360F" w:rsidRDefault="007B2364" w:rsidP="00221DAD">
            <w:pPr>
              <w:pStyle w:val="TableText"/>
              <w:jc w:val="center"/>
              <w:rPr>
                <w:szCs w:val="20"/>
              </w:rPr>
            </w:pPr>
            <w:r w:rsidRPr="0046360F">
              <w:rPr>
                <w:spacing w:val="1"/>
                <w:szCs w:val="20"/>
              </w:rPr>
              <w:t>2463</w:t>
            </w:r>
          </w:p>
        </w:tc>
      </w:tr>
      <w:tr w:rsidR="007B2364" w:rsidRPr="0046360F" w:rsidTr="00154BF0">
        <w:tc>
          <w:tcPr>
            <w:tcW w:w="9017" w:type="dxa"/>
            <w:gridSpan w:val="5"/>
            <w:vAlign w:val="center"/>
          </w:tcPr>
          <w:p w:rsidR="007B2364" w:rsidRPr="0046360F" w:rsidRDefault="007B2364" w:rsidP="00221DAD">
            <w:pPr>
              <w:pStyle w:val="TableText"/>
              <w:rPr>
                <w:b/>
                <w:spacing w:val="1"/>
                <w:szCs w:val="20"/>
              </w:rPr>
            </w:pPr>
            <w:r w:rsidRPr="0046360F">
              <w:rPr>
                <w:b/>
                <w:spacing w:val="1"/>
                <w:szCs w:val="20"/>
              </w:rPr>
              <w:t>Patients reporting ≥ 1 treatment emergent adverse events</w:t>
            </w:r>
          </w:p>
        </w:tc>
      </w:tr>
      <w:tr w:rsidR="007B2364" w:rsidRPr="0046360F" w:rsidTr="00154BF0">
        <w:tc>
          <w:tcPr>
            <w:tcW w:w="2689" w:type="dxa"/>
            <w:vAlign w:val="center"/>
          </w:tcPr>
          <w:p w:rsidR="007B2364" w:rsidRPr="0046360F" w:rsidRDefault="007B2364" w:rsidP="00221DAD">
            <w:pPr>
              <w:pStyle w:val="TableText"/>
              <w:rPr>
                <w:szCs w:val="20"/>
              </w:rPr>
            </w:pPr>
            <w:r w:rsidRPr="0046360F">
              <w:rPr>
                <w:szCs w:val="20"/>
              </w:rPr>
              <w:t>Any adverse events (AEs)</w:t>
            </w:r>
          </w:p>
        </w:tc>
        <w:tc>
          <w:tcPr>
            <w:tcW w:w="1582" w:type="dxa"/>
          </w:tcPr>
          <w:p w:rsidR="007B2364" w:rsidRPr="0046360F" w:rsidRDefault="007B2364" w:rsidP="00221DAD">
            <w:pPr>
              <w:pStyle w:val="TableText"/>
              <w:jc w:val="center"/>
              <w:rPr>
                <w:szCs w:val="20"/>
              </w:rPr>
            </w:pPr>
            <w:r w:rsidRPr="0046360F">
              <w:rPr>
                <w:szCs w:val="20"/>
              </w:rPr>
              <w:t>87</w:t>
            </w:r>
            <w:r w:rsidRPr="0046360F">
              <w:rPr>
                <w:spacing w:val="-6"/>
                <w:szCs w:val="20"/>
              </w:rPr>
              <w:t xml:space="preserve"> </w:t>
            </w:r>
            <w:r w:rsidRPr="0046360F">
              <w:rPr>
                <w:szCs w:val="20"/>
              </w:rPr>
              <w:t>(98.9%)</w:t>
            </w:r>
          </w:p>
        </w:tc>
        <w:tc>
          <w:tcPr>
            <w:tcW w:w="1582" w:type="dxa"/>
          </w:tcPr>
          <w:p w:rsidR="007B2364" w:rsidRPr="0046360F" w:rsidRDefault="007B2364" w:rsidP="00221DAD">
            <w:pPr>
              <w:pStyle w:val="TableText"/>
              <w:jc w:val="center"/>
              <w:rPr>
                <w:szCs w:val="20"/>
              </w:rPr>
            </w:pPr>
            <w:r w:rsidRPr="0046360F">
              <w:rPr>
                <w:szCs w:val="20"/>
              </w:rPr>
              <w:t>173</w:t>
            </w:r>
            <w:r w:rsidRPr="0046360F">
              <w:rPr>
                <w:spacing w:val="-8"/>
                <w:szCs w:val="20"/>
              </w:rPr>
              <w:t xml:space="preserve"> </w:t>
            </w:r>
            <w:r w:rsidRPr="0046360F">
              <w:rPr>
                <w:szCs w:val="20"/>
              </w:rPr>
              <w:t>(98.3%)</w:t>
            </w:r>
          </w:p>
        </w:tc>
        <w:tc>
          <w:tcPr>
            <w:tcW w:w="1582" w:type="dxa"/>
          </w:tcPr>
          <w:p w:rsidR="007B2364" w:rsidRPr="0046360F" w:rsidRDefault="007B2364" w:rsidP="00221DAD">
            <w:pPr>
              <w:pStyle w:val="TableText"/>
              <w:jc w:val="center"/>
              <w:rPr>
                <w:szCs w:val="20"/>
              </w:rPr>
            </w:pPr>
            <w:r w:rsidRPr="0046360F">
              <w:rPr>
                <w:szCs w:val="20"/>
              </w:rPr>
              <w:t>260</w:t>
            </w:r>
            <w:r w:rsidRPr="0046360F">
              <w:rPr>
                <w:spacing w:val="-8"/>
                <w:szCs w:val="20"/>
              </w:rPr>
              <w:t xml:space="preserve"> </w:t>
            </w:r>
            <w:r w:rsidRPr="0046360F">
              <w:rPr>
                <w:szCs w:val="20"/>
              </w:rPr>
              <w:t>(98.5%)</w:t>
            </w:r>
          </w:p>
        </w:tc>
        <w:tc>
          <w:tcPr>
            <w:tcW w:w="1582" w:type="dxa"/>
          </w:tcPr>
          <w:p w:rsidR="007B2364" w:rsidRPr="0046360F" w:rsidRDefault="007B2364" w:rsidP="00221DAD">
            <w:pPr>
              <w:pStyle w:val="TableText"/>
              <w:jc w:val="center"/>
              <w:rPr>
                <w:szCs w:val="20"/>
              </w:rPr>
            </w:pPr>
            <w:r w:rsidRPr="0046360F">
              <w:rPr>
                <w:szCs w:val="20"/>
              </w:rPr>
              <w:t>175</w:t>
            </w:r>
            <w:r w:rsidRPr="0046360F">
              <w:rPr>
                <w:spacing w:val="-8"/>
                <w:szCs w:val="20"/>
              </w:rPr>
              <w:t xml:space="preserve"> </w:t>
            </w:r>
            <w:r w:rsidRPr="0046360F">
              <w:rPr>
                <w:szCs w:val="20"/>
              </w:rPr>
              <w:t>(98.9%)</w:t>
            </w:r>
          </w:p>
        </w:tc>
      </w:tr>
      <w:tr w:rsidR="007B2364" w:rsidRPr="0046360F" w:rsidTr="00154BF0">
        <w:tc>
          <w:tcPr>
            <w:tcW w:w="2689" w:type="dxa"/>
            <w:vAlign w:val="center"/>
          </w:tcPr>
          <w:p w:rsidR="007B2364" w:rsidRPr="0046360F" w:rsidRDefault="007B2364" w:rsidP="00221DAD">
            <w:pPr>
              <w:pStyle w:val="TableText"/>
              <w:rPr>
                <w:szCs w:val="20"/>
              </w:rPr>
            </w:pPr>
            <w:r w:rsidRPr="0046360F">
              <w:rPr>
                <w:szCs w:val="20"/>
              </w:rPr>
              <w:t>Treatment related adverse events</w:t>
            </w:r>
          </w:p>
        </w:tc>
        <w:tc>
          <w:tcPr>
            <w:tcW w:w="1582" w:type="dxa"/>
          </w:tcPr>
          <w:p w:rsidR="007B2364" w:rsidRPr="0046360F" w:rsidRDefault="007B2364" w:rsidP="00221DAD">
            <w:pPr>
              <w:pStyle w:val="TableText"/>
              <w:jc w:val="center"/>
              <w:rPr>
                <w:szCs w:val="20"/>
              </w:rPr>
            </w:pPr>
            <w:r w:rsidRPr="0046360F">
              <w:rPr>
                <w:szCs w:val="20"/>
              </w:rPr>
              <w:t>34</w:t>
            </w:r>
            <w:r w:rsidRPr="0046360F">
              <w:rPr>
                <w:spacing w:val="-6"/>
                <w:szCs w:val="20"/>
              </w:rPr>
              <w:t xml:space="preserve"> </w:t>
            </w:r>
            <w:r w:rsidRPr="0046360F">
              <w:rPr>
                <w:szCs w:val="20"/>
              </w:rPr>
              <w:t>(38.6%)</w:t>
            </w:r>
          </w:p>
        </w:tc>
        <w:tc>
          <w:tcPr>
            <w:tcW w:w="1582" w:type="dxa"/>
          </w:tcPr>
          <w:p w:rsidR="007B2364" w:rsidRPr="0046360F" w:rsidRDefault="007B2364" w:rsidP="00221DAD">
            <w:pPr>
              <w:pStyle w:val="TableText"/>
              <w:jc w:val="center"/>
              <w:rPr>
                <w:szCs w:val="20"/>
              </w:rPr>
            </w:pPr>
            <w:r w:rsidRPr="0046360F">
              <w:rPr>
                <w:szCs w:val="20"/>
              </w:rPr>
              <w:t>79</w:t>
            </w:r>
            <w:r w:rsidRPr="0046360F">
              <w:rPr>
                <w:spacing w:val="-6"/>
                <w:szCs w:val="20"/>
              </w:rPr>
              <w:t xml:space="preserve"> </w:t>
            </w:r>
            <w:r w:rsidRPr="0046360F">
              <w:rPr>
                <w:szCs w:val="20"/>
              </w:rPr>
              <w:t>(44.9%)</w:t>
            </w:r>
          </w:p>
        </w:tc>
        <w:tc>
          <w:tcPr>
            <w:tcW w:w="1582" w:type="dxa"/>
          </w:tcPr>
          <w:p w:rsidR="007B2364" w:rsidRPr="0046360F" w:rsidRDefault="007B2364" w:rsidP="00221DAD">
            <w:pPr>
              <w:pStyle w:val="TableText"/>
              <w:jc w:val="center"/>
              <w:rPr>
                <w:szCs w:val="20"/>
              </w:rPr>
            </w:pPr>
            <w:r w:rsidRPr="0046360F">
              <w:rPr>
                <w:szCs w:val="20"/>
              </w:rPr>
              <w:t>113</w:t>
            </w:r>
            <w:r w:rsidRPr="0046360F">
              <w:rPr>
                <w:spacing w:val="-8"/>
                <w:szCs w:val="20"/>
              </w:rPr>
              <w:t xml:space="preserve"> </w:t>
            </w:r>
            <w:r w:rsidRPr="0046360F">
              <w:rPr>
                <w:szCs w:val="20"/>
              </w:rPr>
              <w:t>(42.8%)</w:t>
            </w:r>
          </w:p>
        </w:tc>
        <w:tc>
          <w:tcPr>
            <w:tcW w:w="1582" w:type="dxa"/>
          </w:tcPr>
          <w:p w:rsidR="007B2364" w:rsidRPr="0046360F" w:rsidRDefault="007B2364" w:rsidP="00221DAD">
            <w:pPr>
              <w:pStyle w:val="TableText"/>
              <w:jc w:val="center"/>
              <w:rPr>
                <w:szCs w:val="20"/>
              </w:rPr>
            </w:pPr>
            <w:r w:rsidRPr="0046360F">
              <w:rPr>
                <w:szCs w:val="20"/>
              </w:rPr>
              <w:t>90</w:t>
            </w:r>
            <w:r w:rsidRPr="0046360F">
              <w:rPr>
                <w:spacing w:val="-6"/>
                <w:szCs w:val="20"/>
              </w:rPr>
              <w:t xml:space="preserve"> </w:t>
            </w:r>
            <w:r w:rsidRPr="0046360F">
              <w:rPr>
                <w:szCs w:val="20"/>
              </w:rPr>
              <w:t>(50.8%)</w:t>
            </w:r>
          </w:p>
        </w:tc>
      </w:tr>
      <w:tr w:rsidR="007B2364" w:rsidRPr="0046360F" w:rsidTr="00154BF0">
        <w:tc>
          <w:tcPr>
            <w:tcW w:w="2689" w:type="dxa"/>
            <w:vAlign w:val="center"/>
          </w:tcPr>
          <w:p w:rsidR="007B2364" w:rsidRPr="0046360F" w:rsidRDefault="007B2364" w:rsidP="00221DAD">
            <w:pPr>
              <w:pStyle w:val="TableText"/>
              <w:rPr>
                <w:szCs w:val="20"/>
              </w:rPr>
            </w:pPr>
            <w:r w:rsidRPr="0046360F">
              <w:rPr>
                <w:szCs w:val="20"/>
              </w:rPr>
              <w:t>Serious adverse events (SAEs)</w:t>
            </w:r>
          </w:p>
        </w:tc>
        <w:tc>
          <w:tcPr>
            <w:tcW w:w="1582" w:type="dxa"/>
          </w:tcPr>
          <w:p w:rsidR="007B2364" w:rsidRPr="0046360F" w:rsidRDefault="007B2364" w:rsidP="00221DAD">
            <w:pPr>
              <w:pStyle w:val="TableText"/>
              <w:jc w:val="center"/>
              <w:rPr>
                <w:szCs w:val="20"/>
              </w:rPr>
            </w:pPr>
            <w:r w:rsidRPr="0046360F">
              <w:rPr>
                <w:szCs w:val="20"/>
              </w:rPr>
              <w:t>54</w:t>
            </w:r>
            <w:r w:rsidRPr="0046360F">
              <w:rPr>
                <w:spacing w:val="-6"/>
                <w:szCs w:val="20"/>
              </w:rPr>
              <w:t xml:space="preserve"> </w:t>
            </w:r>
            <w:r w:rsidRPr="0046360F">
              <w:rPr>
                <w:szCs w:val="20"/>
              </w:rPr>
              <w:t>(61.4%)</w:t>
            </w:r>
          </w:p>
        </w:tc>
        <w:tc>
          <w:tcPr>
            <w:tcW w:w="1582" w:type="dxa"/>
          </w:tcPr>
          <w:p w:rsidR="007B2364" w:rsidRPr="0046360F" w:rsidRDefault="007B2364" w:rsidP="00221DAD">
            <w:pPr>
              <w:pStyle w:val="TableText"/>
              <w:jc w:val="center"/>
              <w:rPr>
                <w:szCs w:val="20"/>
              </w:rPr>
            </w:pPr>
            <w:r w:rsidRPr="0046360F">
              <w:rPr>
                <w:szCs w:val="20"/>
              </w:rPr>
              <w:t>110</w:t>
            </w:r>
            <w:r w:rsidRPr="0046360F">
              <w:rPr>
                <w:spacing w:val="-8"/>
                <w:szCs w:val="20"/>
              </w:rPr>
              <w:t xml:space="preserve"> </w:t>
            </w:r>
            <w:r w:rsidRPr="0046360F">
              <w:rPr>
                <w:szCs w:val="20"/>
              </w:rPr>
              <w:t>(62.5%)</w:t>
            </w:r>
          </w:p>
        </w:tc>
        <w:tc>
          <w:tcPr>
            <w:tcW w:w="1582" w:type="dxa"/>
          </w:tcPr>
          <w:p w:rsidR="007B2364" w:rsidRPr="0046360F" w:rsidRDefault="007B2364" w:rsidP="00221DAD">
            <w:pPr>
              <w:pStyle w:val="TableText"/>
              <w:jc w:val="center"/>
              <w:rPr>
                <w:szCs w:val="20"/>
              </w:rPr>
            </w:pPr>
            <w:r w:rsidRPr="0046360F">
              <w:rPr>
                <w:szCs w:val="20"/>
              </w:rPr>
              <w:t>164</w:t>
            </w:r>
            <w:r w:rsidRPr="0046360F">
              <w:rPr>
                <w:spacing w:val="-8"/>
                <w:szCs w:val="20"/>
              </w:rPr>
              <w:t xml:space="preserve"> </w:t>
            </w:r>
            <w:r w:rsidRPr="0046360F">
              <w:rPr>
                <w:szCs w:val="20"/>
              </w:rPr>
              <w:t>(62.1%)</w:t>
            </w:r>
          </w:p>
        </w:tc>
        <w:tc>
          <w:tcPr>
            <w:tcW w:w="1582" w:type="dxa"/>
          </w:tcPr>
          <w:p w:rsidR="007B2364" w:rsidRPr="0046360F" w:rsidRDefault="007B2364" w:rsidP="00221DAD">
            <w:pPr>
              <w:pStyle w:val="TableText"/>
              <w:jc w:val="center"/>
              <w:rPr>
                <w:szCs w:val="20"/>
              </w:rPr>
            </w:pPr>
            <w:r w:rsidRPr="0046360F">
              <w:rPr>
                <w:szCs w:val="20"/>
              </w:rPr>
              <w:t>114</w:t>
            </w:r>
            <w:r w:rsidRPr="0046360F">
              <w:rPr>
                <w:spacing w:val="-8"/>
                <w:szCs w:val="20"/>
              </w:rPr>
              <w:t xml:space="preserve"> </w:t>
            </w:r>
            <w:r w:rsidRPr="0046360F">
              <w:rPr>
                <w:szCs w:val="20"/>
              </w:rPr>
              <w:t>(64.4%)</w:t>
            </w:r>
          </w:p>
        </w:tc>
      </w:tr>
      <w:tr w:rsidR="007B2364" w:rsidRPr="0046360F" w:rsidTr="00154BF0">
        <w:tc>
          <w:tcPr>
            <w:tcW w:w="2689" w:type="dxa"/>
            <w:vAlign w:val="center"/>
          </w:tcPr>
          <w:p w:rsidR="007B2364" w:rsidRPr="0046360F" w:rsidRDefault="007B2364" w:rsidP="00221DAD">
            <w:pPr>
              <w:pStyle w:val="TableText"/>
              <w:rPr>
                <w:szCs w:val="20"/>
              </w:rPr>
            </w:pPr>
            <w:r w:rsidRPr="0046360F">
              <w:rPr>
                <w:szCs w:val="20"/>
              </w:rPr>
              <w:t>Treatment related SAEs</w:t>
            </w:r>
          </w:p>
        </w:tc>
        <w:tc>
          <w:tcPr>
            <w:tcW w:w="1582" w:type="dxa"/>
            <w:vAlign w:val="center"/>
          </w:tcPr>
          <w:p w:rsidR="007B2364" w:rsidRPr="0046360F" w:rsidRDefault="007B2364" w:rsidP="00221DAD">
            <w:pPr>
              <w:pStyle w:val="TableText"/>
              <w:jc w:val="center"/>
              <w:rPr>
                <w:szCs w:val="20"/>
              </w:rPr>
            </w:pPr>
            <w:r w:rsidRPr="0046360F">
              <w:rPr>
                <w:szCs w:val="20"/>
              </w:rPr>
              <w:t>2</w:t>
            </w:r>
            <w:r w:rsidRPr="0046360F">
              <w:rPr>
                <w:spacing w:val="-5"/>
                <w:szCs w:val="20"/>
              </w:rPr>
              <w:t xml:space="preserve"> </w:t>
            </w:r>
            <w:r w:rsidRPr="0046360F">
              <w:rPr>
                <w:szCs w:val="20"/>
              </w:rPr>
              <w:t>(2.3%)</w:t>
            </w:r>
          </w:p>
        </w:tc>
        <w:tc>
          <w:tcPr>
            <w:tcW w:w="1582" w:type="dxa"/>
            <w:vAlign w:val="center"/>
          </w:tcPr>
          <w:p w:rsidR="007B2364" w:rsidRPr="0046360F" w:rsidRDefault="007B2364" w:rsidP="00221DAD">
            <w:pPr>
              <w:pStyle w:val="TableText"/>
              <w:jc w:val="center"/>
              <w:rPr>
                <w:szCs w:val="20"/>
              </w:rPr>
            </w:pPr>
            <w:r w:rsidRPr="0046360F">
              <w:rPr>
                <w:szCs w:val="20"/>
              </w:rPr>
              <w:t>3</w:t>
            </w:r>
            <w:r w:rsidRPr="0046360F">
              <w:rPr>
                <w:spacing w:val="-5"/>
                <w:szCs w:val="20"/>
              </w:rPr>
              <w:t xml:space="preserve"> </w:t>
            </w:r>
            <w:r w:rsidRPr="0046360F">
              <w:rPr>
                <w:szCs w:val="20"/>
              </w:rPr>
              <w:t>(1.7%)</w:t>
            </w:r>
          </w:p>
        </w:tc>
        <w:tc>
          <w:tcPr>
            <w:tcW w:w="1582" w:type="dxa"/>
            <w:vAlign w:val="center"/>
          </w:tcPr>
          <w:p w:rsidR="007B2364" w:rsidRPr="0046360F" w:rsidRDefault="007B2364" w:rsidP="00221DAD">
            <w:pPr>
              <w:pStyle w:val="TableText"/>
              <w:jc w:val="center"/>
              <w:rPr>
                <w:szCs w:val="20"/>
              </w:rPr>
            </w:pPr>
            <w:r w:rsidRPr="0046360F">
              <w:rPr>
                <w:szCs w:val="20"/>
              </w:rPr>
              <w:t>5</w:t>
            </w:r>
            <w:r w:rsidRPr="0046360F">
              <w:rPr>
                <w:spacing w:val="-5"/>
                <w:szCs w:val="20"/>
              </w:rPr>
              <w:t xml:space="preserve"> </w:t>
            </w:r>
            <w:r w:rsidRPr="0046360F">
              <w:rPr>
                <w:szCs w:val="20"/>
              </w:rPr>
              <w:t>(1.9%)</w:t>
            </w:r>
          </w:p>
        </w:tc>
        <w:tc>
          <w:tcPr>
            <w:tcW w:w="1582" w:type="dxa"/>
            <w:vAlign w:val="center"/>
          </w:tcPr>
          <w:p w:rsidR="007B2364" w:rsidRPr="0046360F" w:rsidRDefault="007B2364" w:rsidP="00221DAD">
            <w:pPr>
              <w:pStyle w:val="TableText"/>
              <w:jc w:val="center"/>
              <w:rPr>
                <w:szCs w:val="20"/>
              </w:rPr>
            </w:pPr>
            <w:r w:rsidRPr="0046360F">
              <w:rPr>
                <w:szCs w:val="20"/>
              </w:rPr>
              <w:t>4</w:t>
            </w:r>
            <w:r w:rsidRPr="0046360F">
              <w:rPr>
                <w:spacing w:val="-5"/>
                <w:szCs w:val="20"/>
              </w:rPr>
              <w:t xml:space="preserve"> </w:t>
            </w:r>
            <w:r w:rsidRPr="0046360F">
              <w:rPr>
                <w:szCs w:val="20"/>
              </w:rPr>
              <w:t>(2.3%)</w:t>
            </w:r>
          </w:p>
        </w:tc>
      </w:tr>
      <w:tr w:rsidR="007B2364" w:rsidRPr="0046360F" w:rsidTr="00154BF0">
        <w:tc>
          <w:tcPr>
            <w:tcW w:w="2689" w:type="dxa"/>
            <w:vAlign w:val="center"/>
          </w:tcPr>
          <w:p w:rsidR="007B2364" w:rsidRPr="0046360F" w:rsidRDefault="007B2364" w:rsidP="00221DAD">
            <w:pPr>
              <w:pStyle w:val="TableText"/>
              <w:rPr>
                <w:szCs w:val="20"/>
              </w:rPr>
            </w:pPr>
            <w:r w:rsidRPr="0046360F">
              <w:rPr>
                <w:szCs w:val="20"/>
              </w:rPr>
              <w:t>Discontinuations related to AEs</w:t>
            </w:r>
          </w:p>
        </w:tc>
        <w:tc>
          <w:tcPr>
            <w:tcW w:w="1582" w:type="dxa"/>
          </w:tcPr>
          <w:p w:rsidR="007B2364" w:rsidRPr="0046360F" w:rsidRDefault="007B2364" w:rsidP="00221DAD">
            <w:pPr>
              <w:pStyle w:val="TableText"/>
              <w:jc w:val="center"/>
              <w:rPr>
                <w:szCs w:val="20"/>
              </w:rPr>
            </w:pPr>
            <w:r w:rsidRPr="0046360F">
              <w:rPr>
                <w:szCs w:val="20"/>
              </w:rPr>
              <w:t>16</w:t>
            </w:r>
            <w:r w:rsidRPr="0046360F">
              <w:rPr>
                <w:spacing w:val="-6"/>
                <w:szCs w:val="20"/>
              </w:rPr>
              <w:t xml:space="preserve"> </w:t>
            </w:r>
            <w:r w:rsidRPr="0046360F">
              <w:rPr>
                <w:szCs w:val="20"/>
              </w:rPr>
              <w:t>(18.2%)</w:t>
            </w:r>
          </w:p>
        </w:tc>
        <w:tc>
          <w:tcPr>
            <w:tcW w:w="1582" w:type="dxa"/>
          </w:tcPr>
          <w:p w:rsidR="007B2364" w:rsidRPr="0046360F" w:rsidRDefault="007B2364" w:rsidP="00221DAD">
            <w:pPr>
              <w:pStyle w:val="TableText"/>
              <w:jc w:val="center"/>
              <w:rPr>
                <w:szCs w:val="20"/>
              </w:rPr>
            </w:pPr>
            <w:r w:rsidRPr="0046360F">
              <w:rPr>
                <w:szCs w:val="20"/>
              </w:rPr>
              <w:t>40</w:t>
            </w:r>
            <w:r w:rsidRPr="0046360F">
              <w:rPr>
                <w:spacing w:val="-6"/>
                <w:szCs w:val="20"/>
              </w:rPr>
              <w:t xml:space="preserve"> </w:t>
            </w:r>
            <w:r w:rsidRPr="0046360F">
              <w:rPr>
                <w:szCs w:val="20"/>
              </w:rPr>
              <w:t>(22.7%)</w:t>
            </w:r>
          </w:p>
        </w:tc>
        <w:tc>
          <w:tcPr>
            <w:tcW w:w="1582" w:type="dxa"/>
          </w:tcPr>
          <w:p w:rsidR="007B2364" w:rsidRPr="0046360F" w:rsidRDefault="007B2364" w:rsidP="00221DAD">
            <w:pPr>
              <w:pStyle w:val="TableText"/>
              <w:jc w:val="center"/>
              <w:rPr>
                <w:szCs w:val="20"/>
              </w:rPr>
            </w:pPr>
            <w:r w:rsidRPr="0046360F">
              <w:rPr>
                <w:szCs w:val="20"/>
              </w:rPr>
              <w:t>56</w:t>
            </w:r>
            <w:r w:rsidRPr="0046360F">
              <w:rPr>
                <w:spacing w:val="-6"/>
                <w:szCs w:val="20"/>
              </w:rPr>
              <w:t xml:space="preserve"> </w:t>
            </w:r>
            <w:r w:rsidRPr="0046360F">
              <w:rPr>
                <w:szCs w:val="20"/>
              </w:rPr>
              <w:t>(21.2%)</w:t>
            </w:r>
          </w:p>
        </w:tc>
        <w:tc>
          <w:tcPr>
            <w:tcW w:w="1582" w:type="dxa"/>
          </w:tcPr>
          <w:p w:rsidR="007B2364" w:rsidRPr="0046360F" w:rsidRDefault="007B2364" w:rsidP="00221DAD">
            <w:pPr>
              <w:pStyle w:val="TableText"/>
              <w:jc w:val="center"/>
              <w:rPr>
                <w:szCs w:val="20"/>
              </w:rPr>
            </w:pPr>
            <w:r w:rsidRPr="0046360F">
              <w:rPr>
                <w:szCs w:val="20"/>
              </w:rPr>
              <w:t>51</w:t>
            </w:r>
            <w:r w:rsidRPr="0046360F">
              <w:rPr>
                <w:spacing w:val="-6"/>
                <w:szCs w:val="20"/>
              </w:rPr>
              <w:t xml:space="preserve"> </w:t>
            </w:r>
            <w:r w:rsidRPr="0046360F">
              <w:rPr>
                <w:szCs w:val="20"/>
              </w:rPr>
              <w:t>(28.8%)</w:t>
            </w:r>
          </w:p>
        </w:tc>
      </w:tr>
      <w:tr w:rsidR="007B2364" w:rsidRPr="0046360F" w:rsidTr="00154BF0">
        <w:tc>
          <w:tcPr>
            <w:tcW w:w="2689" w:type="dxa"/>
          </w:tcPr>
          <w:p w:rsidR="007B2364" w:rsidRPr="0046360F" w:rsidRDefault="007B2364" w:rsidP="00221DAD">
            <w:pPr>
              <w:pStyle w:val="TableText"/>
              <w:tabs>
                <w:tab w:val="left" w:pos="165"/>
              </w:tabs>
              <w:rPr>
                <w:szCs w:val="20"/>
              </w:rPr>
            </w:pPr>
            <w:r w:rsidRPr="0046360F">
              <w:rPr>
                <w:rFonts w:eastAsia="Times New Roman"/>
                <w:color w:val="000000" w:themeColor="text1"/>
                <w:szCs w:val="20"/>
              </w:rPr>
              <w:t>Deaths during study period</w:t>
            </w:r>
          </w:p>
        </w:tc>
        <w:tc>
          <w:tcPr>
            <w:tcW w:w="1582" w:type="dxa"/>
          </w:tcPr>
          <w:p w:rsidR="007B2364" w:rsidRPr="0046360F" w:rsidRDefault="007B2364" w:rsidP="00221DAD">
            <w:pPr>
              <w:pStyle w:val="TableText"/>
              <w:jc w:val="center"/>
              <w:rPr>
                <w:szCs w:val="20"/>
              </w:rPr>
            </w:pPr>
            <w:r w:rsidRPr="0046360F">
              <w:rPr>
                <w:rFonts w:eastAsia="Times New Roman"/>
                <w:color w:val="000000" w:themeColor="text1"/>
                <w:szCs w:val="20"/>
              </w:rPr>
              <w:t>14 (15.9%)</w:t>
            </w:r>
          </w:p>
        </w:tc>
        <w:tc>
          <w:tcPr>
            <w:tcW w:w="1582" w:type="dxa"/>
          </w:tcPr>
          <w:p w:rsidR="007B2364" w:rsidRPr="0046360F" w:rsidRDefault="007B2364" w:rsidP="00221DAD">
            <w:pPr>
              <w:pStyle w:val="TableText"/>
              <w:jc w:val="center"/>
              <w:rPr>
                <w:szCs w:val="20"/>
              </w:rPr>
            </w:pPr>
            <w:r w:rsidRPr="0046360F">
              <w:rPr>
                <w:rFonts w:eastAsia="Times New Roman"/>
                <w:color w:val="000000" w:themeColor="text1"/>
                <w:szCs w:val="20"/>
              </w:rPr>
              <w:t>25 (14.2%)</w:t>
            </w:r>
          </w:p>
        </w:tc>
        <w:tc>
          <w:tcPr>
            <w:tcW w:w="1582" w:type="dxa"/>
          </w:tcPr>
          <w:p w:rsidR="007B2364" w:rsidRPr="0046360F" w:rsidRDefault="007B2364" w:rsidP="00221DAD">
            <w:pPr>
              <w:pStyle w:val="TableText"/>
              <w:jc w:val="center"/>
              <w:rPr>
                <w:szCs w:val="20"/>
              </w:rPr>
            </w:pPr>
            <w:r w:rsidRPr="0046360F">
              <w:rPr>
                <w:rFonts w:eastAsia="Times New Roman"/>
                <w:color w:val="000000" w:themeColor="text1"/>
                <w:szCs w:val="20"/>
              </w:rPr>
              <w:t>39 (14.8%)</w:t>
            </w:r>
          </w:p>
        </w:tc>
        <w:tc>
          <w:tcPr>
            <w:tcW w:w="1582" w:type="dxa"/>
          </w:tcPr>
          <w:p w:rsidR="007B2364" w:rsidRPr="0046360F" w:rsidRDefault="007B2364" w:rsidP="00221DAD">
            <w:pPr>
              <w:pStyle w:val="TableText"/>
              <w:jc w:val="center"/>
              <w:rPr>
                <w:szCs w:val="20"/>
              </w:rPr>
            </w:pPr>
            <w:r w:rsidRPr="0046360F">
              <w:rPr>
                <w:rFonts w:eastAsia="Times New Roman"/>
                <w:color w:val="000000" w:themeColor="text1"/>
                <w:szCs w:val="20"/>
              </w:rPr>
              <w:t>38 (21.5%)</w:t>
            </w:r>
          </w:p>
        </w:tc>
      </w:tr>
    </w:tbl>
    <w:p w:rsidR="007B2364" w:rsidRPr="0046360F" w:rsidRDefault="007B2364" w:rsidP="007B2364">
      <w:pPr>
        <w:pStyle w:val="TableFigureFooter"/>
      </w:pPr>
      <w:r w:rsidRPr="0046360F">
        <w:t xml:space="preserve">Source: Tables 2.5.1 and </w:t>
      </w:r>
      <w:r w:rsidR="004F380C" w:rsidRPr="0046360F">
        <w:t>2.5.2,</w:t>
      </w:r>
      <w:r w:rsidRPr="0046360F">
        <w:t xml:space="preserve"> pp.64-65 of the resubmission; Tables 2.5.8 and 2.5.9, </w:t>
      </w:r>
      <w:r w:rsidR="00075723" w:rsidRPr="0046360F">
        <w:t xml:space="preserve">pp. </w:t>
      </w:r>
      <w:r w:rsidRPr="0046360F">
        <w:t>58-59 of the July 2020 commentary.</w:t>
      </w:r>
    </w:p>
    <w:p w:rsidR="007B2364" w:rsidRPr="0046360F" w:rsidRDefault="007B2364" w:rsidP="007B2364">
      <w:pPr>
        <w:pStyle w:val="TableFigureFooter"/>
      </w:pPr>
      <w:r w:rsidRPr="0046360F">
        <w:t>Abbreviations: AEs, adverse events; SAEs serious adverse events.</w:t>
      </w:r>
    </w:p>
    <w:p w:rsidR="007B2364" w:rsidRPr="0046360F" w:rsidRDefault="007B2364" w:rsidP="007B2364">
      <w:pPr>
        <w:pStyle w:val="TableFigureFooter"/>
      </w:pPr>
      <w:r w:rsidRPr="0046360F">
        <w:rPr>
          <w:vertAlign w:val="superscript"/>
        </w:rPr>
        <w:t>a</w:t>
      </w:r>
      <w:r w:rsidRPr="0046360F">
        <w:t xml:space="preserve"> Median duration of follow-up in the ATTR-ACT trial was not reported in the submission or Clinical Study Report.</w:t>
      </w:r>
    </w:p>
    <w:p w:rsidR="006A40DD" w:rsidRPr="0046360F" w:rsidRDefault="00A25D8F" w:rsidP="006A40DD">
      <w:pPr>
        <w:pStyle w:val="ExecSumBodyText"/>
        <w:numPr>
          <w:ilvl w:val="1"/>
          <w:numId w:val="1"/>
        </w:numPr>
      </w:pPr>
      <w:r w:rsidRPr="0046360F">
        <w:t>The proportions of patients reporting events was similar between the tafamidis and placebo treatment arms. Smaller proportions of patients reported treatment related adverse events in the tafamidis 20 mg treatment arm (38.6%) compared to tafamidis 80 mg (44.9%) and placebo (50.8%). Larger proportions of patients receiving placebo (28.8%) reported adverse events resulting in discontinuation compared to tafamidis (18.2-22.7%). Death due to unknown causes or unrelated to ATTR-CM were similar between treatment arms.</w:t>
      </w:r>
    </w:p>
    <w:p w:rsidR="0059605A" w:rsidRPr="0046360F" w:rsidRDefault="0059605A" w:rsidP="006A40DD">
      <w:pPr>
        <w:pStyle w:val="ExecSumBodyText"/>
        <w:numPr>
          <w:ilvl w:val="1"/>
          <w:numId w:val="1"/>
        </w:numPr>
      </w:pPr>
      <w:r w:rsidRPr="0046360F">
        <w:t xml:space="preserve">The most common treatment related adverse events reported in the tafamidis 80 mg or placebo treatment arms were gastrointestinal disorders (diarrhoea and nausea), infections and infestations, and urinary tract infections. The most commonly reported treatment emergent adverse events reported by patients treated with tafamidis 20 mg and tafamidis 80 mg were cardiac failure (34.1%; 26.1%), falls (30.7%; 24.4%), atrial fibrillation (18.2%; 19.9%), dyspnoea (23.9%; 16.5%), peripheral oedema (19.3%; 17.0%), fatigue (18.2%; 16.5%), and pain in extremity (6.8%; 15.3%). </w:t>
      </w:r>
    </w:p>
    <w:p w:rsidR="000F49C8" w:rsidRPr="0046360F" w:rsidRDefault="00A25D8F" w:rsidP="000F49C8">
      <w:pPr>
        <w:pStyle w:val="ExecSumBodyText"/>
        <w:numPr>
          <w:ilvl w:val="1"/>
          <w:numId w:val="1"/>
        </w:numPr>
      </w:pPr>
      <w:r w:rsidRPr="0046360F">
        <w:t>No new important identified or potential safety risks were identified in the most recent tafamidis periodic safety update report (PSUR) for the period 16</w:t>
      </w:r>
      <w:r w:rsidR="00075723" w:rsidRPr="0046360F">
        <w:t> </w:t>
      </w:r>
      <w:r w:rsidRPr="0046360F">
        <w:t>May</w:t>
      </w:r>
      <w:r w:rsidR="00075723" w:rsidRPr="0046360F">
        <w:t> </w:t>
      </w:r>
      <w:r w:rsidRPr="0046360F">
        <w:t>2019 to 15 May 2020, and no new safety risks</w:t>
      </w:r>
      <w:r w:rsidR="00075723" w:rsidRPr="0046360F">
        <w:t xml:space="preserve"> were</w:t>
      </w:r>
      <w:r w:rsidRPr="0046360F">
        <w:t xml:space="preserve"> identified in ongoing longer-term safety studies. Interim results of pre-specified safety outcomes for treatment emergent adverse events in the B3461045 long-term extension study were not reported.</w:t>
      </w:r>
      <w:bookmarkStart w:id="28" w:name="_Toc61271169"/>
    </w:p>
    <w:p w:rsidR="00A25D8F" w:rsidRPr="0046360F" w:rsidRDefault="00A25D8F" w:rsidP="00EF7436">
      <w:pPr>
        <w:pStyle w:val="3-SubsectionHeading"/>
      </w:pPr>
      <w:bookmarkStart w:id="29" w:name="_Toc62050864"/>
      <w:r w:rsidRPr="0046360F">
        <w:t>Benefits/harms</w:t>
      </w:r>
      <w:bookmarkEnd w:id="28"/>
      <w:bookmarkEnd w:id="29"/>
    </w:p>
    <w:p w:rsidR="00A25D8F" w:rsidRPr="0046360F" w:rsidRDefault="00A25D8F" w:rsidP="00A25D8F">
      <w:pPr>
        <w:pStyle w:val="ExecSumBodyText"/>
        <w:numPr>
          <w:ilvl w:val="1"/>
          <w:numId w:val="1"/>
        </w:numPr>
      </w:pPr>
      <w:r w:rsidRPr="0046360F">
        <w:t xml:space="preserve">Benefits and harms based on the results of the direct ATTR-ACT trial </w:t>
      </w:r>
      <w:r w:rsidR="00075723" w:rsidRPr="0046360F">
        <w:t xml:space="preserve">were </w:t>
      </w:r>
      <w:r w:rsidRPr="0046360F">
        <w:t>unchanged from the July 2020 submission.</w:t>
      </w:r>
      <w:r w:rsidR="00FD3CDD" w:rsidRPr="0046360F">
        <w:t xml:space="preserve"> Insufficient information was </w:t>
      </w:r>
      <w:r w:rsidR="003E1877" w:rsidRPr="0046360F">
        <w:t>available to assess benefits and harms in the subgroup of patients with NYHA class I/II at baseline.</w:t>
      </w:r>
    </w:p>
    <w:p w:rsidR="00A25D8F" w:rsidRPr="0046360F" w:rsidRDefault="00A25D8F" w:rsidP="00A25D8F">
      <w:pPr>
        <w:pStyle w:val="ExecSumBodyText"/>
        <w:numPr>
          <w:ilvl w:val="1"/>
          <w:numId w:val="1"/>
        </w:numPr>
      </w:pPr>
      <w:bookmarkStart w:id="30" w:name="_Toc61271170"/>
      <w:r w:rsidRPr="0046360F">
        <w:t>On the basis of direct comparison evidence presented in the submission, for every 100 patients treated for 30 months with tafamidis meglumine 80 mg in combination with standard treatment, in comparison with standard treatment alone:</w:t>
      </w:r>
    </w:p>
    <w:p w:rsidR="00A25D8F" w:rsidRPr="0046360F" w:rsidRDefault="00A25D8F" w:rsidP="001F43FC">
      <w:pPr>
        <w:pStyle w:val="Bulletpoints"/>
        <w:numPr>
          <w:ilvl w:val="0"/>
          <w:numId w:val="7"/>
        </w:numPr>
        <w:ind w:left="1077" w:hanging="357"/>
      </w:pPr>
      <w:r w:rsidRPr="0046360F">
        <w:t>Approximately 12 fewer patients will experience an all-cause mortality event.</w:t>
      </w:r>
    </w:p>
    <w:p w:rsidR="00A25D8F" w:rsidRPr="0046360F" w:rsidRDefault="00A25D8F" w:rsidP="001F43FC">
      <w:pPr>
        <w:pStyle w:val="Bulletpoints"/>
        <w:numPr>
          <w:ilvl w:val="0"/>
          <w:numId w:val="7"/>
        </w:numPr>
        <w:ind w:left="1077" w:hanging="357"/>
      </w:pPr>
      <w:r w:rsidRPr="0046360F">
        <w:t xml:space="preserve">Approximately 10 fewer patients will experience a </w:t>
      </w:r>
      <w:r w:rsidR="0026392E" w:rsidRPr="0046360F">
        <w:t xml:space="preserve">CV </w:t>
      </w:r>
      <w:r w:rsidRPr="0046360F">
        <w:t>mortality event.</w:t>
      </w:r>
    </w:p>
    <w:p w:rsidR="00A25D8F" w:rsidRPr="0046360F" w:rsidRDefault="00A25D8F" w:rsidP="001F43FC">
      <w:pPr>
        <w:pStyle w:val="Bulletpoints"/>
        <w:numPr>
          <w:ilvl w:val="0"/>
          <w:numId w:val="7"/>
        </w:numPr>
        <w:ind w:left="1077" w:hanging="357"/>
      </w:pPr>
      <w:r w:rsidRPr="0046360F">
        <w:t xml:space="preserve">Approximately 6 fewer patients will experience </w:t>
      </w:r>
      <w:r w:rsidR="0026392E" w:rsidRPr="0046360F">
        <w:t>CV</w:t>
      </w:r>
      <w:r w:rsidR="00B33F8B" w:rsidRPr="0046360F">
        <w:t>-</w:t>
      </w:r>
      <w:r w:rsidRPr="0046360F">
        <w:t>related hospitalisation.</w:t>
      </w:r>
    </w:p>
    <w:p w:rsidR="00A25D8F" w:rsidRPr="0046360F" w:rsidRDefault="00A25D8F" w:rsidP="001F43FC">
      <w:pPr>
        <w:pStyle w:val="Bulletpoints"/>
        <w:numPr>
          <w:ilvl w:val="0"/>
          <w:numId w:val="7"/>
        </w:numPr>
        <w:ind w:left="1077" w:hanging="357"/>
      </w:pPr>
      <w:r w:rsidRPr="0046360F">
        <w:t>Approximately 6 fewer patients will experience a treatment related adverse event.</w:t>
      </w:r>
    </w:p>
    <w:p w:rsidR="005F144E" w:rsidRPr="0046360F" w:rsidRDefault="00A25D8F" w:rsidP="001F43FC">
      <w:pPr>
        <w:pStyle w:val="Bulletpoints"/>
        <w:numPr>
          <w:ilvl w:val="0"/>
          <w:numId w:val="7"/>
        </w:numPr>
        <w:ind w:left="1077" w:hanging="357"/>
      </w:pPr>
      <w:r w:rsidRPr="0046360F">
        <w:t>Approximately 2 fewer patients will experience a serious adverse event.</w:t>
      </w:r>
    </w:p>
    <w:p w:rsidR="00A25D8F" w:rsidRPr="0046360F" w:rsidRDefault="00A25D8F" w:rsidP="00AE1E9A">
      <w:pPr>
        <w:pStyle w:val="3-SubsectionHeading"/>
      </w:pPr>
      <w:bookmarkStart w:id="31" w:name="_Toc62050865"/>
      <w:r w:rsidRPr="0046360F">
        <w:t>Clinical claim</w:t>
      </w:r>
      <w:bookmarkEnd w:id="30"/>
      <w:bookmarkEnd w:id="31"/>
    </w:p>
    <w:p w:rsidR="00A25D8F" w:rsidRPr="0046360F" w:rsidRDefault="00A25D8F" w:rsidP="00123908">
      <w:pPr>
        <w:pStyle w:val="ExecSumBodyText"/>
      </w:pPr>
      <w:bookmarkStart w:id="32" w:name="_Ref64628133"/>
      <w:r w:rsidRPr="0046360F">
        <w:t xml:space="preserve">The resubmission described tafamidis 61 mg </w:t>
      </w:r>
      <w:r w:rsidR="00123908" w:rsidRPr="0046360F">
        <w:t>(equivalent to tafamidis meglumine 80</w:t>
      </w:r>
      <w:r w:rsidR="00CE5727" w:rsidRPr="0046360F">
        <w:t> </w:t>
      </w:r>
      <w:r w:rsidR="00123908" w:rsidRPr="0046360F">
        <w:t xml:space="preserve">mg), </w:t>
      </w:r>
      <w:r w:rsidRPr="0046360F">
        <w:t>as superior in terms of effectiveness and inferior in terms of safety, compared to standard management alone.</w:t>
      </w:r>
      <w:bookmarkEnd w:id="32"/>
    </w:p>
    <w:p w:rsidR="00CE5727" w:rsidRPr="0046360F" w:rsidRDefault="00A25D8F" w:rsidP="00A25D8F">
      <w:pPr>
        <w:pStyle w:val="ExecSumBodyText"/>
        <w:numPr>
          <w:ilvl w:val="1"/>
          <w:numId w:val="1"/>
        </w:numPr>
      </w:pPr>
      <w:r w:rsidRPr="0046360F">
        <w:t xml:space="preserve">The </w:t>
      </w:r>
      <w:r w:rsidR="00CE5727" w:rsidRPr="0046360F">
        <w:t xml:space="preserve">PBAC considered that the </w:t>
      </w:r>
      <w:r w:rsidRPr="0046360F">
        <w:t xml:space="preserve">claim </w:t>
      </w:r>
      <w:r w:rsidR="00CE5727" w:rsidRPr="0046360F">
        <w:t>was</w:t>
      </w:r>
      <w:r w:rsidRPr="0046360F">
        <w:t xml:space="preserve"> reasonable in terms of efficacy, however, </w:t>
      </w:r>
      <w:r w:rsidR="00CE5727" w:rsidRPr="0046360F">
        <w:t>a moderate level of uncertainty remained with respect to the magnitude of the benefit.</w:t>
      </w:r>
    </w:p>
    <w:p w:rsidR="00BC3183" w:rsidRPr="0046360F" w:rsidRDefault="00BC3183" w:rsidP="00BC3183">
      <w:pPr>
        <w:pStyle w:val="ExecSumBodyText"/>
      </w:pPr>
      <w:r w:rsidRPr="0046360F">
        <w:t>The PBAC considered that the claim of inferior comparative safety was reasonable.</w:t>
      </w:r>
    </w:p>
    <w:p w:rsidR="00CD7B6C" w:rsidRPr="0046360F" w:rsidRDefault="00CD7B6C" w:rsidP="00CD7B6C">
      <w:pPr>
        <w:pStyle w:val="ExecSumBodyText"/>
        <w:numPr>
          <w:ilvl w:val="0"/>
          <w:numId w:val="0"/>
        </w:numPr>
        <w:rPr>
          <w:i/>
        </w:rPr>
      </w:pPr>
      <w:r w:rsidRPr="0046360F">
        <w:rPr>
          <w:i/>
        </w:rPr>
        <w:t>For more detail on PBAC’s view, see section 7 PBAC outcome</w:t>
      </w:r>
    </w:p>
    <w:p w:rsidR="00241B8E" w:rsidRPr="0046360F" w:rsidRDefault="00241B8E" w:rsidP="00241B8E">
      <w:pPr>
        <w:pStyle w:val="3-SubsectionHeading"/>
      </w:pPr>
      <w:bookmarkStart w:id="33" w:name="_Toc62050866"/>
      <w:bookmarkStart w:id="34" w:name="_Toc22897645"/>
      <w:r w:rsidRPr="0046360F">
        <w:t>Economic analysis</w:t>
      </w:r>
      <w:bookmarkEnd w:id="33"/>
      <w:r w:rsidRPr="0046360F">
        <w:t xml:space="preserve"> </w:t>
      </w:r>
    </w:p>
    <w:p w:rsidR="00241B8E" w:rsidRPr="0046360F" w:rsidRDefault="00241B8E" w:rsidP="00241B8E">
      <w:pPr>
        <w:pStyle w:val="ExecSumBodyText"/>
        <w:numPr>
          <w:ilvl w:val="1"/>
          <w:numId w:val="1"/>
        </w:numPr>
        <w:rPr>
          <w:b/>
          <w:bCs/>
        </w:rPr>
      </w:pPr>
      <w:r w:rsidRPr="0046360F">
        <w:t xml:space="preserve">The resubmission presented a modelled economic evaluation of tafamidis compared to best supportive care for the treatment of patients with ATTR-CM. The economic evaluation was based on the ATTR-ACT trial with additional modelled data. The economic evaluation was presented as a cost-effectiveness/cost-utility analysis. </w:t>
      </w:r>
    </w:p>
    <w:p w:rsidR="00241B8E" w:rsidRPr="0046360F" w:rsidRDefault="00241B8E" w:rsidP="00CC7D48">
      <w:pPr>
        <w:pStyle w:val="Caption"/>
      </w:pPr>
      <w:r w:rsidRPr="0046360F">
        <w:t xml:space="preserve">Table </w:t>
      </w:r>
      <w:r w:rsidR="00C170ED">
        <w:rPr>
          <w:noProof/>
        </w:rPr>
        <w:t>10</w:t>
      </w:r>
      <w:r w:rsidRPr="0046360F">
        <w:t>: Summary of model structure, key inputs and rationale for the current model and July 2020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29"/>
        <w:gridCol w:w="3688"/>
        <w:gridCol w:w="4200"/>
      </w:tblGrid>
      <w:tr w:rsidR="00241B8E" w:rsidRPr="0046360F" w:rsidTr="00221DAD">
        <w:trPr>
          <w:tblHeader/>
        </w:trPr>
        <w:tc>
          <w:tcPr>
            <w:tcW w:w="626" w:type="pct"/>
            <w:shd w:val="clear" w:color="auto" w:fill="auto"/>
            <w:vAlign w:val="center"/>
          </w:tcPr>
          <w:p w:rsidR="00241B8E" w:rsidRPr="0046360F" w:rsidRDefault="00241B8E" w:rsidP="00221DAD">
            <w:pPr>
              <w:pStyle w:val="Tableheadingrow"/>
              <w:keepNext w:val="0"/>
              <w:widowControl w:val="0"/>
              <w:rPr>
                <w:lang w:val="en-AU"/>
              </w:rPr>
            </w:pPr>
            <w:r w:rsidRPr="0046360F">
              <w:rPr>
                <w:lang w:val="en-AU"/>
              </w:rPr>
              <w:t>Component</w:t>
            </w:r>
          </w:p>
        </w:tc>
        <w:tc>
          <w:tcPr>
            <w:tcW w:w="2045" w:type="pct"/>
          </w:tcPr>
          <w:p w:rsidR="00241B8E" w:rsidRPr="0046360F" w:rsidRDefault="00241B8E" w:rsidP="00221DAD">
            <w:pPr>
              <w:pStyle w:val="Tableheadingrow"/>
              <w:keepNext w:val="0"/>
              <w:widowControl w:val="0"/>
              <w:jc w:val="center"/>
              <w:rPr>
                <w:lang w:val="en-AU"/>
              </w:rPr>
            </w:pPr>
            <w:r w:rsidRPr="0046360F">
              <w:rPr>
                <w:lang w:val="en-AU"/>
              </w:rPr>
              <w:t>July 2020 model</w:t>
            </w:r>
          </w:p>
        </w:tc>
        <w:tc>
          <w:tcPr>
            <w:tcW w:w="2329" w:type="pct"/>
            <w:shd w:val="clear" w:color="auto" w:fill="auto"/>
            <w:vAlign w:val="center"/>
          </w:tcPr>
          <w:p w:rsidR="00241B8E" w:rsidRPr="0046360F" w:rsidRDefault="00241B8E" w:rsidP="00221DAD">
            <w:pPr>
              <w:pStyle w:val="Tableheadingrow"/>
              <w:keepNext w:val="0"/>
              <w:widowControl w:val="0"/>
              <w:jc w:val="center"/>
              <w:rPr>
                <w:lang w:val="en-AU"/>
              </w:rPr>
            </w:pPr>
            <w:r w:rsidRPr="0046360F">
              <w:rPr>
                <w:lang w:val="en-AU"/>
              </w:rPr>
              <w:t>Current model</w:t>
            </w:r>
          </w:p>
        </w:tc>
      </w:tr>
      <w:tr w:rsidR="00241B8E" w:rsidRPr="0046360F" w:rsidTr="00221DAD">
        <w:tc>
          <w:tcPr>
            <w:tcW w:w="626" w:type="pct"/>
            <w:shd w:val="clear" w:color="auto" w:fill="auto"/>
            <w:vAlign w:val="center"/>
          </w:tcPr>
          <w:p w:rsidR="00241B8E" w:rsidRPr="0046360F" w:rsidRDefault="00241B8E" w:rsidP="00221DAD">
            <w:pPr>
              <w:pStyle w:val="TableText"/>
              <w:keepNext w:val="0"/>
              <w:widowControl w:val="0"/>
            </w:pPr>
            <w:r w:rsidRPr="0046360F">
              <w:t>Treatments</w:t>
            </w:r>
          </w:p>
        </w:tc>
        <w:tc>
          <w:tcPr>
            <w:tcW w:w="2045" w:type="pct"/>
            <w:vAlign w:val="center"/>
          </w:tcPr>
          <w:p w:rsidR="00241B8E" w:rsidRPr="0046360F" w:rsidRDefault="00241B8E" w:rsidP="00221DAD">
            <w:pPr>
              <w:pStyle w:val="TableText"/>
              <w:keepNext w:val="0"/>
              <w:widowControl w:val="0"/>
            </w:pPr>
            <w:r w:rsidRPr="0046360F">
              <w:t>Tafamidis versus best supportive care</w:t>
            </w:r>
          </w:p>
        </w:tc>
        <w:tc>
          <w:tcPr>
            <w:tcW w:w="2329" w:type="pct"/>
            <w:shd w:val="clear" w:color="auto" w:fill="auto"/>
            <w:vAlign w:val="center"/>
          </w:tcPr>
          <w:p w:rsidR="00241B8E" w:rsidRPr="0046360F" w:rsidRDefault="00241B8E" w:rsidP="00221DAD">
            <w:pPr>
              <w:pStyle w:val="TableText"/>
              <w:keepNext w:val="0"/>
              <w:widowControl w:val="0"/>
            </w:pPr>
            <w:r w:rsidRPr="0046360F">
              <w:t>Tafamidis versus best supportive care</w:t>
            </w:r>
          </w:p>
        </w:tc>
      </w:tr>
      <w:tr w:rsidR="00241B8E" w:rsidRPr="0046360F" w:rsidTr="00221DAD">
        <w:tc>
          <w:tcPr>
            <w:tcW w:w="626" w:type="pct"/>
            <w:shd w:val="clear" w:color="auto" w:fill="auto"/>
            <w:vAlign w:val="center"/>
          </w:tcPr>
          <w:p w:rsidR="00241B8E" w:rsidRPr="0046360F" w:rsidRDefault="00241B8E" w:rsidP="00221DAD">
            <w:pPr>
              <w:pStyle w:val="TableText"/>
              <w:keepNext w:val="0"/>
              <w:widowControl w:val="0"/>
            </w:pPr>
            <w:r w:rsidRPr="0046360F">
              <w:t>Time horizon</w:t>
            </w:r>
          </w:p>
        </w:tc>
        <w:tc>
          <w:tcPr>
            <w:tcW w:w="2045" w:type="pct"/>
          </w:tcPr>
          <w:p w:rsidR="00241B8E" w:rsidRPr="0046360F" w:rsidRDefault="00241B8E" w:rsidP="00221DAD">
            <w:pPr>
              <w:pStyle w:val="TableText"/>
              <w:keepNext w:val="0"/>
              <w:widowControl w:val="0"/>
            </w:pPr>
            <w:r w:rsidRPr="0046360F">
              <w:t>20 years in the model base case versus 2.5 years in the ATTR-ACT trial</w:t>
            </w:r>
          </w:p>
          <w:p w:rsidR="00241B8E" w:rsidRPr="0046360F" w:rsidRDefault="00241B8E" w:rsidP="00B33F8B">
            <w:pPr>
              <w:pStyle w:val="TableText"/>
              <w:keepNext w:val="0"/>
              <w:widowControl w:val="0"/>
            </w:pPr>
            <w:r w:rsidRPr="0046360F">
              <w:t xml:space="preserve">51% of incremental costs and 93.9% of incremental QALYs </w:t>
            </w:r>
            <w:r w:rsidR="00B33F8B" w:rsidRPr="0046360F">
              <w:t xml:space="preserve">were </w:t>
            </w:r>
            <w:r w:rsidRPr="0046360F">
              <w:t>generated in the extrapolated period.</w:t>
            </w:r>
          </w:p>
        </w:tc>
        <w:tc>
          <w:tcPr>
            <w:tcW w:w="2329" w:type="pct"/>
            <w:shd w:val="clear" w:color="auto" w:fill="auto"/>
            <w:vAlign w:val="center"/>
          </w:tcPr>
          <w:p w:rsidR="00241B8E" w:rsidRPr="0046360F" w:rsidRDefault="00241B8E" w:rsidP="00221DAD">
            <w:pPr>
              <w:pStyle w:val="TableText"/>
              <w:keepNext w:val="0"/>
              <w:widowControl w:val="0"/>
            </w:pPr>
            <w:r w:rsidRPr="0046360F">
              <w:t>20 years in the model base case versus 2.5 years in the ATTR-ACT trial.</w:t>
            </w:r>
          </w:p>
          <w:p w:rsidR="00241B8E" w:rsidRPr="0046360F" w:rsidRDefault="00241B8E" w:rsidP="00B33F8B">
            <w:pPr>
              <w:pStyle w:val="TableText"/>
              <w:keepNext w:val="0"/>
              <w:widowControl w:val="0"/>
            </w:pPr>
            <w:r w:rsidRPr="0046360F">
              <w:t xml:space="preserve">59.6% of incremental costs and 91.5% of incremental QALYs </w:t>
            </w:r>
            <w:r w:rsidR="00B33F8B" w:rsidRPr="0046360F">
              <w:t xml:space="preserve">were </w:t>
            </w:r>
            <w:r w:rsidRPr="0046360F">
              <w:t>generated in the extrapolated period.</w:t>
            </w:r>
          </w:p>
        </w:tc>
      </w:tr>
      <w:tr w:rsidR="00241B8E" w:rsidRPr="0046360F" w:rsidTr="00221DAD">
        <w:tc>
          <w:tcPr>
            <w:tcW w:w="626" w:type="pct"/>
            <w:shd w:val="clear" w:color="auto" w:fill="auto"/>
            <w:vAlign w:val="center"/>
          </w:tcPr>
          <w:p w:rsidR="00241B8E" w:rsidRPr="0046360F" w:rsidRDefault="00241B8E" w:rsidP="00221DAD">
            <w:pPr>
              <w:pStyle w:val="TableText"/>
              <w:keepNext w:val="0"/>
              <w:widowControl w:val="0"/>
            </w:pPr>
            <w:r w:rsidRPr="0046360F">
              <w:t>Outcomes</w:t>
            </w:r>
          </w:p>
        </w:tc>
        <w:tc>
          <w:tcPr>
            <w:tcW w:w="2045" w:type="pct"/>
          </w:tcPr>
          <w:p w:rsidR="00241B8E" w:rsidRPr="0046360F" w:rsidRDefault="00241B8E" w:rsidP="00221DAD">
            <w:pPr>
              <w:pStyle w:val="TableText"/>
              <w:keepNext w:val="0"/>
              <w:widowControl w:val="0"/>
            </w:pPr>
            <w:r w:rsidRPr="0046360F">
              <w:t>Life years; quality adjusted life years</w:t>
            </w:r>
          </w:p>
        </w:tc>
        <w:tc>
          <w:tcPr>
            <w:tcW w:w="2329" w:type="pct"/>
            <w:shd w:val="clear" w:color="auto" w:fill="auto"/>
          </w:tcPr>
          <w:p w:rsidR="00241B8E" w:rsidRPr="0046360F" w:rsidRDefault="00241B8E" w:rsidP="00221DAD">
            <w:pPr>
              <w:pStyle w:val="TableText"/>
              <w:keepNext w:val="0"/>
              <w:widowControl w:val="0"/>
            </w:pPr>
            <w:r w:rsidRPr="0046360F">
              <w:t>Life years; quality adjusted life years</w:t>
            </w:r>
          </w:p>
        </w:tc>
      </w:tr>
      <w:tr w:rsidR="00241B8E" w:rsidRPr="0046360F" w:rsidTr="00221DAD">
        <w:tc>
          <w:tcPr>
            <w:tcW w:w="626" w:type="pct"/>
            <w:shd w:val="clear" w:color="auto" w:fill="auto"/>
            <w:vAlign w:val="center"/>
          </w:tcPr>
          <w:p w:rsidR="00241B8E" w:rsidRPr="0046360F" w:rsidRDefault="00241B8E" w:rsidP="00221DAD">
            <w:pPr>
              <w:pStyle w:val="TableText"/>
              <w:keepNext w:val="0"/>
              <w:widowControl w:val="0"/>
            </w:pPr>
            <w:r w:rsidRPr="0046360F">
              <w:t>Methods used to generate results</w:t>
            </w:r>
          </w:p>
        </w:tc>
        <w:tc>
          <w:tcPr>
            <w:tcW w:w="2045" w:type="pct"/>
          </w:tcPr>
          <w:p w:rsidR="00241B8E" w:rsidRPr="0046360F" w:rsidRDefault="00241B8E" w:rsidP="00221DAD">
            <w:pPr>
              <w:pStyle w:val="TableText"/>
              <w:keepNext w:val="0"/>
              <w:widowControl w:val="0"/>
            </w:pPr>
            <w:r w:rsidRPr="0046360F">
              <w:t>Markov state transition model</w:t>
            </w:r>
          </w:p>
        </w:tc>
        <w:tc>
          <w:tcPr>
            <w:tcW w:w="2329" w:type="pct"/>
            <w:shd w:val="clear" w:color="auto" w:fill="auto"/>
          </w:tcPr>
          <w:p w:rsidR="00241B8E" w:rsidRPr="0046360F" w:rsidRDefault="00241B8E" w:rsidP="00221DAD">
            <w:pPr>
              <w:pStyle w:val="TableText"/>
              <w:keepNext w:val="0"/>
              <w:widowControl w:val="0"/>
            </w:pPr>
            <w:r w:rsidRPr="0046360F">
              <w:t>Markov state transition model</w:t>
            </w:r>
          </w:p>
        </w:tc>
      </w:tr>
      <w:tr w:rsidR="00241B8E" w:rsidRPr="0046360F" w:rsidTr="00221DAD">
        <w:tc>
          <w:tcPr>
            <w:tcW w:w="626" w:type="pct"/>
            <w:shd w:val="clear" w:color="auto" w:fill="auto"/>
            <w:vAlign w:val="center"/>
          </w:tcPr>
          <w:p w:rsidR="00241B8E" w:rsidRPr="0046360F" w:rsidRDefault="00241B8E" w:rsidP="00221DAD">
            <w:pPr>
              <w:pStyle w:val="TableText"/>
              <w:keepNext w:val="0"/>
              <w:widowControl w:val="0"/>
            </w:pPr>
            <w:r w:rsidRPr="0046360F">
              <w:t>Health states</w:t>
            </w:r>
          </w:p>
        </w:tc>
        <w:tc>
          <w:tcPr>
            <w:tcW w:w="2045" w:type="pct"/>
          </w:tcPr>
          <w:p w:rsidR="00241B8E" w:rsidRPr="0046360F" w:rsidRDefault="00241B8E" w:rsidP="00221DAD">
            <w:pPr>
              <w:pStyle w:val="TableText"/>
              <w:keepNext w:val="0"/>
              <w:widowControl w:val="0"/>
            </w:pPr>
            <w:r w:rsidRPr="0046360F">
              <w:t>- Alive</w:t>
            </w:r>
          </w:p>
          <w:p w:rsidR="00241B8E" w:rsidRPr="0046360F" w:rsidRDefault="00241B8E" w:rsidP="00221DAD">
            <w:pPr>
              <w:pStyle w:val="TableText"/>
              <w:keepNext w:val="0"/>
              <w:widowControl w:val="0"/>
            </w:pPr>
            <w:r w:rsidRPr="0046360F">
              <w:t>- Dead</w:t>
            </w:r>
          </w:p>
        </w:tc>
        <w:tc>
          <w:tcPr>
            <w:tcW w:w="2329" w:type="pct"/>
            <w:shd w:val="clear" w:color="auto" w:fill="auto"/>
          </w:tcPr>
          <w:p w:rsidR="00241B8E" w:rsidRPr="0046360F" w:rsidRDefault="00241B8E" w:rsidP="00221DAD">
            <w:pPr>
              <w:pStyle w:val="TableText"/>
              <w:keepNext w:val="0"/>
              <w:widowControl w:val="0"/>
            </w:pPr>
            <w:r w:rsidRPr="0046360F">
              <w:t>- Alive, NYHA I/II, CV hospitalisation ≤6 months</w:t>
            </w:r>
          </w:p>
          <w:p w:rsidR="00241B8E" w:rsidRPr="0046360F" w:rsidRDefault="00241B8E" w:rsidP="00221DAD">
            <w:pPr>
              <w:pStyle w:val="TableText"/>
              <w:keepNext w:val="0"/>
              <w:widowControl w:val="0"/>
            </w:pPr>
            <w:r w:rsidRPr="0046360F">
              <w:t>- Alive, NYHA I/II, no CV hospitalisation ≤6 months</w:t>
            </w:r>
          </w:p>
          <w:p w:rsidR="00241B8E" w:rsidRPr="0046360F" w:rsidRDefault="00241B8E" w:rsidP="00221DAD">
            <w:pPr>
              <w:pStyle w:val="TableText"/>
              <w:keepNext w:val="0"/>
              <w:widowControl w:val="0"/>
            </w:pPr>
            <w:r w:rsidRPr="0046360F">
              <w:t>- Alive, NYHA III/IV, CV hospitalisation ≤6 months</w:t>
            </w:r>
          </w:p>
          <w:p w:rsidR="00241B8E" w:rsidRPr="0046360F" w:rsidRDefault="00241B8E" w:rsidP="00221DAD">
            <w:pPr>
              <w:pStyle w:val="TableText"/>
              <w:keepNext w:val="0"/>
              <w:widowControl w:val="0"/>
            </w:pPr>
            <w:r w:rsidRPr="0046360F">
              <w:t>- Alive, NYHA III/IV, no CV hospitalisation ≤6 months</w:t>
            </w:r>
          </w:p>
          <w:p w:rsidR="00241B8E" w:rsidRPr="0046360F" w:rsidRDefault="00241B8E" w:rsidP="00221DAD">
            <w:pPr>
              <w:pStyle w:val="TableText"/>
              <w:keepNext w:val="0"/>
              <w:widowControl w:val="0"/>
            </w:pPr>
            <w:r w:rsidRPr="0046360F">
              <w:t>- Dead</w:t>
            </w:r>
          </w:p>
        </w:tc>
      </w:tr>
      <w:tr w:rsidR="00241B8E" w:rsidRPr="0046360F" w:rsidTr="00221DAD">
        <w:tc>
          <w:tcPr>
            <w:tcW w:w="626" w:type="pct"/>
            <w:shd w:val="clear" w:color="auto" w:fill="auto"/>
            <w:vAlign w:val="center"/>
          </w:tcPr>
          <w:p w:rsidR="00241B8E" w:rsidRPr="0046360F" w:rsidRDefault="00241B8E" w:rsidP="00221DAD">
            <w:pPr>
              <w:pStyle w:val="TableText"/>
              <w:keepNext w:val="0"/>
              <w:widowControl w:val="0"/>
            </w:pPr>
            <w:r w:rsidRPr="0046360F">
              <w:t>Cycle length</w:t>
            </w:r>
          </w:p>
        </w:tc>
        <w:tc>
          <w:tcPr>
            <w:tcW w:w="2045" w:type="pct"/>
          </w:tcPr>
          <w:p w:rsidR="00241B8E" w:rsidRPr="0046360F" w:rsidRDefault="00241B8E" w:rsidP="00221DAD">
            <w:pPr>
              <w:pStyle w:val="TableText"/>
              <w:keepNext w:val="0"/>
              <w:widowControl w:val="0"/>
            </w:pPr>
            <w:r w:rsidRPr="0046360F">
              <w:t>6 months</w:t>
            </w:r>
          </w:p>
        </w:tc>
        <w:tc>
          <w:tcPr>
            <w:tcW w:w="2329" w:type="pct"/>
            <w:shd w:val="clear" w:color="auto" w:fill="auto"/>
            <w:vAlign w:val="center"/>
          </w:tcPr>
          <w:p w:rsidR="00241B8E" w:rsidRPr="0046360F" w:rsidRDefault="00241B8E" w:rsidP="00221DAD">
            <w:pPr>
              <w:pStyle w:val="TableText"/>
              <w:keepNext w:val="0"/>
              <w:widowControl w:val="0"/>
            </w:pPr>
            <w:r w:rsidRPr="0046360F">
              <w:t>6 months</w:t>
            </w:r>
          </w:p>
        </w:tc>
      </w:tr>
      <w:tr w:rsidR="00241B8E" w:rsidRPr="0046360F" w:rsidTr="00221DAD">
        <w:tc>
          <w:tcPr>
            <w:tcW w:w="626" w:type="pct"/>
            <w:shd w:val="clear" w:color="auto" w:fill="auto"/>
            <w:vAlign w:val="center"/>
          </w:tcPr>
          <w:p w:rsidR="00241B8E" w:rsidRPr="0046360F" w:rsidRDefault="00241B8E" w:rsidP="00221DAD">
            <w:pPr>
              <w:pStyle w:val="TableText"/>
              <w:keepNext w:val="0"/>
              <w:widowControl w:val="0"/>
            </w:pPr>
            <w:r w:rsidRPr="0046360F">
              <w:t>Patient characteristics</w:t>
            </w:r>
          </w:p>
        </w:tc>
        <w:tc>
          <w:tcPr>
            <w:tcW w:w="2045" w:type="pct"/>
          </w:tcPr>
          <w:p w:rsidR="00241B8E" w:rsidRPr="0046360F" w:rsidRDefault="00241B8E" w:rsidP="00221DAD">
            <w:pPr>
              <w:pStyle w:val="TableText"/>
              <w:keepNext w:val="0"/>
              <w:widowControl w:val="0"/>
            </w:pPr>
            <w:r w:rsidRPr="0046360F">
              <w:t>Distribution of patients across NYHA classes (NYHA I/II, NYHA III) based on baseline values from the ATTR-ACT trial</w:t>
            </w:r>
            <w:r w:rsidR="00E815DA" w:rsidRPr="0046360F">
              <w:t>.</w:t>
            </w:r>
          </w:p>
        </w:tc>
        <w:tc>
          <w:tcPr>
            <w:tcW w:w="2329" w:type="pct"/>
            <w:shd w:val="clear" w:color="auto" w:fill="auto"/>
          </w:tcPr>
          <w:p w:rsidR="00241B8E" w:rsidRPr="0046360F" w:rsidRDefault="00241B8E" w:rsidP="00221DAD">
            <w:pPr>
              <w:pStyle w:val="TableText"/>
              <w:keepNext w:val="0"/>
              <w:widowControl w:val="0"/>
            </w:pPr>
            <w:r w:rsidRPr="0046360F">
              <w:t>All patients begin the model with NYHA I/II without a recent CV hospitalisation.</w:t>
            </w:r>
          </w:p>
        </w:tc>
      </w:tr>
      <w:tr w:rsidR="00241B8E" w:rsidRPr="0046360F" w:rsidTr="00221DAD">
        <w:tc>
          <w:tcPr>
            <w:tcW w:w="626" w:type="pct"/>
            <w:shd w:val="clear" w:color="auto" w:fill="auto"/>
            <w:vAlign w:val="center"/>
          </w:tcPr>
          <w:p w:rsidR="00241B8E" w:rsidRPr="0046360F" w:rsidRDefault="00241B8E" w:rsidP="00221DAD">
            <w:pPr>
              <w:pStyle w:val="TableText"/>
              <w:keepNext w:val="0"/>
              <w:widowControl w:val="0"/>
            </w:pPr>
            <w:r w:rsidRPr="0046360F">
              <w:t>Transition probabilities</w:t>
            </w:r>
          </w:p>
          <w:p w:rsidR="00241B8E" w:rsidRPr="0046360F" w:rsidRDefault="00241B8E" w:rsidP="00221DAD">
            <w:pPr>
              <w:pStyle w:val="TableText"/>
              <w:keepNext w:val="0"/>
              <w:widowControl w:val="0"/>
            </w:pPr>
          </w:p>
        </w:tc>
        <w:tc>
          <w:tcPr>
            <w:tcW w:w="2045" w:type="pct"/>
          </w:tcPr>
          <w:p w:rsidR="00241B8E" w:rsidRPr="0046360F" w:rsidRDefault="00241B8E" w:rsidP="00221DAD">
            <w:pPr>
              <w:pStyle w:val="TableText"/>
              <w:keepNext w:val="0"/>
              <w:widowControl w:val="0"/>
              <w:rPr>
                <w:szCs w:val="20"/>
              </w:rPr>
            </w:pPr>
            <w:r w:rsidRPr="0046360F">
              <w:rPr>
                <w:szCs w:val="20"/>
              </w:rPr>
              <w:t>Transition probabilities for survival in the best supportive care arm were estimated by fitting a Gompertz curve to ATTR-ACT trial data.</w:t>
            </w:r>
          </w:p>
          <w:p w:rsidR="00241B8E" w:rsidRPr="0046360F" w:rsidRDefault="00241B8E" w:rsidP="00221DAD">
            <w:pPr>
              <w:pStyle w:val="Tabletext1"/>
              <w:widowControl w:val="0"/>
              <w:rPr>
                <w:rFonts w:eastAsia="Calibri" w:cs="Arial"/>
              </w:rPr>
            </w:pPr>
          </w:p>
          <w:p w:rsidR="00241B8E" w:rsidRPr="0046360F" w:rsidRDefault="00241B8E" w:rsidP="00221DAD">
            <w:pPr>
              <w:pStyle w:val="Tabletext1"/>
              <w:widowControl w:val="0"/>
              <w:rPr>
                <w:rFonts w:eastAsia="Calibri" w:cs="Arial"/>
              </w:rPr>
            </w:pPr>
            <w:r w:rsidRPr="0046360F">
              <w:rPr>
                <w:rFonts w:eastAsia="Calibri" w:cs="Arial"/>
              </w:rPr>
              <w:t>Transition probabilities for survival in the tafamidis arm were estimated by fitting a gamma curve to ATTR-ACT trial and extension study data.</w:t>
            </w:r>
          </w:p>
          <w:p w:rsidR="00241B8E" w:rsidRPr="0046360F" w:rsidRDefault="00241B8E" w:rsidP="00221DAD">
            <w:pPr>
              <w:pStyle w:val="Tabletext1"/>
              <w:widowControl w:val="0"/>
              <w:rPr>
                <w:rFonts w:eastAsia="Calibri" w:cs="Arial"/>
              </w:rPr>
            </w:pPr>
          </w:p>
          <w:p w:rsidR="00241B8E" w:rsidRPr="0046360F" w:rsidRDefault="00241B8E" w:rsidP="00221DAD">
            <w:pPr>
              <w:pStyle w:val="Tabletext1"/>
              <w:widowControl w:val="0"/>
              <w:rPr>
                <w:rFonts w:eastAsia="Calibri" w:cs="Arial"/>
                <w:szCs w:val="24"/>
                <w:lang w:eastAsia="en-AU"/>
              </w:rPr>
            </w:pPr>
            <w:r w:rsidRPr="0046360F">
              <w:rPr>
                <w:rFonts w:eastAsia="Calibri"/>
              </w:rPr>
              <w:t xml:space="preserve">The probability of having a </w:t>
            </w:r>
            <w:r w:rsidR="0026392E" w:rsidRPr="0046360F">
              <w:rPr>
                <w:rFonts w:eastAsia="Calibri"/>
              </w:rPr>
              <w:t xml:space="preserve">CV </w:t>
            </w:r>
            <w:r w:rsidRPr="0046360F">
              <w:rPr>
                <w:rFonts w:eastAsia="Calibri"/>
              </w:rPr>
              <w:t xml:space="preserve">hospitalisation was estimated from </w:t>
            </w:r>
            <w:r w:rsidR="008B0291" w:rsidRPr="0046360F">
              <w:rPr>
                <w:rFonts w:eastAsia="Calibri" w:cs="Arial"/>
                <w:szCs w:val="24"/>
                <w:lang w:eastAsia="en-AU"/>
              </w:rPr>
              <w:t>post hoc</w:t>
            </w:r>
            <w:r w:rsidRPr="0046360F">
              <w:rPr>
                <w:rFonts w:eastAsia="Calibri" w:cs="Arial"/>
                <w:szCs w:val="24"/>
                <w:lang w:eastAsia="en-AU"/>
              </w:rPr>
              <w:t xml:space="preserve"> analyses of ATTR-ACT data by treatment arm and duration of exposure within each NYHA class. The probability of </w:t>
            </w:r>
            <w:r w:rsidR="0026392E" w:rsidRPr="0046360F">
              <w:rPr>
                <w:rFonts w:eastAsia="Calibri" w:cs="Arial"/>
                <w:szCs w:val="24"/>
                <w:lang w:eastAsia="en-AU"/>
              </w:rPr>
              <w:t xml:space="preserve">CV </w:t>
            </w:r>
            <w:r w:rsidRPr="0046360F">
              <w:rPr>
                <w:rFonts w:eastAsia="Calibri" w:cs="Arial"/>
                <w:szCs w:val="24"/>
                <w:lang w:eastAsia="en-AU"/>
              </w:rPr>
              <w:t>hospitalisation was assumed to remain constant over time.</w:t>
            </w:r>
          </w:p>
          <w:p w:rsidR="00241B8E" w:rsidRPr="0046360F" w:rsidRDefault="00241B8E" w:rsidP="00221DAD">
            <w:pPr>
              <w:pStyle w:val="Tabletext1"/>
              <w:widowControl w:val="0"/>
              <w:rPr>
                <w:rFonts w:eastAsia="Calibri" w:cs="Arial"/>
                <w:szCs w:val="24"/>
                <w:lang w:eastAsia="en-AU"/>
              </w:rPr>
            </w:pPr>
          </w:p>
          <w:p w:rsidR="00241B8E" w:rsidRPr="0046360F" w:rsidRDefault="00241B8E" w:rsidP="00221DAD">
            <w:pPr>
              <w:pStyle w:val="TableText"/>
              <w:keepNext w:val="0"/>
              <w:widowControl w:val="0"/>
            </w:pPr>
            <w:r w:rsidRPr="0046360F">
              <w:rPr>
                <w:szCs w:val="20"/>
              </w:rPr>
              <w:t>The probability of discontinuation in the tafamidis arm was estimated by fitting a log normal curve to ATTR-ACT data.</w:t>
            </w:r>
          </w:p>
        </w:tc>
        <w:tc>
          <w:tcPr>
            <w:tcW w:w="2329" w:type="pct"/>
            <w:shd w:val="clear" w:color="auto" w:fill="auto"/>
          </w:tcPr>
          <w:p w:rsidR="00241B8E" w:rsidRPr="0046360F" w:rsidRDefault="00241B8E" w:rsidP="00221DAD">
            <w:pPr>
              <w:pStyle w:val="TableText"/>
              <w:keepNext w:val="0"/>
              <w:widowControl w:val="0"/>
            </w:pPr>
            <w:r w:rsidRPr="0046360F">
              <w:t>Individual patient data from the ATTR-ACT trial (subgroup with baseline NYHA class I/II) were used to derive transition probabilities of movement between NYHA classes I/II and II/IV, CV-related hospitalisations and death over the first five 6-month cycles.</w:t>
            </w:r>
          </w:p>
          <w:p w:rsidR="00241B8E" w:rsidRPr="0046360F" w:rsidRDefault="00241B8E" w:rsidP="00221DAD">
            <w:pPr>
              <w:pStyle w:val="TableText"/>
              <w:keepNext w:val="0"/>
              <w:widowControl w:val="0"/>
            </w:pPr>
          </w:p>
          <w:p w:rsidR="00241B8E" w:rsidRPr="0046360F" w:rsidRDefault="00241B8E" w:rsidP="00221DAD">
            <w:pPr>
              <w:pStyle w:val="TableText"/>
              <w:keepNext w:val="0"/>
              <w:widowControl w:val="0"/>
            </w:pPr>
            <w:r w:rsidRPr="0046360F">
              <w:t>Transition probabilities beyond the 30-month duration of the ATTR-ACT trial were assumed to be constant, based on weighted averages of the first five 6-month cycles.</w:t>
            </w:r>
          </w:p>
          <w:p w:rsidR="00241B8E" w:rsidRPr="0046360F" w:rsidRDefault="00241B8E" w:rsidP="00221DAD">
            <w:pPr>
              <w:pStyle w:val="TableText"/>
              <w:keepNext w:val="0"/>
              <w:widowControl w:val="0"/>
            </w:pPr>
          </w:p>
          <w:p w:rsidR="00241B8E" w:rsidRPr="0046360F" w:rsidRDefault="00241B8E" w:rsidP="00221DAD">
            <w:pPr>
              <w:pStyle w:val="TableText"/>
              <w:keepNext w:val="0"/>
              <w:widowControl w:val="0"/>
            </w:pPr>
            <w:r w:rsidRPr="0046360F">
              <w:t>The number of hospitalisations per hospitalised patient was derived for each treatment arm based on data from the ATTR-ACT trial.</w:t>
            </w:r>
          </w:p>
          <w:p w:rsidR="00241B8E" w:rsidRPr="0046360F" w:rsidRDefault="00241B8E" w:rsidP="00221DAD">
            <w:pPr>
              <w:pStyle w:val="TableText"/>
              <w:keepNext w:val="0"/>
              <w:widowControl w:val="0"/>
            </w:pPr>
          </w:p>
          <w:p w:rsidR="00241B8E" w:rsidRPr="0046360F" w:rsidRDefault="00241B8E" w:rsidP="00221DAD">
            <w:pPr>
              <w:pStyle w:val="TableText"/>
              <w:keepNext w:val="0"/>
              <w:widowControl w:val="0"/>
              <w:rPr>
                <w:szCs w:val="20"/>
              </w:rPr>
            </w:pPr>
            <w:r w:rsidRPr="0046360F">
              <w:rPr>
                <w:szCs w:val="20"/>
              </w:rPr>
              <w:t>The probability of discontinuation in the tafamidis arm was estimated by fitting an exponential curve to ATTR-ACT data for the subset of patients with NYHA class I/II at baseline.</w:t>
            </w:r>
          </w:p>
          <w:p w:rsidR="004111B9" w:rsidRPr="0046360F" w:rsidRDefault="004111B9" w:rsidP="00221DAD">
            <w:pPr>
              <w:pStyle w:val="TableText"/>
              <w:keepNext w:val="0"/>
              <w:widowControl w:val="0"/>
              <w:rPr>
                <w:sz w:val="16"/>
                <w:szCs w:val="20"/>
              </w:rPr>
            </w:pPr>
          </w:p>
          <w:p w:rsidR="004111B9" w:rsidRPr="0046360F" w:rsidRDefault="004111B9" w:rsidP="00932A4F">
            <w:pPr>
              <w:rPr>
                <w:i/>
                <w:iCs/>
              </w:rPr>
            </w:pPr>
            <w:r w:rsidRPr="0046360F">
              <w:rPr>
                <w:rFonts w:ascii="Arial Narrow" w:hAnsi="Arial Narrow"/>
                <w:sz w:val="20"/>
                <w:szCs w:val="20"/>
              </w:rPr>
              <w:t xml:space="preserve">The model </w:t>
            </w:r>
            <w:r w:rsidR="00932A4F" w:rsidRPr="0046360F">
              <w:rPr>
                <w:rFonts w:ascii="Arial Narrow" w:hAnsi="Arial Narrow"/>
                <w:sz w:val="20"/>
                <w:szCs w:val="20"/>
              </w:rPr>
              <w:t xml:space="preserve">did </w:t>
            </w:r>
            <w:r w:rsidRPr="0046360F">
              <w:rPr>
                <w:rFonts w:ascii="Arial Narrow" w:hAnsi="Arial Narrow"/>
                <w:sz w:val="20"/>
                <w:szCs w:val="20"/>
              </w:rPr>
              <w:t>not explicitly incorporate a stopping rule consistent with the requested restriction, whereby patients with NYHA class IV discontinue tafamidis treatment.</w:t>
            </w:r>
          </w:p>
        </w:tc>
      </w:tr>
      <w:tr w:rsidR="00241B8E" w:rsidRPr="0046360F" w:rsidTr="00221DAD">
        <w:tc>
          <w:tcPr>
            <w:tcW w:w="626" w:type="pct"/>
            <w:shd w:val="clear" w:color="auto" w:fill="auto"/>
            <w:vAlign w:val="center"/>
          </w:tcPr>
          <w:p w:rsidR="00241B8E" w:rsidRPr="0046360F" w:rsidRDefault="00241B8E" w:rsidP="00221DAD">
            <w:pPr>
              <w:pStyle w:val="TableText"/>
              <w:keepNext w:val="0"/>
              <w:widowControl w:val="0"/>
            </w:pPr>
            <w:r w:rsidRPr="0046360F">
              <w:t>Utilities</w:t>
            </w:r>
          </w:p>
        </w:tc>
        <w:tc>
          <w:tcPr>
            <w:tcW w:w="2045" w:type="pct"/>
          </w:tcPr>
          <w:p w:rsidR="00241B8E" w:rsidRPr="0046360F" w:rsidRDefault="00241B8E" w:rsidP="00221DAD">
            <w:pPr>
              <w:pStyle w:val="TableText"/>
              <w:keepNext w:val="0"/>
              <w:widowControl w:val="0"/>
              <w:rPr>
                <w:rFonts w:eastAsia="Calibri"/>
              </w:rPr>
            </w:pPr>
            <w:r w:rsidRPr="0046360F">
              <w:rPr>
                <w:rFonts w:eastAsia="Calibri"/>
              </w:rPr>
              <w:t xml:space="preserve">Utilities were based on a </w:t>
            </w:r>
            <w:r w:rsidR="008B0291" w:rsidRPr="0046360F">
              <w:rPr>
                <w:rFonts w:eastAsia="Calibri"/>
              </w:rPr>
              <w:t>post hoc</w:t>
            </w:r>
            <w:r w:rsidRPr="0046360F">
              <w:rPr>
                <w:rFonts w:eastAsia="Calibri"/>
              </w:rPr>
              <w:t xml:space="preserve"> reanalysis of EQ-5D-3L data (UK value set) from the ATTR-ACT trial by treatment arm and </w:t>
            </w:r>
            <w:r w:rsidR="0046360F" w:rsidRPr="0046360F">
              <w:rPr>
                <w:rFonts w:eastAsia="Calibri"/>
              </w:rPr>
              <w:t>NYHA</w:t>
            </w:r>
            <w:r w:rsidRPr="0046360F">
              <w:rPr>
                <w:rFonts w:eastAsia="Calibri"/>
              </w:rPr>
              <w:t xml:space="preserve"> class (NYHA I/II or III). Weighting between NYHA classes for NYHA class I/II based on distribution at baseline (12.3%/87.7%).</w:t>
            </w:r>
          </w:p>
          <w:p w:rsidR="00241B8E" w:rsidRPr="0046360F" w:rsidRDefault="00241B8E" w:rsidP="00221DAD">
            <w:pPr>
              <w:pStyle w:val="TableText"/>
              <w:keepNext w:val="0"/>
              <w:widowControl w:val="0"/>
              <w:rPr>
                <w:rFonts w:eastAsia="Calibri"/>
              </w:rPr>
            </w:pPr>
          </w:p>
          <w:p w:rsidR="00241B8E" w:rsidRPr="0046360F" w:rsidRDefault="00241B8E" w:rsidP="00221DAD">
            <w:pPr>
              <w:pStyle w:val="Tabletext1"/>
              <w:widowControl w:val="0"/>
              <w:rPr>
                <w:rFonts w:eastAsia="Calibri"/>
              </w:rPr>
            </w:pPr>
            <w:r w:rsidRPr="0046360F">
              <w:rPr>
                <w:rFonts w:eastAsia="Calibri"/>
              </w:rPr>
              <w:t>NYHA class I/II: 0.792 for tafamidis; 0.759 for best supportive care</w:t>
            </w:r>
          </w:p>
          <w:p w:rsidR="00241B8E" w:rsidRPr="0046360F" w:rsidRDefault="00241B8E" w:rsidP="00221DAD">
            <w:pPr>
              <w:pStyle w:val="Tabletext1"/>
              <w:widowControl w:val="0"/>
              <w:rPr>
                <w:rFonts w:eastAsia="Calibri"/>
              </w:rPr>
            </w:pPr>
            <w:r w:rsidRPr="0046360F">
              <w:rPr>
                <w:rFonts w:eastAsia="Calibri"/>
              </w:rPr>
              <w:t>NYHA class III: 0.606 for tafamidis; 0.609 for best supportive care</w:t>
            </w:r>
          </w:p>
          <w:p w:rsidR="00241B8E" w:rsidRPr="0046360F" w:rsidRDefault="00241B8E" w:rsidP="00221DAD">
            <w:pPr>
              <w:pStyle w:val="TableText"/>
              <w:keepNext w:val="0"/>
              <w:widowControl w:val="0"/>
              <w:rPr>
                <w:rFonts w:eastAsia="Calibri"/>
              </w:rPr>
            </w:pPr>
          </w:p>
          <w:p w:rsidR="00241B8E" w:rsidRPr="0046360F" w:rsidRDefault="00241B8E" w:rsidP="00221DAD">
            <w:pPr>
              <w:pStyle w:val="Tabletext1"/>
              <w:widowControl w:val="0"/>
              <w:rPr>
                <w:rFonts w:eastAsia="Calibri"/>
              </w:rPr>
            </w:pPr>
            <w:r w:rsidRPr="0046360F">
              <w:rPr>
                <w:rFonts w:eastAsia="Calibri"/>
              </w:rPr>
              <w:t xml:space="preserve">No additional disutility assumed for </w:t>
            </w:r>
            <w:r w:rsidR="0026392E" w:rsidRPr="0046360F">
              <w:rPr>
                <w:rFonts w:eastAsia="Calibri"/>
              </w:rPr>
              <w:t xml:space="preserve">CV </w:t>
            </w:r>
            <w:r w:rsidRPr="0046360F">
              <w:rPr>
                <w:rFonts w:eastAsia="Calibri"/>
              </w:rPr>
              <w:t>hospitalisation.</w:t>
            </w:r>
          </w:p>
        </w:tc>
        <w:tc>
          <w:tcPr>
            <w:tcW w:w="2329" w:type="pct"/>
            <w:shd w:val="clear" w:color="auto" w:fill="auto"/>
            <w:vAlign w:val="center"/>
          </w:tcPr>
          <w:p w:rsidR="00241B8E" w:rsidRPr="0046360F" w:rsidRDefault="00241B8E" w:rsidP="00221DAD">
            <w:pPr>
              <w:pStyle w:val="Tabletext1"/>
              <w:widowControl w:val="0"/>
              <w:rPr>
                <w:rFonts w:eastAsia="Calibri"/>
              </w:rPr>
            </w:pPr>
            <w:r w:rsidRPr="0046360F">
              <w:rPr>
                <w:rFonts w:eastAsia="Calibri"/>
              </w:rPr>
              <w:t xml:space="preserve">Utilities were based on a </w:t>
            </w:r>
            <w:r w:rsidR="008B0291" w:rsidRPr="0046360F">
              <w:rPr>
                <w:rFonts w:eastAsia="Calibri"/>
              </w:rPr>
              <w:t>post hoc</w:t>
            </w:r>
            <w:r w:rsidRPr="0046360F">
              <w:rPr>
                <w:rFonts w:eastAsia="Calibri"/>
              </w:rPr>
              <w:t xml:space="preserve"> reanalysis of EQ-5D-3L data (UK value set) from the ATTR-ACT trial by treatment arm and </w:t>
            </w:r>
            <w:r w:rsidR="0046360F" w:rsidRPr="0046360F">
              <w:rPr>
                <w:rFonts w:eastAsia="Calibri"/>
              </w:rPr>
              <w:t>NYHA</w:t>
            </w:r>
            <w:r w:rsidRPr="0046360F">
              <w:rPr>
                <w:rFonts w:eastAsia="Calibri"/>
              </w:rPr>
              <w:t xml:space="preserve"> class (NYHA I/II or III/IV). Weighting between NYHA classes for NYHA class I/II based on 50%</w:t>
            </w:r>
            <w:r w:rsidR="00AD09AC" w:rsidRPr="0046360F">
              <w:rPr>
                <w:rFonts w:eastAsia="Calibri"/>
              </w:rPr>
              <w:t>/</w:t>
            </w:r>
            <w:r w:rsidRPr="0046360F">
              <w:rPr>
                <w:rFonts w:eastAsia="Calibri"/>
              </w:rPr>
              <w:t>50% distribution; and for NYHA class III/IV based on 66.7%/33.3% distribution.</w:t>
            </w:r>
          </w:p>
          <w:p w:rsidR="00241B8E" w:rsidRPr="0046360F" w:rsidRDefault="00241B8E" w:rsidP="00221DAD">
            <w:pPr>
              <w:pStyle w:val="Tabletext1"/>
              <w:widowControl w:val="0"/>
              <w:rPr>
                <w:rFonts w:eastAsia="Calibri"/>
              </w:rPr>
            </w:pPr>
          </w:p>
          <w:p w:rsidR="00241B8E" w:rsidRPr="0046360F" w:rsidRDefault="00241B8E" w:rsidP="00221DAD">
            <w:pPr>
              <w:pStyle w:val="Tabletext1"/>
              <w:widowControl w:val="0"/>
              <w:rPr>
                <w:rFonts w:eastAsia="Calibri"/>
              </w:rPr>
            </w:pPr>
            <w:r w:rsidRPr="0046360F">
              <w:rPr>
                <w:rFonts w:eastAsia="Calibri"/>
              </w:rPr>
              <w:t>NYHA class I/II: 0.815 for tafamidis; 0.806 for best supportive care</w:t>
            </w:r>
          </w:p>
          <w:p w:rsidR="00241B8E" w:rsidRPr="0046360F" w:rsidRDefault="00241B8E" w:rsidP="00221DAD">
            <w:pPr>
              <w:pStyle w:val="Tabletext1"/>
              <w:widowControl w:val="0"/>
              <w:rPr>
                <w:rFonts w:eastAsia="Calibri"/>
              </w:rPr>
            </w:pPr>
            <w:r w:rsidRPr="0046360F">
              <w:rPr>
                <w:rFonts w:eastAsia="Calibri"/>
              </w:rPr>
              <w:t>NYHA class III/IV: 0.534 for tafamidis; 0.461 for best supportive care</w:t>
            </w:r>
          </w:p>
          <w:p w:rsidR="000405BB" w:rsidRPr="0046360F" w:rsidRDefault="000405BB" w:rsidP="00221DAD">
            <w:pPr>
              <w:pStyle w:val="Tabletext1"/>
              <w:widowControl w:val="0"/>
              <w:rPr>
                <w:rFonts w:eastAsia="Calibri"/>
              </w:rPr>
            </w:pPr>
            <w:r w:rsidRPr="0046360F">
              <w:rPr>
                <w:rFonts w:eastAsia="Calibri"/>
              </w:rPr>
              <w:t>Given that patients would be required to discontinue tafamidis when they progress to class IV, the ESC considered that the difference in utilities between the tafamidis and best supportive care arms in the class III/IV health state was likely overestimated.</w:t>
            </w:r>
          </w:p>
          <w:p w:rsidR="00241B8E" w:rsidRPr="0046360F" w:rsidRDefault="00241B8E" w:rsidP="00221DAD">
            <w:pPr>
              <w:pStyle w:val="Tabletext1"/>
              <w:widowControl w:val="0"/>
              <w:rPr>
                <w:rFonts w:eastAsia="Calibri"/>
              </w:rPr>
            </w:pPr>
          </w:p>
          <w:p w:rsidR="00241B8E" w:rsidRPr="0046360F" w:rsidRDefault="00241B8E" w:rsidP="00221DAD">
            <w:pPr>
              <w:pStyle w:val="TableText"/>
              <w:keepNext w:val="0"/>
              <w:widowControl w:val="0"/>
            </w:pPr>
            <w:r w:rsidRPr="0046360F">
              <w:rPr>
                <w:rFonts w:eastAsia="Calibri"/>
              </w:rPr>
              <w:t xml:space="preserve">No additional disutility assumed for </w:t>
            </w:r>
            <w:r w:rsidR="0026392E" w:rsidRPr="0046360F">
              <w:rPr>
                <w:rFonts w:eastAsia="Calibri"/>
              </w:rPr>
              <w:t xml:space="preserve">CV </w:t>
            </w:r>
            <w:r w:rsidRPr="0046360F">
              <w:rPr>
                <w:rFonts w:eastAsia="Calibri"/>
              </w:rPr>
              <w:t>hospitalisation.</w:t>
            </w:r>
          </w:p>
        </w:tc>
      </w:tr>
      <w:tr w:rsidR="00241B8E" w:rsidRPr="0046360F" w:rsidTr="00221DAD">
        <w:tc>
          <w:tcPr>
            <w:tcW w:w="626" w:type="pct"/>
            <w:shd w:val="clear" w:color="auto" w:fill="auto"/>
            <w:vAlign w:val="center"/>
          </w:tcPr>
          <w:p w:rsidR="00241B8E" w:rsidRPr="0046360F" w:rsidRDefault="00241B8E" w:rsidP="00221DAD">
            <w:pPr>
              <w:pStyle w:val="TableText"/>
              <w:keepNext w:val="0"/>
              <w:widowControl w:val="0"/>
            </w:pPr>
            <w:r w:rsidRPr="0046360F">
              <w:t>Costs</w:t>
            </w:r>
          </w:p>
        </w:tc>
        <w:tc>
          <w:tcPr>
            <w:tcW w:w="2045" w:type="pct"/>
          </w:tcPr>
          <w:p w:rsidR="00241B8E" w:rsidRPr="0046360F" w:rsidRDefault="00241B8E" w:rsidP="00221DAD">
            <w:pPr>
              <w:pStyle w:val="TableText"/>
              <w:keepNext w:val="0"/>
              <w:widowControl w:val="0"/>
            </w:pPr>
            <w:r w:rsidRPr="0046360F">
              <w:t>Diagnostic costs were estimated based on expert advice on health resource use from a sponsor-commissioned physician survey and costings based on MBS and AR-DRG items ($7,927 per treated subject).</w:t>
            </w:r>
          </w:p>
          <w:p w:rsidR="00241B8E" w:rsidRPr="0046360F" w:rsidRDefault="00241B8E" w:rsidP="00221DAD">
            <w:pPr>
              <w:pStyle w:val="TableText"/>
              <w:keepNext w:val="0"/>
              <w:widowControl w:val="0"/>
            </w:pPr>
          </w:p>
          <w:p w:rsidR="00241B8E" w:rsidRPr="0046360F" w:rsidRDefault="00241B8E" w:rsidP="00221DAD">
            <w:pPr>
              <w:pStyle w:val="TableText"/>
              <w:keepNext w:val="0"/>
              <w:widowControl w:val="0"/>
            </w:pPr>
            <w:r w:rsidRPr="0046360F">
              <w:t>Tafamidis drug costs were estimated based on the proposed effective DPMQ ($</w:t>
            </w:r>
            <w:r w:rsidR="002F07A9">
              <w:rPr>
                <w:noProof/>
                <w:color w:val="000000"/>
                <w:highlight w:val="black"/>
              </w:rPr>
              <w:t>'''''''''''''''''</w:t>
            </w:r>
            <w:r w:rsidRPr="0046360F">
              <w:t xml:space="preserve"> per 6-month cycle).</w:t>
            </w:r>
          </w:p>
          <w:p w:rsidR="00241B8E" w:rsidRPr="0046360F" w:rsidRDefault="00241B8E" w:rsidP="00221DAD">
            <w:pPr>
              <w:pStyle w:val="TableText"/>
              <w:keepNext w:val="0"/>
              <w:widowControl w:val="0"/>
            </w:pPr>
          </w:p>
          <w:p w:rsidR="00241B8E" w:rsidRPr="0046360F" w:rsidRDefault="00241B8E" w:rsidP="00221DAD">
            <w:pPr>
              <w:pStyle w:val="TableText"/>
              <w:keepNext w:val="0"/>
              <w:widowControl w:val="0"/>
            </w:pPr>
            <w:r w:rsidRPr="0046360F">
              <w:t xml:space="preserve">Cardiovascular hospitalisation costs estimated as the weighted average of 98 </w:t>
            </w:r>
            <w:r w:rsidR="0026392E" w:rsidRPr="0046360F">
              <w:t>CV</w:t>
            </w:r>
            <w:r w:rsidRPr="0046360F">
              <w:t>-related AR-DRG items. Cost estimates inflated using AIHW health inflation index ($7,940 per event).</w:t>
            </w:r>
          </w:p>
          <w:p w:rsidR="00241B8E" w:rsidRPr="0046360F" w:rsidRDefault="00241B8E" w:rsidP="00221DAD">
            <w:pPr>
              <w:pStyle w:val="TableText"/>
              <w:keepNext w:val="0"/>
              <w:widowControl w:val="0"/>
            </w:pPr>
          </w:p>
          <w:p w:rsidR="00241B8E" w:rsidRPr="0046360F" w:rsidRDefault="00241B8E" w:rsidP="00221DAD">
            <w:pPr>
              <w:pStyle w:val="TableText"/>
              <w:keepNext w:val="0"/>
              <w:widowControl w:val="0"/>
            </w:pPr>
            <w:r w:rsidRPr="0046360F">
              <w:t>Disease management costs were estimated from published studies (Ademi 2014, Ford 2012). Cost estimates inflated using AIHW health inflation index (NYHA I/II $97; NYHA III $128 per 6-month cycle).</w:t>
            </w:r>
          </w:p>
          <w:p w:rsidR="00241B8E" w:rsidRPr="0046360F" w:rsidRDefault="00241B8E" w:rsidP="00221DAD">
            <w:pPr>
              <w:pStyle w:val="TableText"/>
              <w:keepNext w:val="0"/>
              <w:widowControl w:val="0"/>
            </w:pPr>
          </w:p>
          <w:p w:rsidR="00241B8E" w:rsidRPr="0046360F" w:rsidRDefault="00241B8E" w:rsidP="00221DAD">
            <w:pPr>
              <w:pStyle w:val="TableText"/>
              <w:keepNext w:val="0"/>
              <w:widowControl w:val="0"/>
            </w:pPr>
            <w:r w:rsidRPr="0046360F">
              <w:t xml:space="preserve">Terminal care costs were estimated based on the assumption that half of all deaths would be preceded by a </w:t>
            </w:r>
            <w:r w:rsidR="0026392E" w:rsidRPr="0046360F">
              <w:t>CV</w:t>
            </w:r>
            <w:r w:rsidRPr="0046360F">
              <w:t>-related hospitalisation ($3,970 per event).</w:t>
            </w:r>
          </w:p>
        </w:tc>
        <w:tc>
          <w:tcPr>
            <w:tcW w:w="2329" w:type="pct"/>
            <w:shd w:val="clear" w:color="auto" w:fill="auto"/>
          </w:tcPr>
          <w:p w:rsidR="00241B8E" w:rsidRPr="0046360F" w:rsidRDefault="00241B8E" w:rsidP="00221DAD">
            <w:pPr>
              <w:pStyle w:val="TableText"/>
              <w:keepNext w:val="0"/>
              <w:widowControl w:val="0"/>
            </w:pPr>
            <w:r w:rsidRPr="0046360F">
              <w:t xml:space="preserve">A similar approach was used to cost ATTR-CM diagnosis, but the costs of </w:t>
            </w:r>
            <w:r w:rsidR="00585A74" w:rsidRPr="0046360F">
              <w:t xml:space="preserve">scintigraphy were based on localised bone study MBS items only (following advice from MSAC that </w:t>
            </w:r>
            <w:r w:rsidRPr="0046360F">
              <w:t xml:space="preserve">whole body scintigraphy </w:t>
            </w:r>
            <w:r w:rsidR="00585A74" w:rsidRPr="0046360F">
              <w:t>items would overestimate costs; MSAC PSD 1584</w:t>
            </w:r>
            <w:r w:rsidR="00416796" w:rsidRPr="0046360F">
              <w:t>, 76th MSAC meeting 1-2 August 2019)</w:t>
            </w:r>
            <w:r w:rsidRPr="0046360F">
              <w:t xml:space="preserve"> (</w:t>
            </w:r>
            <w:r w:rsidRPr="0046360F">
              <w:rPr>
                <w:iCs/>
              </w:rPr>
              <w:t>$14,621</w:t>
            </w:r>
            <w:r w:rsidRPr="0046360F">
              <w:t xml:space="preserve"> per treated subject</w:t>
            </w:r>
            <w:r w:rsidR="004358EF" w:rsidRPr="0046360F">
              <w:rPr>
                <w:i/>
              </w:rPr>
              <w:t xml:space="preserve"> </w:t>
            </w:r>
            <w:r w:rsidR="004358EF" w:rsidRPr="0046360F">
              <w:t>(corrected during the evaluation)</w:t>
            </w:r>
            <w:r w:rsidRPr="0046360F">
              <w:t>; the increase is mainly due to an increase in the number of screened individuals required to identify one treated case [from 5.86 to 10.84]).</w:t>
            </w:r>
          </w:p>
          <w:p w:rsidR="00241B8E" w:rsidRPr="0046360F" w:rsidRDefault="00241B8E" w:rsidP="00221DAD">
            <w:pPr>
              <w:pStyle w:val="TableText"/>
              <w:keepNext w:val="0"/>
              <w:widowControl w:val="0"/>
            </w:pPr>
          </w:p>
          <w:p w:rsidR="00241B8E" w:rsidRPr="0046360F" w:rsidRDefault="00241B8E" w:rsidP="00221DAD">
            <w:pPr>
              <w:pStyle w:val="TableText"/>
              <w:keepNext w:val="0"/>
              <w:widowControl w:val="0"/>
            </w:pPr>
            <w:r w:rsidRPr="0046360F">
              <w:t>Tafamidis drug costs were estimated based on the proposed effective DPMQ ($</w:t>
            </w:r>
            <w:r w:rsidR="002F07A9">
              <w:rPr>
                <w:noProof/>
                <w:color w:val="000000"/>
                <w:highlight w:val="black"/>
              </w:rPr>
              <w:t>'''''''''''''''</w:t>
            </w:r>
            <w:r w:rsidRPr="0046360F">
              <w:t xml:space="preserve"> per 6-month cycle; the difference </w:t>
            </w:r>
            <w:r w:rsidR="00932A4F" w:rsidRPr="0046360F">
              <w:t xml:space="preserve">was </w:t>
            </w:r>
            <w:r w:rsidRPr="0046360F">
              <w:t>due to the reduction in requested effective DPMQ from $</w:t>
            </w:r>
            <w:r w:rsidR="002F07A9">
              <w:rPr>
                <w:noProof/>
                <w:color w:val="000000"/>
                <w:highlight w:val="black"/>
              </w:rPr>
              <w:t>'''''''''''''''''''''''</w:t>
            </w:r>
            <w:r w:rsidRPr="0046360F">
              <w:t xml:space="preserve"> to $</w:t>
            </w:r>
            <w:r w:rsidR="002F07A9">
              <w:rPr>
                <w:noProof/>
                <w:color w:val="000000"/>
                <w:highlight w:val="black"/>
              </w:rPr>
              <w:t>'''''''''''''''''''</w:t>
            </w:r>
            <w:r w:rsidRPr="0046360F">
              <w:t>).</w:t>
            </w:r>
          </w:p>
          <w:p w:rsidR="00241B8E" w:rsidRPr="0046360F" w:rsidRDefault="00241B8E" w:rsidP="00221DAD">
            <w:pPr>
              <w:pStyle w:val="TableText"/>
              <w:keepNext w:val="0"/>
              <w:widowControl w:val="0"/>
            </w:pPr>
          </w:p>
          <w:p w:rsidR="00241B8E" w:rsidRPr="0046360F" w:rsidRDefault="0026392E" w:rsidP="00221DAD">
            <w:pPr>
              <w:pStyle w:val="TableText"/>
              <w:keepNext w:val="0"/>
              <w:widowControl w:val="0"/>
            </w:pPr>
            <w:r w:rsidRPr="0046360F">
              <w:t xml:space="preserve">CV </w:t>
            </w:r>
            <w:r w:rsidR="00241B8E" w:rsidRPr="0046360F">
              <w:t xml:space="preserve">hospitalisation costs estimated as the weighted average of 93 </w:t>
            </w:r>
            <w:r w:rsidRPr="0046360F">
              <w:t>CV</w:t>
            </w:r>
            <w:r w:rsidR="00241B8E" w:rsidRPr="0046360F">
              <w:t>-related AR-DRG items. Cost estimates inflated using AIHW health inflation index ($7,244 per event).</w:t>
            </w:r>
          </w:p>
          <w:p w:rsidR="00241B8E" w:rsidRPr="0046360F" w:rsidRDefault="00241B8E" w:rsidP="00221DAD">
            <w:pPr>
              <w:pStyle w:val="TableText"/>
              <w:keepNext w:val="0"/>
              <w:widowControl w:val="0"/>
            </w:pPr>
          </w:p>
          <w:p w:rsidR="00241B8E" w:rsidRPr="0046360F" w:rsidRDefault="00241B8E" w:rsidP="00221DAD">
            <w:pPr>
              <w:pStyle w:val="TableText"/>
              <w:keepNext w:val="0"/>
              <w:widowControl w:val="0"/>
            </w:pPr>
            <w:r w:rsidRPr="0046360F">
              <w:t xml:space="preserve">Disease management costs were estimated from published studies (Ademi 2014, Ford 2012). Cost estimates inflated using AIHW health inflation index (NYHA I/II </w:t>
            </w:r>
            <w:r w:rsidRPr="0046360F">
              <w:rPr>
                <w:iCs/>
              </w:rPr>
              <w:t>$1,033</w:t>
            </w:r>
            <w:r w:rsidRPr="0046360F">
              <w:t xml:space="preserve">; NYHA III/IV </w:t>
            </w:r>
            <w:r w:rsidRPr="0046360F">
              <w:rPr>
                <w:iCs/>
              </w:rPr>
              <w:t>$1,466</w:t>
            </w:r>
            <w:r w:rsidRPr="0046360F">
              <w:t xml:space="preserve"> per 6-month cycle; correcting for monthly estimates assumed to be annual estimates).</w:t>
            </w:r>
          </w:p>
          <w:p w:rsidR="00241B8E" w:rsidRPr="0046360F" w:rsidRDefault="00241B8E" w:rsidP="00221DAD">
            <w:pPr>
              <w:pStyle w:val="TableText"/>
              <w:keepNext w:val="0"/>
              <w:widowControl w:val="0"/>
            </w:pPr>
          </w:p>
          <w:p w:rsidR="00241B8E" w:rsidRPr="0046360F" w:rsidRDefault="00241B8E" w:rsidP="00221DAD">
            <w:pPr>
              <w:pStyle w:val="TableText"/>
              <w:keepNext w:val="0"/>
              <w:widowControl w:val="0"/>
            </w:pPr>
            <w:r w:rsidRPr="0046360F">
              <w:t xml:space="preserve">Terminal care costs were estimated based on the assumption that half of all deaths would be preceded by a </w:t>
            </w:r>
            <w:r w:rsidR="0026392E" w:rsidRPr="0046360F">
              <w:t>CV</w:t>
            </w:r>
            <w:r w:rsidRPr="0046360F">
              <w:t>-related hospitalisation ($3,622 per event).</w:t>
            </w:r>
          </w:p>
        </w:tc>
      </w:tr>
    </w:tbl>
    <w:p w:rsidR="00241B8E" w:rsidRPr="0046360F" w:rsidRDefault="00241B8E" w:rsidP="00241B8E">
      <w:pPr>
        <w:pStyle w:val="TableFooter"/>
      </w:pPr>
      <w:r w:rsidRPr="0046360F">
        <w:t>Source: Table 3.1.3, p130 and Sections 3.3-3.6, pp139-156 of the resubmission; Section 3, pp180-208 of the July 2020 submission</w:t>
      </w:r>
    </w:p>
    <w:p w:rsidR="00241B8E" w:rsidRPr="0046360F" w:rsidRDefault="00241B8E" w:rsidP="00241B8E">
      <w:pPr>
        <w:pStyle w:val="TableFooter"/>
        <w:rPr>
          <w:color w:val="365F91" w:themeColor="accent1" w:themeShade="BF"/>
          <w:sz w:val="20"/>
        </w:rPr>
      </w:pPr>
      <w:r w:rsidRPr="0046360F">
        <w:t>Abbreviations: AIHW, Australian Institute of Health and Welfare; AR-DRG, Australian Refined Diagnosis Related Groups; CV, cardiovascular; DPMQ, dispensed price for maximum quantity; EQ-5D-3L, EuroQoL 5 dimension 3 level instrument; MBS, Medicare Benefits Schedule; NYHA, New York Heart Association</w:t>
      </w:r>
      <w:r w:rsidRPr="0046360F">
        <w:rPr>
          <w:color w:val="365F91" w:themeColor="accent1" w:themeShade="BF"/>
          <w:sz w:val="20"/>
        </w:rPr>
        <w:t xml:space="preserve"> </w:t>
      </w:r>
    </w:p>
    <w:p w:rsidR="00241B8E" w:rsidRPr="0046360F" w:rsidRDefault="00241B8E" w:rsidP="00241B8E">
      <w:pPr>
        <w:pStyle w:val="ExecSumBodyText"/>
        <w:numPr>
          <w:ilvl w:val="1"/>
          <w:numId w:val="1"/>
        </w:numPr>
        <w:rPr>
          <w:color w:val="0066FF"/>
        </w:rPr>
      </w:pPr>
      <w:r w:rsidRPr="0046360F">
        <w:t xml:space="preserve">The resubmission stated that a new model structure was adopted to address the concerns raised by the PBAC in its </w:t>
      </w:r>
      <w:r w:rsidR="006D23A6" w:rsidRPr="0046360F">
        <w:t xml:space="preserve">previous </w:t>
      </w:r>
      <w:r w:rsidRPr="0046360F">
        <w:t xml:space="preserve">consideration (patients remain in baseline NYHA class; constant probability of </w:t>
      </w:r>
      <w:r w:rsidR="0026392E" w:rsidRPr="0046360F">
        <w:t xml:space="preserve">CV </w:t>
      </w:r>
      <w:r w:rsidRPr="0046360F">
        <w:t xml:space="preserve">hospitalisation; all </w:t>
      </w:r>
      <w:r w:rsidR="0026392E" w:rsidRPr="0046360F">
        <w:t xml:space="preserve">CV </w:t>
      </w:r>
      <w:r w:rsidRPr="0046360F">
        <w:t>hospitalisations non-fatal; treatment effect maintained following treatment discontinuation</w:t>
      </w:r>
      <w:r w:rsidR="005207A4" w:rsidRPr="0046360F">
        <w:t>)</w:t>
      </w:r>
      <w:r w:rsidRPr="0046360F">
        <w:t>.</w:t>
      </w:r>
    </w:p>
    <w:p w:rsidR="00241B8E" w:rsidRPr="0046360F" w:rsidRDefault="00241B8E" w:rsidP="00241B8E">
      <w:pPr>
        <w:pStyle w:val="ExecSumBodyText"/>
        <w:numPr>
          <w:ilvl w:val="1"/>
          <w:numId w:val="1"/>
        </w:numPr>
        <w:rPr>
          <w:color w:val="0066FF"/>
        </w:rPr>
      </w:pPr>
      <w:bookmarkStart w:id="35" w:name="_Ref69215360"/>
      <w:r w:rsidRPr="0046360F">
        <w:t>The new model structure is illustrated in the figure below.</w:t>
      </w:r>
      <w:bookmarkEnd w:id="35"/>
    </w:p>
    <w:p w:rsidR="00241B8E" w:rsidRPr="0046360F" w:rsidRDefault="0029295E" w:rsidP="00240DAD">
      <w:pPr>
        <w:pStyle w:val="Caption"/>
        <w:keepLines/>
      </w:pPr>
      <w:r w:rsidRPr="0046360F">
        <w:t xml:space="preserve">Figure </w:t>
      </w:r>
      <w:r w:rsidR="00C170ED">
        <w:rPr>
          <w:noProof/>
        </w:rPr>
        <w:t>3</w:t>
      </w:r>
      <w:r w:rsidR="00241B8E" w:rsidRPr="0046360F">
        <w:t>: Structure of the economic model</w:t>
      </w:r>
    </w:p>
    <w:p w:rsidR="00241B8E" w:rsidRPr="0046360F" w:rsidRDefault="00241B8E" w:rsidP="00240DAD">
      <w:pPr>
        <w:pStyle w:val="ExecSumBodyText"/>
        <w:keepNext/>
        <w:keepLines/>
        <w:numPr>
          <w:ilvl w:val="0"/>
          <w:numId w:val="0"/>
        </w:numPr>
        <w:spacing w:after="0"/>
        <w:rPr>
          <w:color w:val="0066FF"/>
        </w:rPr>
      </w:pPr>
      <w:r w:rsidRPr="0046360F">
        <w:rPr>
          <w:noProof/>
        </w:rPr>
        <w:drawing>
          <wp:inline distT="0" distB="0" distL="0" distR="0" wp14:anchorId="5AA07593" wp14:editId="58CB6A68">
            <wp:extent cx="5676269" cy="3209925"/>
            <wp:effectExtent l="19050" t="19050" r="19685" b="9525"/>
            <wp:docPr id="5" name="Picture 5" title="Figure 3: Structur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991" r="953" b="2106"/>
                    <a:stretch/>
                  </pic:blipFill>
                  <pic:spPr bwMode="auto">
                    <a:xfrm>
                      <a:off x="0" y="0"/>
                      <a:ext cx="5676269" cy="320992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241B8E" w:rsidRPr="0046360F" w:rsidRDefault="00241B8E" w:rsidP="00240DAD">
      <w:pPr>
        <w:pStyle w:val="TableFooter"/>
        <w:keepNext/>
        <w:keepLines/>
      </w:pPr>
      <w:r w:rsidRPr="0046360F">
        <w:t>Source: Figure 3.1.2, p131 of the resubmission</w:t>
      </w:r>
    </w:p>
    <w:p w:rsidR="00241B8E" w:rsidRPr="0046360F" w:rsidRDefault="00241B8E" w:rsidP="00240DAD">
      <w:pPr>
        <w:pStyle w:val="TableFooter"/>
        <w:keepNext/>
        <w:keepLines/>
      </w:pPr>
      <w:r w:rsidRPr="0046360F">
        <w:t>Abbreviations: CV hosp, cardiovascular hospitalisation; mo, months; NYHA, New York Heart Association; Tx, transplant; VAD, ventricular assist device; w/i, within</w:t>
      </w:r>
    </w:p>
    <w:p w:rsidR="00241B8E" w:rsidRPr="0046360F" w:rsidRDefault="00241B8E" w:rsidP="00241B8E">
      <w:pPr>
        <w:pStyle w:val="ExecSumBodyText"/>
        <w:numPr>
          <w:ilvl w:val="1"/>
          <w:numId w:val="1"/>
        </w:numPr>
      </w:pPr>
      <w:r w:rsidRPr="0046360F">
        <w:t>Patients begin the model in the ‘NYHA I/II no CV hospitalisation within 6 months’ health state. During each 6-month cycle, patients can transition to another NYHA class and/or experience hospitalisation, or die. Additionally, patients in the tafamidis arm may discontinue drug treatment in each cycle.</w:t>
      </w:r>
    </w:p>
    <w:p w:rsidR="00241B8E" w:rsidRPr="0046360F" w:rsidRDefault="00241B8E" w:rsidP="00241B8E">
      <w:pPr>
        <w:pStyle w:val="ExecSumBodyText"/>
        <w:numPr>
          <w:ilvl w:val="1"/>
          <w:numId w:val="1"/>
        </w:numPr>
      </w:pPr>
      <w:r w:rsidRPr="0046360F">
        <w:t>While the July 2020 model assumed patients remain in their baseline NYHA class over the duration of the model, the new model structure allow</w:t>
      </w:r>
      <w:r w:rsidR="00B33F8B" w:rsidRPr="0046360F">
        <w:t>ed</w:t>
      </w:r>
      <w:r w:rsidRPr="0046360F">
        <w:t xml:space="preserve"> patients to </w:t>
      </w:r>
      <w:r w:rsidR="00CC21B2" w:rsidRPr="0046360F">
        <w:t xml:space="preserve">progress and regress </w:t>
      </w:r>
      <w:r w:rsidRPr="0046360F">
        <w:t>between NYHA class categories (NYHA I/II and NYHA III/IV).</w:t>
      </w:r>
    </w:p>
    <w:p w:rsidR="00241B8E" w:rsidRPr="0046360F" w:rsidRDefault="00241B8E" w:rsidP="00117B4A">
      <w:pPr>
        <w:pStyle w:val="ExecSumBodyText"/>
        <w:numPr>
          <w:ilvl w:val="1"/>
          <w:numId w:val="1"/>
        </w:numPr>
        <w:rPr>
          <w:iCs/>
        </w:rPr>
      </w:pPr>
      <w:r w:rsidRPr="0046360F">
        <w:t xml:space="preserve">The new model structure, with transitions between NYHA class, </w:t>
      </w:r>
      <w:r w:rsidR="0026392E" w:rsidRPr="0046360F">
        <w:t xml:space="preserve">CV </w:t>
      </w:r>
      <w:r w:rsidRPr="0046360F">
        <w:t>hospitalisation and death informed by individual patient data from the ATTR-ACT trial, link</w:t>
      </w:r>
      <w:r w:rsidR="00B33F8B" w:rsidRPr="0046360F">
        <w:t>ed</w:t>
      </w:r>
      <w:r w:rsidRPr="0046360F">
        <w:t xml:space="preserve"> </w:t>
      </w:r>
      <w:r w:rsidR="0026392E" w:rsidRPr="0046360F">
        <w:t xml:space="preserve">CV </w:t>
      </w:r>
      <w:r w:rsidRPr="0046360F">
        <w:t>hospitalisation and mortality, which was not explicitly modelled in the previous submission.</w:t>
      </w:r>
    </w:p>
    <w:p w:rsidR="00241B8E" w:rsidRPr="0046360F" w:rsidRDefault="00241B8E" w:rsidP="006C6F23">
      <w:pPr>
        <w:pStyle w:val="ExecSumBodyText"/>
        <w:rPr>
          <w:iCs/>
        </w:rPr>
      </w:pPr>
      <w:bookmarkStart w:id="36" w:name="_Ref69215366"/>
      <w:r w:rsidRPr="0046360F">
        <w:t xml:space="preserve">In the resubmission, individual patient data from the subgroup of patients from the ATTR-ACT trial with NYHA class I/II at baseline were used to derive transition probabilities for movement between NYHA class I/II and III/IV, </w:t>
      </w:r>
      <w:r w:rsidR="0026392E" w:rsidRPr="0046360F">
        <w:t>CV</w:t>
      </w:r>
      <w:r w:rsidRPr="0046360F">
        <w:t xml:space="preserve">-related hospitalisations, and death, over five six-monthly intervals (corresponding to the first five model cycles). </w:t>
      </w:r>
      <w:r w:rsidR="00742BA4" w:rsidRPr="0046360F">
        <w:t>S</w:t>
      </w:r>
      <w:r w:rsidR="006C6F23" w:rsidRPr="0046360F">
        <w:t xml:space="preserve">eparate transition probabilities were estimated for patients in the tafamidis and best supportive care arms. </w:t>
      </w:r>
      <w:r w:rsidRPr="0046360F">
        <w:rPr>
          <w:iCs/>
        </w:rPr>
        <w:t>The individual transitions between health states could not be verified during the evaluation.</w:t>
      </w:r>
      <w:bookmarkEnd w:id="36"/>
    </w:p>
    <w:p w:rsidR="00117B4A" w:rsidRPr="0046360F" w:rsidRDefault="007E3AEA" w:rsidP="00197F44">
      <w:pPr>
        <w:pStyle w:val="ExecSumBodyText"/>
        <w:numPr>
          <w:ilvl w:val="1"/>
          <w:numId w:val="1"/>
        </w:numPr>
        <w:rPr>
          <w:i/>
        </w:rPr>
      </w:pPr>
      <w:bookmarkStart w:id="37" w:name="_Ref69219687"/>
      <w:r w:rsidRPr="0046360F">
        <w:t>Th</w:t>
      </w:r>
      <w:r w:rsidR="00241B8E" w:rsidRPr="0046360F">
        <w:t xml:space="preserve">e use of composite NYHA class/hospitalisation health states, combined with individual cycle transitions over the first five 6-monthly model cycles, resulted in data sparseness issues, which was acknowledged in the resubmission. </w:t>
      </w:r>
      <w:r w:rsidR="00197F44" w:rsidRPr="0046360F">
        <w:t>For example, t</w:t>
      </w:r>
      <w:r w:rsidR="00197F44" w:rsidRPr="0046360F">
        <w:rPr>
          <w:iCs/>
        </w:rPr>
        <w:t xml:space="preserve">here were a number of inconsistencies in transition probabilities due to the small number of </w:t>
      </w:r>
      <w:r w:rsidR="00320B7D" w:rsidRPr="0046360F">
        <w:rPr>
          <w:iCs/>
        </w:rPr>
        <w:t>patients</w:t>
      </w:r>
      <w:r w:rsidR="00197F44" w:rsidRPr="0046360F">
        <w:rPr>
          <w:iCs/>
        </w:rPr>
        <w:t xml:space="preserve"> informing transitions (e.g. higher probabilities of death for </w:t>
      </w:r>
      <w:r w:rsidR="00320B7D" w:rsidRPr="0046360F">
        <w:rPr>
          <w:iCs/>
        </w:rPr>
        <w:t>patient</w:t>
      </w:r>
      <w:r w:rsidR="00197F44" w:rsidRPr="0046360F">
        <w:rPr>
          <w:iCs/>
        </w:rPr>
        <w:t>s with NYHA class I/II versus NYHA class III/IV; and for patients without a recent hospitalisation versus patients with a recent hospitalisation).</w:t>
      </w:r>
      <w:bookmarkEnd w:id="37"/>
      <w:r w:rsidR="00197F44" w:rsidRPr="0046360F">
        <w:rPr>
          <w:iCs/>
        </w:rPr>
        <w:t xml:space="preserve"> </w:t>
      </w:r>
    </w:p>
    <w:p w:rsidR="00197F44" w:rsidRPr="0046360F" w:rsidRDefault="00197F44" w:rsidP="001E250C">
      <w:pPr>
        <w:pStyle w:val="ExecSumBodyText"/>
      </w:pPr>
      <w:bookmarkStart w:id="38" w:name="_Ref69124537"/>
      <w:r w:rsidRPr="0046360F">
        <w:t>Transition probabilities beyond 30 months were assumed to be constant, based on weighted average estimates of the first five cycles of transitions from the ATTR-ACT trial.</w:t>
      </w:r>
      <w:r w:rsidR="00320B7D" w:rsidRPr="0046360F">
        <w:t xml:space="preserve"> </w:t>
      </w:r>
      <w:r w:rsidRPr="0046360F">
        <w:t>The use of average transition probabilities for cycles 6+ result</w:t>
      </w:r>
      <w:r w:rsidR="00CC21B2" w:rsidRPr="0046360F">
        <w:t>ed</w:t>
      </w:r>
      <w:r w:rsidRPr="0046360F">
        <w:t xml:space="preserve"> in constant transition probabilities over time for death</w:t>
      </w:r>
      <w:r w:rsidR="00F67246" w:rsidRPr="0046360F">
        <w:t xml:space="preserve"> and</w:t>
      </w:r>
      <w:r w:rsidRPr="0046360F">
        <w:t xml:space="preserve"> NYHA class transitions which </w:t>
      </w:r>
      <w:r w:rsidR="00CC21B2" w:rsidRPr="0046360F">
        <w:t xml:space="preserve">was </w:t>
      </w:r>
      <w:r w:rsidRPr="0046360F">
        <w:t xml:space="preserve">not appropriate, as </w:t>
      </w:r>
      <w:r w:rsidR="00F67246" w:rsidRPr="0046360F">
        <w:t>disease progression</w:t>
      </w:r>
      <w:r w:rsidRPr="0046360F">
        <w:t xml:space="preserve"> and mortality would generally be expected to increase with age and duration of disease</w:t>
      </w:r>
      <w:r w:rsidR="00CC21B2" w:rsidRPr="0046360F">
        <w:t xml:space="preserve">. This </w:t>
      </w:r>
      <w:r w:rsidR="003D0235" w:rsidRPr="0046360F">
        <w:t>approach resulted</w:t>
      </w:r>
      <w:r w:rsidRPr="0046360F">
        <w:t xml:space="preserve"> in probabilities of death from several health states that </w:t>
      </w:r>
      <w:r w:rsidR="00CC21B2" w:rsidRPr="0046360F">
        <w:t xml:space="preserve">were </w:t>
      </w:r>
      <w:r w:rsidRPr="0046360F">
        <w:t xml:space="preserve">lower than Australian general population estimates (see </w:t>
      </w:r>
      <w:r w:rsidR="00C170ED" w:rsidRPr="0046360F">
        <w:t xml:space="preserve">Table </w:t>
      </w:r>
      <w:r w:rsidR="00C170ED">
        <w:rPr>
          <w:noProof/>
        </w:rPr>
        <w:t>12</w:t>
      </w:r>
      <w:r w:rsidRPr="0046360F">
        <w:t>)</w:t>
      </w:r>
      <w:r w:rsidR="00C42C7D" w:rsidRPr="0046360F">
        <w:rPr>
          <w:iCs/>
        </w:rPr>
        <w:t xml:space="preserve">, which </w:t>
      </w:r>
      <w:r w:rsidR="00CC21B2" w:rsidRPr="0046360F">
        <w:rPr>
          <w:iCs/>
        </w:rPr>
        <w:t xml:space="preserve">was </w:t>
      </w:r>
      <w:r w:rsidR="00C42C7D" w:rsidRPr="0046360F">
        <w:rPr>
          <w:iCs/>
        </w:rPr>
        <w:t>not clinically plausible given the poor prognosis of ATTR-CM</w:t>
      </w:r>
      <w:r w:rsidRPr="0046360F">
        <w:t>.</w:t>
      </w:r>
      <w:r w:rsidR="00234CC2" w:rsidRPr="0046360F">
        <w:t xml:space="preserve"> The PSCR presented the results of a sensitivity analysis in which </w:t>
      </w:r>
      <w:r w:rsidR="0095769B" w:rsidRPr="0046360F">
        <w:t>the risk of death was increased by 5% (in relative terms) per six-month cycle, from cycle 7 (Year 4) onwards. This resulted in an ICER of $</w:t>
      </w:r>
      <w:r w:rsidR="00A006AD">
        <w:t>155,000 to &lt;$255,000</w:t>
      </w:r>
      <w:r w:rsidR="0095769B" w:rsidRPr="0046360F">
        <w:t xml:space="preserve"> per QALY (using the corrected model)</w:t>
      </w:r>
      <w:r w:rsidR="00DE0A68" w:rsidRPr="0046360F">
        <w:t xml:space="preserve"> versus the base case ICER of $</w:t>
      </w:r>
      <w:r w:rsidR="00A006AD">
        <w:t>155,000 to &lt;$255,000</w:t>
      </w:r>
      <w:r w:rsidR="00DE0A68" w:rsidRPr="0046360F">
        <w:t xml:space="preserve"> per QALY</w:t>
      </w:r>
      <w:r w:rsidR="0095769B" w:rsidRPr="0046360F">
        <w:t>, and all patients in the tafamidis arm had died by 20 years</w:t>
      </w:r>
      <w:r w:rsidR="00260408" w:rsidRPr="0046360F">
        <w:rPr>
          <w:i/>
        </w:rPr>
        <w:t>;</w:t>
      </w:r>
      <w:r w:rsidR="0095769B" w:rsidRPr="0046360F">
        <w:rPr>
          <w:i/>
        </w:rPr>
        <w:t xml:space="preserve"> </w:t>
      </w:r>
      <w:r w:rsidR="0095769B" w:rsidRPr="0046360F">
        <w:t>all patients in the best supportive care arm had died by 15 years.</w:t>
      </w:r>
      <w:r w:rsidR="0095769B" w:rsidRPr="0046360F">
        <w:rPr>
          <w:i/>
        </w:rPr>
        <w:t xml:space="preserve"> </w:t>
      </w:r>
      <w:r w:rsidR="0095769B" w:rsidRPr="0046360F">
        <w:t xml:space="preserve">The ESC considered that this analysis </w:t>
      </w:r>
      <w:r w:rsidR="007D4AAF" w:rsidRPr="0046360F">
        <w:t xml:space="preserve">did not adequately </w:t>
      </w:r>
      <w:r w:rsidR="00D95311" w:rsidRPr="0046360F">
        <w:t>address the issue</w:t>
      </w:r>
      <w:r w:rsidR="007D4AAF" w:rsidRPr="0046360F">
        <w:t>, which would require more comprehensive changes to the model</w:t>
      </w:r>
      <w:r w:rsidR="00D95311" w:rsidRPr="0046360F">
        <w:t>.</w:t>
      </w:r>
      <w:r w:rsidR="00597F10" w:rsidRPr="0046360F">
        <w:t xml:space="preserve"> </w:t>
      </w:r>
      <w:r w:rsidR="001E250C" w:rsidRPr="0046360F">
        <w:t xml:space="preserve">The pre-PBAC response conducted a similar analysis but using a 5.3% (rather than 5%) increase in the risk of death per six-month cycle, which it stated was based on mortality data from the </w:t>
      </w:r>
      <w:r w:rsidR="008E0519" w:rsidRPr="0046360F">
        <w:t xml:space="preserve">AIHW </w:t>
      </w:r>
      <w:r w:rsidR="001E250C" w:rsidRPr="0046360F">
        <w:t xml:space="preserve">General Record of Incidence of Mortality </w:t>
      </w:r>
      <w:r w:rsidR="008E0519" w:rsidRPr="0046360F">
        <w:t>b</w:t>
      </w:r>
      <w:r w:rsidR="001E250C" w:rsidRPr="0046360F">
        <w:t>ooks for 2018</w:t>
      </w:r>
      <w:r w:rsidR="003E7495" w:rsidRPr="0046360F">
        <w:rPr>
          <w:rStyle w:val="FootnoteReference"/>
        </w:rPr>
        <w:footnoteReference w:id="1"/>
      </w:r>
      <w:r w:rsidR="00CC21B2" w:rsidRPr="0046360F">
        <w:t xml:space="preserve">. This analysis </w:t>
      </w:r>
      <w:r w:rsidR="001E250C" w:rsidRPr="0046360F">
        <w:t>increased the ICER to $</w:t>
      </w:r>
      <w:r w:rsidR="00A006AD">
        <w:t>155,000 to &lt;$255,000</w:t>
      </w:r>
      <w:r w:rsidR="001E250C" w:rsidRPr="0046360F">
        <w:t xml:space="preserve"> per QALY (using the corrected model).</w:t>
      </w:r>
      <w:bookmarkEnd w:id="38"/>
      <w:r w:rsidR="001E250C" w:rsidRPr="0046360F">
        <w:t xml:space="preserve"> </w:t>
      </w:r>
    </w:p>
    <w:p w:rsidR="00197F44" w:rsidRPr="0046360F" w:rsidRDefault="00320B7D" w:rsidP="00197F44">
      <w:pPr>
        <w:pStyle w:val="ExecSumBodyText"/>
        <w:numPr>
          <w:ilvl w:val="1"/>
          <w:numId w:val="1"/>
        </w:numPr>
        <w:rPr>
          <w:iCs/>
        </w:rPr>
      </w:pPr>
      <w:r w:rsidRPr="0046360F">
        <w:rPr>
          <w:iCs/>
        </w:rPr>
        <w:t xml:space="preserve">The table below shows </w:t>
      </w:r>
      <w:r w:rsidR="00197F44" w:rsidRPr="0046360F">
        <w:rPr>
          <w:iCs/>
        </w:rPr>
        <w:t>health state transitions for heart failure</w:t>
      </w:r>
      <w:r w:rsidR="00260408" w:rsidRPr="0046360F">
        <w:rPr>
          <w:iCs/>
        </w:rPr>
        <w:t xml:space="preserve">, </w:t>
      </w:r>
      <w:r w:rsidR="00197F44" w:rsidRPr="0046360F">
        <w:rPr>
          <w:iCs/>
        </w:rPr>
        <w:t>simplified</w:t>
      </w:r>
      <w:r w:rsidRPr="0046360F">
        <w:rPr>
          <w:iCs/>
        </w:rPr>
        <w:t xml:space="preserve"> </w:t>
      </w:r>
      <w:r w:rsidR="00197F44" w:rsidRPr="0046360F">
        <w:rPr>
          <w:iCs/>
        </w:rPr>
        <w:t xml:space="preserve">by merging states with and without recent </w:t>
      </w:r>
      <w:r w:rsidRPr="0046360F">
        <w:rPr>
          <w:iCs/>
        </w:rPr>
        <w:t>cardiovascular hospitalisation</w:t>
      </w:r>
      <w:r w:rsidR="00197F44" w:rsidRPr="0046360F">
        <w:rPr>
          <w:iCs/>
        </w:rPr>
        <w:t>.</w:t>
      </w:r>
    </w:p>
    <w:p w:rsidR="00197F44" w:rsidRPr="0046360F" w:rsidRDefault="0029295E" w:rsidP="0029295E">
      <w:pPr>
        <w:pStyle w:val="Caption"/>
        <w:jc w:val="both"/>
        <w:rPr>
          <w:bCs w:val="0"/>
        </w:rPr>
      </w:pPr>
      <w:r w:rsidRPr="0046360F">
        <w:t xml:space="preserve">Table </w:t>
      </w:r>
      <w:r w:rsidR="00C170ED">
        <w:rPr>
          <w:noProof/>
        </w:rPr>
        <w:t>11</w:t>
      </w:r>
      <w:r w:rsidRPr="0046360F">
        <w:t xml:space="preserve">: </w:t>
      </w:r>
      <w:r w:rsidR="00197F44" w:rsidRPr="0046360F">
        <w:rPr>
          <w:bCs w:val="0"/>
        </w:rPr>
        <w:t>Simplified health state transitions (merging cardiovascular hospitalisation categories); weighted average across the five six-month periods of the ATTR-ACT trial</w:t>
      </w:r>
    </w:p>
    <w:tbl>
      <w:tblPr>
        <w:tblStyle w:val="TableGrid"/>
        <w:tblW w:w="5000" w:type="pct"/>
        <w:tblLook w:val="04A0" w:firstRow="1" w:lastRow="0" w:firstColumn="1" w:lastColumn="0" w:noHBand="0" w:noVBand="1"/>
        <w:tblCaption w:val="Table 11: Simplified health state transitions (merging cardiovascular hospitalisation categories); weighted average across the five six-month periods of the ATTR-ACT trial"/>
      </w:tblPr>
      <w:tblGrid>
        <w:gridCol w:w="1901"/>
        <w:gridCol w:w="1779"/>
        <w:gridCol w:w="1779"/>
        <w:gridCol w:w="1779"/>
        <w:gridCol w:w="1779"/>
      </w:tblGrid>
      <w:tr w:rsidR="00197F44" w:rsidRPr="0046360F" w:rsidTr="004D4611">
        <w:trPr>
          <w:tblHeader/>
        </w:trPr>
        <w:tc>
          <w:tcPr>
            <w:tcW w:w="1901" w:type="dxa"/>
            <w:noWrap/>
            <w:hideMark/>
          </w:tcPr>
          <w:p w:rsidR="00197F44" w:rsidRPr="0046360F" w:rsidRDefault="00197F44" w:rsidP="00260408">
            <w:pPr>
              <w:keepNext/>
              <w:keepLines/>
              <w:rPr>
                <w:rFonts w:ascii="Arial Narrow" w:hAnsi="Arial Narrow"/>
                <w:sz w:val="20"/>
                <w:szCs w:val="20"/>
              </w:rPr>
            </w:pPr>
          </w:p>
        </w:tc>
        <w:tc>
          <w:tcPr>
            <w:tcW w:w="7116" w:type="dxa"/>
            <w:gridSpan w:val="4"/>
            <w:noWrap/>
            <w:vAlign w:val="center"/>
          </w:tcPr>
          <w:p w:rsidR="00197F44" w:rsidRPr="0046360F" w:rsidRDefault="00197F44" w:rsidP="00260408">
            <w:pPr>
              <w:keepNext/>
              <w:keepLines/>
              <w:jc w:val="center"/>
              <w:rPr>
                <w:rFonts w:ascii="Arial Narrow" w:hAnsi="Arial Narrow"/>
                <w:b/>
                <w:bCs/>
                <w:sz w:val="20"/>
                <w:szCs w:val="20"/>
              </w:rPr>
            </w:pPr>
            <w:r w:rsidRPr="0046360F">
              <w:rPr>
                <w:rFonts w:ascii="Arial Narrow" w:hAnsi="Arial Narrow"/>
                <w:b/>
                <w:bCs/>
                <w:sz w:val="20"/>
                <w:szCs w:val="20"/>
              </w:rPr>
              <w:t>To</w:t>
            </w:r>
          </w:p>
        </w:tc>
      </w:tr>
      <w:tr w:rsidR="00197F44" w:rsidRPr="0046360F" w:rsidTr="00197F44">
        <w:tc>
          <w:tcPr>
            <w:tcW w:w="1901" w:type="dxa"/>
            <w:noWrap/>
          </w:tcPr>
          <w:p w:rsidR="00197F44" w:rsidRPr="0046360F" w:rsidRDefault="00197F44" w:rsidP="00260408">
            <w:pPr>
              <w:keepNext/>
              <w:keepLines/>
              <w:rPr>
                <w:rFonts w:ascii="Arial Narrow" w:hAnsi="Arial Narrow"/>
                <w:b/>
                <w:bCs/>
                <w:sz w:val="20"/>
                <w:szCs w:val="20"/>
              </w:rPr>
            </w:pPr>
            <w:r w:rsidRPr="0046360F">
              <w:rPr>
                <w:rFonts w:ascii="Arial Narrow" w:hAnsi="Arial Narrow"/>
                <w:b/>
                <w:bCs/>
                <w:sz w:val="20"/>
                <w:szCs w:val="20"/>
              </w:rPr>
              <w:t>From</w:t>
            </w:r>
          </w:p>
        </w:tc>
        <w:tc>
          <w:tcPr>
            <w:tcW w:w="1779" w:type="dxa"/>
            <w:noWrap/>
            <w:vAlign w:val="center"/>
          </w:tcPr>
          <w:p w:rsidR="00197F44" w:rsidRPr="0046360F" w:rsidRDefault="00197F44" w:rsidP="00260408">
            <w:pPr>
              <w:keepNext/>
              <w:keepLines/>
              <w:jc w:val="center"/>
              <w:rPr>
                <w:rFonts w:ascii="Arial Narrow" w:hAnsi="Arial Narrow"/>
                <w:b/>
                <w:bCs/>
                <w:sz w:val="20"/>
                <w:szCs w:val="20"/>
              </w:rPr>
            </w:pPr>
            <w:r w:rsidRPr="0046360F">
              <w:rPr>
                <w:rFonts w:ascii="Arial Narrow" w:hAnsi="Arial Narrow"/>
                <w:b/>
                <w:bCs/>
                <w:sz w:val="20"/>
                <w:szCs w:val="20"/>
              </w:rPr>
              <w:t>Death</w:t>
            </w:r>
          </w:p>
        </w:tc>
        <w:tc>
          <w:tcPr>
            <w:tcW w:w="1779" w:type="dxa"/>
            <w:noWrap/>
            <w:vAlign w:val="center"/>
          </w:tcPr>
          <w:p w:rsidR="00197F44" w:rsidRPr="0046360F" w:rsidRDefault="00197F44" w:rsidP="00260408">
            <w:pPr>
              <w:keepNext/>
              <w:keepLines/>
              <w:jc w:val="center"/>
              <w:rPr>
                <w:rFonts w:ascii="Arial Narrow" w:hAnsi="Arial Narrow"/>
                <w:b/>
                <w:bCs/>
                <w:sz w:val="20"/>
                <w:szCs w:val="20"/>
              </w:rPr>
            </w:pPr>
            <w:r w:rsidRPr="0046360F">
              <w:rPr>
                <w:rFonts w:ascii="Arial Narrow" w:hAnsi="Arial Narrow"/>
                <w:b/>
                <w:bCs/>
                <w:sz w:val="20"/>
                <w:szCs w:val="20"/>
              </w:rPr>
              <w:t>NYHA I/II</w:t>
            </w:r>
          </w:p>
        </w:tc>
        <w:tc>
          <w:tcPr>
            <w:tcW w:w="1779" w:type="dxa"/>
            <w:noWrap/>
            <w:vAlign w:val="center"/>
          </w:tcPr>
          <w:p w:rsidR="00197F44" w:rsidRPr="0046360F" w:rsidRDefault="00197F44" w:rsidP="00260408">
            <w:pPr>
              <w:keepNext/>
              <w:keepLines/>
              <w:jc w:val="center"/>
              <w:rPr>
                <w:rFonts w:ascii="Arial Narrow" w:hAnsi="Arial Narrow"/>
                <w:b/>
                <w:bCs/>
                <w:sz w:val="20"/>
                <w:szCs w:val="20"/>
              </w:rPr>
            </w:pPr>
            <w:r w:rsidRPr="0046360F">
              <w:rPr>
                <w:rFonts w:ascii="Arial Narrow" w:hAnsi="Arial Narrow"/>
                <w:b/>
                <w:bCs/>
                <w:sz w:val="20"/>
                <w:szCs w:val="20"/>
              </w:rPr>
              <w:t>NYHA III/IV</w:t>
            </w:r>
          </w:p>
        </w:tc>
        <w:tc>
          <w:tcPr>
            <w:tcW w:w="1779" w:type="dxa"/>
            <w:noWrap/>
            <w:vAlign w:val="center"/>
          </w:tcPr>
          <w:p w:rsidR="00197F44" w:rsidRPr="0046360F" w:rsidRDefault="00197F44" w:rsidP="00260408">
            <w:pPr>
              <w:keepNext/>
              <w:keepLines/>
              <w:jc w:val="center"/>
              <w:rPr>
                <w:rFonts w:ascii="Arial Narrow" w:hAnsi="Arial Narrow"/>
                <w:b/>
                <w:bCs/>
                <w:sz w:val="20"/>
                <w:szCs w:val="20"/>
              </w:rPr>
            </w:pPr>
            <w:r w:rsidRPr="0046360F">
              <w:rPr>
                <w:rFonts w:ascii="Arial Narrow" w:hAnsi="Arial Narrow"/>
                <w:b/>
                <w:bCs/>
                <w:sz w:val="20"/>
                <w:szCs w:val="20"/>
              </w:rPr>
              <w:t>Total</w:t>
            </w:r>
          </w:p>
        </w:tc>
      </w:tr>
      <w:tr w:rsidR="00197F44" w:rsidRPr="0046360F" w:rsidTr="00197F44">
        <w:tc>
          <w:tcPr>
            <w:tcW w:w="9017" w:type="dxa"/>
            <w:gridSpan w:val="5"/>
            <w:noWrap/>
            <w:hideMark/>
          </w:tcPr>
          <w:p w:rsidR="00197F44" w:rsidRPr="0046360F" w:rsidRDefault="00197F44" w:rsidP="00260408">
            <w:pPr>
              <w:keepNext/>
              <w:keepLines/>
              <w:jc w:val="left"/>
              <w:rPr>
                <w:rFonts w:ascii="Arial Narrow" w:hAnsi="Arial Narrow"/>
                <w:b/>
                <w:bCs/>
                <w:sz w:val="20"/>
                <w:szCs w:val="20"/>
              </w:rPr>
            </w:pPr>
            <w:r w:rsidRPr="0046360F">
              <w:rPr>
                <w:rFonts w:ascii="Arial Narrow" w:hAnsi="Arial Narrow"/>
                <w:b/>
                <w:bCs/>
                <w:sz w:val="20"/>
                <w:szCs w:val="20"/>
              </w:rPr>
              <w:t>Tafamidis</w:t>
            </w:r>
          </w:p>
        </w:tc>
      </w:tr>
      <w:tr w:rsidR="00197F44" w:rsidRPr="0046360F" w:rsidTr="00197F44">
        <w:tc>
          <w:tcPr>
            <w:tcW w:w="1901" w:type="dxa"/>
            <w:noWrap/>
            <w:hideMark/>
          </w:tcPr>
          <w:p w:rsidR="00197F44" w:rsidRPr="0046360F" w:rsidRDefault="00197F44" w:rsidP="00260408">
            <w:pPr>
              <w:keepNext/>
              <w:keepLines/>
              <w:rPr>
                <w:rFonts w:ascii="Arial Narrow" w:hAnsi="Arial Narrow"/>
                <w:sz w:val="20"/>
                <w:szCs w:val="20"/>
              </w:rPr>
            </w:pPr>
            <w:r w:rsidRPr="0046360F">
              <w:rPr>
                <w:rFonts w:ascii="Arial Narrow" w:hAnsi="Arial Narrow"/>
                <w:sz w:val="20"/>
                <w:szCs w:val="20"/>
              </w:rPr>
              <w:t>NYHA I/II</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1.7%</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84.7%</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13.6%</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100.0%</w:t>
            </w:r>
          </w:p>
        </w:tc>
      </w:tr>
      <w:tr w:rsidR="00197F44" w:rsidRPr="0046360F" w:rsidTr="00197F44">
        <w:tc>
          <w:tcPr>
            <w:tcW w:w="1901" w:type="dxa"/>
            <w:noWrap/>
            <w:hideMark/>
          </w:tcPr>
          <w:p w:rsidR="00197F44" w:rsidRPr="0046360F" w:rsidRDefault="00197F44" w:rsidP="00260408">
            <w:pPr>
              <w:keepNext/>
              <w:keepLines/>
              <w:rPr>
                <w:rFonts w:ascii="Arial Narrow" w:hAnsi="Arial Narrow"/>
                <w:sz w:val="20"/>
                <w:szCs w:val="20"/>
              </w:rPr>
            </w:pPr>
            <w:r w:rsidRPr="0046360F">
              <w:rPr>
                <w:rFonts w:ascii="Arial Narrow" w:hAnsi="Arial Narrow"/>
                <w:sz w:val="20"/>
                <w:szCs w:val="20"/>
              </w:rPr>
              <w:t>NYHA III/IV</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10.0%</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36.4%</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53.6%</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100.0%</w:t>
            </w:r>
          </w:p>
        </w:tc>
      </w:tr>
      <w:tr w:rsidR="00197F44" w:rsidRPr="0046360F" w:rsidTr="00197F44">
        <w:tc>
          <w:tcPr>
            <w:tcW w:w="9017" w:type="dxa"/>
            <w:gridSpan w:val="5"/>
            <w:noWrap/>
            <w:hideMark/>
          </w:tcPr>
          <w:p w:rsidR="00197F44" w:rsidRPr="0046360F" w:rsidRDefault="00197F44" w:rsidP="00260408">
            <w:pPr>
              <w:keepNext/>
              <w:keepLines/>
              <w:jc w:val="left"/>
              <w:rPr>
                <w:rFonts w:ascii="Arial Narrow" w:hAnsi="Arial Narrow"/>
                <w:b/>
                <w:bCs/>
                <w:sz w:val="20"/>
                <w:szCs w:val="20"/>
              </w:rPr>
            </w:pPr>
            <w:r w:rsidRPr="0046360F">
              <w:rPr>
                <w:rFonts w:ascii="Arial Narrow" w:hAnsi="Arial Narrow"/>
                <w:b/>
                <w:bCs/>
                <w:sz w:val="20"/>
                <w:szCs w:val="20"/>
              </w:rPr>
              <w:t>Best supportive care</w:t>
            </w:r>
          </w:p>
        </w:tc>
      </w:tr>
      <w:tr w:rsidR="00197F44" w:rsidRPr="0046360F" w:rsidTr="00197F44">
        <w:tc>
          <w:tcPr>
            <w:tcW w:w="1901" w:type="dxa"/>
            <w:noWrap/>
            <w:hideMark/>
          </w:tcPr>
          <w:p w:rsidR="00197F44" w:rsidRPr="0046360F" w:rsidRDefault="00197F44" w:rsidP="00260408">
            <w:pPr>
              <w:keepNext/>
              <w:keepLines/>
              <w:rPr>
                <w:rFonts w:ascii="Arial Narrow" w:hAnsi="Arial Narrow"/>
                <w:sz w:val="20"/>
                <w:szCs w:val="20"/>
              </w:rPr>
            </w:pPr>
            <w:r w:rsidRPr="0046360F">
              <w:rPr>
                <w:rFonts w:ascii="Arial Narrow" w:hAnsi="Arial Narrow"/>
                <w:sz w:val="20"/>
                <w:szCs w:val="20"/>
              </w:rPr>
              <w:t>NYHA I/II</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4.5%</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75.4%</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20.1%</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100.0%</w:t>
            </w:r>
          </w:p>
        </w:tc>
      </w:tr>
      <w:tr w:rsidR="00197F44" w:rsidRPr="0046360F" w:rsidTr="00197F44">
        <w:tc>
          <w:tcPr>
            <w:tcW w:w="1901" w:type="dxa"/>
            <w:noWrap/>
            <w:hideMark/>
          </w:tcPr>
          <w:p w:rsidR="00197F44" w:rsidRPr="0046360F" w:rsidRDefault="00197F44" w:rsidP="00260408">
            <w:pPr>
              <w:keepNext/>
              <w:keepLines/>
              <w:rPr>
                <w:rFonts w:ascii="Arial Narrow" w:hAnsi="Arial Narrow"/>
                <w:sz w:val="20"/>
                <w:szCs w:val="20"/>
              </w:rPr>
            </w:pPr>
            <w:r w:rsidRPr="0046360F">
              <w:rPr>
                <w:rFonts w:ascii="Arial Narrow" w:hAnsi="Arial Narrow"/>
                <w:sz w:val="20"/>
                <w:szCs w:val="20"/>
              </w:rPr>
              <w:t>NYHA III/IV</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10.2%</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29.5%</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60.2%</w:t>
            </w:r>
          </w:p>
        </w:tc>
        <w:tc>
          <w:tcPr>
            <w:tcW w:w="1779" w:type="dxa"/>
            <w:noWrap/>
            <w:vAlign w:val="center"/>
            <w:hideMark/>
          </w:tcPr>
          <w:p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100.0%</w:t>
            </w:r>
          </w:p>
        </w:tc>
      </w:tr>
    </w:tbl>
    <w:p w:rsidR="00197F44" w:rsidRPr="0046360F" w:rsidRDefault="00197F44" w:rsidP="00260408">
      <w:pPr>
        <w:pStyle w:val="TableFooter"/>
        <w:keepNext/>
        <w:keepLines/>
      </w:pPr>
      <w:r w:rsidRPr="0046360F">
        <w:t>Source: constructed during the evaluation based on Tables 3.4.1 and 3.4.2, pp146-147 of the resubmission</w:t>
      </w:r>
    </w:p>
    <w:p w:rsidR="00197F44" w:rsidRPr="0046360F" w:rsidRDefault="00197F44" w:rsidP="00260408">
      <w:pPr>
        <w:pStyle w:val="TableFooter"/>
        <w:keepNext/>
        <w:keepLines/>
      </w:pPr>
      <w:r w:rsidRPr="0046360F">
        <w:t>Abbreviations: NYHA, New York Heart Association</w:t>
      </w:r>
    </w:p>
    <w:p w:rsidR="00197F44" w:rsidRPr="0046360F" w:rsidRDefault="00320B7D" w:rsidP="00DA5C78">
      <w:pPr>
        <w:pStyle w:val="ExecSumBodyText"/>
      </w:pPr>
      <w:r w:rsidRPr="0046360F">
        <w:t xml:space="preserve">The ESC noted that the model estimated that 36.4% and 29.5% of patients would experience an improvement from NYHA </w:t>
      </w:r>
      <w:r w:rsidR="00260408" w:rsidRPr="0046360F">
        <w:t>c</w:t>
      </w:r>
      <w:r w:rsidRPr="0046360F">
        <w:t xml:space="preserve">lass III/IV to </w:t>
      </w:r>
      <w:r w:rsidR="00260408" w:rsidRPr="0046360F">
        <w:t xml:space="preserve">class </w:t>
      </w:r>
      <w:r w:rsidRPr="0046360F">
        <w:t xml:space="preserve">I/II over six months in the tafamidis and best supportive care arms, respectively. The </w:t>
      </w:r>
      <w:r w:rsidR="00DA5C78" w:rsidRPr="0046360F">
        <w:rPr>
          <w:iCs/>
        </w:rPr>
        <w:t>PBAC considered that a proportion of patients may improve in the first cycle, but that this was unlikely to continue for the duration of the model.</w:t>
      </w:r>
    </w:p>
    <w:p w:rsidR="00B820BD" w:rsidRPr="0046360F" w:rsidRDefault="00B820BD" w:rsidP="00597F10">
      <w:pPr>
        <w:pStyle w:val="ExecSumBodyText"/>
        <w:rPr>
          <w:i/>
        </w:rPr>
      </w:pPr>
      <w:bookmarkStart w:id="39" w:name="_Ref69124590"/>
      <w:r w:rsidRPr="0046360F">
        <w:t>As in the previous model, the current model inappropriately assumed maintenance of treatment effect following treatment discontinuation, with the same treatment effects applied in Year 18 (with only 32% of patients on treatment) as the first 2.5 years (with 86% of patients on treatment). The PBAC previously considered that this was inappropriate as increasing proportions of patients discontinue over time and spend longer durations without therapy. This represent</w:t>
      </w:r>
      <w:r w:rsidR="00175E84" w:rsidRPr="0046360F">
        <w:t>ed</w:t>
      </w:r>
      <w:r w:rsidRPr="0046360F">
        <w:t xml:space="preserve"> a major bias in favour tafamidis as it result</w:t>
      </w:r>
      <w:r w:rsidR="00175E84" w:rsidRPr="0046360F">
        <w:t>ed</w:t>
      </w:r>
      <w:r w:rsidRPr="0046360F">
        <w:t xml:space="preserve"> in substantially reduced drug costs without reduced efficacy</w:t>
      </w:r>
      <w:r w:rsidRPr="0046360F">
        <w:rPr>
          <w:i/>
        </w:rPr>
        <w:t>.</w:t>
      </w:r>
      <w:r w:rsidR="00234CC2" w:rsidRPr="0046360F">
        <w:rPr>
          <w:i/>
        </w:rPr>
        <w:t xml:space="preserve"> </w:t>
      </w:r>
      <w:r w:rsidR="00234CC2" w:rsidRPr="0046360F">
        <w:rPr>
          <w:iCs/>
        </w:rPr>
        <w:t xml:space="preserve">The PSCR argued that the model used intention-to-treat results from ATTR-ACT and hence the treatment effects observed took into account treatment discontinuation. However, the </w:t>
      </w:r>
      <w:r w:rsidR="00EA03E2" w:rsidRPr="0046360F">
        <w:rPr>
          <w:iCs/>
        </w:rPr>
        <w:t>ESC</w:t>
      </w:r>
      <w:r w:rsidR="00234CC2" w:rsidRPr="0046360F">
        <w:rPr>
          <w:iCs/>
        </w:rPr>
        <w:t xml:space="preserve"> considered that while this may be reasonable for the 30 month trial period, the implicit association between clinical outcomes and discontinuations observed in the trial </w:t>
      </w:r>
      <w:r w:rsidR="00175E84" w:rsidRPr="0046360F">
        <w:rPr>
          <w:iCs/>
        </w:rPr>
        <w:t xml:space="preserve">was </w:t>
      </w:r>
      <w:r w:rsidR="00234CC2" w:rsidRPr="0046360F">
        <w:rPr>
          <w:iCs/>
        </w:rPr>
        <w:t>unlikely to be maintained over time.</w:t>
      </w:r>
      <w:r w:rsidR="00EA03E2" w:rsidRPr="0046360F">
        <w:t xml:space="preserve"> </w:t>
      </w:r>
      <w:r w:rsidR="00DE0A68" w:rsidRPr="0046360F">
        <w:t>The pre-PBAC response</w:t>
      </w:r>
      <w:r w:rsidR="008A50B7" w:rsidRPr="0046360F">
        <w:t xml:space="preserve"> </w:t>
      </w:r>
      <w:r w:rsidR="00DE0A68" w:rsidRPr="0046360F">
        <w:t xml:space="preserve"> attempted to</w:t>
      </w:r>
      <w:r w:rsidR="00DE0A68" w:rsidRPr="0046360F">
        <w:rPr>
          <w:iCs/>
        </w:rPr>
        <w:t xml:space="preserve"> account for treatment discontinuation by conducting a sensitivity analysis in which, from Cycle 7 onwards, the probabilities of death from the placebo arm were applied to the proportions of patients who discontinue tafamidis, which increased the ICER to $</w:t>
      </w:r>
      <w:r w:rsidR="00A006AD">
        <w:rPr>
          <w:iCs/>
        </w:rPr>
        <w:t>155,000</w:t>
      </w:r>
      <w:r w:rsidR="00576CDE">
        <w:rPr>
          <w:iCs/>
        </w:rPr>
        <w:t xml:space="preserve"> </w:t>
      </w:r>
      <w:r w:rsidR="00A006AD">
        <w:rPr>
          <w:iCs/>
        </w:rPr>
        <w:t>to &lt;$255,000</w:t>
      </w:r>
      <w:r w:rsidR="003834DA">
        <w:rPr>
          <w:iCs/>
        </w:rPr>
        <w:t>/QALY gained</w:t>
      </w:r>
      <w:r w:rsidR="00DE0A68" w:rsidRPr="0046360F">
        <w:rPr>
          <w:iCs/>
        </w:rPr>
        <w:t xml:space="preserve"> (using the corrected model). No adjustment was made to any other transition probabilities</w:t>
      </w:r>
      <w:r w:rsidR="00175E84" w:rsidRPr="0046360F">
        <w:rPr>
          <w:iCs/>
        </w:rPr>
        <w:t>, for example, tafamidis-</w:t>
      </w:r>
      <w:r w:rsidR="00DE0A68" w:rsidRPr="0046360F">
        <w:rPr>
          <w:iCs/>
        </w:rPr>
        <w:t>treated patients who discontinued treatment maintained a treatment benefit in terms of hospitalisation and NYHA progression/regression. This generated an indirect mortality benefit, and thus the sensitivity analysis only partially corrected the issue.</w:t>
      </w:r>
      <w:bookmarkEnd w:id="39"/>
    </w:p>
    <w:p w:rsidR="00337E52" w:rsidRPr="0046360F" w:rsidRDefault="009E6BD1" w:rsidP="009E6BD1">
      <w:pPr>
        <w:pStyle w:val="ExecSumBodyText"/>
      </w:pPr>
      <w:bookmarkStart w:id="40" w:name="_Ref65052205"/>
      <w:r w:rsidRPr="0046360F">
        <w:t xml:space="preserve">The ESC </w:t>
      </w:r>
      <w:r w:rsidR="007E082A" w:rsidRPr="0046360F">
        <w:t xml:space="preserve">considered potential </w:t>
      </w:r>
      <w:r w:rsidRPr="0046360F">
        <w:t>alternative model structure</w:t>
      </w:r>
      <w:r w:rsidR="007E082A" w:rsidRPr="0046360F">
        <w:t>s</w:t>
      </w:r>
      <w:r w:rsidR="00E36B7A" w:rsidRPr="0046360F">
        <w:t xml:space="preserve"> and modelling approaches</w:t>
      </w:r>
      <w:r w:rsidR="007E082A" w:rsidRPr="0046360F">
        <w:t xml:space="preserve">. </w:t>
      </w:r>
      <w:r w:rsidR="00D25711" w:rsidRPr="0046360F">
        <w:t>The ESC considered</w:t>
      </w:r>
      <w:r w:rsidR="00337E52" w:rsidRPr="0046360F">
        <w:t xml:space="preserve"> that:</w:t>
      </w:r>
      <w:bookmarkEnd w:id="40"/>
    </w:p>
    <w:p w:rsidR="00337E52" w:rsidRPr="0046360F" w:rsidRDefault="00DE0A68" w:rsidP="001F43FC">
      <w:pPr>
        <w:pStyle w:val="ExecSumBodyText"/>
        <w:numPr>
          <w:ilvl w:val="0"/>
          <w:numId w:val="9"/>
        </w:numPr>
        <w:spacing w:after="0"/>
      </w:pPr>
      <w:r w:rsidRPr="0046360F">
        <w:t xml:space="preserve">Given the sparsity of data arising from the use of composite NYHA class/hospitalisation health states, </w:t>
      </w:r>
      <w:r w:rsidR="00CC3BBE" w:rsidRPr="0046360F">
        <w:t>i</w:t>
      </w:r>
      <w:r w:rsidR="00D25711" w:rsidRPr="0046360F">
        <w:t xml:space="preserve">t may be appropriate to apply </w:t>
      </w:r>
      <w:r w:rsidR="009E6BD1" w:rsidRPr="0046360F">
        <w:t>state-specific CV hospitalisation rates to inform the estimation of the health state costs (including exploration of CV hospitalisation rates increasing over time)</w:t>
      </w:r>
      <w:r w:rsidR="00C7606A" w:rsidRPr="0046360F">
        <w:t>, rather than specifying separate CV hospitalisation states</w:t>
      </w:r>
      <w:r w:rsidR="00337E52" w:rsidRPr="0046360F">
        <w:t>.</w:t>
      </w:r>
      <w:r w:rsidR="00CB76C2" w:rsidRPr="0046360F">
        <w:t xml:space="preserve"> </w:t>
      </w:r>
      <w:r w:rsidRPr="0046360F">
        <w:t xml:space="preserve">Given the resubmission appropriately altered the model so that patients no longer remain in the same NYHA class over the duration of the model, this </w:t>
      </w:r>
      <w:r w:rsidR="00BA1552" w:rsidRPr="0046360F">
        <w:t>may</w:t>
      </w:r>
      <w:r w:rsidRPr="0046360F">
        <w:t xml:space="preserve"> also address the PBAC’s previous concerns that a constant probability of hospitalisation was applied over the duration of the model (para</w:t>
      </w:r>
      <w:r w:rsidR="00BA1552" w:rsidRPr="0046360F">
        <w:t xml:space="preserve">graph 7.12, tafamidis </w:t>
      </w:r>
      <w:r w:rsidRPr="0046360F">
        <w:t>PSD</w:t>
      </w:r>
      <w:r w:rsidR="00BA1552" w:rsidRPr="0046360F">
        <w:t xml:space="preserve"> July 20</w:t>
      </w:r>
      <w:r w:rsidR="009E4ACB" w:rsidRPr="0046360F">
        <w:t>20</w:t>
      </w:r>
      <w:r w:rsidR="00BA1552" w:rsidRPr="0046360F">
        <w:t>).</w:t>
      </w:r>
    </w:p>
    <w:p w:rsidR="0075254B" w:rsidRPr="0046360F" w:rsidRDefault="00CB76C2" w:rsidP="001F43FC">
      <w:pPr>
        <w:pStyle w:val="ListParagraph"/>
        <w:numPr>
          <w:ilvl w:val="0"/>
          <w:numId w:val="9"/>
        </w:numPr>
      </w:pPr>
      <w:r w:rsidRPr="0046360F">
        <w:t>I</w:t>
      </w:r>
      <w:r w:rsidR="00E36B7A" w:rsidRPr="0046360F">
        <w:t xml:space="preserve">t may be appropriate </w:t>
      </w:r>
      <w:r w:rsidR="00193EF1" w:rsidRPr="0046360F">
        <w:t xml:space="preserve">to use parametric functions to estimate times to events, e.g. </w:t>
      </w:r>
      <w:r w:rsidR="00337E52" w:rsidRPr="0046360F">
        <w:t>time to NYHA class III/IV (with and without tafamidis), and time to death (</w:t>
      </w:r>
      <w:r w:rsidR="00975595" w:rsidRPr="0046360F">
        <w:t>by NYHA</w:t>
      </w:r>
      <w:r w:rsidR="00711216" w:rsidRPr="0046360F">
        <w:t xml:space="preserve"> state and </w:t>
      </w:r>
      <w:r w:rsidR="007619BE" w:rsidRPr="0046360F">
        <w:t>t</w:t>
      </w:r>
      <w:r w:rsidR="00711216" w:rsidRPr="0046360F">
        <w:t>afamidis exposure)</w:t>
      </w:r>
      <w:r w:rsidR="0075254B" w:rsidRPr="0046360F">
        <w:t>.</w:t>
      </w:r>
    </w:p>
    <w:p w:rsidR="00E36B7A" w:rsidRPr="0046360F" w:rsidRDefault="00711216" w:rsidP="001F43FC">
      <w:pPr>
        <w:pStyle w:val="ListParagraph"/>
        <w:numPr>
          <w:ilvl w:val="0"/>
          <w:numId w:val="9"/>
        </w:numPr>
        <w:spacing w:after="120"/>
        <w:ind w:left="1077" w:hanging="357"/>
        <w:rPr>
          <w:rFonts w:asciiTheme="minorHAnsi" w:hAnsiTheme="minorHAnsi"/>
          <w:snapToGrid w:val="0"/>
        </w:rPr>
      </w:pPr>
      <w:r w:rsidRPr="0046360F">
        <w:rPr>
          <w:rFonts w:asciiTheme="minorHAnsi" w:hAnsiTheme="minorHAnsi"/>
          <w:snapToGrid w:val="0"/>
        </w:rPr>
        <w:t>Additional justification is require</w:t>
      </w:r>
      <w:r w:rsidR="00E9305F" w:rsidRPr="0046360F">
        <w:rPr>
          <w:rFonts w:asciiTheme="minorHAnsi" w:hAnsiTheme="minorHAnsi"/>
          <w:snapToGrid w:val="0"/>
        </w:rPr>
        <w:t xml:space="preserve">d to support the modelled </w:t>
      </w:r>
      <w:r w:rsidR="00E36B7A" w:rsidRPr="0046360F">
        <w:rPr>
          <w:rFonts w:asciiTheme="minorHAnsi" w:hAnsiTheme="minorHAnsi"/>
          <w:snapToGrid w:val="0"/>
        </w:rPr>
        <w:t>regress</w:t>
      </w:r>
      <w:r w:rsidR="00E9305F" w:rsidRPr="0046360F">
        <w:rPr>
          <w:rFonts w:asciiTheme="minorHAnsi" w:hAnsiTheme="minorHAnsi"/>
          <w:snapToGrid w:val="0"/>
        </w:rPr>
        <w:t>ion</w:t>
      </w:r>
      <w:r w:rsidR="00E36B7A" w:rsidRPr="0046360F">
        <w:rPr>
          <w:rFonts w:asciiTheme="minorHAnsi" w:hAnsiTheme="minorHAnsi"/>
          <w:snapToGrid w:val="0"/>
        </w:rPr>
        <w:t xml:space="preserve"> from NYHA class III/IV to class I/II. </w:t>
      </w:r>
    </w:p>
    <w:p w:rsidR="0011356D" w:rsidRPr="0046360F" w:rsidRDefault="00734E75" w:rsidP="0011356D">
      <w:pPr>
        <w:pStyle w:val="ListParagraph"/>
        <w:numPr>
          <w:ilvl w:val="0"/>
          <w:numId w:val="9"/>
        </w:numPr>
        <w:spacing w:after="240"/>
      </w:pPr>
      <w:r w:rsidRPr="0046360F">
        <w:t>As per the previous submission, a</w:t>
      </w:r>
      <w:r w:rsidR="009B5EC8" w:rsidRPr="0046360F">
        <w:t xml:space="preserve"> method to link </w:t>
      </w:r>
      <w:r w:rsidR="00E36B7A" w:rsidRPr="0046360F">
        <w:t xml:space="preserve">discontinuations to treatment effectiveness would be required. </w:t>
      </w:r>
    </w:p>
    <w:p w:rsidR="00CB76C2" w:rsidRPr="0046360F" w:rsidRDefault="0011356D" w:rsidP="0011356D">
      <w:pPr>
        <w:pStyle w:val="ListParagraph"/>
        <w:numPr>
          <w:ilvl w:val="0"/>
          <w:numId w:val="9"/>
        </w:numPr>
        <w:spacing w:after="240"/>
      </w:pPr>
      <w:r w:rsidRPr="0046360F">
        <w:t>P</w:t>
      </w:r>
      <w:r w:rsidR="009B5EC8" w:rsidRPr="0046360F">
        <w:t xml:space="preserve">arameterisation of </w:t>
      </w:r>
      <w:r w:rsidR="00741413" w:rsidRPr="0046360F">
        <w:t xml:space="preserve">any </w:t>
      </w:r>
      <w:r w:rsidR="009B5EC8" w:rsidRPr="0046360F">
        <w:t xml:space="preserve">model </w:t>
      </w:r>
      <w:r w:rsidR="00741413" w:rsidRPr="0046360F">
        <w:t xml:space="preserve">structure </w:t>
      </w:r>
      <w:r w:rsidR="009B5EC8" w:rsidRPr="0046360F">
        <w:t>would not be straightforward</w:t>
      </w:r>
      <w:r w:rsidR="00E36B7A" w:rsidRPr="0046360F">
        <w:t>.</w:t>
      </w:r>
    </w:p>
    <w:p w:rsidR="00241B8E" w:rsidRPr="0046360F" w:rsidRDefault="00241B8E" w:rsidP="00241B8E">
      <w:pPr>
        <w:pStyle w:val="ExecSumBodyText"/>
        <w:numPr>
          <w:ilvl w:val="1"/>
          <w:numId w:val="1"/>
        </w:numPr>
      </w:pPr>
      <w:r w:rsidRPr="0046360F">
        <w:t>Key drivers of the economic model are summarised in the table below.</w:t>
      </w:r>
    </w:p>
    <w:p w:rsidR="00241B8E" w:rsidRPr="0046360F" w:rsidRDefault="00241B8E" w:rsidP="00240DAD">
      <w:pPr>
        <w:pStyle w:val="TableFigureCaption"/>
        <w:keepLines/>
      </w:pPr>
      <w:bookmarkStart w:id="41" w:name="_Ref62489183"/>
      <w:r w:rsidRPr="0046360F">
        <w:t xml:space="preserve">Table </w:t>
      </w:r>
      <w:r w:rsidR="00C170ED">
        <w:rPr>
          <w:noProof/>
        </w:rPr>
        <w:t>12</w:t>
      </w:r>
      <w:bookmarkEnd w:id="41"/>
      <w:r w:rsidRPr="0046360F">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6662"/>
        <w:gridCol w:w="1084"/>
      </w:tblGrid>
      <w:tr w:rsidR="00241B8E" w:rsidRPr="0046360F" w:rsidTr="00221DAD">
        <w:trPr>
          <w:tblHeader/>
        </w:trPr>
        <w:tc>
          <w:tcPr>
            <w:tcW w:w="705" w:type="pct"/>
            <w:shd w:val="clear" w:color="auto" w:fill="auto"/>
            <w:vAlign w:val="center"/>
          </w:tcPr>
          <w:p w:rsidR="00241B8E" w:rsidRPr="0046360F" w:rsidRDefault="00241B8E" w:rsidP="00240DAD">
            <w:pPr>
              <w:pStyle w:val="Tableheadingrow"/>
              <w:keepLines/>
              <w:widowControl w:val="0"/>
              <w:jc w:val="center"/>
              <w:rPr>
                <w:lang w:val="en-AU"/>
              </w:rPr>
            </w:pPr>
            <w:r w:rsidRPr="0046360F">
              <w:rPr>
                <w:lang w:val="en-AU"/>
              </w:rPr>
              <w:t>Description</w:t>
            </w:r>
          </w:p>
        </w:tc>
        <w:tc>
          <w:tcPr>
            <w:tcW w:w="3694" w:type="pct"/>
            <w:shd w:val="clear" w:color="auto" w:fill="auto"/>
            <w:vAlign w:val="center"/>
          </w:tcPr>
          <w:p w:rsidR="00241B8E" w:rsidRPr="0046360F" w:rsidRDefault="00241B8E" w:rsidP="00240DAD">
            <w:pPr>
              <w:pStyle w:val="Tableheadingrow"/>
              <w:keepLines/>
              <w:widowControl w:val="0"/>
              <w:jc w:val="center"/>
              <w:rPr>
                <w:lang w:val="en-AU"/>
              </w:rPr>
            </w:pPr>
            <w:r w:rsidRPr="0046360F">
              <w:rPr>
                <w:lang w:val="en-AU"/>
              </w:rPr>
              <w:t>Method/Value</w:t>
            </w:r>
          </w:p>
        </w:tc>
        <w:tc>
          <w:tcPr>
            <w:tcW w:w="601" w:type="pct"/>
            <w:shd w:val="clear" w:color="auto" w:fill="auto"/>
            <w:vAlign w:val="center"/>
          </w:tcPr>
          <w:p w:rsidR="00241B8E" w:rsidRPr="0046360F" w:rsidRDefault="00241B8E" w:rsidP="00240DAD">
            <w:pPr>
              <w:pStyle w:val="Tableheadingrow"/>
              <w:keepLines/>
              <w:widowControl w:val="0"/>
              <w:jc w:val="center"/>
              <w:rPr>
                <w:lang w:val="en-AU"/>
              </w:rPr>
            </w:pPr>
            <w:r w:rsidRPr="0046360F">
              <w:rPr>
                <w:lang w:val="en-AU"/>
              </w:rPr>
              <w:t>Impact</w:t>
            </w:r>
          </w:p>
        </w:tc>
      </w:tr>
      <w:tr w:rsidR="00241B8E" w:rsidRPr="0046360F" w:rsidTr="00221DAD">
        <w:tc>
          <w:tcPr>
            <w:tcW w:w="705" w:type="pct"/>
            <w:shd w:val="clear" w:color="auto" w:fill="auto"/>
            <w:vAlign w:val="center"/>
          </w:tcPr>
          <w:p w:rsidR="00241B8E" w:rsidRPr="0046360F" w:rsidRDefault="00241B8E" w:rsidP="00240DAD">
            <w:pPr>
              <w:pStyle w:val="TableText"/>
              <w:keepLines/>
              <w:widowControl w:val="0"/>
              <w:jc w:val="center"/>
            </w:pPr>
            <w:r w:rsidRPr="0046360F">
              <w:t>Mortality</w:t>
            </w:r>
          </w:p>
        </w:tc>
        <w:tc>
          <w:tcPr>
            <w:tcW w:w="3694" w:type="pct"/>
            <w:shd w:val="clear" w:color="auto" w:fill="auto"/>
            <w:vAlign w:val="center"/>
          </w:tcPr>
          <w:p w:rsidR="00241B8E" w:rsidRPr="0046360F" w:rsidRDefault="00241B8E" w:rsidP="00240DAD">
            <w:pPr>
              <w:pStyle w:val="TableText"/>
              <w:keepLines/>
              <w:widowControl w:val="0"/>
            </w:pPr>
            <w:r w:rsidRPr="0046360F">
              <w:t xml:space="preserve">In the model, 6-monthly probabilities of all-cause mortality beyond 2.5 years </w:t>
            </w:r>
            <w:r w:rsidR="00BA1552" w:rsidRPr="0046360F">
              <w:t xml:space="preserve">were </w:t>
            </w:r>
            <w:r w:rsidRPr="0046360F">
              <w:t xml:space="preserve">based on weighted average estimates of mortality derived from individual patient data over the 30-month duration of the ATTR-ACT trial. As a result, constant probabilities of death </w:t>
            </w:r>
            <w:r w:rsidR="00BA1552" w:rsidRPr="0046360F">
              <w:t xml:space="preserve">were </w:t>
            </w:r>
            <w:r w:rsidRPr="0046360F">
              <w:t>applied in the model from 2.5 years.</w:t>
            </w:r>
          </w:p>
          <w:p w:rsidR="00241B8E" w:rsidRPr="0046360F" w:rsidRDefault="00241B8E" w:rsidP="00240DAD">
            <w:pPr>
              <w:pStyle w:val="TableText"/>
              <w:keepLines/>
              <w:widowControl w:val="0"/>
            </w:pPr>
          </w:p>
          <w:p w:rsidR="00241B8E" w:rsidRPr="0046360F" w:rsidRDefault="00241B8E" w:rsidP="00240DAD">
            <w:pPr>
              <w:pStyle w:val="TableText"/>
              <w:keepLines/>
              <w:widowControl w:val="0"/>
              <w:rPr>
                <w:iCs/>
              </w:rPr>
            </w:pPr>
            <w:r w:rsidRPr="0046360F">
              <w:rPr>
                <w:iCs/>
              </w:rPr>
              <w:t>The model generate</w:t>
            </w:r>
            <w:r w:rsidR="00BA1552" w:rsidRPr="0046360F">
              <w:rPr>
                <w:iCs/>
              </w:rPr>
              <w:t>d</w:t>
            </w:r>
            <w:r w:rsidRPr="0046360F">
              <w:rPr>
                <w:iCs/>
              </w:rPr>
              <w:t xml:space="preserve"> probabilities of death that </w:t>
            </w:r>
            <w:r w:rsidR="00BA1552" w:rsidRPr="0046360F">
              <w:rPr>
                <w:iCs/>
              </w:rPr>
              <w:t xml:space="preserve">were </w:t>
            </w:r>
            <w:r w:rsidRPr="0046360F">
              <w:rPr>
                <w:iCs/>
              </w:rPr>
              <w:t xml:space="preserve">lower than Australian general population estimates for several health states (both NYHA class I/II and III/IV, with and without recent hospitalisation) and for both treatment arms, which </w:t>
            </w:r>
            <w:r w:rsidR="00BA1552" w:rsidRPr="0046360F">
              <w:rPr>
                <w:iCs/>
              </w:rPr>
              <w:t>was</w:t>
            </w:r>
            <w:r w:rsidRPr="0046360F">
              <w:rPr>
                <w:iCs/>
              </w:rPr>
              <w:t xml:space="preserve"> not clinically plausible given the poor prognosis of ATTR-CM.</w:t>
            </w:r>
          </w:p>
          <w:p w:rsidR="00241B8E" w:rsidRPr="0046360F" w:rsidRDefault="00241B8E" w:rsidP="00240DAD">
            <w:pPr>
              <w:pStyle w:val="TableText"/>
              <w:keepLines/>
              <w:widowControl w:val="0"/>
              <w:rPr>
                <w:iCs/>
              </w:rPr>
            </w:pPr>
          </w:p>
          <w:p w:rsidR="00241B8E" w:rsidRPr="0046360F" w:rsidRDefault="00BF4E7E" w:rsidP="00240DAD">
            <w:pPr>
              <w:pStyle w:val="TableText"/>
              <w:keepLines/>
              <w:widowControl w:val="0"/>
              <w:rPr>
                <w:iCs/>
              </w:rPr>
            </w:pPr>
            <w:r w:rsidRPr="0046360F">
              <w:rPr>
                <w:iCs/>
              </w:rPr>
              <w:t xml:space="preserve">After 20 years, 5% of patients in the best supportive care arm and 22% of patients in the tafamidis arm </w:t>
            </w:r>
            <w:r w:rsidR="00BA1552" w:rsidRPr="0046360F">
              <w:rPr>
                <w:iCs/>
              </w:rPr>
              <w:t xml:space="preserve">were </w:t>
            </w:r>
            <w:r w:rsidRPr="0046360F">
              <w:rPr>
                <w:iCs/>
              </w:rPr>
              <w:t>still alive at age 94 years. The estimates</w:t>
            </w:r>
            <w:r w:rsidR="00241B8E" w:rsidRPr="0046360F">
              <w:rPr>
                <w:iCs/>
              </w:rPr>
              <w:t xml:space="preserve"> of survival for the tafamidis arm exceed</w:t>
            </w:r>
            <w:r w:rsidR="00BA1552" w:rsidRPr="0046360F">
              <w:rPr>
                <w:iCs/>
              </w:rPr>
              <w:t>ed</w:t>
            </w:r>
            <w:r w:rsidR="00241B8E" w:rsidRPr="0046360F">
              <w:rPr>
                <w:iCs/>
              </w:rPr>
              <w:t xml:space="preserve"> survival in the Australian population, which </w:t>
            </w:r>
            <w:r w:rsidR="00BA1552" w:rsidRPr="0046360F">
              <w:rPr>
                <w:iCs/>
              </w:rPr>
              <w:t>wa</w:t>
            </w:r>
            <w:r w:rsidR="00241B8E" w:rsidRPr="0046360F">
              <w:rPr>
                <w:iCs/>
              </w:rPr>
              <w:t>s not clinically plausible</w:t>
            </w:r>
            <w:r w:rsidR="0041057C" w:rsidRPr="0046360F">
              <w:rPr>
                <w:iCs/>
              </w:rPr>
              <w:t>.</w:t>
            </w:r>
          </w:p>
        </w:tc>
        <w:tc>
          <w:tcPr>
            <w:tcW w:w="601" w:type="pct"/>
            <w:shd w:val="clear" w:color="auto" w:fill="auto"/>
            <w:vAlign w:val="center"/>
          </w:tcPr>
          <w:p w:rsidR="00241B8E" w:rsidRPr="0046360F" w:rsidRDefault="00241B8E" w:rsidP="00240DAD">
            <w:pPr>
              <w:pStyle w:val="TableText"/>
              <w:keepLines/>
              <w:widowControl w:val="0"/>
              <w:jc w:val="center"/>
            </w:pPr>
            <w:r w:rsidRPr="0046360F">
              <w:t>Unclear</w:t>
            </w:r>
          </w:p>
        </w:tc>
      </w:tr>
      <w:tr w:rsidR="00241B8E" w:rsidRPr="0046360F" w:rsidTr="00221DAD">
        <w:tc>
          <w:tcPr>
            <w:tcW w:w="705" w:type="pct"/>
            <w:shd w:val="clear" w:color="auto" w:fill="auto"/>
            <w:vAlign w:val="center"/>
          </w:tcPr>
          <w:p w:rsidR="00241B8E" w:rsidRPr="0046360F" w:rsidRDefault="00241B8E" w:rsidP="00240DAD">
            <w:pPr>
              <w:pStyle w:val="TableText"/>
              <w:keepLines/>
              <w:widowControl w:val="0"/>
              <w:jc w:val="center"/>
            </w:pPr>
            <w:r w:rsidRPr="0046360F">
              <w:t>Treatment persistence</w:t>
            </w:r>
          </w:p>
        </w:tc>
        <w:tc>
          <w:tcPr>
            <w:tcW w:w="3694" w:type="pct"/>
            <w:shd w:val="clear" w:color="auto" w:fill="auto"/>
            <w:vAlign w:val="center"/>
          </w:tcPr>
          <w:p w:rsidR="00241B8E" w:rsidRPr="0046360F" w:rsidRDefault="00241B8E" w:rsidP="00240DAD">
            <w:pPr>
              <w:pStyle w:val="TableText"/>
              <w:keepLines/>
              <w:widowControl w:val="0"/>
            </w:pPr>
            <w:r w:rsidRPr="0046360F">
              <w:rPr>
                <w:iCs/>
              </w:rPr>
              <w:t xml:space="preserve">As in the previous model, treatment discontinuation rates were applied to drug costs only, with no impact on survival, NYHA class, or </w:t>
            </w:r>
            <w:r w:rsidR="0026392E" w:rsidRPr="0046360F">
              <w:rPr>
                <w:iCs/>
              </w:rPr>
              <w:t xml:space="preserve">CV </w:t>
            </w:r>
            <w:r w:rsidRPr="0046360F">
              <w:rPr>
                <w:iCs/>
              </w:rPr>
              <w:t>hospitalisations.</w:t>
            </w:r>
            <w:r w:rsidR="00B820BD" w:rsidRPr="0046360F">
              <w:rPr>
                <w:iCs/>
              </w:rPr>
              <w:t xml:space="preserve"> </w:t>
            </w:r>
            <w:r w:rsidRPr="0046360F">
              <w:t xml:space="preserve">In the model, the same treatment effects </w:t>
            </w:r>
            <w:r w:rsidR="00BA1552" w:rsidRPr="0046360F">
              <w:t xml:space="preserve">were </w:t>
            </w:r>
            <w:r w:rsidRPr="0046360F">
              <w:t>applied in Year 18 (with only 32% of patients on treatment and accruing drug costs) as the first 2.5 years (with 86% of patients on treatment).</w:t>
            </w:r>
          </w:p>
          <w:p w:rsidR="00241B8E" w:rsidRPr="0046360F" w:rsidRDefault="00241B8E" w:rsidP="00240DAD">
            <w:pPr>
              <w:pStyle w:val="TableText"/>
              <w:keepLines/>
              <w:widowControl w:val="0"/>
            </w:pPr>
          </w:p>
          <w:p w:rsidR="00241B8E" w:rsidRPr="0046360F" w:rsidRDefault="00241B8E" w:rsidP="00240DAD">
            <w:pPr>
              <w:pStyle w:val="TableText"/>
              <w:keepLines/>
              <w:widowControl w:val="0"/>
            </w:pPr>
            <w:r w:rsidRPr="0046360F">
              <w:t xml:space="preserve">The PBAC previously considered that it was inappropriate to apply treatment discontinuation rates to drug costs only, as the implicit association between clinical outcomes and discontinuations observed in the trial period is unlikely to be maintained over time (paragraph 6.47, </w:t>
            </w:r>
            <w:r w:rsidR="00D609C6" w:rsidRPr="0046360F">
              <w:t>t</w:t>
            </w:r>
            <w:r w:rsidRPr="0046360F">
              <w:t>afamidis P</w:t>
            </w:r>
            <w:r w:rsidR="001B0935" w:rsidRPr="0046360F">
              <w:t>SD</w:t>
            </w:r>
            <w:r w:rsidRPr="0046360F">
              <w:t>, July 2020 PBAC meeting).</w:t>
            </w:r>
            <w:r w:rsidR="009144F1" w:rsidRPr="0046360F">
              <w:t xml:space="preserve"> </w:t>
            </w:r>
            <w:r w:rsidR="00B820BD" w:rsidRPr="0046360F">
              <w:t>The evaluation considered that an alternative</w:t>
            </w:r>
            <w:r w:rsidR="009144F1" w:rsidRPr="0046360F">
              <w:t xml:space="preserve"> approach would be to assume no benefit or cost when tafamidis is discontinued.</w:t>
            </w:r>
          </w:p>
        </w:tc>
        <w:tc>
          <w:tcPr>
            <w:tcW w:w="601" w:type="pct"/>
            <w:shd w:val="clear" w:color="auto" w:fill="auto"/>
            <w:vAlign w:val="center"/>
          </w:tcPr>
          <w:p w:rsidR="00241B8E" w:rsidRPr="0046360F" w:rsidRDefault="00241B8E" w:rsidP="00240DAD">
            <w:pPr>
              <w:pStyle w:val="TableText"/>
              <w:keepLines/>
              <w:widowControl w:val="0"/>
              <w:jc w:val="center"/>
            </w:pPr>
            <w:r w:rsidRPr="0046360F">
              <w:t>High, favours tafamidis</w:t>
            </w:r>
          </w:p>
        </w:tc>
      </w:tr>
      <w:tr w:rsidR="00241B8E" w:rsidRPr="0046360F" w:rsidTr="008F43A3">
        <w:trPr>
          <w:trHeight w:val="1757"/>
        </w:trPr>
        <w:tc>
          <w:tcPr>
            <w:tcW w:w="705" w:type="pct"/>
            <w:shd w:val="clear" w:color="auto" w:fill="auto"/>
            <w:vAlign w:val="center"/>
          </w:tcPr>
          <w:p w:rsidR="00241B8E" w:rsidRPr="0046360F" w:rsidRDefault="00241B8E" w:rsidP="00240DAD">
            <w:pPr>
              <w:pStyle w:val="TableText"/>
              <w:keepLines/>
              <w:widowControl w:val="0"/>
              <w:jc w:val="center"/>
            </w:pPr>
            <w:r w:rsidRPr="0046360F">
              <w:t>Time horizon</w:t>
            </w:r>
          </w:p>
        </w:tc>
        <w:tc>
          <w:tcPr>
            <w:tcW w:w="3694" w:type="pct"/>
            <w:shd w:val="clear" w:color="auto" w:fill="auto"/>
            <w:vAlign w:val="center"/>
          </w:tcPr>
          <w:p w:rsidR="00241B8E" w:rsidRPr="0046360F" w:rsidRDefault="00241B8E" w:rsidP="00240DAD">
            <w:pPr>
              <w:pStyle w:val="TableText"/>
              <w:keepLines/>
              <w:widowControl w:val="0"/>
            </w:pPr>
            <w:r w:rsidRPr="0046360F">
              <w:rPr>
                <w:iCs/>
              </w:rPr>
              <w:t xml:space="preserve">The resubmission nominated a 20 year time horizon for the economic analysis on the basis that this was appropriate to capture the majority of costs and benefits in an older population with ATTR-CM. The same time horizon was used in the July 2020 submission. </w:t>
            </w:r>
            <w:r w:rsidRPr="0046360F">
              <w:t>A 20-year time horizon may not be appropriate given that</w:t>
            </w:r>
            <w:r w:rsidR="000178C1" w:rsidRPr="0046360F">
              <w:t xml:space="preserve"> the</w:t>
            </w:r>
            <w:r w:rsidRPr="0046360F">
              <w:t xml:space="preserve"> target population represents an older age group (mean baseline age in the ATTR-ACT trial was approximately 74 years) who are likely to have multiple co-morbidities (paragraph 6.54, </w:t>
            </w:r>
            <w:r w:rsidR="00D609C6" w:rsidRPr="0046360F">
              <w:t>t</w:t>
            </w:r>
            <w:r w:rsidRPr="0046360F">
              <w:t>afamidis P</w:t>
            </w:r>
            <w:r w:rsidR="001B0935" w:rsidRPr="0046360F">
              <w:t>SD</w:t>
            </w:r>
            <w:r w:rsidRPr="0046360F">
              <w:t xml:space="preserve">, July 2020 PBAC meeting). </w:t>
            </w:r>
            <w:r w:rsidRPr="0046360F">
              <w:rPr>
                <w:iCs/>
              </w:rPr>
              <w:t xml:space="preserve">The resubmission stated that a 20 year time horizon was effectively a lifetime time horizon for the target population aged 74 years at baseline. </w:t>
            </w:r>
          </w:p>
        </w:tc>
        <w:tc>
          <w:tcPr>
            <w:tcW w:w="601" w:type="pct"/>
            <w:shd w:val="clear" w:color="auto" w:fill="auto"/>
            <w:vAlign w:val="center"/>
          </w:tcPr>
          <w:p w:rsidR="00241B8E" w:rsidRPr="0046360F" w:rsidRDefault="00241B8E" w:rsidP="00240DAD">
            <w:pPr>
              <w:pStyle w:val="TableText"/>
              <w:keepLines/>
              <w:widowControl w:val="0"/>
              <w:jc w:val="center"/>
              <w:rPr>
                <w:iCs/>
              </w:rPr>
            </w:pPr>
            <w:r w:rsidRPr="0046360F">
              <w:rPr>
                <w:iCs/>
              </w:rPr>
              <w:t>High, favours tafamidis</w:t>
            </w:r>
          </w:p>
        </w:tc>
      </w:tr>
    </w:tbl>
    <w:p w:rsidR="00241B8E" w:rsidRPr="0046360F" w:rsidRDefault="00241B8E" w:rsidP="00240DAD">
      <w:pPr>
        <w:pStyle w:val="TableFigureFooter"/>
        <w:keepNext/>
        <w:keepLines/>
      </w:pPr>
      <w:r w:rsidRPr="0046360F">
        <w:t>Source: Constructed during the evaluation.</w:t>
      </w:r>
    </w:p>
    <w:p w:rsidR="00576A6C" w:rsidRPr="0046360F" w:rsidRDefault="00576A6C" w:rsidP="00240DAD">
      <w:pPr>
        <w:pStyle w:val="TableFigureFooter"/>
        <w:keepNext/>
        <w:keepLines/>
      </w:pPr>
      <w:r w:rsidRPr="0046360F">
        <w:t xml:space="preserve">Abbreviations: </w:t>
      </w:r>
      <w:r w:rsidR="0026392E" w:rsidRPr="0046360F">
        <w:t xml:space="preserve">CV, cardiovascular; </w:t>
      </w:r>
      <w:r w:rsidRPr="0046360F">
        <w:rPr>
          <w:szCs w:val="18"/>
        </w:rPr>
        <w:t>NYHA, New York Heart Association</w:t>
      </w:r>
      <w:r w:rsidR="0026392E" w:rsidRPr="0046360F">
        <w:rPr>
          <w:szCs w:val="18"/>
        </w:rPr>
        <w:t>; TTR-CM, cardiac transthyretin amyloidosis;</w:t>
      </w:r>
    </w:p>
    <w:p w:rsidR="004F2D80" w:rsidRPr="0046360F" w:rsidRDefault="004F2D80" w:rsidP="004F2D80">
      <w:pPr>
        <w:pStyle w:val="ExecSumBodyText"/>
      </w:pPr>
      <w:r w:rsidRPr="0046360F">
        <w:t>The model trace in the figure below shows the proportion of patients remaining in each health state (NYHA class I/II; NYHA class III/IV; dead) over the 20</w:t>
      </w:r>
      <w:r w:rsidR="00D235A0" w:rsidRPr="0046360F">
        <w:t>-</w:t>
      </w:r>
      <w:r w:rsidRPr="0046360F">
        <w:t>year model time horizon. For each NYHA class category (I/II and III/IV), the proportions of patients with and without CV hospitalisations in the 6-month cycle have been combined.</w:t>
      </w:r>
    </w:p>
    <w:p w:rsidR="00554BB7" w:rsidRPr="0046360F" w:rsidRDefault="0029295E" w:rsidP="00544B35">
      <w:pPr>
        <w:pStyle w:val="Caption"/>
      </w:pPr>
      <w:r w:rsidRPr="0046360F">
        <w:t xml:space="preserve">Figure </w:t>
      </w:r>
      <w:r w:rsidR="00C170ED">
        <w:rPr>
          <w:noProof/>
        </w:rPr>
        <w:t>4</w:t>
      </w:r>
      <w:r w:rsidR="00554BB7" w:rsidRPr="0046360F">
        <w:t xml:space="preserve">: Model trace </w:t>
      </w:r>
    </w:p>
    <w:p w:rsidR="00554BB7" w:rsidRPr="0046360F" w:rsidRDefault="00554BB7" w:rsidP="00554BB7">
      <w:r w:rsidRPr="0046360F">
        <w:rPr>
          <w:noProof/>
        </w:rPr>
        <w:drawing>
          <wp:inline distT="0" distB="0" distL="0" distR="0" wp14:anchorId="0EBE081A" wp14:editId="2B498BA3">
            <wp:extent cx="5688000" cy="3715200"/>
            <wp:effectExtent l="0" t="0" r="8255" b="0"/>
            <wp:docPr id="30" name="Picture 30" title="Figure 4: Model tra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000" cy="3715200"/>
                    </a:xfrm>
                    <a:prstGeom prst="rect">
                      <a:avLst/>
                    </a:prstGeom>
                    <a:noFill/>
                  </pic:spPr>
                </pic:pic>
              </a:graphicData>
            </a:graphic>
          </wp:inline>
        </w:drawing>
      </w:r>
    </w:p>
    <w:p w:rsidR="00554BB7" w:rsidRPr="0046360F" w:rsidRDefault="00554BB7" w:rsidP="00554BB7">
      <w:pPr>
        <w:pStyle w:val="TableFooter"/>
      </w:pPr>
      <w:r w:rsidRPr="0046360F">
        <w:t>Source: Constructed during the evaluation based on Economic Model - tafamidis - Nov2020 Excel workbook</w:t>
      </w:r>
    </w:p>
    <w:p w:rsidR="004F2D80" w:rsidRPr="0046360F" w:rsidRDefault="00554BB7" w:rsidP="00554BB7">
      <w:pPr>
        <w:pStyle w:val="TableFooter"/>
      </w:pPr>
      <w:r w:rsidRPr="0046360F">
        <w:t>Abbreviations: BSC, best supportive care; NYHA, New York Heart Association; Tafa, tafamidis; Tx, heart transplant; VAD, ventricular assist device.</w:t>
      </w:r>
    </w:p>
    <w:p w:rsidR="008944DB" w:rsidRPr="0046360F" w:rsidRDefault="00E032CA" w:rsidP="00E0637C">
      <w:pPr>
        <w:pStyle w:val="ExecSumBodyText"/>
      </w:pPr>
      <w:r w:rsidRPr="0046360F">
        <w:t>The model trace shows limited convergence of the curves between treatment arms over the 20 year time horizon. The resubmission stated that a 20</w:t>
      </w:r>
      <w:r w:rsidR="00D235A0" w:rsidRPr="0046360F">
        <w:t>-</w:t>
      </w:r>
      <w:r w:rsidRPr="0046360F">
        <w:t xml:space="preserve">year time horizon was effectively a lifetime time horizon for the target population aged 74 years at baseline. However, the model </w:t>
      </w:r>
      <w:r w:rsidR="00D235A0" w:rsidRPr="0046360F">
        <w:t xml:space="preserve">estimated </w:t>
      </w:r>
      <w:r w:rsidRPr="0046360F">
        <w:t>that after 20 years, 5% of patients in the best supportive care arm and 22% of patients in the tafamidis arm are still alive.</w:t>
      </w:r>
    </w:p>
    <w:p w:rsidR="00241B8E" w:rsidRPr="0046360F" w:rsidRDefault="00241B8E" w:rsidP="00241B8E">
      <w:pPr>
        <w:pStyle w:val="ExecSumBodyText"/>
        <w:numPr>
          <w:ilvl w:val="1"/>
          <w:numId w:val="1"/>
        </w:numPr>
      </w:pPr>
      <w:r w:rsidRPr="0046360F">
        <w:t>The results of the modelled economic evaluation are summarised below.</w:t>
      </w:r>
    </w:p>
    <w:p w:rsidR="00241B8E" w:rsidRPr="0046360F" w:rsidRDefault="00241B8E" w:rsidP="00544B35">
      <w:pPr>
        <w:pStyle w:val="Caption"/>
      </w:pPr>
      <w:bookmarkStart w:id="42" w:name="_Ref69123382"/>
      <w:r w:rsidRPr="0046360F">
        <w:t xml:space="preserve">Table </w:t>
      </w:r>
      <w:r w:rsidR="00C170ED">
        <w:rPr>
          <w:noProof/>
        </w:rPr>
        <w:t>13</w:t>
      </w:r>
      <w:bookmarkEnd w:id="42"/>
      <w:r w:rsidRPr="0046360F">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5"/>
        <w:gridCol w:w="2087"/>
        <w:gridCol w:w="2099"/>
        <w:gridCol w:w="2076"/>
      </w:tblGrid>
      <w:tr w:rsidR="00241B8E" w:rsidRPr="0046360F" w:rsidTr="00221DAD">
        <w:trPr>
          <w:tblHeader/>
        </w:trPr>
        <w:tc>
          <w:tcPr>
            <w:tcW w:w="1528" w:type="pct"/>
            <w:vAlign w:val="center"/>
          </w:tcPr>
          <w:p w:rsidR="00241B8E" w:rsidRPr="0046360F" w:rsidRDefault="00241B8E" w:rsidP="00221DAD">
            <w:pPr>
              <w:pStyle w:val="Tableheadingrow"/>
              <w:rPr>
                <w:lang w:val="en-AU"/>
              </w:rPr>
            </w:pPr>
            <w:r w:rsidRPr="0046360F">
              <w:rPr>
                <w:lang w:val="en-AU"/>
              </w:rPr>
              <w:t>Component</w:t>
            </w:r>
          </w:p>
        </w:tc>
        <w:tc>
          <w:tcPr>
            <w:tcW w:w="1157" w:type="pct"/>
            <w:vAlign w:val="center"/>
          </w:tcPr>
          <w:p w:rsidR="00241B8E" w:rsidRPr="0046360F" w:rsidRDefault="00241B8E" w:rsidP="00221DAD">
            <w:pPr>
              <w:pStyle w:val="Tableheadingrow"/>
              <w:jc w:val="center"/>
              <w:rPr>
                <w:lang w:val="en-AU"/>
              </w:rPr>
            </w:pPr>
            <w:r w:rsidRPr="0046360F">
              <w:rPr>
                <w:lang w:val="en-AU"/>
              </w:rPr>
              <w:t>Tafamidis</w:t>
            </w:r>
          </w:p>
        </w:tc>
        <w:tc>
          <w:tcPr>
            <w:tcW w:w="1164" w:type="pct"/>
            <w:vAlign w:val="center"/>
          </w:tcPr>
          <w:p w:rsidR="00241B8E" w:rsidRPr="0046360F" w:rsidRDefault="00241B8E" w:rsidP="00221DAD">
            <w:pPr>
              <w:pStyle w:val="Tableheadingrow"/>
              <w:jc w:val="center"/>
              <w:rPr>
                <w:lang w:val="en-AU"/>
              </w:rPr>
            </w:pPr>
            <w:r w:rsidRPr="0046360F">
              <w:rPr>
                <w:lang w:val="en-AU"/>
              </w:rPr>
              <w:t>Best supportive care</w:t>
            </w:r>
          </w:p>
        </w:tc>
        <w:tc>
          <w:tcPr>
            <w:tcW w:w="1151" w:type="pct"/>
            <w:vAlign w:val="center"/>
          </w:tcPr>
          <w:p w:rsidR="00241B8E" w:rsidRPr="0046360F" w:rsidRDefault="00241B8E" w:rsidP="00221DAD">
            <w:pPr>
              <w:pStyle w:val="Tableheadingrow"/>
              <w:jc w:val="center"/>
              <w:rPr>
                <w:lang w:val="en-AU"/>
              </w:rPr>
            </w:pPr>
            <w:r w:rsidRPr="0046360F">
              <w:rPr>
                <w:lang w:val="en-AU"/>
              </w:rPr>
              <w:t>Increment</w:t>
            </w:r>
          </w:p>
        </w:tc>
      </w:tr>
      <w:tr w:rsidR="00241B8E" w:rsidRPr="0046360F" w:rsidTr="00221DAD">
        <w:tc>
          <w:tcPr>
            <w:tcW w:w="1528" w:type="pct"/>
            <w:vAlign w:val="center"/>
          </w:tcPr>
          <w:p w:rsidR="00241B8E" w:rsidRPr="0046360F" w:rsidRDefault="00241B8E" w:rsidP="00221DAD">
            <w:pPr>
              <w:pStyle w:val="TableText"/>
              <w:rPr>
                <w:rFonts w:ascii="Times" w:hAnsi="Times"/>
              </w:rPr>
            </w:pPr>
            <w:r w:rsidRPr="0046360F">
              <w:t>Costs</w:t>
            </w:r>
          </w:p>
        </w:tc>
        <w:tc>
          <w:tcPr>
            <w:tcW w:w="1157" w:type="pct"/>
          </w:tcPr>
          <w:p w:rsidR="00241B8E" w:rsidRPr="0046360F" w:rsidRDefault="00241B8E" w:rsidP="00221DAD">
            <w:pPr>
              <w:pStyle w:val="TableText"/>
              <w:jc w:val="center"/>
              <w:rPr>
                <w:rFonts w:ascii="Times" w:hAnsi="Times"/>
              </w:rPr>
            </w:pPr>
            <w:r w:rsidRPr="0046360F">
              <w:rPr>
                <w:rFonts w:cs="Times New Roman"/>
                <w:iCs/>
                <w:szCs w:val="20"/>
              </w:rPr>
              <w:t>$</w:t>
            </w:r>
            <w:r w:rsidR="002F07A9">
              <w:rPr>
                <w:rFonts w:cs="Times New Roman"/>
                <w:iCs/>
                <w:noProof/>
                <w:color w:val="000000"/>
                <w:szCs w:val="20"/>
                <w:highlight w:val="black"/>
              </w:rPr>
              <w:t>''''''''''''''''''''</w:t>
            </w:r>
          </w:p>
        </w:tc>
        <w:tc>
          <w:tcPr>
            <w:tcW w:w="1164" w:type="pct"/>
          </w:tcPr>
          <w:p w:rsidR="00241B8E" w:rsidRPr="0046360F" w:rsidRDefault="00241B8E" w:rsidP="00221DAD">
            <w:pPr>
              <w:pStyle w:val="TableText"/>
              <w:jc w:val="center"/>
              <w:rPr>
                <w:rFonts w:ascii="Times" w:hAnsi="Times"/>
              </w:rPr>
            </w:pPr>
            <w:r w:rsidRPr="0046360F">
              <w:rPr>
                <w:rFonts w:cs="Times New Roman"/>
                <w:iCs/>
                <w:szCs w:val="20"/>
              </w:rPr>
              <w:t>$</w:t>
            </w:r>
            <w:r w:rsidRPr="003B5808">
              <w:rPr>
                <w:rFonts w:cs="Times New Roman"/>
                <w:iCs/>
                <w:szCs w:val="20"/>
              </w:rPr>
              <w:t>31,949</w:t>
            </w:r>
          </w:p>
        </w:tc>
        <w:tc>
          <w:tcPr>
            <w:tcW w:w="1151" w:type="pct"/>
          </w:tcPr>
          <w:p w:rsidR="00241B8E" w:rsidRPr="0046360F" w:rsidRDefault="00241B8E" w:rsidP="00221DAD">
            <w:pPr>
              <w:pStyle w:val="TableText"/>
              <w:jc w:val="center"/>
              <w:rPr>
                <w:rFonts w:ascii="Times" w:hAnsi="Times"/>
              </w:rPr>
            </w:pPr>
            <w:r w:rsidRPr="0046360F">
              <w:rPr>
                <w:rFonts w:cs="Times New Roman"/>
                <w:iCs/>
                <w:szCs w:val="20"/>
              </w:rPr>
              <w:t>$</w:t>
            </w:r>
            <w:r w:rsidR="002F07A9">
              <w:rPr>
                <w:rFonts w:cs="Times New Roman"/>
                <w:iCs/>
                <w:noProof/>
                <w:color w:val="000000"/>
                <w:szCs w:val="20"/>
                <w:highlight w:val="black"/>
              </w:rPr>
              <w:t>'''''''''''''''''''</w:t>
            </w:r>
          </w:p>
        </w:tc>
      </w:tr>
      <w:tr w:rsidR="00241B8E" w:rsidRPr="0046360F" w:rsidTr="00221DAD">
        <w:tc>
          <w:tcPr>
            <w:tcW w:w="1528" w:type="pct"/>
            <w:vAlign w:val="center"/>
          </w:tcPr>
          <w:p w:rsidR="00241B8E" w:rsidRPr="0046360F" w:rsidRDefault="00241B8E" w:rsidP="00221DAD">
            <w:pPr>
              <w:pStyle w:val="TableText"/>
            </w:pPr>
            <w:r w:rsidRPr="0046360F">
              <w:t>Life years</w:t>
            </w:r>
          </w:p>
        </w:tc>
        <w:tc>
          <w:tcPr>
            <w:tcW w:w="1157" w:type="pct"/>
            <w:vAlign w:val="center"/>
          </w:tcPr>
          <w:p w:rsidR="00241B8E" w:rsidRPr="0046360F" w:rsidRDefault="00241B8E" w:rsidP="00221DAD">
            <w:pPr>
              <w:pStyle w:val="TableText"/>
              <w:jc w:val="center"/>
              <w:rPr>
                <w:rFonts w:cs="Times New Roman"/>
                <w:i/>
                <w:iCs/>
                <w:szCs w:val="20"/>
              </w:rPr>
            </w:pPr>
            <w:r w:rsidRPr="0046360F">
              <w:t>7.7464</w:t>
            </w:r>
          </w:p>
        </w:tc>
        <w:tc>
          <w:tcPr>
            <w:tcW w:w="1164" w:type="pct"/>
            <w:vAlign w:val="center"/>
          </w:tcPr>
          <w:p w:rsidR="00241B8E" w:rsidRPr="0046360F" w:rsidRDefault="00241B8E" w:rsidP="00221DAD">
            <w:pPr>
              <w:pStyle w:val="TableText"/>
              <w:jc w:val="center"/>
              <w:rPr>
                <w:rFonts w:cs="Times New Roman"/>
                <w:i/>
                <w:iCs/>
                <w:szCs w:val="20"/>
              </w:rPr>
            </w:pPr>
            <w:r w:rsidRPr="0046360F">
              <w:t>5.2999</w:t>
            </w:r>
          </w:p>
        </w:tc>
        <w:tc>
          <w:tcPr>
            <w:tcW w:w="1151" w:type="pct"/>
            <w:vAlign w:val="center"/>
          </w:tcPr>
          <w:p w:rsidR="00241B8E" w:rsidRPr="0046360F" w:rsidRDefault="00241B8E" w:rsidP="00221DAD">
            <w:pPr>
              <w:pStyle w:val="TableText"/>
              <w:jc w:val="center"/>
              <w:rPr>
                <w:rFonts w:cs="Times New Roman"/>
                <w:i/>
                <w:iCs/>
                <w:szCs w:val="20"/>
              </w:rPr>
            </w:pPr>
            <w:r w:rsidRPr="0046360F">
              <w:t>2.4465</w:t>
            </w:r>
          </w:p>
        </w:tc>
      </w:tr>
      <w:tr w:rsidR="00241B8E" w:rsidRPr="0046360F" w:rsidTr="00221DAD">
        <w:tc>
          <w:tcPr>
            <w:tcW w:w="3849" w:type="pct"/>
            <w:gridSpan w:val="3"/>
            <w:vAlign w:val="center"/>
          </w:tcPr>
          <w:p w:rsidR="00241B8E" w:rsidRPr="0046360F" w:rsidRDefault="00241B8E" w:rsidP="00221DAD">
            <w:pPr>
              <w:pStyle w:val="TableText"/>
              <w:rPr>
                <w:rFonts w:cs="Times New Roman"/>
                <w:iCs/>
                <w:szCs w:val="20"/>
              </w:rPr>
            </w:pPr>
            <w:r w:rsidRPr="0046360F">
              <w:rPr>
                <w:b/>
                <w:bCs w:val="0"/>
              </w:rPr>
              <w:t>Incremental cost per life year gained</w:t>
            </w:r>
          </w:p>
        </w:tc>
        <w:tc>
          <w:tcPr>
            <w:tcW w:w="1151" w:type="pct"/>
          </w:tcPr>
          <w:p w:rsidR="00241B8E" w:rsidRPr="00EB6A22" w:rsidRDefault="00241B8E" w:rsidP="00221DAD">
            <w:pPr>
              <w:pStyle w:val="TableText"/>
              <w:jc w:val="center"/>
              <w:rPr>
                <w:rFonts w:cs="Times New Roman"/>
                <w:b/>
                <w:bCs w:val="0"/>
                <w:iCs/>
                <w:szCs w:val="20"/>
                <w:vertAlign w:val="superscript"/>
              </w:rPr>
            </w:pPr>
            <w:r w:rsidRPr="0046360F">
              <w:rPr>
                <w:rFonts w:cs="Times New Roman"/>
                <w:b/>
                <w:bCs w:val="0"/>
                <w:iCs/>
                <w:szCs w:val="20"/>
              </w:rPr>
              <w:t>$</w:t>
            </w:r>
            <w:r w:rsidR="002F07A9">
              <w:rPr>
                <w:rFonts w:cs="Times New Roman"/>
                <w:b/>
                <w:bCs w:val="0"/>
                <w:iCs/>
                <w:noProof/>
                <w:color w:val="000000"/>
                <w:szCs w:val="20"/>
                <w:highlight w:val="black"/>
              </w:rPr>
              <w:t>'''''''''''''''''</w:t>
            </w:r>
            <w:r w:rsidR="00EB6A22" w:rsidRPr="00EB6A22">
              <w:rPr>
                <w:rFonts w:cs="Times New Roman"/>
                <w:bCs w:val="0"/>
                <w:iCs/>
                <w:szCs w:val="20"/>
                <w:vertAlign w:val="superscript"/>
              </w:rPr>
              <w:t>1</w:t>
            </w:r>
          </w:p>
        </w:tc>
      </w:tr>
      <w:tr w:rsidR="00241B8E" w:rsidRPr="0046360F" w:rsidTr="00221DAD">
        <w:tc>
          <w:tcPr>
            <w:tcW w:w="1528" w:type="pct"/>
            <w:vAlign w:val="center"/>
          </w:tcPr>
          <w:p w:rsidR="00241B8E" w:rsidRPr="0046360F" w:rsidRDefault="00241B8E" w:rsidP="00221DAD">
            <w:pPr>
              <w:pStyle w:val="TableText"/>
            </w:pPr>
            <w:r w:rsidRPr="0046360F">
              <w:t>Costs</w:t>
            </w:r>
          </w:p>
        </w:tc>
        <w:tc>
          <w:tcPr>
            <w:tcW w:w="1157" w:type="pct"/>
          </w:tcPr>
          <w:p w:rsidR="00241B8E" w:rsidRPr="0046360F" w:rsidRDefault="00241B8E" w:rsidP="00221DAD">
            <w:pPr>
              <w:pStyle w:val="TableText"/>
              <w:jc w:val="center"/>
              <w:rPr>
                <w:rFonts w:cs="Times New Roman"/>
                <w:iCs/>
                <w:szCs w:val="20"/>
              </w:rPr>
            </w:pPr>
            <w:r w:rsidRPr="0046360F">
              <w:rPr>
                <w:rFonts w:cs="Times New Roman"/>
                <w:iCs/>
                <w:szCs w:val="20"/>
              </w:rPr>
              <w:t>$</w:t>
            </w:r>
            <w:r w:rsidR="002F07A9">
              <w:rPr>
                <w:rFonts w:cs="Times New Roman"/>
                <w:iCs/>
                <w:noProof/>
                <w:color w:val="000000"/>
                <w:szCs w:val="20"/>
                <w:highlight w:val="black"/>
              </w:rPr>
              <w:t>''''''''''''''''''</w:t>
            </w:r>
          </w:p>
        </w:tc>
        <w:tc>
          <w:tcPr>
            <w:tcW w:w="1164" w:type="pct"/>
          </w:tcPr>
          <w:p w:rsidR="00241B8E" w:rsidRPr="0046360F" w:rsidRDefault="00241B8E" w:rsidP="00221DAD">
            <w:pPr>
              <w:pStyle w:val="TableText"/>
              <w:jc w:val="center"/>
              <w:rPr>
                <w:rFonts w:cs="Times New Roman"/>
                <w:iCs/>
                <w:szCs w:val="20"/>
              </w:rPr>
            </w:pPr>
            <w:r w:rsidRPr="0046360F">
              <w:rPr>
                <w:rFonts w:cs="Times New Roman"/>
                <w:iCs/>
                <w:szCs w:val="20"/>
              </w:rPr>
              <w:t>$</w:t>
            </w:r>
            <w:r w:rsidRPr="003B5808">
              <w:rPr>
                <w:rFonts w:cs="Times New Roman"/>
                <w:iCs/>
                <w:szCs w:val="20"/>
              </w:rPr>
              <w:t>31,949</w:t>
            </w:r>
          </w:p>
        </w:tc>
        <w:tc>
          <w:tcPr>
            <w:tcW w:w="1151" w:type="pct"/>
          </w:tcPr>
          <w:p w:rsidR="00241B8E" w:rsidRPr="0046360F" w:rsidRDefault="00241B8E" w:rsidP="00221DAD">
            <w:pPr>
              <w:pStyle w:val="TableText"/>
              <w:jc w:val="center"/>
              <w:rPr>
                <w:rFonts w:cs="Times New Roman"/>
                <w:iCs/>
                <w:szCs w:val="20"/>
              </w:rPr>
            </w:pPr>
            <w:r w:rsidRPr="0046360F">
              <w:rPr>
                <w:rFonts w:cs="Times New Roman"/>
                <w:iCs/>
                <w:szCs w:val="20"/>
              </w:rPr>
              <w:t>$</w:t>
            </w:r>
            <w:r w:rsidR="002F07A9">
              <w:rPr>
                <w:rFonts w:cs="Times New Roman"/>
                <w:iCs/>
                <w:noProof/>
                <w:color w:val="000000"/>
                <w:szCs w:val="20"/>
                <w:highlight w:val="black"/>
              </w:rPr>
              <w:t>'''''''''''''''''''''</w:t>
            </w:r>
          </w:p>
        </w:tc>
      </w:tr>
      <w:tr w:rsidR="00241B8E" w:rsidRPr="0046360F" w:rsidTr="00221DAD">
        <w:tc>
          <w:tcPr>
            <w:tcW w:w="1528" w:type="pct"/>
            <w:vAlign w:val="center"/>
          </w:tcPr>
          <w:p w:rsidR="00241B8E" w:rsidRPr="0046360F" w:rsidRDefault="00241B8E" w:rsidP="00221DAD">
            <w:pPr>
              <w:pStyle w:val="TableText"/>
              <w:rPr>
                <w:rFonts w:ascii="Times" w:hAnsi="Times"/>
              </w:rPr>
            </w:pPr>
            <w:r w:rsidRPr="0046360F">
              <w:t>QALYs</w:t>
            </w:r>
          </w:p>
        </w:tc>
        <w:tc>
          <w:tcPr>
            <w:tcW w:w="1157" w:type="pct"/>
            <w:vAlign w:val="center"/>
          </w:tcPr>
          <w:p w:rsidR="00241B8E" w:rsidRPr="0046360F" w:rsidRDefault="00241B8E" w:rsidP="00221DAD">
            <w:pPr>
              <w:pStyle w:val="TableText"/>
              <w:jc w:val="center"/>
              <w:rPr>
                <w:rFonts w:ascii="Times" w:hAnsi="Times"/>
              </w:rPr>
            </w:pPr>
            <w:r w:rsidRPr="0046360F">
              <w:t>5.8249</w:t>
            </w:r>
          </w:p>
        </w:tc>
        <w:tc>
          <w:tcPr>
            <w:tcW w:w="1164" w:type="pct"/>
            <w:vAlign w:val="center"/>
          </w:tcPr>
          <w:p w:rsidR="00241B8E" w:rsidRPr="0046360F" w:rsidRDefault="00241B8E" w:rsidP="00221DAD">
            <w:pPr>
              <w:pStyle w:val="TableText"/>
              <w:jc w:val="center"/>
              <w:rPr>
                <w:rFonts w:ascii="Times" w:hAnsi="Times"/>
              </w:rPr>
            </w:pPr>
            <w:r w:rsidRPr="0046360F">
              <w:t>3.6392</w:t>
            </w:r>
          </w:p>
        </w:tc>
        <w:tc>
          <w:tcPr>
            <w:tcW w:w="1151" w:type="pct"/>
            <w:vAlign w:val="center"/>
          </w:tcPr>
          <w:p w:rsidR="00241B8E" w:rsidRPr="0046360F" w:rsidRDefault="00241B8E" w:rsidP="00221DAD">
            <w:pPr>
              <w:pStyle w:val="TableText"/>
              <w:jc w:val="center"/>
            </w:pPr>
            <w:r w:rsidRPr="0046360F">
              <w:t>2.1856</w:t>
            </w:r>
          </w:p>
        </w:tc>
      </w:tr>
      <w:tr w:rsidR="00241B8E" w:rsidRPr="0046360F" w:rsidTr="00221DAD">
        <w:tc>
          <w:tcPr>
            <w:tcW w:w="3849" w:type="pct"/>
            <w:gridSpan w:val="3"/>
            <w:vAlign w:val="center"/>
          </w:tcPr>
          <w:p w:rsidR="00241B8E" w:rsidRPr="0046360F" w:rsidRDefault="00241B8E" w:rsidP="00221DAD">
            <w:pPr>
              <w:pStyle w:val="TableText"/>
              <w:rPr>
                <w:rFonts w:ascii="Times" w:hAnsi="Times"/>
                <w:b/>
              </w:rPr>
            </w:pPr>
            <w:r w:rsidRPr="0046360F">
              <w:rPr>
                <w:b/>
              </w:rPr>
              <w:t>Incremental cost/QALY gained</w:t>
            </w:r>
          </w:p>
        </w:tc>
        <w:tc>
          <w:tcPr>
            <w:tcW w:w="1151" w:type="pct"/>
            <w:vAlign w:val="center"/>
          </w:tcPr>
          <w:p w:rsidR="00241B8E" w:rsidRPr="00EB6A22" w:rsidRDefault="00241B8E" w:rsidP="00221DAD">
            <w:pPr>
              <w:pStyle w:val="TableText"/>
              <w:jc w:val="center"/>
              <w:rPr>
                <w:rFonts w:ascii="Times" w:hAnsi="Times"/>
                <w:b/>
                <w:iCs/>
                <w:vertAlign w:val="superscript"/>
              </w:rPr>
            </w:pPr>
            <w:r w:rsidRPr="0046360F">
              <w:rPr>
                <w:b/>
                <w:iCs/>
              </w:rPr>
              <w:t>$</w:t>
            </w:r>
            <w:r w:rsidR="002F07A9">
              <w:rPr>
                <w:b/>
                <w:iCs/>
                <w:noProof/>
                <w:color w:val="000000"/>
                <w:highlight w:val="black"/>
              </w:rPr>
              <w:t>'''''''''''''''</w:t>
            </w:r>
            <w:r w:rsidR="00EB6A22" w:rsidRPr="00EB6A22">
              <w:rPr>
                <w:iCs/>
                <w:vertAlign w:val="superscript"/>
              </w:rPr>
              <w:t>2</w:t>
            </w:r>
          </w:p>
        </w:tc>
      </w:tr>
    </w:tbl>
    <w:p w:rsidR="00241B8E" w:rsidRPr="0046360F" w:rsidRDefault="00241B8E" w:rsidP="00241B8E">
      <w:pPr>
        <w:pStyle w:val="TableFooter"/>
      </w:pPr>
      <w:r w:rsidRPr="0046360F">
        <w:t>Constructed during the evaluation based on Economic Model - tafamidis - Nov2020 Excel workbook</w:t>
      </w:r>
    </w:p>
    <w:p w:rsidR="00241B8E" w:rsidRDefault="00241B8E" w:rsidP="00241B8E">
      <w:pPr>
        <w:pStyle w:val="TableFooter"/>
        <w:rPr>
          <w:iCs/>
        </w:rPr>
      </w:pPr>
      <w:r w:rsidRPr="0046360F">
        <w:rPr>
          <w:iCs/>
        </w:rPr>
        <w:t xml:space="preserve">Note: Costs </w:t>
      </w:r>
      <w:r w:rsidR="00A2391D" w:rsidRPr="0046360F">
        <w:rPr>
          <w:iCs/>
        </w:rPr>
        <w:t>were</w:t>
      </w:r>
      <w:r w:rsidRPr="0046360F">
        <w:rPr>
          <w:iCs/>
        </w:rPr>
        <w:t xml:space="preserve"> corrected</w:t>
      </w:r>
      <w:r w:rsidR="00A2391D" w:rsidRPr="0046360F">
        <w:rPr>
          <w:iCs/>
        </w:rPr>
        <w:t xml:space="preserve"> during evaluation</w:t>
      </w:r>
      <w:r w:rsidRPr="0046360F">
        <w:rPr>
          <w:iCs/>
        </w:rPr>
        <w:t xml:space="preserve"> for errors in the calculation of acute disease costs and disease management costs, and the inappropriate use of MBS benefit rather than MBS fee.</w:t>
      </w:r>
    </w:p>
    <w:p w:rsidR="00EB6A22" w:rsidRPr="00EB6A22" w:rsidRDefault="00EB6A22" w:rsidP="00241B8E">
      <w:pPr>
        <w:pStyle w:val="TableFooter"/>
        <w:rPr>
          <w:i/>
          <w:iCs/>
        </w:rPr>
      </w:pPr>
      <w:r w:rsidRPr="00EB6A22">
        <w:rPr>
          <w:i/>
          <w:iCs/>
        </w:rPr>
        <w:t>The redacted values correspond to the following ranges:</w:t>
      </w:r>
    </w:p>
    <w:p w:rsidR="00EB6A22" w:rsidRPr="00EB6A22" w:rsidRDefault="00EB6A22" w:rsidP="00241B8E">
      <w:pPr>
        <w:pStyle w:val="TableFooter"/>
        <w:rPr>
          <w:i/>
          <w:iCs/>
        </w:rPr>
      </w:pPr>
      <w:r w:rsidRPr="00EB6A22">
        <w:rPr>
          <w:i/>
          <w:iCs/>
          <w:vertAlign w:val="superscript"/>
        </w:rPr>
        <w:t>1</w:t>
      </w:r>
      <w:r w:rsidRPr="00EB6A22">
        <w:rPr>
          <w:i/>
          <w:iCs/>
        </w:rPr>
        <w:t>$135,000 to &lt;$155,000</w:t>
      </w:r>
      <w:r w:rsidR="00D11B53">
        <w:rPr>
          <w:i/>
          <w:iCs/>
        </w:rPr>
        <w:t>/LY gained</w:t>
      </w:r>
    </w:p>
    <w:p w:rsidR="00EB6A22" w:rsidRPr="00EB6A22" w:rsidRDefault="00EB6A22" w:rsidP="00241B8E">
      <w:pPr>
        <w:pStyle w:val="TableFooter"/>
        <w:rPr>
          <w:i/>
          <w:iCs/>
        </w:rPr>
      </w:pPr>
      <w:r w:rsidRPr="00EB6A22">
        <w:rPr>
          <w:i/>
          <w:iCs/>
          <w:vertAlign w:val="superscript"/>
        </w:rPr>
        <w:t>2</w:t>
      </w:r>
      <w:r w:rsidRPr="00EB6A22">
        <w:rPr>
          <w:i/>
          <w:iCs/>
        </w:rPr>
        <w:t>$155,000 to &lt;$255,000</w:t>
      </w:r>
      <w:r w:rsidR="00D11B53">
        <w:rPr>
          <w:i/>
          <w:iCs/>
        </w:rPr>
        <w:t>/QALY gained</w:t>
      </w:r>
    </w:p>
    <w:p w:rsidR="00241B8E" w:rsidRPr="0046360F" w:rsidRDefault="00241B8E" w:rsidP="00241B8E">
      <w:pPr>
        <w:pStyle w:val="ExecSumBodyText"/>
        <w:numPr>
          <w:ilvl w:val="1"/>
          <w:numId w:val="1"/>
        </w:numPr>
      </w:pPr>
      <w:r w:rsidRPr="0046360F">
        <w:t>Based on the economic model presented in the resubmission, treatment with tafamidis was associated with an incremental cost per QALY gained of $</w:t>
      </w:r>
      <w:r w:rsidR="00946951">
        <w:t>155,000 to &lt;$255,000</w:t>
      </w:r>
      <w:r w:rsidR="00A2391D" w:rsidRPr="0046360F">
        <w:t xml:space="preserve"> </w:t>
      </w:r>
      <w:r w:rsidRPr="0046360F">
        <w:t xml:space="preserve">compared to best supportive care for the treatment of patients with ATTR-CM. </w:t>
      </w:r>
      <w:r w:rsidR="00D235A0" w:rsidRPr="0046360F">
        <w:t>The</w:t>
      </w:r>
      <w:r w:rsidRPr="0046360F">
        <w:t xml:space="preserve"> incremental cost per QALY gained </w:t>
      </w:r>
      <w:r w:rsidR="00D235A0" w:rsidRPr="0046360F">
        <w:t xml:space="preserve">was </w:t>
      </w:r>
      <w:r w:rsidRPr="0046360F">
        <w:t>$</w:t>
      </w:r>
      <w:r w:rsidR="00946951">
        <w:t>255,000 to &lt;$355,000</w:t>
      </w:r>
      <w:r w:rsidRPr="0046360F">
        <w:t xml:space="preserve"> in the previous submission.</w:t>
      </w:r>
      <w:r w:rsidR="00A2391D" w:rsidRPr="0046360F">
        <w:t xml:space="preserve"> </w:t>
      </w:r>
      <w:r w:rsidR="00A2391D" w:rsidRPr="0046360F">
        <w:rPr>
          <w:iCs/>
        </w:rPr>
        <w:t xml:space="preserve">The ESC considered the </w:t>
      </w:r>
      <w:r w:rsidR="00D235A0" w:rsidRPr="0046360F">
        <w:rPr>
          <w:iCs/>
        </w:rPr>
        <w:t>incremental cost-effectiveness ratio (</w:t>
      </w:r>
      <w:r w:rsidR="00A2391D" w:rsidRPr="0046360F">
        <w:rPr>
          <w:iCs/>
        </w:rPr>
        <w:t>ICER</w:t>
      </w:r>
      <w:r w:rsidR="00D235A0" w:rsidRPr="0046360F">
        <w:rPr>
          <w:iCs/>
        </w:rPr>
        <w:t>)</w:t>
      </w:r>
      <w:r w:rsidR="00A2391D" w:rsidRPr="0046360F">
        <w:rPr>
          <w:iCs/>
        </w:rPr>
        <w:t xml:space="preserve">, while lower than the previous submission, remained high and was </w:t>
      </w:r>
      <w:r w:rsidR="005E5E6A" w:rsidRPr="0046360F">
        <w:rPr>
          <w:iCs/>
        </w:rPr>
        <w:t>not reliable</w:t>
      </w:r>
      <w:r w:rsidR="00F8245D" w:rsidRPr="0046360F">
        <w:rPr>
          <w:iCs/>
        </w:rPr>
        <w:t xml:space="preserve"> due to the issues discussed above</w:t>
      </w:r>
      <w:r w:rsidR="00A2391D" w:rsidRPr="0046360F">
        <w:rPr>
          <w:iCs/>
        </w:rPr>
        <w:t>.</w:t>
      </w:r>
      <w:r w:rsidR="00F97C59" w:rsidRPr="0046360F">
        <w:rPr>
          <w:iCs/>
        </w:rPr>
        <w:t xml:space="preserve"> </w:t>
      </w:r>
    </w:p>
    <w:p w:rsidR="00D05FCF" w:rsidRPr="0046360F" w:rsidRDefault="00D05FCF" w:rsidP="00241B8E">
      <w:pPr>
        <w:pStyle w:val="ExecSumBodyText"/>
        <w:numPr>
          <w:ilvl w:val="1"/>
          <w:numId w:val="1"/>
        </w:numPr>
      </w:pPr>
      <w:r w:rsidRPr="0046360F">
        <w:rPr>
          <w:iCs/>
        </w:rPr>
        <w:t>Applying the resubmission’s proposed effective DPMQ in the previous and current models results in ICERs of $</w:t>
      </w:r>
      <w:r w:rsidR="00946951">
        <w:rPr>
          <w:iCs/>
        </w:rPr>
        <w:t>115,000 to &lt;$135,000</w:t>
      </w:r>
      <w:r w:rsidRPr="0046360F">
        <w:rPr>
          <w:iCs/>
        </w:rPr>
        <w:t xml:space="preserve"> </w:t>
      </w:r>
      <w:r w:rsidR="00AC1AD3">
        <w:rPr>
          <w:iCs/>
        </w:rPr>
        <w:t xml:space="preserve">per QALY gained </w:t>
      </w:r>
      <w:r w:rsidRPr="0046360F">
        <w:rPr>
          <w:iCs/>
        </w:rPr>
        <w:t>and $</w:t>
      </w:r>
      <w:r w:rsidR="00946951">
        <w:rPr>
          <w:iCs/>
        </w:rPr>
        <w:t>155,000 to &lt;$255,000</w:t>
      </w:r>
      <w:r w:rsidRPr="0046360F">
        <w:rPr>
          <w:iCs/>
        </w:rPr>
        <w:t xml:space="preserve"> per QALY gained, respectively. Thus, overall the resubmission’s model was more conservative than the model in the previous submission. </w:t>
      </w:r>
    </w:p>
    <w:p w:rsidR="00241B8E" w:rsidRPr="0046360F" w:rsidRDefault="00241B8E" w:rsidP="00241B8E">
      <w:pPr>
        <w:pStyle w:val="ExecSumBodyText"/>
        <w:numPr>
          <w:ilvl w:val="1"/>
          <w:numId w:val="1"/>
        </w:numPr>
      </w:pPr>
      <w:r w:rsidRPr="0046360F">
        <w:t xml:space="preserve">The results of sensitivity analyses presented in the resubmission </w:t>
      </w:r>
      <w:r w:rsidRPr="0046360F">
        <w:rPr>
          <w:iCs/>
        </w:rPr>
        <w:t>and conducted during the evaluation</w:t>
      </w:r>
      <w:r w:rsidRPr="0046360F">
        <w:t xml:space="preserve"> are summarised below.</w:t>
      </w:r>
    </w:p>
    <w:p w:rsidR="00241B8E" w:rsidRPr="0046360F" w:rsidRDefault="00241B8E" w:rsidP="00240DAD">
      <w:pPr>
        <w:pStyle w:val="Caption"/>
        <w:keepLines/>
      </w:pPr>
      <w:r w:rsidRPr="0046360F">
        <w:t xml:space="preserve">Table </w:t>
      </w:r>
      <w:r w:rsidR="00C170ED">
        <w:rPr>
          <w:noProof/>
        </w:rPr>
        <w:t>14</w:t>
      </w:r>
      <w:r w:rsidRPr="0046360F">
        <w:t>: Results of key sensitivity analyses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05"/>
        <w:gridCol w:w="1637"/>
        <w:gridCol w:w="1637"/>
        <w:gridCol w:w="1638"/>
      </w:tblGrid>
      <w:tr w:rsidR="00241B8E" w:rsidRPr="0046360F" w:rsidTr="00221DAD">
        <w:trPr>
          <w:tblHeader/>
        </w:trPr>
        <w:tc>
          <w:tcPr>
            <w:tcW w:w="4105" w:type="dxa"/>
          </w:tcPr>
          <w:p w:rsidR="00241B8E" w:rsidRPr="0046360F" w:rsidRDefault="00241B8E" w:rsidP="00240DAD">
            <w:pPr>
              <w:pStyle w:val="Tabletext1"/>
              <w:keepNext/>
              <w:keepLines/>
              <w:tabs>
                <w:tab w:val="left" w:pos="142"/>
              </w:tabs>
              <w:rPr>
                <w:b/>
              </w:rPr>
            </w:pPr>
            <w:r w:rsidRPr="0046360F">
              <w:rPr>
                <w:b/>
              </w:rPr>
              <w:t>Analyses</w:t>
            </w:r>
          </w:p>
        </w:tc>
        <w:tc>
          <w:tcPr>
            <w:tcW w:w="1637" w:type="dxa"/>
          </w:tcPr>
          <w:p w:rsidR="00241B8E" w:rsidRPr="0046360F" w:rsidRDefault="00241B8E" w:rsidP="00240DAD">
            <w:pPr>
              <w:pStyle w:val="Tabletext1"/>
              <w:keepNext/>
              <w:keepLines/>
              <w:jc w:val="center"/>
              <w:rPr>
                <w:b/>
              </w:rPr>
            </w:pPr>
            <w:r w:rsidRPr="0046360F">
              <w:rPr>
                <w:b/>
              </w:rPr>
              <w:t>Incremental cost</w:t>
            </w:r>
          </w:p>
        </w:tc>
        <w:tc>
          <w:tcPr>
            <w:tcW w:w="1637" w:type="dxa"/>
          </w:tcPr>
          <w:p w:rsidR="00241B8E" w:rsidRPr="0046360F" w:rsidRDefault="00241B8E" w:rsidP="00240DAD">
            <w:pPr>
              <w:pStyle w:val="Tabletext1"/>
              <w:keepNext/>
              <w:keepLines/>
              <w:jc w:val="center"/>
              <w:rPr>
                <w:b/>
              </w:rPr>
            </w:pPr>
            <w:r w:rsidRPr="0046360F">
              <w:rPr>
                <w:b/>
              </w:rPr>
              <w:t>Incremental QALYs</w:t>
            </w:r>
          </w:p>
        </w:tc>
        <w:tc>
          <w:tcPr>
            <w:tcW w:w="1638" w:type="dxa"/>
          </w:tcPr>
          <w:p w:rsidR="00241B8E" w:rsidRPr="0046360F" w:rsidRDefault="00241B8E" w:rsidP="00240DAD">
            <w:pPr>
              <w:pStyle w:val="Tabletext1"/>
              <w:keepNext/>
              <w:keepLines/>
              <w:jc w:val="center"/>
              <w:rPr>
                <w:b/>
              </w:rPr>
            </w:pPr>
            <w:r w:rsidRPr="0046360F">
              <w:rPr>
                <w:b/>
              </w:rPr>
              <w:t>ICER</w:t>
            </w:r>
          </w:p>
        </w:tc>
      </w:tr>
      <w:tr w:rsidR="00241B8E" w:rsidRPr="0046360F" w:rsidTr="00221DAD">
        <w:tc>
          <w:tcPr>
            <w:tcW w:w="4105" w:type="dxa"/>
          </w:tcPr>
          <w:p w:rsidR="00241B8E" w:rsidRPr="0046360F" w:rsidRDefault="00241B8E" w:rsidP="00240DAD">
            <w:pPr>
              <w:pStyle w:val="Tabletext1"/>
              <w:keepNext/>
              <w:keepLines/>
              <w:tabs>
                <w:tab w:val="left" w:pos="142"/>
              </w:tabs>
              <w:rPr>
                <w:b/>
                <w:vertAlign w:val="superscript"/>
              </w:rPr>
            </w:pPr>
            <w:r w:rsidRPr="0046360F">
              <w:rPr>
                <w:b/>
              </w:rPr>
              <w:t>Base case</w:t>
            </w:r>
          </w:p>
        </w:tc>
        <w:tc>
          <w:tcPr>
            <w:tcW w:w="1637" w:type="dxa"/>
          </w:tcPr>
          <w:p w:rsidR="00241B8E" w:rsidRPr="0046360F" w:rsidRDefault="00241B8E" w:rsidP="00240DAD">
            <w:pPr>
              <w:pStyle w:val="Tabletext1"/>
              <w:keepNext/>
              <w:keepLines/>
              <w:jc w:val="center"/>
            </w:pPr>
            <w:r w:rsidRPr="0046360F">
              <w:rPr>
                <w:b/>
                <w:iCs/>
              </w:rPr>
              <w:t>$</w:t>
            </w:r>
            <w:r w:rsidR="002F07A9">
              <w:rPr>
                <w:b/>
                <w:iCs/>
                <w:noProof/>
                <w:color w:val="000000"/>
                <w:highlight w:val="black"/>
              </w:rPr>
              <w:t>''''''''''''''</w:t>
            </w:r>
          </w:p>
        </w:tc>
        <w:tc>
          <w:tcPr>
            <w:tcW w:w="1637" w:type="dxa"/>
          </w:tcPr>
          <w:p w:rsidR="00241B8E" w:rsidRPr="0046360F" w:rsidRDefault="00241B8E" w:rsidP="00240DAD">
            <w:pPr>
              <w:pStyle w:val="Tabletext1"/>
              <w:keepNext/>
              <w:keepLines/>
              <w:jc w:val="center"/>
            </w:pPr>
            <w:r w:rsidRPr="0046360F">
              <w:rPr>
                <w:b/>
              </w:rPr>
              <w:t>2.1856</w:t>
            </w:r>
          </w:p>
        </w:tc>
        <w:tc>
          <w:tcPr>
            <w:tcW w:w="1638" w:type="dxa"/>
          </w:tcPr>
          <w:p w:rsidR="00241B8E" w:rsidRPr="00946951" w:rsidRDefault="00241B8E" w:rsidP="00240DAD">
            <w:pPr>
              <w:pStyle w:val="Tabletext1"/>
              <w:keepNext/>
              <w:keepLines/>
              <w:jc w:val="center"/>
              <w:rPr>
                <w:vertAlign w:val="superscript"/>
              </w:rPr>
            </w:pPr>
            <w:r w:rsidRPr="0046360F">
              <w:rPr>
                <w:b/>
                <w:iCs/>
              </w:rPr>
              <w:t>$</w:t>
            </w:r>
            <w:r w:rsidR="002F07A9">
              <w:rPr>
                <w:b/>
                <w:iCs/>
                <w:noProof/>
                <w:color w:val="000000"/>
                <w:highlight w:val="black"/>
              </w:rPr>
              <w:t>''''''''''''''</w:t>
            </w:r>
            <w:r w:rsidR="00946951" w:rsidRPr="00946951">
              <w:rPr>
                <w:b/>
                <w:iCs/>
                <w:vertAlign w:val="superscript"/>
              </w:rPr>
              <w:t>1</w:t>
            </w:r>
          </w:p>
        </w:tc>
      </w:tr>
      <w:tr w:rsidR="00241B8E" w:rsidRPr="0046360F" w:rsidTr="00221DAD">
        <w:tc>
          <w:tcPr>
            <w:tcW w:w="9017" w:type="dxa"/>
            <w:gridSpan w:val="4"/>
            <w:tcBorders>
              <w:right w:val="single" w:sz="4" w:space="0" w:color="auto"/>
            </w:tcBorders>
          </w:tcPr>
          <w:p w:rsidR="00241B8E" w:rsidRPr="0046360F" w:rsidRDefault="00241B8E" w:rsidP="00240DAD">
            <w:pPr>
              <w:pStyle w:val="Tabletext1"/>
              <w:keepNext/>
              <w:keepLines/>
              <w:rPr>
                <w:i/>
              </w:rPr>
            </w:pPr>
            <w:r w:rsidRPr="0046360F">
              <w:rPr>
                <w:b/>
              </w:rPr>
              <w:t>Time horizon (base case: 20 years)</w:t>
            </w:r>
          </w:p>
        </w:tc>
      </w:tr>
      <w:tr w:rsidR="00241B8E" w:rsidRPr="0046360F" w:rsidTr="00221DAD">
        <w:tc>
          <w:tcPr>
            <w:tcW w:w="4105" w:type="dxa"/>
          </w:tcPr>
          <w:p w:rsidR="00241B8E" w:rsidRPr="0046360F" w:rsidRDefault="00241B8E" w:rsidP="00240DAD">
            <w:pPr>
              <w:pStyle w:val="Tabletext1"/>
              <w:keepNext/>
              <w:keepLines/>
              <w:tabs>
                <w:tab w:val="left" w:pos="142"/>
              </w:tabs>
            </w:pPr>
            <w:r w:rsidRPr="0046360F">
              <w:rPr>
                <w:szCs w:val="20"/>
              </w:rPr>
              <w:t xml:space="preserve">10 years </w:t>
            </w:r>
          </w:p>
        </w:tc>
        <w:tc>
          <w:tcPr>
            <w:tcW w:w="1637" w:type="dxa"/>
            <w:tcBorders>
              <w:top w:val="single" w:sz="4" w:space="0" w:color="auto"/>
              <w:left w:val="nil"/>
              <w:bottom w:val="single" w:sz="4" w:space="0" w:color="auto"/>
              <w:right w:val="single" w:sz="4" w:space="0" w:color="auto"/>
            </w:tcBorders>
            <w:shd w:val="clear" w:color="auto" w:fill="auto"/>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241B8E" w:rsidRPr="0046360F" w:rsidRDefault="00241B8E" w:rsidP="00240DAD">
            <w:pPr>
              <w:pStyle w:val="Tabletext1"/>
              <w:keepNext/>
              <w:keepLines/>
              <w:jc w:val="center"/>
            </w:pPr>
            <w:r w:rsidRPr="0046360F">
              <w:t>1.3198</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rsidTr="00221DAD">
        <w:tc>
          <w:tcPr>
            <w:tcW w:w="4105" w:type="dxa"/>
          </w:tcPr>
          <w:p w:rsidR="00241B8E" w:rsidRPr="0046360F" w:rsidRDefault="00241B8E" w:rsidP="00240DAD">
            <w:pPr>
              <w:pStyle w:val="Tabletext1"/>
              <w:keepNext/>
              <w:keepLines/>
              <w:tabs>
                <w:tab w:val="left" w:pos="142"/>
              </w:tabs>
            </w:pPr>
            <w:r w:rsidRPr="0046360F">
              <w:rPr>
                <w:szCs w:val="20"/>
              </w:rPr>
              <w:t>15 years</w:t>
            </w:r>
          </w:p>
        </w:tc>
        <w:tc>
          <w:tcPr>
            <w:tcW w:w="1637" w:type="dxa"/>
            <w:tcBorders>
              <w:top w:val="single" w:sz="4" w:space="0" w:color="auto"/>
              <w:left w:val="nil"/>
              <w:bottom w:val="single" w:sz="4" w:space="0" w:color="auto"/>
              <w:right w:val="single" w:sz="4" w:space="0" w:color="auto"/>
            </w:tcBorders>
            <w:shd w:val="clear" w:color="auto" w:fill="auto"/>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241B8E" w:rsidRPr="0046360F" w:rsidRDefault="00241B8E" w:rsidP="00240DAD">
            <w:pPr>
              <w:pStyle w:val="Tabletext1"/>
              <w:keepNext/>
              <w:keepLines/>
              <w:jc w:val="center"/>
            </w:pPr>
            <w:r w:rsidRPr="0046360F">
              <w:t>1.8520</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rsidTr="00221DAD">
        <w:tc>
          <w:tcPr>
            <w:tcW w:w="9017" w:type="dxa"/>
            <w:gridSpan w:val="4"/>
            <w:tcBorders>
              <w:right w:val="single" w:sz="4" w:space="0" w:color="auto"/>
            </w:tcBorders>
          </w:tcPr>
          <w:p w:rsidR="00241B8E" w:rsidRPr="0046360F" w:rsidRDefault="00241B8E" w:rsidP="00240DAD">
            <w:pPr>
              <w:pStyle w:val="Tabletext1"/>
              <w:keepNext/>
              <w:keepLines/>
              <w:tabs>
                <w:tab w:val="left" w:pos="142"/>
              </w:tabs>
              <w:rPr>
                <w:b/>
              </w:rPr>
            </w:pPr>
            <w:r w:rsidRPr="0046360F">
              <w:rPr>
                <w:b/>
              </w:rPr>
              <w:t>Patient population (base case: 100% NYHA class I/II</w:t>
            </w:r>
            <w:r w:rsidR="00657255" w:rsidRPr="0046360F">
              <w:rPr>
                <w:b/>
              </w:rPr>
              <w:t xml:space="preserve"> at baseline</w:t>
            </w:r>
            <w:r w:rsidRPr="0046360F">
              <w:rPr>
                <w:b/>
              </w:rPr>
              <w:t>)</w:t>
            </w:r>
          </w:p>
        </w:tc>
      </w:tr>
      <w:tr w:rsidR="00241B8E" w:rsidRPr="0046360F" w:rsidTr="00221DAD">
        <w:tc>
          <w:tcPr>
            <w:tcW w:w="4105" w:type="dxa"/>
          </w:tcPr>
          <w:p w:rsidR="00241B8E" w:rsidRPr="0046360F" w:rsidRDefault="00241B8E" w:rsidP="00240DAD">
            <w:pPr>
              <w:pStyle w:val="Tabletext1"/>
              <w:keepNext/>
              <w:keepLines/>
              <w:tabs>
                <w:tab w:val="left" w:pos="142"/>
              </w:tabs>
            </w:pPr>
            <w:r w:rsidRPr="0046360F">
              <w:t>68% NYHA class I/II; 32% NYHA class III/IV</w:t>
            </w:r>
            <w:r w:rsidR="00657255" w:rsidRPr="0046360F">
              <w:t xml:space="preserve"> at baseline</w:t>
            </w:r>
          </w:p>
        </w:tc>
        <w:tc>
          <w:tcPr>
            <w:tcW w:w="1637" w:type="dxa"/>
            <w:tcBorders>
              <w:top w:val="single" w:sz="4" w:space="0" w:color="auto"/>
              <w:left w:val="nil"/>
              <w:bottom w:val="single" w:sz="4" w:space="0" w:color="auto"/>
              <w:right w:val="single" w:sz="4" w:space="0" w:color="auto"/>
            </w:tcBorders>
            <w:shd w:val="clear" w:color="auto" w:fill="auto"/>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241B8E" w:rsidRPr="0046360F" w:rsidRDefault="00241B8E" w:rsidP="00240DAD">
            <w:pPr>
              <w:pStyle w:val="Tabletext1"/>
              <w:keepNext/>
              <w:keepLines/>
              <w:jc w:val="center"/>
            </w:pPr>
            <w:r w:rsidRPr="0046360F">
              <w:t>1.3953</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rsidTr="00221DAD">
        <w:tc>
          <w:tcPr>
            <w:tcW w:w="9017" w:type="dxa"/>
            <w:gridSpan w:val="4"/>
            <w:tcBorders>
              <w:right w:val="single" w:sz="4" w:space="0" w:color="auto"/>
            </w:tcBorders>
          </w:tcPr>
          <w:p w:rsidR="00241B8E" w:rsidRPr="0046360F" w:rsidRDefault="00241B8E" w:rsidP="00240DAD">
            <w:pPr>
              <w:pStyle w:val="Tabletext1"/>
              <w:keepNext/>
              <w:keepLines/>
              <w:rPr>
                <w:b/>
                <w:bCs/>
                <w:i/>
              </w:rPr>
            </w:pPr>
            <w:r w:rsidRPr="0046360F">
              <w:rPr>
                <w:b/>
                <w:bCs/>
              </w:rPr>
              <w:t>Transition probabilities (base case: six-monthly transitions derived using IPD from ATTR-ACT trial; missing data deleted; beyond trial duration based on weighted average of the five trial-based six-monthly cycles)</w:t>
            </w:r>
          </w:p>
        </w:tc>
      </w:tr>
      <w:tr w:rsidR="00241B8E" w:rsidRPr="0046360F" w:rsidTr="00221DAD">
        <w:tc>
          <w:tcPr>
            <w:tcW w:w="4105" w:type="dxa"/>
          </w:tcPr>
          <w:p w:rsidR="00241B8E" w:rsidRPr="0046360F" w:rsidRDefault="00241B8E" w:rsidP="00240DAD">
            <w:pPr>
              <w:pStyle w:val="Tabletext1"/>
              <w:keepNext/>
              <w:keepLines/>
              <w:tabs>
                <w:tab w:val="left" w:pos="142"/>
              </w:tabs>
            </w:pPr>
            <w:r w:rsidRPr="0046360F">
              <w:t>Cycles 1-5, 6+: weighted average of cycles 1-5; missing data deleted</w:t>
            </w:r>
          </w:p>
        </w:tc>
        <w:tc>
          <w:tcPr>
            <w:tcW w:w="1637"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pPr>
            <w:r w:rsidRPr="0046360F">
              <w:t>2.1422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rsidTr="00221DAD">
        <w:tc>
          <w:tcPr>
            <w:tcW w:w="4105" w:type="dxa"/>
          </w:tcPr>
          <w:p w:rsidR="00241B8E" w:rsidRPr="0046360F" w:rsidRDefault="00241B8E" w:rsidP="00240DAD">
            <w:pPr>
              <w:pStyle w:val="Tabletext1"/>
              <w:keepNext/>
              <w:keepLines/>
              <w:tabs>
                <w:tab w:val="left" w:pos="142"/>
              </w:tabs>
            </w:pPr>
            <w:r w:rsidRPr="0046360F">
              <w:t>Cycles 1-5, 6+: weighted average of cycles 1-5; LOCF to impute missing data</w:t>
            </w:r>
          </w:p>
        </w:tc>
        <w:tc>
          <w:tcPr>
            <w:tcW w:w="1637"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pPr>
            <w:r w:rsidRPr="0046360F">
              <w:t>1.8577</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rsidTr="00221DAD">
        <w:tc>
          <w:tcPr>
            <w:tcW w:w="4105" w:type="dxa"/>
          </w:tcPr>
          <w:p w:rsidR="00241B8E" w:rsidRPr="0046360F" w:rsidRDefault="00241B8E" w:rsidP="00240DAD">
            <w:pPr>
              <w:pStyle w:val="Tabletext1"/>
              <w:keepNext/>
              <w:keepLines/>
              <w:tabs>
                <w:tab w:val="left" w:pos="142"/>
              </w:tabs>
              <w:rPr>
                <w:vertAlign w:val="superscript"/>
              </w:rPr>
            </w:pPr>
            <w:r w:rsidRPr="0046360F">
              <w:t>Cycles 6+: based on data from extension study</w:t>
            </w:r>
            <w:r w:rsidR="00337E52" w:rsidRPr="0046360F">
              <w:t xml:space="preserve"> </w:t>
            </w:r>
            <w:r w:rsidR="00337E52" w:rsidRPr="0046360F">
              <w:rPr>
                <w:vertAlign w:val="superscript"/>
              </w:rPr>
              <w:t>b</w:t>
            </w:r>
          </w:p>
        </w:tc>
        <w:tc>
          <w:tcPr>
            <w:tcW w:w="1637" w:type="dxa"/>
            <w:tcBorders>
              <w:top w:val="single" w:sz="4" w:space="0" w:color="auto"/>
              <w:left w:val="nil"/>
              <w:bottom w:val="single" w:sz="4" w:space="0" w:color="auto"/>
              <w:right w:val="single" w:sz="4" w:space="0" w:color="auto"/>
            </w:tcBorders>
            <w:shd w:val="clear" w:color="auto" w:fill="auto"/>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241B8E" w:rsidRPr="0046360F" w:rsidRDefault="00241B8E" w:rsidP="00240DAD">
            <w:pPr>
              <w:pStyle w:val="Tabletext1"/>
              <w:keepNext/>
              <w:keepLines/>
              <w:jc w:val="center"/>
            </w:pPr>
            <w:r w:rsidRPr="0046360F">
              <w:t>1.4295</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rsidTr="00221DAD">
        <w:tc>
          <w:tcPr>
            <w:tcW w:w="9017" w:type="dxa"/>
            <w:gridSpan w:val="4"/>
            <w:tcBorders>
              <w:right w:val="single" w:sz="4" w:space="0" w:color="auto"/>
            </w:tcBorders>
          </w:tcPr>
          <w:p w:rsidR="00241B8E" w:rsidRPr="0046360F" w:rsidRDefault="00241B8E" w:rsidP="00240DAD">
            <w:pPr>
              <w:pStyle w:val="Tabletext1"/>
              <w:keepNext/>
              <w:keepLines/>
              <w:rPr>
                <w:b/>
              </w:rPr>
            </w:pPr>
            <w:r w:rsidRPr="0046360F">
              <w:rPr>
                <w:b/>
              </w:rPr>
              <w:t>Treatment persistence extrapolations (base case: discontinuations in the tafamidis treatment arm extrapolated using an exponential function)</w:t>
            </w:r>
          </w:p>
        </w:tc>
      </w:tr>
      <w:tr w:rsidR="00241B8E" w:rsidRPr="0046360F" w:rsidTr="00221DAD">
        <w:tc>
          <w:tcPr>
            <w:tcW w:w="4105" w:type="dxa"/>
          </w:tcPr>
          <w:p w:rsidR="00241B8E" w:rsidRPr="0046360F" w:rsidRDefault="00241B8E" w:rsidP="00240DAD">
            <w:pPr>
              <w:pStyle w:val="Tabletext1"/>
              <w:keepNext/>
              <w:keepLines/>
              <w:tabs>
                <w:tab w:val="left" w:pos="142"/>
              </w:tabs>
            </w:pPr>
            <w:r w:rsidRPr="0046360F">
              <w:t>Discontinuations extrapolated using lognormal function</w:t>
            </w:r>
          </w:p>
        </w:tc>
        <w:tc>
          <w:tcPr>
            <w:tcW w:w="1637" w:type="dxa"/>
            <w:tcBorders>
              <w:top w:val="single" w:sz="4" w:space="0" w:color="auto"/>
              <w:left w:val="nil"/>
              <w:bottom w:val="single" w:sz="4" w:space="0" w:color="auto"/>
              <w:right w:val="single" w:sz="4" w:space="0" w:color="auto"/>
            </w:tcBorders>
            <w:shd w:val="clear" w:color="auto" w:fill="auto"/>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241B8E" w:rsidRPr="0046360F" w:rsidRDefault="00241B8E" w:rsidP="00240DAD">
            <w:pPr>
              <w:pStyle w:val="Tabletext1"/>
              <w:keepNext/>
              <w:keepLines/>
              <w:jc w:val="center"/>
            </w:pPr>
            <w:r w:rsidRPr="0046360F">
              <w:t>2.1856</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rsidTr="00221DAD">
        <w:tc>
          <w:tcPr>
            <w:tcW w:w="4105" w:type="dxa"/>
          </w:tcPr>
          <w:p w:rsidR="00241B8E" w:rsidRPr="0046360F" w:rsidRDefault="00241B8E" w:rsidP="00240DAD">
            <w:pPr>
              <w:pStyle w:val="Tabletext1"/>
              <w:keepNext/>
              <w:keepLines/>
              <w:tabs>
                <w:tab w:val="left" w:pos="142"/>
              </w:tabs>
              <w:rPr>
                <w:vertAlign w:val="superscript"/>
              </w:rPr>
            </w:pPr>
            <w:r w:rsidRPr="0046360F">
              <w:t>No discontinuations after month 30 (discontinuation curve same as survival curve from month 30)</w:t>
            </w:r>
            <w:r w:rsidR="004358EF" w:rsidRPr="0046360F">
              <w:rPr>
                <w:vertAlign w:val="superscript"/>
              </w:rPr>
              <w:t>a</w:t>
            </w:r>
          </w:p>
        </w:tc>
        <w:tc>
          <w:tcPr>
            <w:tcW w:w="1637"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rFonts w:cs="Arial"/>
                <w:iCs/>
                <w:szCs w:val="20"/>
                <w:lang w:eastAsia="en-AU"/>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rFonts w:cs="Arial"/>
                <w:szCs w:val="20"/>
                <w:lang w:eastAsia="en-AU"/>
              </w:rPr>
            </w:pPr>
            <w:r w:rsidRPr="0046360F">
              <w:t>2.1856</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rFonts w:cs="Arial"/>
                <w:iCs/>
                <w:szCs w:val="20"/>
                <w:lang w:eastAsia="en-AU"/>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rsidTr="00221DAD">
        <w:tc>
          <w:tcPr>
            <w:tcW w:w="4105" w:type="dxa"/>
          </w:tcPr>
          <w:p w:rsidR="00241B8E" w:rsidRPr="0046360F" w:rsidRDefault="00241B8E" w:rsidP="00240DAD">
            <w:pPr>
              <w:pStyle w:val="Tabletext1"/>
              <w:keepNext/>
              <w:keepLines/>
              <w:tabs>
                <w:tab w:val="left" w:pos="142"/>
              </w:tabs>
            </w:pPr>
            <w:r w:rsidRPr="0046360F">
              <w:t>No discontinuations over the course of the model (discontinuation curve same as survival curve)</w:t>
            </w:r>
            <w:r w:rsidR="004358EF" w:rsidRPr="0046360F">
              <w:rPr>
                <w:vertAlign w:val="superscript"/>
              </w:rPr>
              <w:t>a</w:t>
            </w:r>
          </w:p>
        </w:tc>
        <w:tc>
          <w:tcPr>
            <w:tcW w:w="1637"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rFonts w:cs="Arial"/>
                <w:iCs/>
                <w:szCs w:val="20"/>
                <w:lang w:eastAsia="en-AU"/>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rFonts w:cs="Arial"/>
                <w:szCs w:val="20"/>
                <w:lang w:eastAsia="en-AU"/>
              </w:rPr>
            </w:pPr>
            <w:r w:rsidRPr="0046360F">
              <w:t>2.1856</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rFonts w:cs="Arial"/>
                <w:iCs/>
                <w:color w:val="3366FF"/>
                <w:szCs w:val="20"/>
                <w:lang w:eastAsia="en-AU"/>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rsidTr="00221DAD">
        <w:tc>
          <w:tcPr>
            <w:tcW w:w="9017" w:type="dxa"/>
            <w:gridSpan w:val="4"/>
            <w:tcBorders>
              <w:right w:val="single" w:sz="4" w:space="0" w:color="auto"/>
            </w:tcBorders>
          </w:tcPr>
          <w:p w:rsidR="00241B8E" w:rsidRPr="0046360F" w:rsidRDefault="00241B8E" w:rsidP="00240DAD">
            <w:pPr>
              <w:pStyle w:val="Tabletext1"/>
              <w:keepNext/>
              <w:keepLines/>
              <w:rPr>
                <w:b/>
              </w:rPr>
            </w:pPr>
            <w:r w:rsidRPr="0046360F">
              <w:rPr>
                <w:b/>
              </w:rPr>
              <w:t xml:space="preserve">Utility values (base case: utilities based on a </w:t>
            </w:r>
            <w:r w:rsidR="008B0291" w:rsidRPr="0046360F">
              <w:rPr>
                <w:b/>
              </w:rPr>
              <w:t>post hoc</w:t>
            </w:r>
            <w:r w:rsidRPr="0046360F">
              <w:rPr>
                <w:b/>
              </w:rPr>
              <w:t xml:space="preserve"> reanalysis of EQ-5D-3L data with UK weights from ATTR-ACT trial by treatment arm and NYHA class)</w:t>
            </w:r>
          </w:p>
        </w:tc>
      </w:tr>
      <w:tr w:rsidR="00241B8E" w:rsidRPr="0046360F" w:rsidTr="00221DAD">
        <w:tc>
          <w:tcPr>
            <w:tcW w:w="4105" w:type="dxa"/>
          </w:tcPr>
          <w:p w:rsidR="00241B8E" w:rsidRPr="0046360F" w:rsidRDefault="00241B8E" w:rsidP="00240DAD">
            <w:pPr>
              <w:pStyle w:val="Tabletext1"/>
              <w:keepNext/>
              <w:keepLines/>
              <w:tabs>
                <w:tab w:val="left" w:pos="142"/>
              </w:tabs>
            </w:pPr>
            <w:r w:rsidRPr="0046360F">
              <w:t xml:space="preserve">Treatment independent NYHA utility values </w:t>
            </w:r>
          </w:p>
          <w:p w:rsidR="00241B8E" w:rsidRPr="0046360F" w:rsidRDefault="00241B8E" w:rsidP="00240DAD">
            <w:pPr>
              <w:pStyle w:val="Tabletext1"/>
              <w:keepNext/>
              <w:keepLines/>
              <w:tabs>
                <w:tab w:val="left" w:pos="142"/>
              </w:tabs>
            </w:pPr>
            <w:r w:rsidRPr="0046360F">
              <w:t>(based on Ademi 2014 publication)</w:t>
            </w:r>
          </w:p>
        </w:tc>
        <w:tc>
          <w:tcPr>
            <w:tcW w:w="1637"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pPr>
            <w:r w:rsidRPr="0046360F">
              <w:t>1.8918</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rsidTr="00221DAD">
        <w:tc>
          <w:tcPr>
            <w:tcW w:w="4105" w:type="dxa"/>
          </w:tcPr>
          <w:p w:rsidR="00241B8E" w:rsidRPr="0046360F" w:rsidRDefault="00241B8E" w:rsidP="00240DAD">
            <w:pPr>
              <w:pStyle w:val="Tabletext1"/>
              <w:keepNext/>
              <w:keepLines/>
              <w:tabs>
                <w:tab w:val="left" w:pos="142"/>
              </w:tabs>
            </w:pPr>
            <w:r w:rsidRPr="0046360F">
              <w:t xml:space="preserve">Treatment independent NYHA utility values </w:t>
            </w:r>
          </w:p>
          <w:p w:rsidR="00241B8E" w:rsidRPr="0046360F" w:rsidRDefault="00241B8E" w:rsidP="00240DAD">
            <w:pPr>
              <w:pStyle w:val="Tabletext1"/>
              <w:keepNext/>
              <w:keepLines/>
              <w:tabs>
                <w:tab w:val="left" w:pos="142"/>
              </w:tabs>
            </w:pPr>
            <w:r w:rsidRPr="0046360F">
              <w:t>(based on best supportive care arm)</w:t>
            </w:r>
            <w:r w:rsidR="004358EF" w:rsidRPr="0046360F">
              <w:rPr>
                <w:vertAlign w:val="superscript"/>
              </w:rPr>
              <w:t>a</w:t>
            </w:r>
          </w:p>
        </w:tc>
        <w:tc>
          <w:tcPr>
            <w:tcW w:w="1637"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pPr>
            <w:r w:rsidRPr="0046360F">
              <w:t>2.0059</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rsidTr="00221DAD">
        <w:tc>
          <w:tcPr>
            <w:tcW w:w="4105" w:type="dxa"/>
          </w:tcPr>
          <w:p w:rsidR="00241B8E" w:rsidRPr="0046360F" w:rsidRDefault="00241B8E" w:rsidP="00240DAD">
            <w:pPr>
              <w:pStyle w:val="Tabletext1"/>
              <w:keepNext/>
              <w:keepLines/>
              <w:tabs>
                <w:tab w:val="left" w:pos="142"/>
              </w:tabs>
            </w:pPr>
            <w:r w:rsidRPr="0046360F">
              <w:t xml:space="preserve">Treatment independent NYHA utility values </w:t>
            </w:r>
          </w:p>
          <w:p w:rsidR="00241B8E" w:rsidRPr="0046360F" w:rsidRDefault="00241B8E" w:rsidP="00240DAD">
            <w:pPr>
              <w:pStyle w:val="Tabletext1"/>
              <w:keepNext/>
              <w:keepLines/>
              <w:tabs>
                <w:tab w:val="left" w:pos="142"/>
              </w:tabs>
            </w:pPr>
            <w:r w:rsidRPr="0046360F">
              <w:t>(based on tafamidis arm)</w:t>
            </w:r>
            <w:r w:rsidR="004358EF" w:rsidRPr="0046360F">
              <w:rPr>
                <w:vertAlign w:val="superscript"/>
              </w:rPr>
              <w:t>a</w:t>
            </w:r>
          </w:p>
        </w:tc>
        <w:tc>
          <w:tcPr>
            <w:tcW w:w="1637"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pPr>
            <w:r w:rsidRPr="0046360F">
              <w:t>2.0217</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bl>
    <w:p w:rsidR="00241B8E" w:rsidRPr="0046360F" w:rsidRDefault="00241B8E" w:rsidP="00240DAD">
      <w:pPr>
        <w:pStyle w:val="TableFooter"/>
        <w:keepNext/>
        <w:keepLines/>
      </w:pPr>
      <w:r w:rsidRPr="0046360F">
        <w:t>Source: Table 3.9.1, p162 and Economic Model - tafamidis - Nov2020 Excel workbook provided with the resubmission</w:t>
      </w:r>
    </w:p>
    <w:p w:rsidR="007E38CD" w:rsidRPr="0046360F" w:rsidRDefault="007E38CD" w:rsidP="00240DAD">
      <w:pPr>
        <w:pStyle w:val="TableFooter"/>
        <w:keepNext/>
        <w:keepLines/>
      </w:pPr>
      <w:r w:rsidRPr="0046360F">
        <w:t xml:space="preserve">Abbreviations: </w:t>
      </w:r>
      <w:r w:rsidRPr="0046360F">
        <w:rPr>
          <w:szCs w:val="18"/>
        </w:rPr>
        <w:t>EQ-5D-3L, EuroQoL- 5 dimension 3 level questionnaire; IPD, individual patient data; LOCF, last observation carried forward; NYHA, New York Heart Association</w:t>
      </w:r>
    </w:p>
    <w:p w:rsidR="00241B8E" w:rsidRPr="0046360F" w:rsidRDefault="00241B8E" w:rsidP="00240DAD">
      <w:pPr>
        <w:pStyle w:val="TableFooter"/>
        <w:keepNext/>
        <w:keepLines/>
        <w:rPr>
          <w:i/>
        </w:rPr>
      </w:pPr>
      <w:r w:rsidRPr="0046360F">
        <w:t xml:space="preserve">Note: Costs </w:t>
      </w:r>
      <w:r w:rsidR="00D235A0" w:rsidRPr="0046360F">
        <w:t>were</w:t>
      </w:r>
      <w:r w:rsidRPr="0046360F">
        <w:t xml:space="preserve"> corrected for errors in the calculation of acute disease costs and disease management costs, and the inappropriate use of MBS benefit rather than MBS fee.</w:t>
      </w:r>
    </w:p>
    <w:p w:rsidR="004358EF" w:rsidRPr="0046360F" w:rsidRDefault="004358EF" w:rsidP="00240DAD">
      <w:pPr>
        <w:pStyle w:val="TableFooter"/>
        <w:keepNext/>
        <w:keepLines/>
      </w:pPr>
      <w:r w:rsidRPr="0046360F">
        <w:rPr>
          <w:vertAlign w:val="superscript"/>
        </w:rPr>
        <w:t xml:space="preserve">a </w:t>
      </w:r>
      <w:r w:rsidRPr="0046360F">
        <w:t>Analyses conducted during the evaluation.</w:t>
      </w:r>
    </w:p>
    <w:p w:rsidR="00337E52" w:rsidRDefault="00337E52" w:rsidP="00240DAD">
      <w:pPr>
        <w:pStyle w:val="TableFooter"/>
        <w:keepNext/>
        <w:keepLines/>
      </w:pPr>
      <w:r w:rsidRPr="0046360F">
        <w:rPr>
          <w:vertAlign w:val="superscript"/>
        </w:rPr>
        <w:t>b</w:t>
      </w:r>
      <w:r w:rsidRPr="0046360F">
        <w:t xml:space="preserve"> This was an analysis conducted by the sponsor using data in the ‘IPD12Ext’ worksheet of the ‘Economic Model - tafamidis - Nov2020’ model spreadsheet. Limited details of this analysis were provided in the submission and the individual patient data could not be verified during evaluation. The Cycle 6+ estimates were based on a weighted average of the first 5 cycles; and </w:t>
      </w:r>
      <w:r w:rsidR="00D235A0" w:rsidRPr="0046360F">
        <w:t xml:space="preserve">were </w:t>
      </w:r>
      <w:r w:rsidRPr="0046360F">
        <w:t>available for the tafamidis arm only. Additional assumptions were required to generate estimates for the supportive care arm (same relative differences between tafamidis and best supportive care as in weighted average transition probabilities based on the ATTR-ACT trial; same probabilities of cardiovascular hospitalisation).</w:t>
      </w:r>
    </w:p>
    <w:p w:rsidR="00946951" w:rsidRPr="00946951" w:rsidRDefault="00946951" w:rsidP="00240DAD">
      <w:pPr>
        <w:pStyle w:val="TableFooter"/>
        <w:keepNext/>
        <w:keepLines/>
        <w:rPr>
          <w:i/>
        </w:rPr>
      </w:pPr>
      <w:r w:rsidRPr="00946951">
        <w:rPr>
          <w:i/>
        </w:rPr>
        <w:t xml:space="preserve">The redacted values correspond to the following range: </w:t>
      </w:r>
    </w:p>
    <w:p w:rsidR="00946951" w:rsidRPr="00946951" w:rsidRDefault="00946951" w:rsidP="00240DAD">
      <w:pPr>
        <w:pStyle w:val="TableFooter"/>
        <w:keepNext/>
        <w:keepLines/>
        <w:rPr>
          <w:i/>
        </w:rPr>
      </w:pPr>
      <w:r w:rsidRPr="00946951">
        <w:rPr>
          <w:i/>
          <w:vertAlign w:val="superscript"/>
        </w:rPr>
        <w:t>1</w:t>
      </w:r>
      <w:r w:rsidRPr="00946951">
        <w:rPr>
          <w:i/>
        </w:rPr>
        <w:t xml:space="preserve">$155,000 to &lt;$255,000/QALY gained </w:t>
      </w:r>
    </w:p>
    <w:p w:rsidR="00241B8E" w:rsidRPr="0046360F" w:rsidRDefault="00241B8E" w:rsidP="00241B8E">
      <w:pPr>
        <w:pStyle w:val="ExecSumBodyText"/>
        <w:numPr>
          <w:ilvl w:val="1"/>
          <w:numId w:val="1"/>
        </w:numPr>
        <w:rPr>
          <w:iCs/>
        </w:rPr>
      </w:pPr>
      <w:r w:rsidRPr="0046360F">
        <w:rPr>
          <w:iCs/>
        </w:rPr>
        <w:t>The sensitivity analyses indicate</w:t>
      </w:r>
      <w:r w:rsidR="00D235A0" w:rsidRPr="0046360F">
        <w:rPr>
          <w:iCs/>
        </w:rPr>
        <w:t>d</w:t>
      </w:r>
      <w:r w:rsidRPr="0046360F">
        <w:rPr>
          <w:iCs/>
        </w:rPr>
        <w:t xml:space="preserve"> that the model </w:t>
      </w:r>
      <w:r w:rsidR="00D235A0" w:rsidRPr="0046360F">
        <w:rPr>
          <w:iCs/>
        </w:rPr>
        <w:t xml:space="preserve">was </w:t>
      </w:r>
      <w:r w:rsidRPr="0046360F">
        <w:rPr>
          <w:iCs/>
        </w:rPr>
        <w:t>most sensitive to the time horizon, extrapolation of transition probabilities beyond the trial data and treatment persistence.</w:t>
      </w:r>
    </w:p>
    <w:p w:rsidR="00F409FE" w:rsidRPr="0046360F" w:rsidRDefault="00F409FE" w:rsidP="00F409FE">
      <w:pPr>
        <w:pStyle w:val="ExecSumBodyText"/>
        <w:numPr>
          <w:ilvl w:val="1"/>
          <w:numId w:val="1"/>
        </w:numPr>
        <w:rPr>
          <w:iCs/>
        </w:rPr>
      </w:pPr>
      <w:bookmarkStart w:id="43" w:name="_Ref64628141"/>
      <w:r w:rsidRPr="0046360F">
        <w:rPr>
          <w:iCs/>
        </w:rPr>
        <w:t xml:space="preserve">However, the sensitivity analyses </w:t>
      </w:r>
      <w:r w:rsidR="00D235A0" w:rsidRPr="0046360F">
        <w:rPr>
          <w:iCs/>
        </w:rPr>
        <w:t>did</w:t>
      </w:r>
      <w:r w:rsidRPr="0046360F">
        <w:rPr>
          <w:iCs/>
        </w:rPr>
        <w:t xml:space="preserve"> not adequately capture the uncertainty associated with the model, as it was not possible to adequately explore the impact of many components of the economic model (e.g. assumptions regarding constant probabilities of mortality and CV hospitalisation, maintenance of treatment effect following treatment discontinuation).</w:t>
      </w:r>
      <w:r w:rsidR="002F7C6B" w:rsidRPr="0046360F">
        <w:rPr>
          <w:i/>
          <w:iCs/>
        </w:rPr>
        <w:t xml:space="preserve"> </w:t>
      </w:r>
      <w:r w:rsidR="007E082A" w:rsidRPr="0046360F">
        <w:rPr>
          <w:iCs/>
        </w:rPr>
        <w:t xml:space="preserve">For example, the ESC noted that the sensitivity analyses </w:t>
      </w:r>
      <w:r w:rsidR="005E5E6A" w:rsidRPr="0046360F">
        <w:rPr>
          <w:iCs/>
        </w:rPr>
        <w:t>regarding</w:t>
      </w:r>
      <w:r w:rsidR="007E082A" w:rsidRPr="0046360F">
        <w:rPr>
          <w:iCs/>
        </w:rPr>
        <w:t xml:space="preserve"> treatment persistence did not assess the impact of removing the tafamidis treatment effect </w:t>
      </w:r>
      <w:r w:rsidR="00337E52" w:rsidRPr="0046360F">
        <w:rPr>
          <w:iCs/>
        </w:rPr>
        <w:t xml:space="preserve">(e.g. by assuming the same transitions as best supportive care) </w:t>
      </w:r>
      <w:r w:rsidR="007E082A" w:rsidRPr="0046360F">
        <w:rPr>
          <w:iCs/>
        </w:rPr>
        <w:t xml:space="preserve">following discontinuation. </w:t>
      </w:r>
      <w:r w:rsidR="005E5E6A" w:rsidRPr="0046360F">
        <w:rPr>
          <w:iCs/>
        </w:rPr>
        <w:t>T</w:t>
      </w:r>
      <w:r w:rsidR="00F13E45" w:rsidRPr="0046360F">
        <w:rPr>
          <w:iCs/>
        </w:rPr>
        <w:t>he ESC recommended</w:t>
      </w:r>
      <w:r w:rsidR="002F7C6B" w:rsidRPr="0046360F">
        <w:rPr>
          <w:iCs/>
        </w:rPr>
        <w:t xml:space="preserve"> a revised model structure and parameterisation.</w:t>
      </w:r>
      <w:bookmarkEnd w:id="43"/>
      <w:r w:rsidR="00266DBA" w:rsidRPr="0046360F">
        <w:rPr>
          <w:iCs/>
        </w:rPr>
        <w:t xml:space="preserve"> </w:t>
      </w:r>
    </w:p>
    <w:p w:rsidR="00DE0A68" w:rsidRPr="00240DAD" w:rsidRDefault="00DE0A68" w:rsidP="00DE0A68">
      <w:pPr>
        <w:pStyle w:val="ExecSumBodyText"/>
      </w:pPr>
      <w:r w:rsidRPr="00240DAD">
        <w:t>The PBAC noted that combining the two sensitivity analyses presented in the pre-PBAC response (relating to the constant risk of death</w:t>
      </w:r>
      <w:r w:rsidR="00F8245D" w:rsidRPr="00240DAD">
        <w:t xml:space="preserve"> </w:t>
      </w:r>
      <w:r w:rsidR="005C29C6" w:rsidRPr="00240DAD">
        <w:t>and</w:t>
      </w:r>
      <w:r w:rsidRPr="00240DAD">
        <w:t xml:space="preserve"> maintenance of treatment effect following treatment discontinuation</w:t>
      </w:r>
      <w:r w:rsidR="005C29C6" w:rsidRPr="00240DAD">
        <w:t xml:space="preserve">, see paragraphs </w:t>
      </w:r>
      <w:r w:rsidR="00C170ED" w:rsidRPr="00240DAD">
        <w:t>6.5</w:t>
      </w:r>
      <w:r w:rsidR="000C2D96">
        <w:t>3</w:t>
      </w:r>
      <w:r w:rsidR="005C29C6" w:rsidRPr="00240DAD">
        <w:t xml:space="preserve"> and</w:t>
      </w:r>
      <w:r w:rsidR="00F8245D" w:rsidRPr="00240DAD">
        <w:t xml:space="preserve"> </w:t>
      </w:r>
      <w:r w:rsidR="00C170ED" w:rsidRPr="00240DAD">
        <w:t>6.5</w:t>
      </w:r>
      <w:r w:rsidR="000C2D96">
        <w:t>6</w:t>
      </w:r>
      <w:r w:rsidRPr="00240DAD">
        <w:t>) resulted in an incremental cost per QALY gained of $</w:t>
      </w:r>
      <w:r w:rsidR="0096403A">
        <w:t>155,000 to &lt;$255,000</w:t>
      </w:r>
      <w:r w:rsidRPr="00240DAD">
        <w:t xml:space="preserve"> (using the corrected model). Due to the </w:t>
      </w:r>
      <w:r w:rsidR="00F8245D" w:rsidRPr="00240DAD">
        <w:t>incomplete</w:t>
      </w:r>
      <w:r w:rsidRPr="00240DAD">
        <w:t xml:space="preserve"> adjustment to transition probabilities for treatment discontinuation, this </w:t>
      </w:r>
      <w:r w:rsidR="00F670BE" w:rsidRPr="00240DAD">
        <w:t>was</w:t>
      </w:r>
      <w:r w:rsidRPr="00240DAD">
        <w:t xml:space="preserve"> a likely underestimate of the ICER.</w:t>
      </w:r>
    </w:p>
    <w:p w:rsidR="00241B8E" w:rsidRPr="0046360F" w:rsidRDefault="00241B8E" w:rsidP="00241B8E">
      <w:pPr>
        <w:pStyle w:val="3-SubsectionHeading"/>
      </w:pPr>
      <w:bookmarkStart w:id="44" w:name="_Toc62050867"/>
      <w:r w:rsidRPr="0046360F">
        <w:t>Drug cost/patient/year</w:t>
      </w:r>
      <w:bookmarkEnd w:id="44"/>
    </w:p>
    <w:p w:rsidR="00523F4B" w:rsidRPr="0046360F" w:rsidRDefault="00523F4B" w:rsidP="00523F4B">
      <w:pPr>
        <w:pStyle w:val="ExecSumBodyText"/>
        <w:numPr>
          <w:ilvl w:val="1"/>
          <w:numId w:val="1"/>
        </w:numPr>
        <w:rPr>
          <w:iCs/>
          <w:snapToGrid/>
          <w:color w:val="0066FF"/>
        </w:rPr>
      </w:pPr>
      <w:r w:rsidRPr="0046360F">
        <w:t xml:space="preserve">The tafamidis drug cost per patient per year </w:t>
      </w:r>
      <w:r w:rsidR="004F3F24" w:rsidRPr="0046360F">
        <w:t>was</w:t>
      </w:r>
      <w:r w:rsidRPr="0046360F">
        <w:t xml:space="preserve"> $</w:t>
      </w:r>
      <w:r w:rsidR="002F07A9">
        <w:rPr>
          <w:noProof/>
          <w:color w:val="000000"/>
          <w:highlight w:val="black"/>
        </w:rPr>
        <w:t>''''''''''''</w:t>
      </w:r>
      <w:r w:rsidRPr="0046360F">
        <w:t xml:space="preserve">, based on 12.175 scripts per patient per year. </w:t>
      </w:r>
      <w:r w:rsidRPr="0046360F">
        <w:rPr>
          <w:iCs/>
        </w:rPr>
        <w:t>The approach to estimating drug cost was consistent across the economic analysis and financial estimates, however different approaches were used to calculate the proportion of patients on treatment. The estimates informing the economic model were based on the subgroup of patients with NYHA class I/II at baseline, whereas estimates informing the financial estimates were based on patients with NYHA class I/II/II</w:t>
      </w:r>
      <w:r w:rsidR="00F409FE" w:rsidRPr="0046360F">
        <w:rPr>
          <w:iCs/>
        </w:rPr>
        <w:t>I</w:t>
      </w:r>
      <w:r w:rsidRPr="0046360F">
        <w:rPr>
          <w:iCs/>
        </w:rPr>
        <w:t xml:space="preserve"> at baseline. The different approaches generated similar estimates of patients remaining on treatment over a six-year period.</w:t>
      </w:r>
    </w:p>
    <w:p w:rsidR="00241B8E" w:rsidRPr="0046360F" w:rsidRDefault="00241B8E" w:rsidP="00544B35">
      <w:pPr>
        <w:pStyle w:val="Caption"/>
      </w:pPr>
      <w:r w:rsidRPr="0046360F">
        <w:t xml:space="preserve">Table </w:t>
      </w:r>
      <w:r w:rsidR="00C170ED">
        <w:rPr>
          <w:noProof/>
        </w:rPr>
        <w:t>15</w:t>
      </w:r>
      <w:r w:rsidRPr="0046360F">
        <w:t>: Drug cost per patient per year for tafamidis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70"/>
        <w:gridCol w:w="2215"/>
        <w:gridCol w:w="2216"/>
        <w:gridCol w:w="2216"/>
      </w:tblGrid>
      <w:tr w:rsidR="00241B8E" w:rsidRPr="0046360F" w:rsidTr="00221DAD">
        <w:trPr>
          <w:cantSplit/>
          <w:tblHeader/>
          <w:jc w:val="center"/>
        </w:trPr>
        <w:tc>
          <w:tcPr>
            <w:tcW w:w="1314" w:type="pct"/>
            <w:shd w:val="clear" w:color="auto" w:fill="auto"/>
            <w:vAlign w:val="center"/>
          </w:tcPr>
          <w:p w:rsidR="00241B8E" w:rsidRPr="0046360F" w:rsidRDefault="00241B8E" w:rsidP="00221DAD">
            <w:pPr>
              <w:pStyle w:val="Tableheadingrow"/>
              <w:jc w:val="center"/>
              <w:rPr>
                <w:lang w:val="en-AU"/>
              </w:rPr>
            </w:pPr>
          </w:p>
        </w:tc>
        <w:tc>
          <w:tcPr>
            <w:tcW w:w="1228" w:type="pct"/>
            <w:shd w:val="clear" w:color="auto" w:fill="auto"/>
            <w:vAlign w:val="center"/>
          </w:tcPr>
          <w:p w:rsidR="00241B8E" w:rsidRPr="0046360F" w:rsidRDefault="00241B8E" w:rsidP="00221DAD">
            <w:pPr>
              <w:pStyle w:val="Tableheadingrow"/>
              <w:jc w:val="center"/>
              <w:rPr>
                <w:lang w:val="en-AU"/>
              </w:rPr>
            </w:pPr>
            <w:r w:rsidRPr="0046360F">
              <w:rPr>
                <w:lang w:val="en-AU"/>
              </w:rPr>
              <w:t>Trial</w:t>
            </w:r>
          </w:p>
        </w:tc>
        <w:tc>
          <w:tcPr>
            <w:tcW w:w="1229" w:type="pct"/>
            <w:shd w:val="clear" w:color="auto" w:fill="auto"/>
            <w:vAlign w:val="center"/>
          </w:tcPr>
          <w:p w:rsidR="00241B8E" w:rsidRPr="0046360F" w:rsidRDefault="00241B8E" w:rsidP="00221DAD">
            <w:pPr>
              <w:pStyle w:val="Tableheadingrow"/>
              <w:jc w:val="center"/>
              <w:rPr>
                <w:lang w:val="en-AU"/>
              </w:rPr>
            </w:pPr>
            <w:r w:rsidRPr="0046360F">
              <w:rPr>
                <w:lang w:val="en-AU"/>
              </w:rPr>
              <w:t>Economic model</w:t>
            </w:r>
          </w:p>
        </w:tc>
        <w:tc>
          <w:tcPr>
            <w:tcW w:w="1229" w:type="pct"/>
            <w:shd w:val="clear" w:color="auto" w:fill="auto"/>
            <w:vAlign w:val="center"/>
          </w:tcPr>
          <w:p w:rsidR="00241B8E" w:rsidRPr="0046360F" w:rsidRDefault="00241B8E" w:rsidP="00221DAD">
            <w:pPr>
              <w:pStyle w:val="Tableheadingrow"/>
              <w:jc w:val="center"/>
              <w:rPr>
                <w:lang w:val="en-AU"/>
              </w:rPr>
            </w:pPr>
            <w:r w:rsidRPr="0046360F">
              <w:rPr>
                <w:lang w:val="en-AU"/>
              </w:rPr>
              <w:t>Financial estimates</w:t>
            </w:r>
          </w:p>
        </w:tc>
      </w:tr>
      <w:tr w:rsidR="00241B8E" w:rsidRPr="0046360F" w:rsidTr="00221DAD">
        <w:trPr>
          <w:cantSplit/>
          <w:jc w:val="center"/>
        </w:trPr>
        <w:tc>
          <w:tcPr>
            <w:tcW w:w="1314" w:type="pct"/>
            <w:shd w:val="clear" w:color="auto" w:fill="auto"/>
            <w:vAlign w:val="center"/>
          </w:tcPr>
          <w:p w:rsidR="00241B8E" w:rsidRPr="0046360F" w:rsidRDefault="00241B8E" w:rsidP="00221DAD">
            <w:pPr>
              <w:pStyle w:val="TableText"/>
            </w:pPr>
            <w:r w:rsidRPr="0046360F">
              <w:t>Daily dose</w:t>
            </w:r>
          </w:p>
        </w:tc>
        <w:tc>
          <w:tcPr>
            <w:tcW w:w="1228" w:type="pct"/>
            <w:shd w:val="clear" w:color="auto" w:fill="auto"/>
            <w:vAlign w:val="center"/>
          </w:tcPr>
          <w:p w:rsidR="00241B8E" w:rsidRPr="0046360F" w:rsidRDefault="00241B8E" w:rsidP="00221DAD">
            <w:pPr>
              <w:pStyle w:val="TableText"/>
              <w:jc w:val="center"/>
            </w:pPr>
            <w:r w:rsidRPr="0046360F">
              <w:t>Tafamidis meglumine</w:t>
            </w:r>
          </w:p>
          <w:p w:rsidR="00241B8E" w:rsidRPr="0046360F" w:rsidRDefault="00241B8E" w:rsidP="00221DAD">
            <w:pPr>
              <w:pStyle w:val="TableText"/>
              <w:jc w:val="center"/>
            </w:pPr>
            <w:r w:rsidRPr="0046360F">
              <w:t>20 mg or 80 mg</w:t>
            </w:r>
          </w:p>
        </w:tc>
        <w:tc>
          <w:tcPr>
            <w:tcW w:w="1229" w:type="pct"/>
            <w:shd w:val="clear" w:color="auto" w:fill="auto"/>
            <w:vAlign w:val="center"/>
          </w:tcPr>
          <w:p w:rsidR="00241B8E" w:rsidRPr="0046360F" w:rsidRDefault="00241B8E" w:rsidP="00221DAD">
            <w:pPr>
              <w:pStyle w:val="TableText"/>
              <w:jc w:val="center"/>
            </w:pPr>
            <w:r w:rsidRPr="0046360F">
              <w:t>Tafamidis 61 mg</w:t>
            </w:r>
          </w:p>
        </w:tc>
        <w:tc>
          <w:tcPr>
            <w:tcW w:w="1229" w:type="pct"/>
            <w:shd w:val="clear" w:color="auto" w:fill="auto"/>
            <w:vAlign w:val="center"/>
          </w:tcPr>
          <w:p w:rsidR="00241B8E" w:rsidRPr="0046360F" w:rsidRDefault="00241B8E" w:rsidP="00221DAD">
            <w:pPr>
              <w:pStyle w:val="TableText"/>
              <w:jc w:val="center"/>
            </w:pPr>
            <w:r w:rsidRPr="0046360F">
              <w:t>Tafamidis 61 mg</w:t>
            </w:r>
          </w:p>
        </w:tc>
      </w:tr>
      <w:tr w:rsidR="00241B8E" w:rsidRPr="0046360F" w:rsidTr="00221DAD">
        <w:trPr>
          <w:cantSplit/>
          <w:jc w:val="center"/>
        </w:trPr>
        <w:tc>
          <w:tcPr>
            <w:tcW w:w="1314" w:type="pct"/>
            <w:shd w:val="clear" w:color="auto" w:fill="auto"/>
            <w:vAlign w:val="center"/>
          </w:tcPr>
          <w:p w:rsidR="00241B8E" w:rsidRPr="0046360F" w:rsidRDefault="00241B8E" w:rsidP="00221DAD">
            <w:pPr>
              <w:pStyle w:val="TableText"/>
            </w:pPr>
            <w:r w:rsidRPr="0046360F">
              <w:t>Cost per 30 tablet pack (effective DPMQ)</w:t>
            </w:r>
          </w:p>
        </w:tc>
        <w:tc>
          <w:tcPr>
            <w:tcW w:w="1228" w:type="pct"/>
            <w:shd w:val="clear" w:color="auto" w:fill="auto"/>
            <w:vAlign w:val="center"/>
          </w:tcPr>
          <w:p w:rsidR="00241B8E" w:rsidRPr="0046360F" w:rsidRDefault="00241B8E" w:rsidP="00221DAD">
            <w:pPr>
              <w:pStyle w:val="TableText"/>
              <w:jc w:val="center"/>
            </w:pPr>
            <w:r w:rsidRPr="0046360F">
              <w:t>-</w:t>
            </w:r>
          </w:p>
        </w:tc>
        <w:tc>
          <w:tcPr>
            <w:tcW w:w="1229" w:type="pct"/>
            <w:shd w:val="clear" w:color="auto" w:fill="auto"/>
            <w:vAlign w:val="center"/>
          </w:tcPr>
          <w:p w:rsidR="00241B8E" w:rsidRPr="0046360F" w:rsidRDefault="00241B8E" w:rsidP="00221DAD">
            <w:pPr>
              <w:pStyle w:val="TableText"/>
              <w:jc w:val="center"/>
            </w:pPr>
            <w:r w:rsidRPr="0046360F">
              <w:t>$</w:t>
            </w:r>
            <w:r w:rsidR="002F07A9">
              <w:rPr>
                <w:noProof/>
                <w:color w:val="000000"/>
                <w:highlight w:val="black"/>
              </w:rPr>
              <w:t>'''''''''''''''''''</w:t>
            </w:r>
          </w:p>
        </w:tc>
        <w:tc>
          <w:tcPr>
            <w:tcW w:w="1229" w:type="pct"/>
            <w:shd w:val="clear" w:color="auto" w:fill="auto"/>
            <w:vAlign w:val="center"/>
          </w:tcPr>
          <w:p w:rsidR="00241B8E" w:rsidRPr="0046360F" w:rsidRDefault="00241B8E" w:rsidP="00221DAD">
            <w:pPr>
              <w:pStyle w:val="TableText"/>
              <w:jc w:val="center"/>
            </w:pPr>
            <w:r w:rsidRPr="0046360F">
              <w:t>$</w:t>
            </w:r>
            <w:r w:rsidR="002F07A9">
              <w:rPr>
                <w:noProof/>
                <w:color w:val="000000"/>
                <w:highlight w:val="black"/>
              </w:rPr>
              <w:t>''''''''''''''''''</w:t>
            </w:r>
          </w:p>
        </w:tc>
      </w:tr>
      <w:tr w:rsidR="00241B8E" w:rsidRPr="0046360F" w:rsidTr="00221DAD">
        <w:trPr>
          <w:cantSplit/>
          <w:jc w:val="center"/>
        </w:trPr>
        <w:tc>
          <w:tcPr>
            <w:tcW w:w="1314" w:type="pct"/>
            <w:shd w:val="clear" w:color="auto" w:fill="auto"/>
            <w:vAlign w:val="center"/>
          </w:tcPr>
          <w:p w:rsidR="00241B8E" w:rsidRPr="0046360F" w:rsidRDefault="00241B8E" w:rsidP="00221DAD">
            <w:pPr>
              <w:pStyle w:val="TableText"/>
            </w:pPr>
            <w:r w:rsidRPr="0046360F">
              <w:t>Number of scripts per year</w:t>
            </w:r>
          </w:p>
        </w:tc>
        <w:tc>
          <w:tcPr>
            <w:tcW w:w="1228" w:type="pct"/>
            <w:shd w:val="clear" w:color="auto" w:fill="auto"/>
            <w:vAlign w:val="center"/>
          </w:tcPr>
          <w:p w:rsidR="00241B8E" w:rsidRPr="0046360F" w:rsidRDefault="00241B8E" w:rsidP="00221DAD">
            <w:pPr>
              <w:pStyle w:val="TableText"/>
              <w:jc w:val="center"/>
            </w:pPr>
            <w:r w:rsidRPr="0046360F">
              <w:t>-</w:t>
            </w:r>
          </w:p>
        </w:tc>
        <w:tc>
          <w:tcPr>
            <w:tcW w:w="1229" w:type="pct"/>
            <w:shd w:val="clear" w:color="auto" w:fill="auto"/>
            <w:vAlign w:val="center"/>
          </w:tcPr>
          <w:p w:rsidR="00241B8E" w:rsidRPr="0046360F" w:rsidRDefault="00241B8E" w:rsidP="00221DAD">
            <w:pPr>
              <w:pStyle w:val="TableText"/>
              <w:jc w:val="center"/>
            </w:pPr>
            <w:r w:rsidRPr="00C91C89">
              <w:t>12.175</w:t>
            </w:r>
            <w:r w:rsidRPr="0046360F">
              <w:t>(=365.25/30)</w:t>
            </w:r>
          </w:p>
        </w:tc>
        <w:tc>
          <w:tcPr>
            <w:tcW w:w="1229" w:type="pct"/>
            <w:shd w:val="clear" w:color="auto" w:fill="auto"/>
            <w:vAlign w:val="center"/>
          </w:tcPr>
          <w:p w:rsidR="00241B8E" w:rsidRPr="0046360F" w:rsidRDefault="00241B8E" w:rsidP="00221DAD">
            <w:pPr>
              <w:pStyle w:val="TableText"/>
              <w:jc w:val="center"/>
            </w:pPr>
            <w:r w:rsidRPr="00C91C89">
              <w:t>12.175</w:t>
            </w:r>
            <w:r w:rsidRPr="0046360F">
              <w:t>(=365.25/30)</w:t>
            </w:r>
          </w:p>
        </w:tc>
      </w:tr>
      <w:tr w:rsidR="00241B8E" w:rsidRPr="0046360F" w:rsidTr="00221DAD">
        <w:trPr>
          <w:cantSplit/>
          <w:jc w:val="center"/>
        </w:trPr>
        <w:tc>
          <w:tcPr>
            <w:tcW w:w="1314" w:type="pct"/>
            <w:shd w:val="clear" w:color="auto" w:fill="auto"/>
            <w:vAlign w:val="center"/>
          </w:tcPr>
          <w:p w:rsidR="00241B8E" w:rsidRPr="0046360F" w:rsidRDefault="00241B8E" w:rsidP="00221DAD">
            <w:pPr>
              <w:pStyle w:val="TableText"/>
            </w:pPr>
            <w:r w:rsidRPr="0046360F">
              <w:t>Cost per year</w:t>
            </w:r>
          </w:p>
        </w:tc>
        <w:tc>
          <w:tcPr>
            <w:tcW w:w="1228" w:type="pct"/>
            <w:shd w:val="clear" w:color="auto" w:fill="auto"/>
            <w:vAlign w:val="center"/>
          </w:tcPr>
          <w:p w:rsidR="00241B8E" w:rsidRPr="0046360F" w:rsidRDefault="00241B8E" w:rsidP="00221DAD">
            <w:pPr>
              <w:pStyle w:val="TableText"/>
              <w:jc w:val="center"/>
            </w:pPr>
            <w:r w:rsidRPr="0046360F">
              <w:t>-</w:t>
            </w:r>
          </w:p>
        </w:tc>
        <w:tc>
          <w:tcPr>
            <w:tcW w:w="1229" w:type="pct"/>
            <w:shd w:val="clear" w:color="auto" w:fill="auto"/>
            <w:vAlign w:val="center"/>
          </w:tcPr>
          <w:p w:rsidR="00241B8E" w:rsidRPr="0046360F" w:rsidRDefault="00241B8E" w:rsidP="00221DAD">
            <w:pPr>
              <w:pStyle w:val="TableText"/>
              <w:jc w:val="center"/>
            </w:pPr>
            <w:r w:rsidRPr="0046360F">
              <w:t>$</w:t>
            </w:r>
            <w:r w:rsidR="002F07A9">
              <w:rPr>
                <w:noProof/>
                <w:color w:val="000000"/>
                <w:highlight w:val="black"/>
              </w:rPr>
              <w:t>'''''''''''''''''''''</w:t>
            </w:r>
          </w:p>
        </w:tc>
        <w:tc>
          <w:tcPr>
            <w:tcW w:w="1229" w:type="pct"/>
            <w:shd w:val="clear" w:color="auto" w:fill="auto"/>
            <w:vAlign w:val="center"/>
          </w:tcPr>
          <w:p w:rsidR="00241B8E" w:rsidRPr="0046360F" w:rsidRDefault="00241B8E" w:rsidP="00221DAD">
            <w:pPr>
              <w:pStyle w:val="TableText"/>
              <w:jc w:val="center"/>
            </w:pPr>
            <w:r w:rsidRPr="0046360F">
              <w:t>$</w:t>
            </w:r>
            <w:r w:rsidR="002F07A9">
              <w:rPr>
                <w:noProof/>
                <w:color w:val="000000"/>
                <w:highlight w:val="black"/>
              </w:rPr>
              <w:t>'''''''''''''''''''''''''</w:t>
            </w:r>
          </w:p>
        </w:tc>
      </w:tr>
      <w:tr w:rsidR="00241B8E" w:rsidRPr="0046360F" w:rsidTr="00221DAD">
        <w:trPr>
          <w:cantSplit/>
          <w:jc w:val="center"/>
        </w:trPr>
        <w:tc>
          <w:tcPr>
            <w:tcW w:w="1314" w:type="pct"/>
            <w:shd w:val="clear" w:color="auto" w:fill="auto"/>
            <w:vAlign w:val="center"/>
          </w:tcPr>
          <w:p w:rsidR="00241B8E" w:rsidRPr="0046360F" w:rsidRDefault="00241B8E" w:rsidP="00221DAD">
            <w:pPr>
              <w:pStyle w:val="TableText"/>
            </w:pPr>
            <w:r w:rsidRPr="0046360F">
              <w:t>Proportion of patients on treatment</w:t>
            </w:r>
          </w:p>
        </w:tc>
        <w:tc>
          <w:tcPr>
            <w:tcW w:w="1228" w:type="pct"/>
            <w:shd w:val="clear" w:color="auto" w:fill="auto"/>
            <w:vAlign w:val="center"/>
          </w:tcPr>
          <w:p w:rsidR="00241B8E" w:rsidRPr="0046360F" w:rsidRDefault="00241B8E" w:rsidP="00221DAD">
            <w:pPr>
              <w:pStyle w:val="TableText"/>
              <w:jc w:val="center"/>
            </w:pPr>
            <w:r w:rsidRPr="0046360F">
              <w:t>At 30 months, 19.7% of patients in the pooled tafamidis arm of the ATTR-ACT trial had discontinued.</w:t>
            </w:r>
          </w:p>
        </w:tc>
        <w:tc>
          <w:tcPr>
            <w:tcW w:w="1229" w:type="pct"/>
            <w:shd w:val="clear" w:color="auto" w:fill="auto"/>
            <w:vAlign w:val="center"/>
          </w:tcPr>
          <w:p w:rsidR="00241B8E" w:rsidRPr="0046360F" w:rsidRDefault="00241B8E" w:rsidP="00221DAD">
            <w:pPr>
              <w:pStyle w:val="TableText"/>
              <w:jc w:val="center"/>
            </w:pPr>
            <w:r w:rsidRPr="0046360F">
              <w:t>Year 1: 100%</w:t>
            </w:r>
            <w:r w:rsidRPr="0046360F">
              <w:rPr>
                <w:vertAlign w:val="superscript"/>
              </w:rPr>
              <w:t>a</w:t>
            </w:r>
          </w:p>
          <w:p w:rsidR="00241B8E" w:rsidRPr="0046360F" w:rsidRDefault="00241B8E" w:rsidP="00221DAD">
            <w:pPr>
              <w:pStyle w:val="TableText"/>
              <w:jc w:val="center"/>
            </w:pPr>
            <w:r w:rsidRPr="0046360F">
              <w:t>Year 2: 89.7%</w:t>
            </w:r>
          </w:p>
          <w:p w:rsidR="00241B8E" w:rsidRPr="0046360F" w:rsidRDefault="00241B8E" w:rsidP="00221DAD">
            <w:pPr>
              <w:pStyle w:val="TableText"/>
              <w:jc w:val="center"/>
            </w:pPr>
            <w:r w:rsidRPr="0046360F">
              <w:t>Year 3: 78.4%</w:t>
            </w:r>
          </w:p>
          <w:p w:rsidR="00241B8E" w:rsidRPr="0046360F" w:rsidRDefault="00241B8E" w:rsidP="00221DAD">
            <w:pPr>
              <w:pStyle w:val="TableText"/>
              <w:jc w:val="center"/>
            </w:pPr>
            <w:r w:rsidRPr="0046360F">
              <w:t>Year 4: 68.5%</w:t>
            </w:r>
          </w:p>
          <w:p w:rsidR="00241B8E" w:rsidRPr="0046360F" w:rsidRDefault="00241B8E" w:rsidP="00221DAD">
            <w:pPr>
              <w:pStyle w:val="TableText"/>
              <w:jc w:val="center"/>
            </w:pPr>
            <w:r w:rsidRPr="0046360F">
              <w:t>Year 5: 59.4%</w:t>
            </w:r>
          </w:p>
          <w:p w:rsidR="00241B8E" w:rsidRPr="0046360F" w:rsidRDefault="00241B8E" w:rsidP="00221DAD">
            <w:pPr>
              <w:pStyle w:val="TableText"/>
              <w:jc w:val="center"/>
            </w:pPr>
            <w:r w:rsidRPr="0046360F">
              <w:t>Year 6: 51.6%</w:t>
            </w:r>
          </w:p>
        </w:tc>
        <w:tc>
          <w:tcPr>
            <w:tcW w:w="1229" w:type="pct"/>
            <w:shd w:val="clear" w:color="auto" w:fill="auto"/>
            <w:vAlign w:val="center"/>
          </w:tcPr>
          <w:p w:rsidR="00241B8E" w:rsidRPr="0046360F" w:rsidRDefault="00241B8E" w:rsidP="00221DAD">
            <w:pPr>
              <w:pStyle w:val="TableText"/>
              <w:jc w:val="center"/>
            </w:pPr>
            <w:r w:rsidRPr="0046360F">
              <w:t>Year 1: 100%</w:t>
            </w:r>
            <w:r w:rsidRPr="0046360F">
              <w:rPr>
                <w:vertAlign w:val="superscript"/>
              </w:rPr>
              <w:t>b</w:t>
            </w:r>
          </w:p>
          <w:p w:rsidR="00241B8E" w:rsidRPr="0046360F" w:rsidRDefault="00241B8E" w:rsidP="00221DAD">
            <w:pPr>
              <w:pStyle w:val="TableText"/>
              <w:jc w:val="center"/>
            </w:pPr>
            <w:r w:rsidRPr="0046360F">
              <w:t>Year 2: 86.0%</w:t>
            </w:r>
          </w:p>
          <w:p w:rsidR="00241B8E" w:rsidRPr="0046360F" w:rsidRDefault="00241B8E" w:rsidP="00221DAD">
            <w:pPr>
              <w:pStyle w:val="TableText"/>
              <w:jc w:val="center"/>
            </w:pPr>
            <w:r w:rsidRPr="0046360F">
              <w:t>Year 3: 74.0%</w:t>
            </w:r>
          </w:p>
          <w:p w:rsidR="00241B8E" w:rsidRPr="0046360F" w:rsidRDefault="00241B8E" w:rsidP="00221DAD">
            <w:pPr>
              <w:pStyle w:val="TableText"/>
              <w:jc w:val="center"/>
            </w:pPr>
            <w:r w:rsidRPr="0046360F">
              <w:t>Year 4: 63.6%</w:t>
            </w:r>
          </w:p>
          <w:p w:rsidR="00241B8E" w:rsidRPr="0046360F" w:rsidRDefault="00241B8E" w:rsidP="00221DAD">
            <w:pPr>
              <w:pStyle w:val="TableText"/>
              <w:jc w:val="center"/>
            </w:pPr>
            <w:r w:rsidRPr="0046360F">
              <w:t>Year 5: 54.7%</w:t>
            </w:r>
          </w:p>
          <w:p w:rsidR="00241B8E" w:rsidRPr="0046360F" w:rsidRDefault="00241B8E" w:rsidP="00221DAD">
            <w:pPr>
              <w:pStyle w:val="TableText"/>
              <w:jc w:val="center"/>
            </w:pPr>
            <w:r w:rsidRPr="0046360F">
              <w:t>Year 6: 47.0%</w:t>
            </w:r>
          </w:p>
        </w:tc>
      </w:tr>
    </w:tbl>
    <w:p w:rsidR="00241B8E" w:rsidRPr="0046360F" w:rsidRDefault="00241B8E" w:rsidP="00241B8E">
      <w:pPr>
        <w:pStyle w:val="TableFigureFooter"/>
      </w:pPr>
      <w:r w:rsidRPr="0046360F">
        <w:t>Source: Constructed during the evaluation using Economic Model - tafamidis - Nov2020 and Utilisation and cost model – tafamidis spreadsheets provided with the resubmission</w:t>
      </w:r>
    </w:p>
    <w:p w:rsidR="00241B8E" w:rsidRPr="0046360F" w:rsidRDefault="00241B8E" w:rsidP="00241B8E">
      <w:pPr>
        <w:pStyle w:val="TableFigureFooter"/>
      </w:pPr>
      <w:r w:rsidRPr="0046360F">
        <w:rPr>
          <w:vertAlign w:val="superscript"/>
        </w:rPr>
        <w:t>a</w:t>
      </w:r>
      <w:r w:rsidRPr="0046360F">
        <w:t xml:space="preserve"> Proportions of patients alive and on treatment at the start of each year from the economic model. Drug discontinuation estimated by fitting an exponential curve to ATTR-ACT data for the subset of patients with NYHA class I/II at baseline; mortality estimated based on individual patient data from the ATTR-ACT trial subgroup with baseline NYHA class I/II over the first five 6-month periods, with estimates beyond 30</w:t>
      </w:r>
      <w:r w:rsidR="001640F7" w:rsidRPr="0046360F">
        <w:t> </w:t>
      </w:r>
      <w:r w:rsidRPr="0046360F">
        <w:t>months based on the weighted average of the first five 6-month periods.</w:t>
      </w:r>
    </w:p>
    <w:p w:rsidR="00241B8E" w:rsidRDefault="00241B8E" w:rsidP="00241B8E">
      <w:pPr>
        <w:pStyle w:val="TableFigureFooter"/>
      </w:pPr>
      <w:r w:rsidRPr="0046360F">
        <w:rPr>
          <w:vertAlign w:val="superscript"/>
        </w:rPr>
        <w:t>b</w:t>
      </w:r>
      <w:r w:rsidRPr="0046360F">
        <w:t xml:space="preserve"> Proportions of patients alive and on treatment at the start of each year, assuming a fixed cohort from year 1. The estimated annual mortality of 11% was based on the number of patients who died in the tafamidis 80 mg arm of the ATTR-ACT trial over the 30 month duration, adjusted to derive an annual estimate (28%×12/30). The annual discontinuation rate of 3% was based on discontinuations in the tafamidis 80 mg arm in those still alive at the end of the ATTR-ACT trial, adjusted to derive an annual estimate (8%×12/30). Estimates were based on the population with NYHA class I/II/III at baseline.</w:t>
      </w:r>
    </w:p>
    <w:p w:rsidR="00241B8E" w:rsidRPr="0046360F" w:rsidRDefault="00241B8E" w:rsidP="00241B8E">
      <w:pPr>
        <w:pStyle w:val="3-SubsectionHeading"/>
      </w:pPr>
      <w:bookmarkStart w:id="45" w:name="_Toc62050868"/>
      <w:r w:rsidRPr="0046360F">
        <w:t>Estimated PBS usage &amp; financial implications</w:t>
      </w:r>
      <w:bookmarkEnd w:id="45"/>
    </w:p>
    <w:p w:rsidR="00241B8E" w:rsidRPr="0046360F" w:rsidRDefault="00241B8E" w:rsidP="00241B8E">
      <w:pPr>
        <w:pStyle w:val="ExecSumBodyText"/>
        <w:numPr>
          <w:ilvl w:val="1"/>
          <w:numId w:val="1"/>
        </w:numPr>
      </w:pPr>
      <w:r w:rsidRPr="0046360F">
        <w:t xml:space="preserve">This resubmission </w:t>
      </w:r>
      <w:r w:rsidR="00BF610C" w:rsidRPr="0046360F">
        <w:t xml:space="preserve">was </w:t>
      </w:r>
      <w:r w:rsidRPr="0046360F">
        <w:t>not considered by DUSC.</w:t>
      </w:r>
    </w:p>
    <w:p w:rsidR="00A25EA1" w:rsidRPr="0046360F" w:rsidRDefault="00241B8E" w:rsidP="006F33A4">
      <w:pPr>
        <w:pStyle w:val="ExecSumBodyText"/>
        <w:numPr>
          <w:ilvl w:val="1"/>
          <w:numId w:val="1"/>
        </w:numPr>
      </w:pPr>
      <w:r w:rsidRPr="0046360F">
        <w:t xml:space="preserve">The resubmission used an epidemiological approach to estimate the utilisation and financial impact of listing tafamidis on the PBS. </w:t>
      </w:r>
      <w:r w:rsidR="00A25EA1" w:rsidRPr="0046360F">
        <w:rPr>
          <w:iCs/>
        </w:rPr>
        <w:t xml:space="preserve">The approach was substantially revised compared to the July 2020 submission, with new data sources used to estimate prevalence of ATTR-CM, revised diagnosis and uptake rates, new sources used to inform the distribution of patients across NYHA classes, and </w:t>
      </w:r>
      <w:r w:rsidR="00C62010" w:rsidRPr="0046360F">
        <w:rPr>
          <w:iCs/>
        </w:rPr>
        <w:t xml:space="preserve">a </w:t>
      </w:r>
      <w:r w:rsidR="00A25EA1" w:rsidRPr="0046360F">
        <w:rPr>
          <w:iCs/>
        </w:rPr>
        <w:t>revised effective price of tafamidis.</w:t>
      </w:r>
    </w:p>
    <w:p w:rsidR="00241B8E" w:rsidRPr="0046360F" w:rsidRDefault="00241B8E" w:rsidP="00241B8E">
      <w:pPr>
        <w:pStyle w:val="ExecSumBodyText"/>
        <w:numPr>
          <w:ilvl w:val="1"/>
          <w:numId w:val="1"/>
        </w:numPr>
      </w:pPr>
      <w:r w:rsidRPr="0046360F">
        <w:t xml:space="preserve">Key inputs are summarised in the table below. </w:t>
      </w:r>
    </w:p>
    <w:p w:rsidR="00241B8E" w:rsidRPr="0046360F" w:rsidRDefault="00241B8E" w:rsidP="00544B35">
      <w:pPr>
        <w:pStyle w:val="Caption"/>
      </w:pPr>
      <w:r w:rsidRPr="0046360F">
        <w:t xml:space="preserve">Table </w:t>
      </w:r>
      <w:r w:rsidR="00C170ED">
        <w:rPr>
          <w:noProof/>
        </w:rPr>
        <w:t>16</w:t>
      </w:r>
      <w:r w:rsidRPr="0046360F">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39"/>
        <w:gridCol w:w="1640"/>
        <w:gridCol w:w="1963"/>
        <w:gridCol w:w="3575"/>
      </w:tblGrid>
      <w:tr w:rsidR="00241B8E" w:rsidRPr="0046360F" w:rsidTr="00154BF0">
        <w:trPr>
          <w:tblHeader/>
        </w:trPr>
        <w:tc>
          <w:tcPr>
            <w:tcW w:w="1871" w:type="dxa"/>
          </w:tcPr>
          <w:p w:rsidR="00241B8E" w:rsidRPr="0046360F" w:rsidRDefault="00241B8E" w:rsidP="00221DAD">
            <w:pPr>
              <w:pStyle w:val="Tableheadingrow"/>
              <w:keepNext w:val="0"/>
              <w:ind w:right="-74"/>
              <w:jc w:val="center"/>
              <w:rPr>
                <w:lang w:val="en-AU"/>
              </w:rPr>
            </w:pPr>
            <w:r w:rsidRPr="0046360F">
              <w:rPr>
                <w:lang w:val="en-AU"/>
              </w:rPr>
              <w:t>Data</w:t>
            </w:r>
          </w:p>
        </w:tc>
        <w:tc>
          <w:tcPr>
            <w:tcW w:w="1668" w:type="dxa"/>
          </w:tcPr>
          <w:p w:rsidR="00241B8E" w:rsidRPr="0046360F" w:rsidRDefault="00241B8E" w:rsidP="001640F7">
            <w:pPr>
              <w:pStyle w:val="Tableheadingrow"/>
              <w:keepNext w:val="0"/>
              <w:ind w:right="-74"/>
              <w:rPr>
                <w:lang w:val="en-AU"/>
              </w:rPr>
            </w:pPr>
            <w:r w:rsidRPr="0046360F">
              <w:rPr>
                <w:lang w:val="en-AU"/>
              </w:rPr>
              <w:t>Value</w:t>
            </w:r>
          </w:p>
        </w:tc>
        <w:tc>
          <w:tcPr>
            <w:tcW w:w="1985" w:type="dxa"/>
          </w:tcPr>
          <w:p w:rsidR="00241B8E" w:rsidRPr="0046360F" w:rsidRDefault="00241B8E" w:rsidP="001640F7">
            <w:pPr>
              <w:pStyle w:val="Tableheadingrow"/>
              <w:keepNext w:val="0"/>
              <w:ind w:right="-74"/>
              <w:rPr>
                <w:lang w:val="en-AU"/>
              </w:rPr>
            </w:pPr>
            <w:r w:rsidRPr="0046360F">
              <w:rPr>
                <w:lang w:val="en-AU"/>
              </w:rPr>
              <w:t>Source</w:t>
            </w:r>
          </w:p>
        </w:tc>
        <w:tc>
          <w:tcPr>
            <w:tcW w:w="3656" w:type="dxa"/>
          </w:tcPr>
          <w:p w:rsidR="00241B8E" w:rsidRPr="0046360F" w:rsidRDefault="00241B8E" w:rsidP="001640F7">
            <w:pPr>
              <w:pStyle w:val="Tableheadingrow"/>
              <w:keepNext w:val="0"/>
              <w:ind w:right="-74"/>
              <w:rPr>
                <w:lang w:val="en-AU"/>
              </w:rPr>
            </w:pPr>
            <w:r w:rsidRPr="0046360F">
              <w:rPr>
                <w:lang w:val="en-AU"/>
              </w:rPr>
              <w:t>Comment</w:t>
            </w:r>
          </w:p>
        </w:tc>
      </w:tr>
      <w:tr w:rsidR="00241B8E" w:rsidRPr="0046360F" w:rsidTr="00154BF0">
        <w:tc>
          <w:tcPr>
            <w:tcW w:w="1871" w:type="dxa"/>
          </w:tcPr>
          <w:p w:rsidR="00241B8E" w:rsidRPr="0046360F" w:rsidRDefault="00241B8E" w:rsidP="00221DAD">
            <w:pPr>
              <w:pStyle w:val="TableText"/>
              <w:keepNext w:val="0"/>
              <w:ind w:right="-74"/>
              <w:rPr>
                <w:szCs w:val="20"/>
              </w:rPr>
            </w:pPr>
            <w:r w:rsidRPr="0046360F">
              <w:rPr>
                <w:szCs w:val="20"/>
              </w:rPr>
              <w:t>Proportion of population with heart failure</w:t>
            </w:r>
          </w:p>
        </w:tc>
        <w:tc>
          <w:tcPr>
            <w:tcW w:w="1668" w:type="dxa"/>
          </w:tcPr>
          <w:p w:rsidR="00241B8E" w:rsidRPr="0046360F" w:rsidRDefault="00241B8E" w:rsidP="001640F7">
            <w:pPr>
              <w:pStyle w:val="TableText"/>
              <w:keepNext w:val="0"/>
              <w:ind w:right="-74"/>
              <w:rPr>
                <w:szCs w:val="20"/>
              </w:rPr>
            </w:pPr>
            <w:r w:rsidRPr="0046360F">
              <w:rPr>
                <w:szCs w:val="20"/>
              </w:rPr>
              <w:t>Males:</w:t>
            </w:r>
          </w:p>
          <w:p w:rsidR="00241B8E" w:rsidRPr="0046360F" w:rsidRDefault="00241B8E" w:rsidP="001640F7">
            <w:pPr>
              <w:pStyle w:val="TableText"/>
              <w:keepNext w:val="0"/>
              <w:ind w:right="-74"/>
              <w:rPr>
                <w:szCs w:val="20"/>
              </w:rPr>
            </w:pPr>
            <w:r w:rsidRPr="0046360F">
              <w:rPr>
                <w:szCs w:val="20"/>
              </w:rPr>
              <w:t>65-74 yrs - 3.34%</w:t>
            </w:r>
          </w:p>
          <w:p w:rsidR="00241B8E" w:rsidRPr="0046360F" w:rsidRDefault="00241B8E" w:rsidP="001640F7">
            <w:pPr>
              <w:pStyle w:val="TableText"/>
              <w:keepNext w:val="0"/>
              <w:ind w:right="-74"/>
              <w:rPr>
                <w:szCs w:val="20"/>
              </w:rPr>
            </w:pPr>
            <w:r w:rsidRPr="0046360F">
              <w:rPr>
                <w:szCs w:val="20"/>
              </w:rPr>
              <w:t>75-84 yrs - 6.92%</w:t>
            </w:r>
          </w:p>
          <w:p w:rsidR="00241B8E" w:rsidRPr="0046360F" w:rsidRDefault="00241B8E" w:rsidP="001640F7">
            <w:pPr>
              <w:pStyle w:val="TableText"/>
              <w:keepNext w:val="0"/>
              <w:ind w:right="-74"/>
              <w:rPr>
                <w:szCs w:val="20"/>
              </w:rPr>
            </w:pPr>
            <w:r w:rsidRPr="0046360F">
              <w:rPr>
                <w:szCs w:val="20"/>
              </w:rPr>
              <w:t>85-100 yrs 12.58%</w:t>
            </w:r>
          </w:p>
          <w:p w:rsidR="00241B8E" w:rsidRPr="0046360F" w:rsidRDefault="00241B8E" w:rsidP="001640F7">
            <w:pPr>
              <w:pStyle w:val="TableText"/>
              <w:keepNext w:val="0"/>
              <w:ind w:right="-74"/>
              <w:rPr>
                <w:szCs w:val="20"/>
              </w:rPr>
            </w:pPr>
          </w:p>
          <w:p w:rsidR="00241B8E" w:rsidRPr="0046360F" w:rsidRDefault="00241B8E" w:rsidP="001640F7">
            <w:pPr>
              <w:pStyle w:val="TableText"/>
              <w:keepNext w:val="0"/>
              <w:ind w:right="-74"/>
              <w:rPr>
                <w:szCs w:val="20"/>
              </w:rPr>
            </w:pPr>
            <w:r w:rsidRPr="0046360F">
              <w:rPr>
                <w:szCs w:val="20"/>
              </w:rPr>
              <w:t>Females:</w:t>
            </w:r>
          </w:p>
          <w:p w:rsidR="00241B8E" w:rsidRPr="0046360F" w:rsidRDefault="00241B8E" w:rsidP="001640F7">
            <w:pPr>
              <w:pStyle w:val="TableText"/>
              <w:keepNext w:val="0"/>
              <w:ind w:right="-74"/>
              <w:rPr>
                <w:szCs w:val="20"/>
              </w:rPr>
            </w:pPr>
            <w:r w:rsidRPr="0046360F">
              <w:rPr>
                <w:szCs w:val="20"/>
              </w:rPr>
              <w:t>65-74 yrs – 2.68%</w:t>
            </w:r>
          </w:p>
          <w:p w:rsidR="00241B8E" w:rsidRPr="0046360F" w:rsidRDefault="00241B8E" w:rsidP="001640F7">
            <w:pPr>
              <w:pStyle w:val="TableText"/>
              <w:keepNext w:val="0"/>
              <w:ind w:right="-74"/>
              <w:rPr>
                <w:szCs w:val="20"/>
              </w:rPr>
            </w:pPr>
            <w:r w:rsidRPr="0046360F">
              <w:rPr>
                <w:szCs w:val="20"/>
              </w:rPr>
              <w:t>75-84 yrs – 5.71%</w:t>
            </w:r>
          </w:p>
          <w:p w:rsidR="00241B8E" w:rsidRPr="0046360F" w:rsidRDefault="00241B8E" w:rsidP="001640F7">
            <w:pPr>
              <w:pStyle w:val="TableText"/>
              <w:keepNext w:val="0"/>
              <w:ind w:right="-74"/>
              <w:rPr>
                <w:szCs w:val="20"/>
              </w:rPr>
            </w:pPr>
            <w:r w:rsidRPr="0046360F">
              <w:rPr>
                <w:szCs w:val="20"/>
              </w:rPr>
              <w:t>85-100 yrs 11.01%</w:t>
            </w:r>
          </w:p>
        </w:tc>
        <w:tc>
          <w:tcPr>
            <w:tcW w:w="1985" w:type="dxa"/>
          </w:tcPr>
          <w:p w:rsidR="00241B8E" w:rsidRPr="0046360F" w:rsidRDefault="00241B8E" w:rsidP="00221DAD">
            <w:pPr>
              <w:pStyle w:val="TableText"/>
              <w:ind w:right="-74"/>
              <w:rPr>
                <w:szCs w:val="20"/>
              </w:rPr>
            </w:pPr>
            <w:r w:rsidRPr="0046360F">
              <w:rPr>
                <w:szCs w:val="20"/>
              </w:rPr>
              <w:t xml:space="preserve">Liew et al., 2020 </w:t>
            </w:r>
            <w:r w:rsidR="0061449F" w:rsidRPr="0046360F">
              <w:rPr>
                <w:szCs w:val="20"/>
              </w:rPr>
              <w:t xml:space="preserve">a </w:t>
            </w:r>
            <w:r w:rsidRPr="0046360F">
              <w:rPr>
                <w:szCs w:val="20"/>
              </w:rPr>
              <w:t xml:space="preserve">retrospective cohort study of primary care data to estimate the prevalence and annual incidence of HF in the general Australian community. </w:t>
            </w:r>
          </w:p>
        </w:tc>
        <w:tc>
          <w:tcPr>
            <w:tcW w:w="3656" w:type="dxa"/>
          </w:tcPr>
          <w:p w:rsidR="00241B8E" w:rsidRPr="0046360F" w:rsidRDefault="00241B8E" w:rsidP="00221DAD">
            <w:pPr>
              <w:pStyle w:val="TableText"/>
              <w:keepNext w:val="0"/>
              <w:ind w:right="-74"/>
              <w:rPr>
                <w:szCs w:val="20"/>
              </w:rPr>
            </w:pPr>
            <w:r w:rsidRPr="0046360F">
              <w:rPr>
                <w:szCs w:val="20"/>
              </w:rPr>
              <w:t>This survey was based on data from bulk-billing GP practices, which tend to have higher rates of itinerant attendances and therefore may not have chronic conditions recorded. These estimates may underestimate rates of heart failure.</w:t>
            </w:r>
          </w:p>
        </w:tc>
      </w:tr>
      <w:tr w:rsidR="00241B8E" w:rsidRPr="0046360F" w:rsidTr="00154BF0">
        <w:tc>
          <w:tcPr>
            <w:tcW w:w="1871" w:type="dxa"/>
          </w:tcPr>
          <w:p w:rsidR="00241B8E" w:rsidRPr="0046360F" w:rsidRDefault="00241B8E" w:rsidP="00221DAD">
            <w:pPr>
              <w:pStyle w:val="TableText"/>
              <w:keepNext w:val="0"/>
              <w:rPr>
                <w:szCs w:val="20"/>
              </w:rPr>
            </w:pPr>
            <w:r w:rsidRPr="0046360F">
              <w:rPr>
                <w:szCs w:val="20"/>
              </w:rPr>
              <w:t>Amyloid deposition rates</w:t>
            </w:r>
          </w:p>
        </w:tc>
        <w:tc>
          <w:tcPr>
            <w:tcW w:w="1668" w:type="dxa"/>
          </w:tcPr>
          <w:p w:rsidR="00241B8E" w:rsidRPr="0046360F" w:rsidRDefault="00241B8E" w:rsidP="001640F7">
            <w:pPr>
              <w:pStyle w:val="TableText"/>
              <w:keepNext w:val="0"/>
              <w:ind w:right="-74"/>
              <w:rPr>
                <w:szCs w:val="20"/>
              </w:rPr>
            </w:pPr>
            <w:r w:rsidRPr="0046360F">
              <w:rPr>
                <w:szCs w:val="20"/>
              </w:rPr>
              <w:t>Males:</w:t>
            </w:r>
          </w:p>
          <w:p w:rsidR="00241B8E" w:rsidRPr="0046360F" w:rsidRDefault="00241B8E" w:rsidP="001640F7">
            <w:pPr>
              <w:pStyle w:val="TableText"/>
              <w:keepNext w:val="0"/>
              <w:ind w:right="-74"/>
              <w:rPr>
                <w:szCs w:val="20"/>
              </w:rPr>
            </w:pPr>
            <w:r w:rsidRPr="0046360F">
              <w:rPr>
                <w:szCs w:val="20"/>
              </w:rPr>
              <w:t>65-74 yrs – 1.44%</w:t>
            </w:r>
          </w:p>
          <w:p w:rsidR="00241B8E" w:rsidRPr="0046360F" w:rsidRDefault="00241B8E" w:rsidP="001640F7">
            <w:pPr>
              <w:pStyle w:val="TableText"/>
              <w:keepNext w:val="0"/>
              <w:ind w:right="-74"/>
              <w:rPr>
                <w:szCs w:val="20"/>
              </w:rPr>
            </w:pPr>
            <w:r w:rsidRPr="0046360F">
              <w:rPr>
                <w:szCs w:val="20"/>
              </w:rPr>
              <w:t>75-84 yrs – 2.46%</w:t>
            </w:r>
          </w:p>
          <w:p w:rsidR="00241B8E" w:rsidRPr="0046360F" w:rsidRDefault="00241B8E" w:rsidP="001640F7">
            <w:pPr>
              <w:pStyle w:val="TableText"/>
              <w:keepNext w:val="0"/>
              <w:ind w:right="-74"/>
              <w:rPr>
                <w:szCs w:val="20"/>
              </w:rPr>
            </w:pPr>
            <w:r w:rsidRPr="0046360F">
              <w:rPr>
                <w:szCs w:val="20"/>
              </w:rPr>
              <w:t>85-100 yrs 6.15%</w:t>
            </w:r>
          </w:p>
          <w:p w:rsidR="00241B8E" w:rsidRPr="0046360F" w:rsidRDefault="00241B8E" w:rsidP="001640F7">
            <w:pPr>
              <w:pStyle w:val="TableText"/>
              <w:keepNext w:val="0"/>
              <w:ind w:right="-74"/>
              <w:rPr>
                <w:szCs w:val="20"/>
              </w:rPr>
            </w:pPr>
          </w:p>
          <w:p w:rsidR="00241B8E" w:rsidRPr="0046360F" w:rsidRDefault="00241B8E" w:rsidP="001640F7">
            <w:pPr>
              <w:pStyle w:val="TableText"/>
              <w:keepNext w:val="0"/>
              <w:ind w:right="-74"/>
              <w:rPr>
                <w:szCs w:val="20"/>
              </w:rPr>
            </w:pPr>
            <w:r w:rsidRPr="0046360F">
              <w:rPr>
                <w:szCs w:val="20"/>
              </w:rPr>
              <w:t>Females:</w:t>
            </w:r>
          </w:p>
          <w:p w:rsidR="00241B8E" w:rsidRPr="0046360F" w:rsidRDefault="00241B8E" w:rsidP="001640F7">
            <w:pPr>
              <w:pStyle w:val="TableText"/>
              <w:keepNext w:val="0"/>
              <w:ind w:right="-74"/>
              <w:rPr>
                <w:szCs w:val="20"/>
              </w:rPr>
            </w:pPr>
            <w:r w:rsidRPr="0046360F">
              <w:rPr>
                <w:szCs w:val="20"/>
              </w:rPr>
              <w:t>65-74 yrs – 0.17%</w:t>
            </w:r>
          </w:p>
          <w:p w:rsidR="00241B8E" w:rsidRPr="0046360F" w:rsidRDefault="00241B8E" w:rsidP="001640F7">
            <w:pPr>
              <w:pStyle w:val="TableText"/>
              <w:keepNext w:val="0"/>
              <w:ind w:right="-74"/>
              <w:rPr>
                <w:szCs w:val="20"/>
              </w:rPr>
            </w:pPr>
            <w:r w:rsidRPr="0046360F">
              <w:rPr>
                <w:szCs w:val="20"/>
              </w:rPr>
              <w:t>75-84 yrs – 0.4%</w:t>
            </w:r>
          </w:p>
          <w:p w:rsidR="00241B8E" w:rsidRPr="0046360F" w:rsidRDefault="00241B8E" w:rsidP="001640F7">
            <w:pPr>
              <w:pStyle w:val="TableText"/>
              <w:keepNext w:val="0"/>
              <w:ind w:right="-74"/>
              <w:rPr>
                <w:szCs w:val="20"/>
              </w:rPr>
            </w:pPr>
            <w:r w:rsidRPr="0046360F">
              <w:rPr>
                <w:szCs w:val="20"/>
              </w:rPr>
              <w:t>85-100 yrs – 1.69%</w:t>
            </w:r>
          </w:p>
        </w:tc>
        <w:tc>
          <w:tcPr>
            <w:tcW w:w="1985" w:type="dxa"/>
          </w:tcPr>
          <w:p w:rsidR="00241B8E" w:rsidRPr="0046360F" w:rsidDel="004D0C8A" w:rsidRDefault="00241B8E" w:rsidP="001640F7">
            <w:pPr>
              <w:pStyle w:val="TableText"/>
              <w:ind w:right="-74"/>
              <w:rPr>
                <w:szCs w:val="20"/>
              </w:rPr>
            </w:pPr>
            <w:r w:rsidRPr="0046360F">
              <w:rPr>
                <w:szCs w:val="20"/>
              </w:rPr>
              <w:t>Prevalence of cardiac amyloidosis was drawn from Cuscaden et al. 2020, an Australian study of images taken from the medical records of patients undergoing bone scans for non-cardiac reasons.</w:t>
            </w:r>
          </w:p>
        </w:tc>
        <w:tc>
          <w:tcPr>
            <w:tcW w:w="3656" w:type="dxa"/>
          </w:tcPr>
          <w:p w:rsidR="00241B8E" w:rsidRPr="0046360F" w:rsidRDefault="00241B8E" w:rsidP="00221DAD">
            <w:pPr>
              <w:pStyle w:val="TableText"/>
              <w:keepNext w:val="0"/>
              <w:ind w:right="-74"/>
              <w:rPr>
                <w:iCs/>
              </w:rPr>
            </w:pPr>
            <w:r w:rsidRPr="0046360F">
              <w:rPr>
                <w:iCs/>
              </w:rPr>
              <w:t>These proportions were based on incidental findings in patients undergoing scintigraphy for non-cardiac indications, including oncology and musculoskeletal. Additionally, the values in this study are based on very small patient numbers (n=15 with positive bone scans, including only one female). The prevalence rate is likely to be higher in patients with heart failure.</w:t>
            </w:r>
          </w:p>
        </w:tc>
      </w:tr>
      <w:tr w:rsidR="00241B8E" w:rsidRPr="0046360F" w:rsidTr="00154BF0">
        <w:tc>
          <w:tcPr>
            <w:tcW w:w="1871" w:type="dxa"/>
          </w:tcPr>
          <w:p w:rsidR="00241B8E" w:rsidRPr="0046360F" w:rsidRDefault="00241B8E" w:rsidP="00221DAD">
            <w:pPr>
              <w:pStyle w:val="TableText"/>
              <w:keepNext w:val="0"/>
              <w:ind w:right="-74"/>
              <w:rPr>
                <w:szCs w:val="20"/>
              </w:rPr>
            </w:pPr>
            <w:r w:rsidRPr="0046360F">
              <w:rPr>
                <w:szCs w:val="20"/>
              </w:rPr>
              <w:t>Prevalence of variant ATTR-CM</w:t>
            </w:r>
          </w:p>
        </w:tc>
        <w:tc>
          <w:tcPr>
            <w:tcW w:w="1668" w:type="dxa"/>
          </w:tcPr>
          <w:p w:rsidR="00241B8E" w:rsidRPr="0046360F" w:rsidRDefault="00241B8E" w:rsidP="001640F7">
            <w:pPr>
              <w:pStyle w:val="TableText"/>
              <w:keepNext w:val="0"/>
              <w:ind w:right="-74"/>
              <w:rPr>
                <w:szCs w:val="20"/>
              </w:rPr>
            </w:pPr>
            <w:r w:rsidRPr="0046360F">
              <w:rPr>
                <w:szCs w:val="20"/>
              </w:rPr>
              <w:t>0.00052%</w:t>
            </w:r>
          </w:p>
        </w:tc>
        <w:tc>
          <w:tcPr>
            <w:tcW w:w="1985" w:type="dxa"/>
          </w:tcPr>
          <w:p w:rsidR="00241B8E" w:rsidRPr="0046360F" w:rsidRDefault="00241B8E" w:rsidP="00221DAD">
            <w:pPr>
              <w:pStyle w:val="TableText"/>
              <w:ind w:right="-74"/>
              <w:rPr>
                <w:szCs w:val="20"/>
              </w:rPr>
            </w:pPr>
            <w:r w:rsidRPr="0046360F">
              <w:rPr>
                <w:szCs w:val="20"/>
              </w:rPr>
              <w:t xml:space="preserve">A systematic review of systemic amyloidosis diagnosis, prognosis, and therapies by Gertz and Dispenzieri, 2020. </w:t>
            </w:r>
          </w:p>
        </w:tc>
        <w:tc>
          <w:tcPr>
            <w:tcW w:w="3656" w:type="dxa"/>
          </w:tcPr>
          <w:p w:rsidR="00241B8E" w:rsidRPr="0046360F" w:rsidRDefault="00241B8E" w:rsidP="00221DAD">
            <w:pPr>
              <w:pStyle w:val="TableText"/>
              <w:keepNext w:val="0"/>
              <w:ind w:right="-74"/>
              <w:rPr>
                <w:iCs/>
              </w:rPr>
            </w:pPr>
            <w:r w:rsidRPr="0046360F">
              <w:rPr>
                <w:iCs/>
              </w:rPr>
              <w:t xml:space="preserve">The authors acknowledged that the published estimates were likely to underestimate the true prevalence, due to poor recognition and diagnosis rates for amyloidosis. </w:t>
            </w:r>
          </w:p>
        </w:tc>
      </w:tr>
      <w:tr w:rsidR="00241B8E" w:rsidRPr="0046360F" w:rsidTr="00154BF0">
        <w:tc>
          <w:tcPr>
            <w:tcW w:w="1871" w:type="dxa"/>
          </w:tcPr>
          <w:p w:rsidR="00241B8E" w:rsidRPr="0046360F" w:rsidRDefault="00241B8E" w:rsidP="00221DAD">
            <w:pPr>
              <w:pStyle w:val="TableText"/>
              <w:keepNext w:val="0"/>
              <w:ind w:right="-74"/>
              <w:rPr>
                <w:szCs w:val="20"/>
              </w:rPr>
            </w:pPr>
            <w:r w:rsidRPr="0046360F">
              <w:rPr>
                <w:szCs w:val="20"/>
              </w:rPr>
              <w:t>Percentage of patients diagnosed with ATTR-CM</w:t>
            </w:r>
          </w:p>
        </w:tc>
        <w:tc>
          <w:tcPr>
            <w:tcW w:w="1668" w:type="dxa"/>
          </w:tcPr>
          <w:p w:rsidR="00241B8E" w:rsidRPr="0046360F" w:rsidRDefault="00241B8E" w:rsidP="001640F7">
            <w:pPr>
              <w:pStyle w:val="TableText"/>
              <w:keepNext w:val="0"/>
              <w:ind w:right="-74"/>
              <w:rPr>
                <w:szCs w:val="20"/>
              </w:rPr>
            </w:pPr>
            <w:r w:rsidRPr="0046360F">
              <w:rPr>
                <w:szCs w:val="20"/>
              </w:rPr>
              <w:t>Year 1 - 30%</w:t>
            </w:r>
          </w:p>
          <w:p w:rsidR="00241B8E" w:rsidRPr="0046360F" w:rsidRDefault="00241B8E" w:rsidP="001640F7">
            <w:pPr>
              <w:pStyle w:val="TableText"/>
              <w:keepNext w:val="0"/>
              <w:ind w:right="-74"/>
              <w:rPr>
                <w:szCs w:val="20"/>
              </w:rPr>
            </w:pPr>
            <w:r w:rsidRPr="0046360F">
              <w:rPr>
                <w:szCs w:val="20"/>
              </w:rPr>
              <w:t>Year 2 - 40%</w:t>
            </w:r>
          </w:p>
          <w:p w:rsidR="00241B8E" w:rsidRPr="0046360F" w:rsidRDefault="00241B8E" w:rsidP="001640F7">
            <w:pPr>
              <w:pStyle w:val="TableText"/>
              <w:keepNext w:val="0"/>
              <w:ind w:right="-74"/>
              <w:rPr>
                <w:szCs w:val="20"/>
              </w:rPr>
            </w:pPr>
            <w:r w:rsidRPr="0046360F">
              <w:rPr>
                <w:szCs w:val="20"/>
              </w:rPr>
              <w:t>Year 3 - 50%</w:t>
            </w:r>
          </w:p>
          <w:p w:rsidR="00241B8E" w:rsidRPr="0046360F" w:rsidRDefault="00241B8E" w:rsidP="001640F7">
            <w:pPr>
              <w:pStyle w:val="TableText"/>
              <w:keepNext w:val="0"/>
              <w:ind w:right="-74"/>
              <w:rPr>
                <w:szCs w:val="20"/>
              </w:rPr>
            </w:pPr>
            <w:r w:rsidRPr="0046360F">
              <w:rPr>
                <w:szCs w:val="20"/>
              </w:rPr>
              <w:t>Year 4 - 60%</w:t>
            </w:r>
          </w:p>
          <w:p w:rsidR="00241B8E" w:rsidRPr="0046360F" w:rsidRDefault="00241B8E" w:rsidP="001640F7">
            <w:pPr>
              <w:pStyle w:val="TableText"/>
              <w:keepNext w:val="0"/>
              <w:ind w:right="-74"/>
              <w:rPr>
                <w:szCs w:val="20"/>
              </w:rPr>
            </w:pPr>
            <w:r w:rsidRPr="0046360F">
              <w:rPr>
                <w:szCs w:val="20"/>
              </w:rPr>
              <w:t>Year 5 - 70%</w:t>
            </w:r>
          </w:p>
          <w:p w:rsidR="00241B8E" w:rsidRPr="0046360F" w:rsidRDefault="00241B8E" w:rsidP="001640F7">
            <w:pPr>
              <w:pStyle w:val="TableText"/>
              <w:keepNext w:val="0"/>
              <w:ind w:right="-74"/>
              <w:rPr>
                <w:szCs w:val="20"/>
              </w:rPr>
            </w:pPr>
            <w:r w:rsidRPr="0046360F">
              <w:rPr>
                <w:szCs w:val="20"/>
              </w:rPr>
              <w:t>Year 6 - 80%</w:t>
            </w:r>
          </w:p>
        </w:tc>
        <w:tc>
          <w:tcPr>
            <w:tcW w:w="1985" w:type="dxa"/>
          </w:tcPr>
          <w:p w:rsidR="00241B8E" w:rsidRPr="0046360F" w:rsidRDefault="00241B8E" w:rsidP="00221DAD">
            <w:pPr>
              <w:pStyle w:val="TableText"/>
              <w:keepNext w:val="0"/>
              <w:ind w:right="-74"/>
              <w:rPr>
                <w:szCs w:val="20"/>
              </w:rPr>
            </w:pPr>
            <w:r w:rsidRPr="0046360F">
              <w:rPr>
                <w:szCs w:val="20"/>
              </w:rPr>
              <w:t xml:space="preserve">Assumption based on expert opinion that ATTR-CM is grossly underdiagnosed. </w:t>
            </w:r>
          </w:p>
        </w:tc>
        <w:tc>
          <w:tcPr>
            <w:tcW w:w="3656" w:type="dxa"/>
          </w:tcPr>
          <w:p w:rsidR="00241B8E" w:rsidRPr="0046360F" w:rsidRDefault="00241B8E" w:rsidP="004B59E2">
            <w:pPr>
              <w:pStyle w:val="TableText"/>
              <w:keepNext w:val="0"/>
              <w:rPr>
                <w:szCs w:val="20"/>
              </w:rPr>
            </w:pPr>
            <w:r w:rsidRPr="0046360F">
              <w:rPr>
                <w:szCs w:val="20"/>
              </w:rPr>
              <w:t xml:space="preserve">The extent to which ATTR-CM is underdiagnosed is uncertain. The published estimates used to determine the prevalence of ATTR-CM may already account for the under-diagnosis of these patients, and therefore application of this factor </w:t>
            </w:r>
            <w:r w:rsidR="004B59E2" w:rsidRPr="0046360F">
              <w:rPr>
                <w:szCs w:val="20"/>
              </w:rPr>
              <w:t xml:space="preserve">may </w:t>
            </w:r>
            <w:r w:rsidRPr="0046360F">
              <w:rPr>
                <w:szCs w:val="20"/>
              </w:rPr>
              <w:t>further reduce the population unnecessarily</w:t>
            </w:r>
            <w:r w:rsidR="001640F7" w:rsidRPr="0046360F">
              <w:rPr>
                <w:szCs w:val="20"/>
              </w:rPr>
              <w:t>.</w:t>
            </w:r>
            <w:r w:rsidRPr="0046360F">
              <w:rPr>
                <w:szCs w:val="20"/>
              </w:rPr>
              <w:t xml:space="preserve"> </w:t>
            </w:r>
          </w:p>
        </w:tc>
      </w:tr>
      <w:tr w:rsidR="00241B8E" w:rsidRPr="0046360F" w:rsidTr="00154BF0">
        <w:tc>
          <w:tcPr>
            <w:tcW w:w="1871" w:type="dxa"/>
          </w:tcPr>
          <w:p w:rsidR="00241B8E" w:rsidRPr="0046360F" w:rsidRDefault="00241B8E" w:rsidP="00221DAD">
            <w:pPr>
              <w:pStyle w:val="TableText"/>
              <w:keepNext w:val="0"/>
              <w:rPr>
                <w:szCs w:val="20"/>
              </w:rPr>
            </w:pPr>
            <w:r w:rsidRPr="0046360F">
              <w:rPr>
                <w:szCs w:val="20"/>
              </w:rPr>
              <w:t>Percentage of diagnosed patients with NYHA classes I-III</w:t>
            </w:r>
          </w:p>
        </w:tc>
        <w:tc>
          <w:tcPr>
            <w:tcW w:w="1668" w:type="dxa"/>
          </w:tcPr>
          <w:p w:rsidR="00241B8E" w:rsidRPr="0046360F" w:rsidRDefault="00241B8E" w:rsidP="001640F7">
            <w:pPr>
              <w:pStyle w:val="TableText"/>
              <w:keepNext w:val="0"/>
              <w:ind w:right="-74"/>
              <w:rPr>
                <w:szCs w:val="20"/>
              </w:rPr>
            </w:pPr>
            <w:r w:rsidRPr="0046360F">
              <w:rPr>
                <w:szCs w:val="20"/>
              </w:rPr>
              <w:t>Year 1 - 85%</w:t>
            </w:r>
          </w:p>
          <w:p w:rsidR="00241B8E" w:rsidRPr="0046360F" w:rsidRDefault="00241B8E" w:rsidP="001640F7">
            <w:pPr>
              <w:pStyle w:val="TableText"/>
              <w:keepNext w:val="0"/>
              <w:ind w:right="-74"/>
              <w:rPr>
                <w:szCs w:val="20"/>
              </w:rPr>
            </w:pPr>
            <w:r w:rsidRPr="0046360F">
              <w:rPr>
                <w:szCs w:val="20"/>
              </w:rPr>
              <w:t>Year 2 - 90%</w:t>
            </w:r>
          </w:p>
          <w:p w:rsidR="00241B8E" w:rsidRPr="0046360F" w:rsidRDefault="00241B8E" w:rsidP="001640F7">
            <w:pPr>
              <w:pStyle w:val="TableText"/>
              <w:keepNext w:val="0"/>
              <w:ind w:right="-74"/>
              <w:rPr>
                <w:szCs w:val="20"/>
              </w:rPr>
            </w:pPr>
            <w:r w:rsidRPr="0046360F">
              <w:rPr>
                <w:szCs w:val="20"/>
              </w:rPr>
              <w:t>Year 3 - 95%</w:t>
            </w:r>
          </w:p>
          <w:p w:rsidR="00241B8E" w:rsidRPr="0046360F" w:rsidRDefault="00241B8E" w:rsidP="001640F7">
            <w:pPr>
              <w:pStyle w:val="TableText"/>
              <w:keepNext w:val="0"/>
              <w:ind w:right="-74"/>
              <w:rPr>
                <w:szCs w:val="20"/>
              </w:rPr>
            </w:pPr>
            <w:r w:rsidRPr="0046360F">
              <w:rPr>
                <w:szCs w:val="20"/>
              </w:rPr>
              <w:t>Year 4 - 95%</w:t>
            </w:r>
          </w:p>
          <w:p w:rsidR="00241B8E" w:rsidRPr="0046360F" w:rsidRDefault="00241B8E" w:rsidP="001640F7">
            <w:pPr>
              <w:pStyle w:val="TableText"/>
              <w:keepNext w:val="0"/>
              <w:ind w:right="-74"/>
              <w:rPr>
                <w:szCs w:val="20"/>
              </w:rPr>
            </w:pPr>
            <w:r w:rsidRPr="0046360F">
              <w:rPr>
                <w:szCs w:val="20"/>
              </w:rPr>
              <w:t>Year 5 - 95%</w:t>
            </w:r>
          </w:p>
          <w:p w:rsidR="00241B8E" w:rsidRPr="0046360F" w:rsidRDefault="00241B8E" w:rsidP="001640F7">
            <w:pPr>
              <w:pStyle w:val="TableText"/>
              <w:keepNext w:val="0"/>
              <w:ind w:right="-74"/>
              <w:rPr>
                <w:szCs w:val="20"/>
              </w:rPr>
            </w:pPr>
            <w:r w:rsidRPr="0046360F">
              <w:rPr>
                <w:szCs w:val="20"/>
              </w:rPr>
              <w:t>Year 6 - 95%</w:t>
            </w:r>
          </w:p>
        </w:tc>
        <w:tc>
          <w:tcPr>
            <w:tcW w:w="1985" w:type="dxa"/>
          </w:tcPr>
          <w:p w:rsidR="00241B8E" w:rsidRPr="0046360F" w:rsidRDefault="00241B8E" w:rsidP="002D3181">
            <w:pPr>
              <w:pStyle w:val="TableText"/>
              <w:keepNext w:val="0"/>
              <w:ind w:right="-74"/>
              <w:rPr>
                <w:szCs w:val="20"/>
              </w:rPr>
            </w:pPr>
            <w:r w:rsidRPr="0046360F">
              <w:rPr>
                <w:szCs w:val="20"/>
              </w:rPr>
              <w:t>Estimate.</w:t>
            </w:r>
          </w:p>
        </w:tc>
        <w:tc>
          <w:tcPr>
            <w:tcW w:w="3656" w:type="dxa"/>
          </w:tcPr>
          <w:p w:rsidR="00241B8E" w:rsidRPr="0046360F" w:rsidRDefault="00241B8E" w:rsidP="00221DAD">
            <w:pPr>
              <w:pStyle w:val="TableText"/>
              <w:keepNext w:val="0"/>
              <w:ind w:right="-74"/>
              <w:rPr>
                <w:szCs w:val="20"/>
              </w:rPr>
            </w:pPr>
            <w:r w:rsidRPr="0046360F">
              <w:rPr>
                <w:szCs w:val="20"/>
              </w:rPr>
              <w:t>The source for this estimate was unclear. It may be based on the estimate of the proportion of patients with Gilmore stage III, which does not align with NYHA class IV. No evidence was presented to support the assumption of declining proportions of patients with NYHA class IV.</w:t>
            </w:r>
          </w:p>
        </w:tc>
      </w:tr>
      <w:tr w:rsidR="00241B8E" w:rsidRPr="0046360F" w:rsidTr="00154BF0">
        <w:tc>
          <w:tcPr>
            <w:tcW w:w="1871" w:type="dxa"/>
          </w:tcPr>
          <w:p w:rsidR="00241B8E" w:rsidRPr="0046360F" w:rsidRDefault="00241B8E" w:rsidP="00221DAD">
            <w:pPr>
              <w:pStyle w:val="TableText"/>
              <w:ind w:right="-74"/>
            </w:pPr>
            <w:r w:rsidRPr="0046360F">
              <w:t>Percentage of patients diagnosed with NYHA class III as a proportion of NYHA classes I-III</w:t>
            </w:r>
          </w:p>
        </w:tc>
        <w:tc>
          <w:tcPr>
            <w:tcW w:w="1668" w:type="dxa"/>
          </w:tcPr>
          <w:p w:rsidR="00241B8E" w:rsidRPr="0046360F" w:rsidRDefault="00241B8E" w:rsidP="001640F7">
            <w:pPr>
              <w:pStyle w:val="TableText"/>
              <w:keepNext w:val="0"/>
              <w:ind w:right="-74"/>
              <w:rPr>
                <w:szCs w:val="20"/>
              </w:rPr>
            </w:pPr>
            <w:r w:rsidRPr="0046360F">
              <w:rPr>
                <w:szCs w:val="20"/>
              </w:rPr>
              <w:t>Year 1 - 35%</w:t>
            </w:r>
          </w:p>
          <w:p w:rsidR="00241B8E" w:rsidRPr="0046360F" w:rsidRDefault="00241B8E" w:rsidP="001640F7">
            <w:pPr>
              <w:pStyle w:val="TableText"/>
              <w:keepNext w:val="0"/>
              <w:ind w:right="-74"/>
              <w:rPr>
                <w:szCs w:val="20"/>
              </w:rPr>
            </w:pPr>
            <w:r w:rsidRPr="0046360F">
              <w:rPr>
                <w:szCs w:val="20"/>
              </w:rPr>
              <w:t>Year 2 - 30%</w:t>
            </w:r>
          </w:p>
          <w:p w:rsidR="00241B8E" w:rsidRPr="0046360F" w:rsidRDefault="00241B8E" w:rsidP="001640F7">
            <w:pPr>
              <w:pStyle w:val="TableText"/>
              <w:keepNext w:val="0"/>
              <w:ind w:right="-74"/>
              <w:rPr>
                <w:szCs w:val="20"/>
              </w:rPr>
            </w:pPr>
            <w:r w:rsidRPr="0046360F">
              <w:rPr>
                <w:szCs w:val="20"/>
              </w:rPr>
              <w:t>Year 3 - 25%</w:t>
            </w:r>
          </w:p>
          <w:p w:rsidR="00241B8E" w:rsidRPr="0046360F" w:rsidRDefault="00241B8E" w:rsidP="001640F7">
            <w:pPr>
              <w:pStyle w:val="TableText"/>
              <w:keepNext w:val="0"/>
              <w:ind w:right="-74"/>
              <w:rPr>
                <w:szCs w:val="20"/>
              </w:rPr>
            </w:pPr>
            <w:r w:rsidRPr="0046360F">
              <w:rPr>
                <w:szCs w:val="20"/>
              </w:rPr>
              <w:t>Year 4 - 25%</w:t>
            </w:r>
          </w:p>
          <w:p w:rsidR="00241B8E" w:rsidRPr="0046360F" w:rsidRDefault="00241B8E" w:rsidP="001640F7">
            <w:pPr>
              <w:pStyle w:val="TableText"/>
              <w:keepNext w:val="0"/>
              <w:ind w:right="-74"/>
              <w:rPr>
                <w:szCs w:val="20"/>
              </w:rPr>
            </w:pPr>
            <w:r w:rsidRPr="0046360F">
              <w:rPr>
                <w:szCs w:val="20"/>
              </w:rPr>
              <w:t>Year 5 - 20%</w:t>
            </w:r>
          </w:p>
          <w:p w:rsidR="00241B8E" w:rsidRPr="0046360F" w:rsidRDefault="00241B8E" w:rsidP="001640F7">
            <w:pPr>
              <w:pStyle w:val="TableText"/>
              <w:keepNext w:val="0"/>
              <w:ind w:right="-74"/>
              <w:rPr>
                <w:szCs w:val="20"/>
              </w:rPr>
            </w:pPr>
            <w:r w:rsidRPr="0046360F">
              <w:rPr>
                <w:szCs w:val="20"/>
              </w:rPr>
              <w:t>Year 6 - 20%</w:t>
            </w:r>
          </w:p>
        </w:tc>
        <w:tc>
          <w:tcPr>
            <w:tcW w:w="1985" w:type="dxa"/>
          </w:tcPr>
          <w:p w:rsidR="00241B8E" w:rsidRPr="0046360F" w:rsidRDefault="00241B8E" w:rsidP="004B59E2">
            <w:pPr>
              <w:pStyle w:val="TableText"/>
              <w:keepNext w:val="0"/>
              <w:ind w:right="-74"/>
              <w:rPr>
                <w:szCs w:val="20"/>
              </w:rPr>
            </w:pPr>
            <w:r w:rsidRPr="0046360F">
              <w:rPr>
                <w:szCs w:val="20"/>
              </w:rPr>
              <w:t xml:space="preserve">Estimate. </w:t>
            </w:r>
          </w:p>
        </w:tc>
        <w:tc>
          <w:tcPr>
            <w:tcW w:w="3656" w:type="dxa"/>
          </w:tcPr>
          <w:p w:rsidR="00241B8E" w:rsidRPr="0046360F" w:rsidRDefault="00241B8E" w:rsidP="001640F7">
            <w:pPr>
              <w:pStyle w:val="TableText"/>
              <w:keepNext w:val="0"/>
              <w:ind w:right="-74"/>
              <w:rPr>
                <w:szCs w:val="20"/>
              </w:rPr>
            </w:pPr>
            <w:r w:rsidRPr="0046360F">
              <w:t xml:space="preserve">The source of this estimate </w:t>
            </w:r>
            <w:r w:rsidR="001640F7" w:rsidRPr="0046360F">
              <w:t>was</w:t>
            </w:r>
            <w:r w:rsidRPr="0046360F">
              <w:t xml:space="preserve"> unclear. </w:t>
            </w:r>
            <w:r w:rsidRPr="0046360F">
              <w:rPr>
                <w:szCs w:val="20"/>
              </w:rPr>
              <w:t>No evidence was presented to support the declining proportions of patients with NYHA class III over time.</w:t>
            </w:r>
          </w:p>
        </w:tc>
      </w:tr>
      <w:tr w:rsidR="00241B8E" w:rsidRPr="0046360F" w:rsidTr="00154BF0">
        <w:tc>
          <w:tcPr>
            <w:tcW w:w="1871" w:type="dxa"/>
          </w:tcPr>
          <w:p w:rsidR="00241B8E" w:rsidRPr="0046360F" w:rsidRDefault="00241B8E" w:rsidP="00221DAD">
            <w:pPr>
              <w:pStyle w:val="TableText"/>
              <w:ind w:right="-74"/>
            </w:pPr>
            <w:r w:rsidRPr="0046360F">
              <w:t>Percentage of NYHA class III patients with non-persistent class III disease</w:t>
            </w:r>
          </w:p>
        </w:tc>
        <w:tc>
          <w:tcPr>
            <w:tcW w:w="1668" w:type="dxa"/>
          </w:tcPr>
          <w:p w:rsidR="00241B8E" w:rsidRPr="0046360F" w:rsidRDefault="00241B8E" w:rsidP="001640F7">
            <w:pPr>
              <w:pStyle w:val="TableText"/>
              <w:keepNext w:val="0"/>
              <w:ind w:right="-74"/>
              <w:rPr>
                <w:szCs w:val="20"/>
              </w:rPr>
            </w:pPr>
            <w:r w:rsidRPr="0046360F">
              <w:rPr>
                <w:szCs w:val="20"/>
              </w:rPr>
              <w:t>21%</w:t>
            </w:r>
          </w:p>
        </w:tc>
        <w:tc>
          <w:tcPr>
            <w:tcW w:w="1985" w:type="dxa"/>
          </w:tcPr>
          <w:p w:rsidR="00241B8E" w:rsidRPr="0046360F" w:rsidRDefault="00241B8E" w:rsidP="00221DAD">
            <w:pPr>
              <w:pStyle w:val="TableText"/>
              <w:keepNext w:val="0"/>
              <w:rPr>
                <w:szCs w:val="20"/>
              </w:rPr>
            </w:pPr>
            <w:r w:rsidRPr="0046360F">
              <w:rPr>
                <w:szCs w:val="20"/>
              </w:rPr>
              <w:t>Based on placebo treated patients with NYHA class III at baseline who transitioned to NYHA class I-II at 6 months in the ATTR-ACT trial (13/63; 21%)</w:t>
            </w:r>
          </w:p>
        </w:tc>
        <w:tc>
          <w:tcPr>
            <w:tcW w:w="3656" w:type="dxa"/>
          </w:tcPr>
          <w:p w:rsidR="00241B8E" w:rsidRPr="0046360F" w:rsidRDefault="00241B8E" w:rsidP="00F670BE">
            <w:pPr>
              <w:pStyle w:val="TableText"/>
              <w:keepNext w:val="0"/>
              <w:ind w:right="-74"/>
              <w:rPr>
                <w:i/>
                <w:szCs w:val="20"/>
              </w:rPr>
            </w:pPr>
            <w:r w:rsidRPr="0046360F">
              <w:rPr>
                <w:szCs w:val="20"/>
              </w:rPr>
              <w:t>Given the subjective nature of NYHA classification and the proposed restriction limiting treatment to NYHA class I and II, it is likely that the proportion of patients classified as non-persistent NYHA class III will be higher than estimated in the resubmission.</w:t>
            </w:r>
            <w:r w:rsidR="004B59E2" w:rsidRPr="0046360F">
              <w:rPr>
                <w:szCs w:val="20"/>
              </w:rPr>
              <w:t xml:space="preserve"> The PSCR noted that clinical experts consulted indicated that this may be as high as 50%</w:t>
            </w:r>
            <w:r w:rsidR="00F670BE" w:rsidRPr="0046360F">
              <w:rPr>
                <w:szCs w:val="20"/>
              </w:rPr>
              <w:t>.</w:t>
            </w:r>
          </w:p>
        </w:tc>
      </w:tr>
      <w:tr w:rsidR="00241B8E" w:rsidRPr="0046360F" w:rsidTr="00154BF0">
        <w:tc>
          <w:tcPr>
            <w:tcW w:w="1871" w:type="dxa"/>
          </w:tcPr>
          <w:p w:rsidR="00241B8E" w:rsidRPr="0046360F" w:rsidRDefault="00241B8E" w:rsidP="00221DAD">
            <w:pPr>
              <w:pStyle w:val="TableText"/>
              <w:keepNext w:val="0"/>
              <w:ind w:right="-74"/>
              <w:rPr>
                <w:szCs w:val="20"/>
              </w:rPr>
            </w:pPr>
            <w:r w:rsidRPr="0046360F">
              <w:rPr>
                <w:szCs w:val="20"/>
              </w:rPr>
              <w:t xml:space="preserve">Proportion of patients </w:t>
            </w:r>
            <w:r w:rsidRPr="0046360F">
              <w:rPr>
                <w:color w:val="000000"/>
                <w:szCs w:val="20"/>
              </w:rPr>
              <w:t>treated with tafamidis</w:t>
            </w:r>
          </w:p>
        </w:tc>
        <w:tc>
          <w:tcPr>
            <w:tcW w:w="1668" w:type="dxa"/>
          </w:tcPr>
          <w:p w:rsidR="00241B8E" w:rsidRPr="0046360F" w:rsidRDefault="00241B8E" w:rsidP="001640F7">
            <w:pPr>
              <w:pStyle w:val="TableText"/>
              <w:keepNext w:val="0"/>
              <w:ind w:right="-74"/>
              <w:rPr>
                <w:szCs w:val="20"/>
              </w:rPr>
            </w:pPr>
            <w:r w:rsidRPr="0046360F">
              <w:rPr>
                <w:szCs w:val="20"/>
              </w:rPr>
              <w:t xml:space="preserve">Year 1 - 50% </w:t>
            </w:r>
          </w:p>
          <w:p w:rsidR="00241B8E" w:rsidRPr="0046360F" w:rsidRDefault="00241B8E" w:rsidP="001640F7">
            <w:pPr>
              <w:pStyle w:val="TableText"/>
              <w:keepNext w:val="0"/>
              <w:ind w:right="-74"/>
              <w:rPr>
                <w:szCs w:val="20"/>
              </w:rPr>
            </w:pPr>
            <w:r w:rsidRPr="0046360F">
              <w:rPr>
                <w:szCs w:val="20"/>
              </w:rPr>
              <w:t>Year 2 - 55%</w:t>
            </w:r>
          </w:p>
          <w:p w:rsidR="00241B8E" w:rsidRPr="0046360F" w:rsidRDefault="00241B8E" w:rsidP="001640F7">
            <w:pPr>
              <w:pStyle w:val="TableText"/>
              <w:keepNext w:val="0"/>
              <w:ind w:right="-74"/>
              <w:rPr>
                <w:szCs w:val="20"/>
              </w:rPr>
            </w:pPr>
            <w:r w:rsidRPr="0046360F">
              <w:rPr>
                <w:szCs w:val="20"/>
              </w:rPr>
              <w:t>Year 3 - 60%</w:t>
            </w:r>
          </w:p>
          <w:p w:rsidR="00241B8E" w:rsidRPr="0046360F" w:rsidRDefault="00241B8E" w:rsidP="001640F7">
            <w:pPr>
              <w:pStyle w:val="TableText"/>
              <w:keepNext w:val="0"/>
              <w:ind w:right="-74"/>
              <w:rPr>
                <w:szCs w:val="20"/>
              </w:rPr>
            </w:pPr>
            <w:r w:rsidRPr="0046360F">
              <w:rPr>
                <w:szCs w:val="20"/>
              </w:rPr>
              <w:t>Year 4 - 65%</w:t>
            </w:r>
          </w:p>
          <w:p w:rsidR="00241B8E" w:rsidRPr="0046360F" w:rsidRDefault="00241B8E" w:rsidP="001640F7">
            <w:pPr>
              <w:pStyle w:val="TableText"/>
              <w:keepNext w:val="0"/>
              <w:ind w:right="-74"/>
              <w:rPr>
                <w:szCs w:val="20"/>
              </w:rPr>
            </w:pPr>
            <w:r w:rsidRPr="0046360F">
              <w:rPr>
                <w:szCs w:val="20"/>
              </w:rPr>
              <w:t>Year 5 - 70%</w:t>
            </w:r>
          </w:p>
          <w:p w:rsidR="00241B8E" w:rsidRPr="0046360F" w:rsidRDefault="00241B8E" w:rsidP="001640F7">
            <w:pPr>
              <w:pStyle w:val="TableText"/>
              <w:keepNext w:val="0"/>
              <w:ind w:right="-74"/>
              <w:rPr>
                <w:szCs w:val="20"/>
              </w:rPr>
            </w:pPr>
            <w:r w:rsidRPr="0046360F">
              <w:rPr>
                <w:szCs w:val="20"/>
              </w:rPr>
              <w:t>Year 6 - 75%</w:t>
            </w:r>
          </w:p>
        </w:tc>
        <w:tc>
          <w:tcPr>
            <w:tcW w:w="1985" w:type="dxa"/>
          </w:tcPr>
          <w:p w:rsidR="00241B8E" w:rsidRPr="0046360F" w:rsidRDefault="00241B8E" w:rsidP="00221DAD">
            <w:pPr>
              <w:pStyle w:val="TableText"/>
              <w:keepNext w:val="0"/>
              <w:ind w:right="-74"/>
              <w:rPr>
                <w:szCs w:val="20"/>
              </w:rPr>
            </w:pPr>
            <w:r w:rsidRPr="0046360F">
              <w:rPr>
                <w:szCs w:val="20"/>
              </w:rPr>
              <w:t>Assumption</w:t>
            </w:r>
          </w:p>
        </w:tc>
        <w:tc>
          <w:tcPr>
            <w:tcW w:w="3656" w:type="dxa"/>
          </w:tcPr>
          <w:p w:rsidR="00241B8E" w:rsidRPr="0046360F" w:rsidRDefault="00241B8E" w:rsidP="00221DAD">
            <w:pPr>
              <w:pStyle w:val="TableText"/>
              <w:keepNext w:val="0"/>
              <w:ind w:right="-74"/>
              <w:rPr>
                <w:szCs w:val="20"/>
              </w:rPr>
            </w:pPr>
            <w:r w:rsidRPr="0046360F">
              <w:rPr>
                <w:szCs w:val="20"/>
              </w:rPr>
              <w:t>No justification for this assumption was provided. As the first agent listed for ATTR-CM, uptake rates for tafamidis may be higher than estimated in the resubmission</w:t>
            </w:r>
            <w:r w:rsidR="001640F7" w:rsidRPr="0046360F">
              <w:rPr>
                <w:szCs w:val="20"/>
              </w:rPr>
              <w:t>.</w:t>
            </w:r>
          </w:p>
        </w:tc>
      </w:tr>
    </w:tbl>
    <w:p w:rsidR="00241B8E" w:rsidRPr="0046360F" w:rsidRDefault="00241B8E" w:rsidP="00241B8E">
      <w:pPr>
        <w:pStyle w:val="TableFooter"/>
      </w:pPr>
      <w:r w:rsidRPr="0046360F">
        <w:t>Source: Compiled during the evaluation based on Utilisation and cost model - tafamidis spreadsheet provided with the resubmission.</w:t>
      </w:r>
    </w:p>
    <w:p w:rsidR="00241B8E" w:rsidRPr="0046360F" w:rsidRDefault="00241B8E" w:rsidP="00241B8E">
      <w:pPr>
        <w:pStyle w:val="TableFooter"/>
      </w:pPr>
      <w:r w:rsidRPr="0046360F">
        <w:t>Abbreviations: ABS, Australian Bureau of Statistics; ATTR-CM, cardiac transthyretin amyloidosis; DPMQ, dispensed price for maximum quantity; HFrEF, heart failure with reduced ejection fraction; NYHA, New York Heart Association.</w:t>
      </w:r>
    </w:p>
    <w:p w:rsidR="00241B8E" w:rsidRPr="0046360F" w:rsidRDefault="00241B8E" w:rsidP="00241B8E">
      <w:pPr>
        <w:pStyle w:val="ExecSumBodyText"/>
        <w:numPr>
          <w:ilvl w:val="1"/>
          <w:numId w:val="1"/>
        </w:numPr>
      </w:pPr>
      <w:r w:rsidRPr="0046360F">
        <w:t>The table below presents the estimated use and financial impact of listing tafamidis on the PBS.</w:t>
      </w:r>
    </w:p>
    <w:p w:rsidR="00241B8E" w:rsidRPr="0046360F" w:rsidRDefault="00241B8E" w:rsidP="00544B35">
      <w:pPr>
        <w:pStyle w:val="Caption"/>
        <w:rPr>
          <w:szCs w:val="20"/>
        </w:rPr>
      </w:pPr>
      <w:r w:rsidRPr="0046360F">
        <w:rPr>
          <w:szCs w:val="20"/>
        </w:rPr>
        <w:t xml:space="preserve">Table </w:t>
      </w:r>
      <w:r w:rsidR="00C170ED">
        <w:rPr>
          <w:noProof/>
          <w:szCs w:val="20"/>
        </w:rPr>
        <w:t>17</w:t>
      </w:r>
      <w:r w:rsidRPr="0046360F">
        <w:rPr>
          <w:szCs w:val="20"/>
        </w:rPr>
        <w:t xml:space="preserve">: </w:t>
      </w:r>
      <w:r w:rsidRPr="0046360F">
        <w:rPr>
          <w:snapToGrid w:val="0"/>
        </w:rPr>
        <w:t xml:space="preserve">Estimated use and financial impact of tafamidis on the PBS/RPBS </w:t>
      </w:r>
    </w:p>
    <w:tbl>
      <w:tblPr>
        <w:tblStyle w:val="TableGrid"/>
        <w:tblW w:w="5342" w:type="pct"/>
        <w:tblLayout w:type="fixed"/>
        <w:tblLook w:val="04A0" w:firstRow="1" w:lastRow="0" w:firstColumn="1" w:lastColumn="0" w:noHBand="0" w:noVBand="1"/>
        <w:tblCaption w:val="Table 17: Estimated use and financial impact of tafamidis on the PBS/RPBS "/>
      </w:tblPr>
      <w:tblGrid>
        <w:gridCol w:w="2357"/>
        <w:gridCol w:w="1134"/>
        <w:gridCol w:w="1134"/>
        <w:gridCol w:w="1182"/>
        <w:gridCol w:w="1276"/>
        <w:gridCol w:w="1276"/>
        <w:gridCol w:w="1275"/>
      </w:tblGrid>
      <w:tr w:rsidR="00241B8E" w:rsidRPr="0046360F" w:rsidTr="00B01619">
        <w:trPr>
          <w:trHeight w:val="224"/>
          <w:tblHeader/>
        </w:trPr>
        <w:tc>
          <w:tcPr>
            <w:tcW w:w="2357" w:type="dxa"/>
            <w:vAlign w:val="center"/>
          </w:tcPr>
          <w:p w:rsidR="00241B8E" w:rsidRPr="0046360F" w:rsidRDefault="00241B8E" w:rsidP="00221DAD">
            <w:pPr>
              <w:ind w:right="-72"/>
              <w:jc w:val="left"/>
              <w:rPr>
                <w:rFonts w:ascii="Arial Narrow" w:hAnsi="Arial Narrow"/>
                <w:sz w:val="20"/>
                <w:szCs w:val="20"/>
              </w:rPr>
            </w:pPr>
          </w:p>
        </w:tc>
        <w:tc>
          <w:tcPr>
            <w:tcW w:w="1134" w:type="dxa"/>
            <w:vAlign w:val="center"/>
          </w:tcPr>
          <w:p w:rsidR="00241B8E" w:rsidRPr="0046360F" w:rsidRDefault="00241B8E" w:rsidP="00221DAD">
            <w:pPr>
              <w:ind w:left="-86" w:right="-73"/>
              <w:jc w:val="center"/>
              <w:rPr>
                <w:rFonts w:ascii="Arial Narrow" w:hAnsi="Arial Narrow"/>
                <w:b/>
                <w:sz w:val="20"/>
                <w:szCs w:val="20"/>
              </w:rPr>
            </w:pPr>
            <w:r w:rsidRPr="0046360F">
              <w:rPr>
                <w:rFonts w:ascii="Arial Narrow" w:hAnsi="Arial Narrow"/>
                <w:b/>
                <w:sz w:val="20"/>
                <w:szCs w:val="20"/>
              </w:rPr>
              <w:t>2021</w:t>
            </w:r>
          </w:p>
        </w:tc>
        <w:tc>
          <w:tcPr>
            <w:tcW w:w="1134" w:type="dxa"/>
            <w:vAlign w:val="center"/>
          </w:tcPr>
          <w:p w:rsidR="00241B8E" w:rsidRPr="0046360F" w:rsidRDefault="00241B8E" w:rsidP="00221DAD">
            <w:pPr>
              <w:ind w:left="-86" w:right="-73"/>
              <w:jc w:val="center"/>
              <w:rPr>
                <w:rFonts w:ascii="Arial Narrow" w:hAnsi="Arial Narrow"/>
                <w:b/>
                <w:sz w:val="20"/>
                <w:szCs w:val="20"/>
              </w:rPr>
            </w:pPr>
            <w:r w:rsidRPr="0046360F">
              <w:rPr>
                <w:rFonts w:ascii="Arial Narrow" w:hAnsi="Arial Narrow"/>
                <w:b/>
                <w:sz w:val="20"/>
                <w:szCs w:val="20"/>
              </w:rPr>
              <w:t>2022</w:t>
            </w:r>
          </w:p>
        </w:tc>
        <w:tc>
          <w:tcPr>
            <w:tcW w:w="1182" w:type="dxa"/>
            <w:vAlign w:val="center"/>
          </w:tcPr>
          <w:p w:rsidR="00241B8E" w:rsidRPr="0046360F" w:rsidRDefault="00241B8E" w:rsidP="00221DAD">
            <w:pPr>
              <w:ind w:left="-86" w:right="-73"/>
              <w:jc w:val="center"/>
              <w:rPr>
                <w:rFonts w:ascii="Arial Narrow" w:hAnsi="Arial Narrow"/>
                <w:b/>
                <w:sz w:val="20"/>
                <w:szCs w:val="20"/>
              </w:rPr>
            </w:pPr>
            <w:r w:rsidRPr="0046360F">
              <w:rPr>
                <w:rFonts w:ascii="Arial Narrow" w:hAnsi="Arial Narrow"/>
                <w:b/>
                <w:sz w:val="20"/>
                <w:szCs w:val="20"/>
              </w:rPr>
              <w:t>2023</w:t>
            </w:r>
          </w:p>
        </w:tc>
        <w:tc>
          <w:tcPr>
            <w:tcW w:w="1276" w:type="dxa"/>
            <w:vAlign w:val="center"/>
          </w:tcPr>
          <w:p w:rsidR="00241B8E" w:rsidRPr="0046360F" w:rsidRDefault="00241B8E" w:rsidP="00221DAD">
            <w:pPr>
              <w:ind w:left="-86" w:right="-73"/>
              <w:jc w:val="center"/>
              <w:rPr>
                <w:rFonts w:ascii="Arial Narrow" w:hAnsi="Arial Narrow"/>
                <w:b/>
                <w:sz w:val="20"/>
                <w:szCs w:val="20"/>
              </w:rPr>
            </w:pPr>
            <w:r w:rsidRPr="0046360F">
              <w:rPr>
                <w:rFonts w:ascii="Arial Narrow" w:hAnsi="Arial Narrow"/>
                <w:b/>
                <w:sz w:val="20"/>
                <w:szCs w:val="20"/>
              </w:rPr>
              <w:t>2024</w:t>
            </w:r>
          </w:p>
        </w:tc>
        <w:tc>
          <w:tcPr>
            <w:tcW w:w="1276" w:type="dxa"/>
            <w:vAlign w:val="center"/>
          </w:tcPr>
          <w:p w:rsidR="00241B8E" w:rsidRPr="0046360F" w:rsidRDefault="00241B8E" w:rsidP="00221DAD">
            <w:pPr>
              <w:ind w:left="-86" w:right="-73"/>
              <w:jc w:val="center"/>
              <w:rPr>
                <w:rFonts w:ascii="Arial Narrow" w:hAnsi="Arial Narrow"/>
                <w:b/>
                <w:sz w:val="20"/>
                <w:szCs w:val="20"/>
              </w:rPr>
            </w:pPr>
            <w:r w:rsidRPr="0046360F">
              <w:rPr>
                <w:rFonts w:ascii="Arial Narrow" w:hAnsi="Arial Narrow"/>
                <w:b/>
                <w:sz w:val="20"/>
                <w:szCs w:val="20"/>
              </w:rPr>
              <w:t>2025</w:t>
            </w:r>
          </w:p>
        </w:tc>
        <w:tc>
          <w:tcPr>
            <w:tcW w:w="1275" w:type="dxa"/>
            <w:vAlign w:val="center"/>
          </w:tcPr>
          <w:p w:rsidR="00241B8E" w:rsidRPr="0046360F" w:rsidRDefault="00241B8E" w:rsidP="00221DAD">
            <w:pPr>
              <w:ind w:left="-86" w:right="-73"/>
              <w:jc w:val="center"/>
              <w:rPr>
                <w:rFonts w:ascii="Arial Narrow" w:hAnsi="Arial Narrow"/>
                <w:b/>
                <w:sz w:val="20"/>
                <w:szCs w:val="20"/>
              </w:rPr>
            </w:pPr>
            <w:r w:rsidRPr="0046360F">
              <w:rPr>
                <w:rFonts w:ascii="Arial Narrow" w:hAnsi="Arial Narrow"/>
                <w:b/>
                <w:sz w:val="20"/>
                <w:szCs w:val="20"/>
              </w:rPr>
              <w:t>2026</w:t>
            </w:r>
          </w:p>
        </w:tc>
      </w:tr>
      <w:tr w:rsidR="00241B8E" w:rsidRPr="0046360F" w:rsidTr="00B01619">
        <w:trPr>
          <w:trHeight w:val="231"/>
        </w:trPr>
        <w:tc>
          <w:tcPr>
            <w:tcW w:w="9634" w:type="dxa"/>
            <w:gridSpan w:val="7"/>
            <w:vAlign w:val="center"/>
          </w:tcPr>
          <w:p w:rsidR="00241B8E" w:rsidRPr="0046360F" w:rsidRDefault="00241B8E" w:rsidP="00221DAD">
            <w:pPr>
              <w:ind w:right="-72"/>
              <w:jc w:val="left"/>
              <w:rPr>
                <w:rFonts w:ascii="Arial Narrow" w:hAnsi="Arial Narrow"/>
                <w:b/>
                <w:sz w:val="20"/>
                <w:szCs w:val="20"/>
              </w:rPr>
            </w:pPr>
            <w:r w:rsidRPr="0046360F">
              <w:rPr>
                <w:rFonts w:ascii="Arial Narrow" w:hAnsi="Arial Narrow"/>
                <w:b/>
                <w:sz w:val="20"/>
                <w:szCs w:val="20"/>
              </w:rPr>
              <w:t xml:space="preserve">Estimated utilisation of tafamidis </w:t>
            </w:r>
          </w:p>
        </w:tc>
      </w:tr>
      <w:tr w:rsidR="00241B8E" w:rsidRPr="0046360F" w:rsidTr="00B01619">
        <w:trPr>
          <w:trHeight w:val="450"/>
        </w:trPr>
        <w:tc>
          <w:tcPr>
            <w:tcW w:w="2357" w:type="dxa"/>
            <w:tcBorders>
              <w:right w:val="single" w:sz="4" w:space="0" w:color="auto"/>
            </w:tcBorders>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 xml:space="preserve">Prevalent population with ATTR-CM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D24816" w:rsidRDefault="002F07A9" w:rsidP="00221DAD">
            <w:pPr>
              <w:ind w:left="-86" w:right="-73"/>
              <w:jc w:val="center"/>
              <w:rPr>
                <w:rFonts w:ascii="Arial Narrow" w:hAnsi="Arial Narrow"/>
                <w:color w:val="000000"/>
                <w:sz w:val="20"/>
                <w:szCs w:val="20"/>
              </w:rPr>
            </w:pPr>
            <w:r>
              <w:rPr>
                <w:rFonts w:ascii="Arial Narrow" w:hAnsi="Arial Narrow"/>
                <w:b/>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color w:val="000000"/>
                <w:sz w:val="20"/>
                <w:szCs w:val="20"/>
              </w:rPr>
            </w:pPr>
            <w:r>
              <w:rPr>
                <w:rFonts w:ascii="Arial Narrow" w:hAnsi="Arial Narrow"/>
                <w:b/>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color w:val="000000"/>
                <w:sz w:val="20"/>
                <w:szCs w:val="20"/>
              </w:rPr>
            </w:pPr>
            <w:r>
              <w:rPr>
                <w:rFonts w:ascii="Arial Narrow" w:hAnsi="Arial Narrow"/>
                <w:b/>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color w:val="000000"/>
                <w:sz w:val="20"/>
                <w:szCs w:val="20"/>
              </w:rPr>
            </w:pPr>
            <w:r>
              <w:rPr>
                <w:rFonts w:ascii="Arial Narrow" w:hAnsi="Arial Narrow"/>
                <w:b/>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color w:val="000000"/>
                <w:sz w:val="20"/>
                <w:szCs w:val="20"/>
              </w:rPr>
            </w:pPr>
            <w:r>
              <w:rPr>
                <w:rFonts w:ascii="Arial Narrow" w:hAnsi="Arial Narrow"/>
                <w:b/>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color w:val="000000"/>
                <w:sz w:val="20"/>
                <w:szCs w:val="20"/>
              </w:rPr>
            </w:pPr>
            <w:r>
              <w:rPr>
                <w:rFonts w:ascii="Arial Narrow" w:hAnsi="Arial Narrow"/>
                <w:b/>
                <w:bCs/>
                <w:noProof/>
                <w:color w:val="000000"/>
                <w:sz w:val="20"/>
                <w:szCs w:val="20"/>
                <w:highlight w:val="black"/>
              </w:rPr>
              <w:t>''''''''''</w:t>
            </w:r>
            <w:r w:rsidR="00D24816" w:rsidRPr="00D24816">
              <w:rPr>
                <w:rFonts w:ascii="Arial Narrow" w:hAnsi="Arial Narrow"/>
                <w:bCs/>
                <w:color w:val="000000"/>
                <w:sz w:val="20"/>
                <w:szCs w:val="20"/>
                <w:vertAlign w:val="superscript"/>
              </w:rPr>
              <w:t>8</w:t>
            </w:r>
          </w:p>
        </w:tc>
      </w:tr>
      <w:tr w:rsidR="00241B8E" w:rsidRPr="0046360F" w:rsidTr="00B01619">
        <w:trPr>
          <w:trHeight w:val="456"/>
        </w:trPr>
        <w:tc>
          <w:tcPr>
            <w:tcW w:w="2357" w:type="dxa"/>
            <w:tcBorders>
              <w:right w:val="single" w:sz="4" w:space="0" w:color="auto"/>
            </w:tcBorders>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Percentage diagnosed with ATTR-CM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r>
      <w:tr w:rsidR="00241B8E" w:rsidRPr="0046360F" w:rsidTr="00B01619">
        <w:trPr>
          <w:trHeight w:val="456"/>
        </w:trPr>
        <w:tc>
          <w:tcPr>
            <w:tcW w:w="2357" w:type="dxa"/>
            <w:tcBorders>
              <w:right w:val="single" w:sz="4" w:space="0" w:color="auto"/>
            </w:tcBorders>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Number diagnosed with ATTR-CM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D24816" w:rsidRPr="00D24816">
              <w:rPr>
                <w:rFonts w:ascii="Arial Narrow" w:hAnsi="Arial Narrow"/>
                <w:bCs/>
                <w:color w:val="000000"/>
                <w:sz w:val="20"/>
                <w:szCs w:val="20"/>
                <w:vertAlign w:val="superscript"/>
              </w:rPr>
              <w:t>8</w:t>
            </w:r>
          </w:p>
        </w:tc>
      </w:tr>
      <w:tr w:rsidR="00241B8E" w:rsidRPr="0046360F" w:rsidTr="00B01619">
        <w:trPr>
          <w:trHeight w:val="688"/>
        </w:trPr>
        <w:tc>
          <w:tcPr>
            <w:tcW w:w="2357" w:type="dxa"/>
            <w:tcBorders>
              <w:right w:val="single" w:sz="4" w:space="0" w:color="auto"/>
            </w:tcBorders>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Percentage diagnosed patients with NYHA classes I-III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r>
      <w:tr w:rsidR="00241B8E" w:rsidRPr="0046360F" w:rsidTr="00B01619">
        <w:trPr>
          <w:trHeight w:val="456"/>
        </w:trPr>
        <w:tc>
          <w:tcPr>
            <w:tcW w:w="2357" w:type="dxa"/>
            <w:tcBorders>
              <w:right w:val="single" w:sz="4" w:space="0" w:color="auto"/>
            </w:tcBorders>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Patients diagnosed with NYHA classes I-III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D24816" w:rsidRPr="00D24816">
              <w:rPr>
                <w:rFonts w:ascii="Arial Narrow" w:hAnsi="Arial Narrow"/>
                <w:bCs/>
                <w:color w:val="000000"/>
                <w:sz w:val="20"/>
                <w:szCs w:val="20"/>
                <w:vertAlign w:val="superscript"/>
              </w:rPr>
              <w:t>8</w:t>
            </w:r>
          </w:p>
        </w:tc>
      </w:tr>
      <w:tr w:rsidR="00241B8E" w:rsidRPr="0046360F" w:rsidTr="00B01619">
        <w:trPr>
          <w:trHeight w:val="456"/>
        </w:trPr>
        <w:tc>
          <w:tcPr>
            <w:tcW w:w="2357" w:type="dxa"/>
            <w:tcBorders>
              <w:right w:val="single" w:sz="4" w:space="0" w:color="auto"/>
            </w:tcBorders>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Percentage of NYHA class I-III patients with class III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Pr="002F07A9">
              <w:rPr>
                <w:rFonts w:ascii="Arial Narrow" w:hAnsi="Arial Narrow"/>
                <w:noProof/>
                <w:color w:val="000000"/>
                <w:sz w:val="20"/>
                <w:szCs w:val="20"/>
              </w:rPr>
              <w:t>''</w:t>
            </w:r>
            <w:r w:rsidR="00241B8E" w:rsidRPr="002F07A9">
              <w:rPr>
                <w:rFonts w:ascii="Arial Narrow" w:hAnsi="Arial Narrow"/>
                <w:color w:val="000000"/>
                <w:sz w:val="20"/>
                <w:szCs w:val="20"/>
              </w:rPr>
              <w:t>%</w:t>
            </w:r>
          </w:p>
        </w:tc>
      </w:tr>
      <w:tr w:rsidR="00241B8E" w:rsidRPr="0046360F" w:rsidTr="00B01619">
        <w:trPr>
          <w:trHeight w:val="224"/>
        </w:trPr>
        <w:tc>
          <w:tcPr>
            <w:tcW w:w="2357" w:type="dxa"/>
            <w:tcBorders>
              <w:right w:val="single" w:sz="4" w:space="0" w:color="auto"/>
            </w:tcBorders>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Patients with NYHA class III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r>
      <w:tr w:rsidR="00241B8E" w:rsidRPr="0046360F" w:rsidTr="00B01619">
        <w:trPr>
          <w:trHeight w:val="681"/>
        </w:trPr>
        <w:tc>
          <w:tcPr>
            <w:tcW w:w="2357" w:type="dxa"/>
            <w:tcBorders>
              <w:right w:val="single" w:sz="4" w:space="0" w:color="auto"/>
            </w:tcBorders>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 xml:space="preserve">Patients diagnosed with non-persistent NYHA class III </w:t>
            </w:r>
            <w:r w:rsidRPr="002F07A9">
              <w:rPr>
                <w:rFonts w:ascii="Arial Narrow" w:hAnsi="Arial Narrow"/>
                <w:sz w:val="20"/>
                <w:szCs w:val="20"/>
              </w:rPr>
              <w:t>(</w:t>
            </w:r>
            <w:r w:rsidR="002F07A9">
              <w:rPr>
                <w:rFonts w:ascii="Arial Narrow" w:hAnsi="Arial Narrow"/>
                <w:noProof/>
                <w:color w:val="000000"/>
                <w:sz w:val="20"/>
                <w:szCs w:val="20"/>
                <w:highlight w:val="black"/>
              </w:rPr>
              <w:t>'''''</w:t>
            </w:r>
            <w:r w:rsidR="002F07A9" w:rsidRPr="002F07A9">
              <w:rPr>
                <w:rFonts w:ascii="Arial Narrow" w:hAnsi="Arial Narrow"/>
                <w:noProof/>
                <w:color w:val="000000"/>
                <w:sz w:val="20"/>
                <w:szCs w:val="20"/>
              </w:rPr>
              <w:t>'</w:t>
            </w:r>
            <w:r w:rsidRPr="002F07A9">
              <w:rPr>
                <w:rFonts w:ascii="Arial Narrow" w:hAnsi="Arial Narrow"/>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r>
      <w:tr w:rsidR="00241B8E" w:rsidRPr="0046360F" w:rsidTr="00B01619">
        <w:trPr>
          <w:trHeight w:val="456"/>
        </w:trPr>
        <w:tc>
          <w:tcPr>
            <w:tcW w:w="2357" w:type="dxa"/>
            <w:tcBorders>
              <w:right w:val="single" w:sz="4" w:space="0" w:color="auto"/>
            </w:tcBorders>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 xml:space="preserve">Patients with NYHA class I-II and non-persistent class III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D24816" w:rsidRPr="00D24816">
              <w:rPr>
                <w:rFonts w:ascii="Arial Narrow" w:hAnsi="Arial Narrow"/>
                <w:bCs/>
                <w:color w:val="000000"/>
                <w:sz w:val="20"/>
                <w:szCs w:val="20"/>
                <w:vertAlign w:val="superscript"/>
              </w:rPr>
              <w:t>8</w:t>
            </w:r>
          </w:p>
        </w:tc>
      </w:tr>
      <w:tr w:rsidR="00241B8E" w:rsidRPr="0046360F" w:rsidTr="00B01619">
        <w:trPr>
          <w:trHeight w:val="688"/>
        </w:trPr>
        <w:tc>
          <w:tcPr>
            <w:tcW w:w="2357" w:type="dxa"/>
            <w:tcBorders>
              <w:right w:val="single" w:sz="4" w:space="0" w:color="auto"/>
            </w:tcBorders>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Percentage of patients initiating treatment with tafamidis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r>
      <w:tr w:rsidR="00241B8E" w:rsidRPr="0046360F" w:rsidTr="00B01619">
        <w:trPr>
          <w:trHeight w:val="450"/>
        </w:trPr>
        <w:tc>
          <w:tcPr>
            <w:tcW w:w="2357" w:type="dxa"/>
            <w:tcBorders>
              <w:right w:val="single" w:sz="4" w:space="0" w:color="auto"/>
            </w:tcBorders>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Number of patients initiating treatment with tafamidis</w:t>
            </w:r>
            <w:r w:rsidRPr="0046360F">
              <w:rPr>
                <w:rFonts w:ascii="Arial Narrow" w:hAnsi="Arial Narrow"/>
                <w:sz w:val="20"/>
                <w:szCs w:val="20"/>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B5808" w:rsidRDefault="002F07A9" w:rsidP="00221DAD">
            <w:pPr>
              <w:ind w:left="-86" w:right="-73"/>
              <w:jc w:val="center"/>
              <w:rPr>
                <w:rFonts w:ascii="Arial Narrow" w:hAnsi="Arial Narrow"/>
                <w:b/>
                <w:bCs/>
                <w:color w:val="000000"/>
                <w:sz w:val="20"/>
                <w:szCs w:val="20"/>
                <w:vertAlign w:val="superscript"/>
              </w:rPr>
            </w:pPr>
            <w:r>
              <w:rPr>
                <w:rFonts w:ascii="Arial Narrow" w:hAnsi="Arial Narrow"/>
                <w:noProof/>
                <w:color w:val="000000"/>
                <w:sz w:val="20"/>
                <w:szCs w:val="20"/>
                <w:highlight w:val="black"/>
              </w:rPr>
              <w:t>''''''</w:t>
            </w:r>
            <w:r w:rsidR="00241B8E" w:rsidRPr="0046360F">
              <w:rPr>
                <w:rFonts w:ascii="Arial Narrow" w:hAnsi="Arial Narrow"/>
                <w:color w:val="000000"/>
                <w:sz w:val="20"/>
                <w:szCs w:val="20"/>
                <w:vertAlign w:val="superscript"/>
              </w:rPr>
              <w:t>b</w:t>
            </w:r>
            <w:r w:rsidR="003B5808">
              <w:rPr>
                <w:rFonts w:ascii="Arial Narrow" w:hAnsi="Arial Narrow"/>
                <w:color w:val="000000"/>
                <w:sz w:val="20"/>
                <w:szCs w:val="20"/>
                <w:vertAlign w:val="superscript"/>
              </w:rPr>
              <w:t>,7</w:t>
            </w:r>
            <w:r w:rsidR="00241B8E" w:rsidRPr="0046360F">
              <w:rPr>
                <w:rFonts w:ascii="Arial Narrow" w:hAnsi="Arial Narrow"/>
                <w:color w:val="000000"/>
                <w:sz w:val="20"/>
                <w:szCs w:val="20"/>
              </w:rPr>
              <w:t xml:space="preserve"> (</w:t>
            </w:r>
            <w:r>
              <w:rPr>
                <w:rFonts w:ascii="Arial Narrow" w:hAnsi="Arial Narrow"/>
                <w:noProof/>
                <w:color w:val="000000"/>
                <w:sz w:val="20"/>
                <w:szCs w:val="20"/>
                <w:highlight w:val="black"/>
              </w:rPr>
              <w:t>''''''''</w:t>
            </w:r>
            <w:r w:rsidR="00241B8E" w:rsidRPr="0046360F">
              <w:rPr>
                <w:rFonts w:ascii="Arial Narrow" w:hAnsi="Arial Narrow"/>
                <w:color w:val="000000"/>
                <w:sz w:val="20"/>
                <w:szCs w:val="20"/>
              </w:rPr>
              <w:t>)</w:t>
            </w:r>
            <w:r w:rsidR="003B5808">
              <w:rPr>
                <w:rFonts w:ascii="Arial Narrow" w:hAnsi="Arial Narrow"/>
                <w:color w:val="000000"/>
                <w:sz w:val="20"/>
                <w:szCs w:val="20"/>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D24816" w:rsidRPr="00D24816">
              <w:rPr>
                <w:rFonts w:ascii="Arial Narrow" w:hAnsi="Arial Narrow"/>
                <w:bCs/>
                <w:color w:val="000000"/>
                <w:sz w:val="20"/>
                <w:szCs w:val="20"/>
                <w:vertAlign w:val="superscript"/>
              </w:rPr>
              <w:t>8</w:t>
            </w:r>
          </w:p>
        </w:tc>
      </w:tr>
      <w:tr w:rsidR="00241B8E" w:rsidRPr="0046360F" w:rsidTr="00B01619">
        <w:trPr>
          <w:trHeight w:val="913"/>
        </w:trPr>
        <w:tc>
          <w:tcPr>
            <w:tcW w:w="2357" w:type="dxa"/>
            <w:tcBorders>
              <w:right w:val="single" w:sz="4" w:space="0" w:color="auto"/>
            </w:tcBorders>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 xml:space="preserve">Number of continuing patients from previous year </w:t>
            </w:r>
            <w:r w:rsidRPr="002F07A9">
              <w:rPr>
                <w:rFonts w:ascii="Arial Narrow" w:hAnsi="Arial Narrow"/>
                <w:sz w:val="20"/>
                <w:szCs w:val="20"/>
              </w:rPr>
              <w:t xml:space="preserve">(less </w:t>
            </w:r>
            <w:r w:rsidR="002F07A9">
              <w:rPr>
                <w:rFonts w:ascii="Arial Narrow" w:hAnsi="Arial Narrow"/>
                <w:noProof/>
                <w:color w:val="000000"/>
                <w:sz w:val="20"/>
                <w:szCs w:val="20"/>
                <w:highlight w:val="black"/>
              </w:rPr>
              <w:t>''''''</w:t>
            </w:r>
            <w:r w:rsidRPr="002F07A9">
              <w:rPr>
                <w:rFonts w:ascii="Arial Narrow" w:hAnsi="Arial Narrow"/>
                <w:sz w:val="20"/>
                <w:szCs w:val="20"/>
              </w:rPr>
              <w:t xml:space="preserve">% who die; less </w:t>
            </w:r>
            <w:r w:rsidR="002F07A9">
              <w:rPr>
                <w:rFonts w:ascii="Arial Narrow" w:hAnsi="Arial Narrow"/>
                <w:noProof/>
                <w:color w:val="000000"/>
                <w:sz w:val="20"/>
                <w:szCs w:val="20"/>
                <w:highlight w:val="black"/>
              </w:rPr>
              <w:t>''''</w:t>
            </w:r>
            <w:r w:rsidRPr="002F07A9">
              <w:rPr>
                <w:rFonts w:ascii="Arial Narrow" w:hAnsi="Arial Narrow"/>
                <w:sz w:val="20"/>
                <w:szCs w:val="20"/>
              </w:rPr>
              <w:t>% who discontinue)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21DAD">
            <w:pPr>
              <w:ind w:left="-86" w:right="-73"/>
              <w:jc w:val="center"/>
              <w:rPr>
                <w:rFonts w:ascii="Arial Narrow" w:hAnsi="Arial Narrow"/>
                <w:b/>
                <w:bCs/>
                <w:color w:val="000000"/>
                <w:sz w:val="20"/>
                <w:szCs w:val="20"/>
              </w:rPr>
            </w:pPr>
            <w:r w:rsidRPr="0046360F">
              <w:rPr>
                <w:rFonts w:ascii="Arial Narrow" w:hAnsi="Arial Narrow"/>
                <w:b/>
                <w:bCs/>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3B5808" w:rsidRDefault="002F07A9" w:rsidP="00221DAD">
            <w:pPr>
              <w:ind w:left="-86" w:right="-73"/>
              <w:jc w:val="center"/>
              <w:rPr>
                <w:rFonts w:ascii="Arial Narrow" w:hAnsi="Arial Narrow"/>
                <w:b/>
                <w:bCs/>
                <w:color w:val="000000"/>
                <w:sz w:val="20"/>
                <w:szCs w:val="20"/>
                <w:vertAlign w:val="superscript"/>
              </w:rPr>
            </w:pPr>
            <w:r>
              <w:rPr>
                <w:rFonts w:ascii="Arial Narrow" w:hAnsi="Arial Narrow"/>
                <w:noProof/>
                <w:color w:val="000000"/>
                <w:sz w:val="20"/>
                <w:szCs w:val="20"/>
                <w:highlight w:val="black"/>
              </w:rPr>
              <w:t>''''''</w:t>
            </w:r>
            <w:r w:rsidR="00241B8E" w:rsidRPr="0046360F">
              <w:rPr>
                <w:rFonts w:ascii="Arial Narrow" w:hAnsi="Arial Narrow"/>
                <w:color w:val="000000"/>
                <w:sz w:val="20"/>
                <w:szCs w:val="20"/>
                <w:vertAlign w:val="superscript"/>
              </w:rPr>
              <w:t>a</w:t>
            </w:r>
            <w:r w:rsidR="003B5808">
              <w:rPr>
                <w:rFonts w:ascii="Arial Narrow" w:hAnsi="Arial Narrow"/>
                <w:color w:val="000000"/>
                <w:sz w:val="20"/>
                <w:szCs w:val="20"/>
                <w:vertAlign w:val="superscript"/>
              </w:rPr>
              <w:t>, 7</w:t>
            </w:r>
            <w:r w:rsidR="00241B8E" w:rsidRPr="0046360F">
              <w:rPr>
                <w:rFonts w:ascii="Arial Narrow" w:hAnsi="Arial Narrow"/>
                <w:color w:val="000000"/>
                <w:sz w:val="20"/>
                <w:szCs w:val="20"/>
              </w:rPr>
              <w:t xml:space="preserve"> (</w:t>
            </w:r>
            <w:r>
              <w:rPr>
                <w:rFonts w:ascii="Arial Narrow" w:hAnsi="Arial Narrow"/>
                <w:noProof/>
                <w:color w:val="000000"/>
                <w:sz w:val="20"/>
                <w:szCs w:val="20"/>
                <w:highlight w:val="black"/>
              </w:rPr>
              <w:t>''''''''''</w:t>
            </w:r>
            <w:r w:rsidR="00241B8E" w:rsidRPr="0046360F">
              <w:rPr>
                <w:rFonts w:ascii="Arial Narrow" w:hAnsi="Arial Narrow"/>
                <w:color w:val="000000"/>
                <w:sz w:val="20"/>
                <w:szCs w:val="20"/>
              </w:rPr>
              <w:t>)</w:t>
            </w:r>
            <w:r w:rsidR="003B5808">
              <w:rPr>
                <w:rFonts w:ascii="Arial Narrow" w:hAnsi="Arial Narrow"/>
                <w:color w:val="000000"/>
                <w:sz w:val="20"/>
                <w:szCs w:val="20"/>
                <w:vertAlign w:val="superscript"/>
              </w:rPr>
              <w:t>7</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r>
              <w:rPr>
                <w:rFonts w:ascii="Arial Narrow" w:hAnsi="Arial Narrow"/>
                <w:noProof/>
                <w:color w:val="000000"/>
                <w:sz w:val="20"/>
                <w:szCs w:val="20"/>
                <w:highlight w:val="black"/>
              </w:rPr>
              <w:t xml:space="preserve"> </w:t>
            </w:r>
          </w:p>
        </w:tc>
      </w:tr>
      <w:tr w:rsidR="00241B8E" w:rsidRPr="0046360F" w:rsidTr="00B01619">
        <w:trPr>
          <w:trHeight w:val="688"/>
        </w:trPr>
        <w:tc>
          <w:tcPr>
            <w:tcW w:w="2357" w:type="dxa"/>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Grandfathered patients from product familiarisation program</w:t>
            </w:r>
            <w:r w:rsidR="00F66D19" w:rsidRPr="0046360F">
              <w:rPr>
                <w:rFonts w:ascii="Arial Narrow" w:hAnsi="Arial Narrow"/>
                <w:sz w:val="20"/>
                <w:szCs w:val="20"/>
                <w:vertAlign w:val="superscript"/>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82"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41B8E" w:rsidP="00221DAD">
            <w:pPr>
              <w:ind w:left="-86" w:right="-73"/>
              <w:jc w:val="center"/>
              <w:rPr>
                <w:rFonts w:ascii="Arial Narrow" w:hAnsi="Arial Narrow"/>
                <w:bCs/>
                <w:color w:val="000000"/>
                <w:sz w:val="20"/>
                <w:szCs w:val="20"/>
              </w:rPr>
            </w:pPr>
            <w:r w:rsidRPr="0046360F">
              <w:rPr>
                <w:rFonts w:ascii="Arial Narrow" w:hAnsi="Arial Narrow"/>
                <w:bCs/>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41B8E" w:rsidP="00221DAD">
            <w:pPr>
              <w:ind w:left="-86" w:right="-73"/>
              <w:jc w:val="center"/>
              <w:rPr>
                <w:rFonts w:ascii="Arial Narrow" w:hAnsi="Arial Narrow"/>
                <w:bCs/>
                <w:color w:val="000000"/>
                <w:sz w:val="20"/>
                <w:szCs w:val="20"/>
              </w:rPr>
            </w:pPr>
            <w:r w:rsidRPr="0046360F">
              <w:rPr>
                <w:rFonts w:ascii="Arial Narrow" w:hAnsi="Arial Narrow"/>
                <w:bCs/>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41B8E" w:rsidP="00221DAD">
            <w:pPr>
              <w:ind w:left="-86" w:right="-73"/>
              <w:jc w:val="center"/>
              <w:rPr>
                <w:rFonts w:ascii="Arial Narrow" w:hAnsi="Arial Narrow"/>
                <w:bCs/>
                <w:color w:val="000000"/>
                <w:sz w:val="20"/>
                <w:szCs w:val="20"/>
              </w:rPr>
            </w:pPr>
            <w:r w:rsidRPr="0046360F">
              <w:rPr>
                <w:rFonts w:ascii="Arial Narrow" w:hAnsi="Arial Narrow"/>
                <w:bCs/>
                <w:color w:val="000000"/>
                <w:sz w:val="20"/>
                <w:szCs w:val="20"/>
              </w:rPr>
              <w:t>0</w:t>
            </w:r>
          </w:p>
        </w:tc>
        <w:tc>
          <w:tcPr>
            <w:tcW w:w="1275"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41B8E" w:rsidP="00221DAD">
            <w:pPr>
              <w:ind w:left="-86" w:right="-73"/>
              <w:jc w:val="center"/>
              <w:rPr>
                <w:rFonts w:ascii="Arial Narrow" w:hAnsi="Arial Narrow"/>
                <w:bCs/>
                <w:color w:val="000000"/>
                <w:sz w:val="20"/>
                <w:szCs w:val="20"/>
              </w:rPr>
            </w:pPr>
            <w:r w:rsidRPr="0046360F">
              <w:rPr>
                <w:rFonts w:ascii="Arial Narrow" w:hAnsi="Arial Narrow"/>
                <w:bCs/>
                <w:color w:val="000000"/>
                <w:sz w:val="20"/>
                <w:szCs w:val="20"/>
              </w:rPr>
              <w:t>0</w:t>
            </w:r>
          </w:p>
        </w:tc>
      </w:tr>
      <w:tr w:rsidR="00241B8E" w:rsidRPr="0046360F" w:rsidTr="00B01619">
        <w:trPr>
          <w:trHeight w:val="456"/>
        </w:trPr>
        <w:tc>
          <w:tcPr>
            <w:tcW w:w="2357" w:type="dxa"/>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Grandfathered patients continuing from previous year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21DAD">
            <w:pPr>
              <w:ind w:left="-86" w:right="-73"/>
              <w:jc w:val="center"/>
              <w:rPr>
                <w:rFonts w:ascii="Arial Narrow" w:hAnsi="Arial Narrow"/>
                <w:bCs/>
                <w:color w:val="000000"/>
                <w:sz w:val="20"/>
                <w:szCs w:val="20"/>
              </w:rPr>
            </w:pPr>
            <w:r w:rsidRPr="0046360F">
              <w:rPr>
                <w:rFonts w:ascii="Arial Narrow" w:hAnsi="Arial Narrow"/>
                <w:bCs/>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82"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275"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 xml:space="preserve">'''''''''' </w:t>
            </w:r>
            <w:r w:rsidR="001D589E" w:rsidRPr="001D589E">
              <w:rPr>
                <w:rFonts w:ascii="Arial Narrow" w:hAnsi="Arial Narrow"/>
                <w:color w:val="000000"/>
                <w:sz w:val="20"/>
                <w:szCs w:val="20"/>
                <w:vertAlign w:val="superscript"/>
              </w:rPr>
              <w:t>7</w:t>
            </w:r>
          </w:p>
        </w:tc>
      </w:tr>
      <w:tr w:rsidR="00241B8E" w:rsidRPr="0046360F" w:rsidTr="00B01619">
        <w:trPr>
          <w:trHeight w:val="456"/>
        </w:trPr>
        <w:tc>
          <w:tcPr>
            <w:tcW w:w="2357" w:type="dxa"/>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Total number of patients treated per year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D24816" w:rsidRPr="00D24816">
              <w:rPr>
                <w:rFonts w:ascii="Arial Narrow" w:hAnsi="Arial Narrow"/>
                <w:bCs/>
                <w:color w:val="000000"/>
                <w:sz w:val="20"/>
                <w:szCs w:val="20"/>
                <w:vertAlign w:val="superscript"/>
              </w:rPr>
              <w:t>8</w:t>
            </w:r>
          </w:p>
        </w:tc>
      </w:tr>
      <w:tr w:rsidR="00241B8E" w:rsidRPr="0046360F" w:rsidTr="00B01619">
        <w:trPr>
          <w:trHeight w:val="913"/>
        </w:trPr>
        <w:tc>
          <w:tcPr>
            <w:tcW w:w="2357" w:type="dxa"/>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 xml:space="preserve">Scripts </w:t>
            </w:r>
            <w:r w:rsidRPr="002F07A9">
              <w:rPr>
                <w:rFonts w:ascii="Arial Narrow" w:hAnsi="Arial Narrow"/>
                <w:sz w:val="20"/>
                <w:szCs w:val="20"/>
              </w:rPr>
              <w:t>for initial patients (</w:t>
            </w:r>
            <w:r w:rsidR="00AC218C" w:rsidRPr="002F07A9">
              <w:rPr>
                <w:rFonts w:ascii="Arial Narrow" w:hAnsi="Arial Narrow"/>
                <w:sz w:val="20"/>
                <w:szCs w:val="20"/>
              </w:rPr>
              <w:t>&lt; 500</w:t>
            </w:r>
            <w:r w:rsidRPr="002F07A9">
              <w:rPr>
                <w:rFonts w:ascii="Arial Narrow" w:hAnsi="Arial Narrow"/>
                <w:sz w:val="20"/>
                <w:szCs w:val="20"/>
              </w:rPr>
              <w:t xml:space="preserve"> scripts per year; patients initiating in 2021 receive </w:t>
            </w:r>
            <w:r w:rsidR="00AC218C" w:rsidRPr="002F07A9">
              <w:rPr>
                <w:rFonts w:ascii="Arial Narrow" w:hAnsi="Arial Narrow"/>
                <w:sz w:val="20"/>
                <w:szCs w:val="20"/>
              </w:rPr>
              <w:t>&lt; 500</w:t>
            </w:r>
            <w:r w:rsidRPr="002F07A9">
              <w:rPr>
                <w:rFonts w:ascii="Arial Narrow" w:hAnsi="Arial Narrow"/>
                <w:sz w:val="20"/>
                <w:szCs w:val="20"/>
              </w:rPr>
              <w:t xml:space="preserve"> scripts only)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241B8E" w:rsidRPr="00554117" w:rsidRDefault="002F07A9" w:rsidP="00221DAD">
            <w:pPr>
              <w:ind w:left="-86" w:right="-73"/>
              <w:jc w:val="center"/>
              <w:rPr>
                <w:rFonts w:ascii="Arial Narrow" w:hAnsi="Arial Narrow"/>
                <w:bCs/>
                <w:color w:val="000000"/>
                <w:sz w:val="20"/>
                <w:szCs w:val="20"/>
                <w:vertAlign w:val="superscript"/>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9</w:t>
            </w:r>
          </w:p>
        </w:tc>
        <w:tc>
          <w:tcPr>
            <w:tcW w:w="1182"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9</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8</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9</w:t>
            </w:r>
          </w:p>
        </w:tc>
        <w:tc>
          <w:tcPr>
            <w:tcW w:w="1275"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9</w:t>
            </w:r>
          </w:p>
        </w:tc>
      </w:tr>
      <w:tr w:rsidR="00241B8E" w:rsidRPr="0046360F" w:rsidTr="00B01619">
        <w:trPr>
          <w:trHeight w:val="456"/>
        </w:trPr>
        <w:tc>
          <w:tcPr>
            <w:tcW w:w="2357" w:type="dxa"/>
            <w:vAlign w:val="center"/>
          </w:tcPr>
          <w:p w:rsidR="00241B8E" w:rsidRPr="002F07A9" w:rsidRDefault="00241B8E" w:rsidP="00221DAD">
            <w:pPr>
              <w:ind w:right="-72"/>
              <w:jc w:val="left"/>
              <w:rPr>
                <w:rFonts w:ascii="Arial Narrow" w:hAnsi="Arial Narrow"/>
                <w:sz w:val="20"/>
                <w:szCs w:val="20"/>
              </w:rPr>
            </w:pPr>
            <w:r w:rsidRPr="002F07A9">
              <w:rPr>
                <w:rFonts w:ascii="Arial Narrow" w:hAnsi="Arial Narrow"/>
                <w:sz w:val="20"/>
                <w:szCs w:val="20"/>
              </w:rPr>
              <w:t>Scripts for continuing patients (</w:t>
            </w:r>
            <w:r w:rsidR="00AC218C" w:rsidRPr="002F07A9">
              <w:rPr>
                <w:rFonts w:ascii="Arial Narrow" w:hAnsi="Arial Narrow"/>
                <w:sz w:val="20"/>
                <w:szCs w:val="20"/>
              </w:rPr>
              <w:t>&lt; 500</w:t>
            </w:r>
            <w:r w:rsidRPr="002F07A9">
              <w:rPr>
                <w:rFonts w:ascii="Arial Narrow" w:hAnsi="Arial Narrow"/>
                <w:sz w:val="20"/>
                <w:szCs w:val="20"/>
              </w:rPr>
              <w:t xml:space="preserve"> scripts per year)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46360F" w:rsidRDefault="00241B8E" w:rsidP="00221DAD">
            <w:pPr>
              <w:ind w:left="-86" w:right="-73"/>
              <w:jc w:val="center"/>
              <w:rPr>
                <w:rFonts w:ascii="Arial Narrow" w:hAnsi="Arial Narrow"/>
                <w:color w:val="000000"/>
                <w:sz w:val="20"/>
                <w:szCs w:val="20"/>
              </w:rPr>
            </w:pPr>
            <w:r w:rsidRPr="0046360F">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9</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554117" w:rsidRDefault="002F07A9" w:rsidP="00221DAD">
            <w:pPr>
              <w:ind w:left="-86" w:right="-73"/>
              <w:jc w:val="center"/>
              <w:rPr>
                <w:rFonts w:ascii="Arial Narrow" w:hAnsi="Arial Narrow"/>
                <w:color w:val="000000"/>
                <w:sz w:val="20"/>
                <w:szCs w:val="20"/>
                <w:vertAlign w:val="superscript"/>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10</w:t>
            </w:r>
          </w:p>
        </w:tc>
        <w:tc>
          <w:tcPr>
            <w:tcW w:w="1275"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10</w:t>
            </w:r>
          </w:p>
        </w:tc>
      </w:tr>
      <w:tr w:rsidR="00241B8E" w:rsidRPr="0046360F" w:rsidTr="00B01619">
        <w:trPr>
          <w:trHeight w:val="913"/>
        </w:trPr>
        <w:tc>
          <w:tcPr>
            <w:tcW w:w="2357" w:type="dxa"/>
            <w:vAlign w:val="center"/>
          </w:tcPr>
          <w:p w:rsidR="00241B8E" w:rsidRPr="002F07A9" w:rsidRDefault="00241B8E" w:rsidP="00221DAD">
            <w:pPr>
              <w:ind w:right="-72"/>
              <w:jc w:val="left"/>
              <w:rPr>
                <w:rFonts w:ascii="Arial Narrow" w:hAnsi="Arial Narrow"/>
                <w:sz w:val="20"/>
                <w:szCs w:val="20"/>
              </w:rPr>
            </w:pPr>
            <w:r w:rsidRPr="002F07A9">
              <w:rPr>
                <w:rFonts w:ascii="Arial Narrow" w:hAnsi="Arial Narrow"/>
                <w:sz w:val="20"/>
                <w:szCs w:val="20"/>
              </w:rPr>
              <w:t>Scripts for discontinuing patients (</w:t>
            </w:r>
            <w:r w:rsidR="00AC218C" w:rsidRPr="002F07A9">
              <w:rPr>
                <w:rFonts w:ascii="Arial Narrow" w:hAnsi="Arial Narrow"/>
                <w:sz w:val="20"/>
                <w:szCs w:val="20"/>
              </w:rPr>
              <w:t>&lt; 500</w:t>
            </w:r>
            <w:r w:rsidRPr="002F07A9">
              <w:rPr>
                <w:rFonts w:ascii="Arial Narrow" w:hAnsi="Arial Narrow"/>
                <w:sz w:val="20"/>
                <w:szCs w:val="20"/>
              </w:rPr>
              <w:t xml:space="preserve"> scripts per year; patients who discontinued in 2021 receive </w:t>
            </w:r>
            <w:r w:rsidR="00AC218C" w:rsidRPr="002F07A9">
              <w:rPr>
                <w:rFonts w:ascii="Arial Narrow" w:hAnsi="Arial Narrow"/>
                <w:sz w:val="20"/>
                <w:szCs w:val="20"/>
              </w:rPr>
              <w:t>&lt; 500</w:t>
            </w:r>
            <w:r w:rsidRPr="002F07A9">
              <w:rPr>
                <w:rFonts w:ascii="Arial Narrow" w:hAnsi="Arial Narrow"/>
                <w:sz w:val="20"/>
                <w:szCs w:val="20"/>
              </w:rPr>
              <w:t xml:space="preserve"> scripts only)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nil"/>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 xml:space="preserve">'''''''''''''' </w:t>
            </w:r>
            <w:r w:rsidR="00D24816" w:rsidRPr="00D24816">
              <w:rPr>
                <w:rFonts w:ascii="Arial Narrow" w:hAnsi="Arial Narrow"/>
                <w:bCs/>
                <w:color w:val="000000"/>
                <w:sz w:val="20"/>
                <w:szCs w:val="20"/>
                <w:vertAlign w:val="superscript"/>
              </w:rPr>
              <w:t>8</w:t>
            </w:r>
          </w:p>
        </w:tc>
      </w:tr>
      <w:tr w:rsidR="00241B8E" w:rsidRPr="0046360F" w:rsidTr="00B01619">
        <w:trPr>
          <w:trHeight w:val="456"/>
        </w:trPr>
        <w:tc>
          <w:tcPr>
            <w:tcW w:w="2357" w:type="dxa"/>
            <w:vAlign w:val="center"/>
          </w:tcPr>
          <w:p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Total number of scripts per year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F07A9" w:rsidRDefault="002F07A9" w:rsidP="00221DAD">
            <w:pPr>
              <w:ind w:left="-86" w:right="-73"/>
              <w:jc w:val="center"/>
              <w:rPr>
                <w:rFonts w:ascii="Arial Narrow" w:hAnsi="Arial Narrow"/>
                <w:color w:val="000000"/>
                <w:sz w:val="20"/>
                <w:szCs w:val="20"/>
              </w:rPr>
            </w:pPr>
            <w:r>
              <w:rPr>
                <w:rFonts w:ascii="Arial Narrow" w:hAnsi="Arial Narrow"/>
                <w:bCs/>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color w:val="000000"/>
                <w:sz w:val="20"/>
                <w:szCs w:val="20"/>
              </w:rPr>
            </w:pPr>
            <w:r>
              <w:rPr>
                <w:rFonts w:ascii="Arial Narrow" w:hAnsi="Arial Narrow"/>
                <w:bCs/>
                <w:noProof/>
                <w:color w:val="000000"/>
                <w:sz w:val="20"/>
                <w:szCs w:val="20"/>
                <w:highlight w:val="black"/>
              </w:rPr>
              <w:t>'''''''''''''''</w:t>
            </w:r>
            <w:r w:rsidR="00554117">
              <w:rPr>
                <w:rFonts w:ascii="Arial Narrow" w:hAnsi="Arial Narrow"/>
                <w:color w:val="000000"/>
                <w:sz w:val="20"/>
                <w:szCs w:val="20"/>
                <w:vertAlign w:val="superscript"/>
              </w:rPr>
              <w:t>10</w:t>
            </w:r>
          </w:p>
        </w:tc>
        <w:tc>
          <w:tcPr>
            <w:tcW w:w="1182"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color w:val="000000"/>
                <w:sz w:val="20"/>
                <w:szCs w:val="20"/>
              </w:rPr>
            </w:pPr>
            <w:r>
              <w:rPr>
                <w:rFonts w:ascii="Arial Narrow" w:hAnsi="Arial Narrow"/>
                <w:bCs/>
                <w:noProof/>
                <w:color w:val="000000"/>
                <w:sz w:val="20"/>
                <w:szCs w:val="20"/>
                <w:highlight w:val="black"/>
              </w:rPr>
              <w:t>''''''''''''''''''</w:t>
            </w:r>
            <w:r w:rsidR="00554117">
              <w:rPr>
                <w:rFonts w:ascii="Arial Narrow" w:hAnsi="Arial Narrow"/>
                <w:color w:val="000000"/>
                <w:sz w:val="20"/>
                <w:szCs w:val="20"/>
                <w:vertAlign w:val="superscript"/>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1D3DCC" w:rsidRDefault="002F07A9" w:rsidP="00221DAD">
            <w:pPr>
              <w:ind w:left="-86" w:right="-73"/>
              <w:jc w:val="center"/>
              <w:rPr>
                <w:rFonts w:ascii="Arial Narrow" w:hAnsi="Arial Narrow"/>
                <w:color w:val="000000"/>
                <w:sz w:val="20"/>
                <w:szCs w:val="20"/>
                <w:vertAlign w:val="superscript"/>
              </w:rPr>
            </w:pPr>
            <w:r>
              <w:rPr>
                <w:rFonts w:ascii="Arial Narrow" w:hAnsi="Arial Narrow"/>
                <w:bCs/>
                <w:noProof/>
                <w:color w:val="000000"/>
                <w:sz w:val="20"/>
                <w:szCs w:val="20"/>
                <w:highlight w:val="black"/>
              </w:rPr>
              <w:t>''''''''''''''''</w:t>
            </w:r>
            <w:r w:rsidR="001D3DCC">
              <w:rPr>
                <w:rFonts w:ascii="Arial Narrow" w:hAnsi="Arial Narrow"/>
                <w:bCs/>
                <w:color w:val="000000"/>
                <w:sz w:val="20"/>
                <w:szCs w:val="20"/>
                <w:vertAlign w:val="superscript"/>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color w:val="000000"/>
                <w:sz w:val="20"/>
                <w:szCs w:val="20"/>
              </w:rPr>
            </w:pPr>
            <w:r>
              <w:rPr>
                <w:rFonts w:ascii="Arial Narrow" w:hAnsi="Arial Narrow"/>
                <w:bCs/>
                <w:noProof/>
                <w:color w:val="000000"/>
                <w:sz w:val="20"/>
                <w:szCs w:val="20"/>
                <w:highlight w:val="black"/>
              </w:rPr>
              <w:t>''''''''''''''''''</w:t>
            </w:r>
            <w:r w:rsidR="001D3DCC">
              <w:rPr>
                <w:rFonts w:ascii="Arial Narrow" w:hAnsi="Arial Narrow"/>
                <w:color w:val="000000"/>
                <w:sz w:val="20"/>
                <w:szCs w:val="20"/>
                <w:vertAlign w:val="superscript"/>
              </w:rPr>
              <w:t>11</w:t>
            </w:r>
          </w:p>
        </w:tc>
        <w:tc>
          <w:tcPr>
            <w:tcW w:w="1275"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F07A9" w:rsidP="00221DAD">
            <w:pPr>
              <w:ind w:left="-86" w:right="-73"/>
              <w:jc w:val="center"/>
              <w:rPr>
                <w:rFonts w:ascii="Arial Narrow" w:hAnsi="Arial Narrow"/>
                <w:color w:val="000000"/>
                <w:sz w:val="20"/>
                <w:szCs w:val="20"/>
              </w:rPr>
            </w:pPr>
            <w:r>
              <w:rPr>
                <w:rFonts w:ascii="Arial Narrow" w:hAnsi="Arial Narrow"/>
                <w:bCs/>
                <w:noProof/>
                <w:color w:val="000000"/>
                <w:sz w:val="20"/>
                <w:szCs w:val="20"/>
                <w:highlight w:val="black"/>
              </w:rPr>
              <w:t>'''''''''''''''</w:t>
            </w:r>
            <w:r w:rsidR="001D3DCC">
              <w:rPr>
                <w:rFonts w:ascii="Arial Narrow" w:hAnsi="Arial Narrow"/>
                <w:color w:val="000000"/>
                <w:sz w:val="20"/>
                <w:szCs w:val="20"/>
                <w:vertAlign w:val="superscript"/>
              </w:rPr>
              <w:t>11</w:t>
            </w:r>
          </w:p>
        </w:tc>
      </w:tr>
      <w:tr w:rsidR="00241B8E" w:rsidRPr="0046360F" w:rsidTr="00B01619">
        <w:trPr>
          <w:trHeight w:val="224"/>
        </w:trPr>
        <w:tc>
          <w:tcPr>
            <w:tcW w:w="9634" w:type="dxa"/>
            <w:gridSpan w:val="7"/>
            <w:vAlign w:val="center"/>
          </w:tcPr>
          <w:p w:rsidR="00241B8E" w:rsidRPr="0046360F" w:rsidRDefault="00241B8E" w:rsidP="00221DAD">
            <w:pPr>
              <w:ind w:right="-72"/>
              <w:jc w:val="left"/>
              <w:rPr>
                <w:rFonts w:ascii="Arial Narrow" w:hAnsi="Arial Narrow"/>
                <w:b/>
                <w:sz w:val="20"/>
                <w:szCs w:val="20"/>
              </w:rPr>
            </w:pPr>
            <w:r w:rsidRPr="0046360F">
              <w:rPr>
                <w:rFonts w:ascii="Arial Narrow" w:hAnsi="Arial Narrow"/>
                <w:b/>
                <w:sz w:val="20"/>
                <w:szCs w:val="20"/>
              </w:rPr>
              <w:t>Cost of tafamidis to the PBS/RPBS (effective price)</w:t>
            </w:r>
          </w:p>
        </w:tc>
      </w:tr>
      <w:tr w:rsidR="00241B8E" w:rsidRPr="0046360F" w:rsidTr="00B01619">
        <w:trPr>
          <w:trHeight w:val="456"/>
        </w:trPr>
        <w:tc>
          <w:tcPr>
            <w:tcW w:w="2357" w:type="dxa"/>
            <w:vAlign w:val="center"/>
          </w:tcPr>
          <w:p w:rsidR="00241B8E" w:rsidRPr="0046360F" w:rsidRDefault="00241B8E" w:rsidP="00221DAD">
            <w:pPr>
              <w:ind w:right="-72"/>
              <w:jc w:val="left"/>
              <w:rPr>
                <w:rFonts w:ascii="Arial Narrow" w:hAnsi="Arial Narrow"/>
                <w:b/>
                <w:sz w:val="20"/>
                <w:szCs w:val="20"/>
              </w:rPr>
            </w:pPr>
            <w:r w:rsidRPr="0046360F">
              <w:rPr>
                <w:rFonts w:ascii="Arial Narrow" w:hAnsi="Arial Narrow"/>
                <w:b/>
                <w:sz w:val="20"/>
                <w:szCs w:val="20"/>
              </w:rPr>
              <w:t xml:space="preserve">Net of tafamidis to PBS/RPBS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1B8E" w:rsidRPr="002D5920" w:rsidRDefault="00241B8E" w:rsidP="00221DAD">
            <w:pPr>
              <w:ind w:left="-86" w:right="-73"/>
              <w:jc w:val="center"/>
              <w:rPr>
                <w:rFonts w:ascii="Arial Narrow" w:hAnsi="Arial Narrow"/>
                <w:b/>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241B8E" w:rsidRPr="002D5920" w:rsidRDefault="00241B8E" w:rsidP="00221DAD">
            <w:pPr>
              <w:ind w:left="-86" w:right="-73"/>
              <w:jc w:val="center"/>
              <w:rPr>
                <w:rFonts w:ascii="Arial Narrow" w:hAnsi="Arial Narrow"/>
                <w:b/>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2D5920" w:rsidRPr="002D5920">
              <w:rPr>
                <w:rFonts w:ascii="Arial Narrow" w:hAnsi="Arial Narrow"/>
                <w:bCs/>
                <w:color w:val="000000"/>
                <w:sz w:val="20"/>
                <w:szCs w:val="20"/>
                <w:vertAlign w:val="superscript"/>
              </w:rPr>
              <w:t>2</w:t>
            </w:r>
          </w:p>
        </w:tc>
        <w:tc>
          <w:tcPr>
            <w:tcW w:w="1182" w:type="dxa"/>
            <w:tcBorders>
              <w:top w:val="single" w:sz="4" w:space="0" w:color="auto"/>
              <w:left w:val="nil"/>
              <w:bottom w:val="single" w:sz="4" w:space="0" w:color="auto"/>
              <w:right w:val="single" w:sz="4" w:space="0" w:color="auto"/>
            </w:tcBorders>
            <w:shd w:val="clear" w:color="auto" w:fill="auto"/>
            <w:vAlign w:val="center"/>
          </w:tcPr>
          <w:p w:rsidR="00241B8E" w:rsidRPr="00AB7161" w:rsidRDefault="00241B8E" w:rsidP="00221DAD">
            <w:pPr>
              <w:ind w:left="-86" w:right="-73"/>
              <w:jc w:val="center"/>
              <w:rPr>
                <w:rFonts w:ascii="Arial Narrow" w:hAnsi="Arial Narrow"/>
                <w:b/>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AB7161" w:rsidRPr="00AB7161">
              <w:rPr>
                <w:rFonts w:ascii="Arial Narrow" w:hAnsi="Arial Narrow"/>
                <w:bCs/>
                <w:color w:val="000000"/>
                <w:sz w:val="20"/>
                <w:szCs w:val="20"/>
                <w:vertAlign w:val="superscript"/>
              </w:rPr>
              <w:t>4</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AB7161" w:rsidRDefault="00241B8E" w:rsidP="00221DAD">
            <w:pPr>
              <w:ind w:left="-86" w:right="-73"/>
              <w:jc w:val="center"/>
              <w:rPr>
                <w:rFonts w:ascii="Arial Narrow" w:hAnsi="Arial Narrow"/>
                <w:b/>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AB7161" w:rsidRPr="00AB7161">
              <w:rPr>
                <w:rFonts w:ascii="Arial Narrow" w:hAnsi="Arial Narrow"/>
                <w:bCs/>
                <w:color w:val="000000"/>
                <w:sz w:val="20"/>
                <w:szCs w:val="20"/>
                <w:vertAlign w:val="superscript"/>
              </w:rPr>
              <w:t>6</w:t>
            </w:r>
          </w:p>
        </w:tc>
        <w:tc>
          <w:tcPr>
            <w:tcW w:w="1276" w:type="dxa"/>
            <w:tcBorders>
              <w:top w:val="single" w:sz="4" w:space="0" w:color="auto"/>
              <w:left w:val="nil"/>
              <w:bottom w:val="single" w:sz="4" w:space="0" w:color="auto"/>
              <w:right w:val="single" w:sz="4" w:space="0" w:color="auto"/>
            </w:tcBorders>
            <w:shd w:val="clear" w:color="auto" w:fill="auto"/>
            <w:vAlign w:val="center"/>
          </w:tcPr>
          <w:p w:rsidR="00241B8E" w:rsidRPr="00796058" w:rsidRDefault="00241B8E" w:rsidP="00221DAD">
            <w:pPr>
              <w:ind w:left="-86" w:right="-73"/>
              <w:jc w:val="center"/>
              <w:rPr>
                <w:rFonts w:ascii="Arial Narrow" w:hAnsi="Arial Narrow"/>
                <w:b/>
                <w:color w:val="000000"/>
                <w:sz w:val="20"/>
                <w:szCs w:val="20"/>
                <w:vertAlign w:val="superscript"/>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796058" w:rsidRPr="00796058">
              <w:rPr>
                <w:rFonts w:ascii="Arial Narrow" w:hAnsi="Arial Narrow"/>
                <w:bCs/>
                <w:color w:val="000000"/>
                <w:sz w:val="20"/>
                <w:szCs w:val="20"/>
                <w:vertAlign w:val="superscript"/>
              </w:rPr>
              <w:t>6</w:t>
            </w:r>
          </w:p>
        </w:tc>
        <w:tc>
          <w:tcPr>
            <w:tcW w:w="1275" w:type="dxa"/>
            <w:tcBorders>
              <w:top w:val="single" w:sz="4" w:space="0" w:color="auto"/>
              <w:left w:val="nil"/>
              <w:bottom w:val="single" w:sz="4" w:space="0" w:color="auto"/>
              <w:right w:val="single" w:sz="4" w:space="0" w:color="auto"/>
            </w:tcBorders>
            <w:shd w:val="clear" w:color="auto" w:fill="auto"/>
            <w:vAlign w:val="center"/>
          </w:tcPr>
          <w:p w:rsidR="00241B8E" w:rsidRPr="0046360F" w:rsidRDefault="00241B8E" w:rsidP="00221DAD">
            <w:pPr>
              <w:ind w:left="-86" w:right="-73"/>
              <w:jc w:val="center"/>
              <w:rPr>
                <w:rFonts w:ascii="Arial Narrow" w:hAnsi="Arial Narrow"/>
                <w:b/>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AB7161" w:rsidRPr="00AB7161">
              <w:rPr>
                <w:rFonts w:ascii="Arial Narrow" w:hAnsi="Arial Narrow"/>
                <w:bCs/>
                <w:color w:val="000000"/>
                <w:sz w:val="20"/>
                <w:szCs w:val="20"/>
                <w:vertAlign w:val="superscript"/>
              </w:rPr>
              <w:t>6</w:t>
            </w:r>
          </w:p>
        </w:tc>
      </w:tr>
      <w:tr w:rsidR="00E56669" w:rsidRPr="0046360F" w:rsidTr="00B01619">
        <w:trPr>
          <w:trHeight w:val="224"/>
        </w:trPr>
        <w:tc>
          <w:tcPr>
            <w:tcW w:w="2357" w:type="dxa"/>
            <w:vAlign w:val="center"/>
          </w:tcPr>
          <w:p w:rsidR="00E56669" w:rsidRPr="0046360F" w:rsidRDefault="00E56669" w:rsidP="00E56669">
            <w:pPr>
              <w:ind w:right="-72"/>
              <w:jc w:val="left"/>
              <w:rPr>
                <w:rFonts w:ascii="Arial Narrow" w:hAnsi="Arial Narrow"/>
                <w:b/>
                <w:sz w:val="20"/>
                <w:szCs w:val="20"/>
              </w:rPr>
            </w:pPr>
            <w:r w:rsidRPr="0046360F">
              <w:rPr>
                <w:rFonts w:ascii="Arial Narrow" w:hAnsi="Arial Narrow"/>
                <w:bCs/>
                <w:sz w:val="20"/>
                <w:szCs w:val="20"/>
              </w:rPr>
              <w:t>Net cost to MBS</w:t>
            </w:r>
          </w:p>
        </w:tc>
        <w:tc>
          <w:tcPr>
            <w:tcW w:w="1134" w:type="dxa"/>
            <w:tcBorders>
              <w:top w:val="single" w:sz="4" w:space="0" w:color="auto"/>
              <w:left w:val="nil"/>
              <w:bottom w:val="single" w:sz="4" w:space="0" w:color="auto"/>
              <w:right w:val="single" w:sz="4" w:space="0" w:color="auto"/>
            </w:tcBorders>
            <w:shd w:val="clear" w:color="auto" w:fill="auto"/>
            <w:vAlign w:val="center"/>
          </w:tcPr>
          <w:p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Cs/>
                <w:color w:val="000000"/>
                <w:sz w:val="20"/>
                <w:szCs w:val="20"/>
              </w:rPr>
              <w:t>$</w:t>
            </w:r>
            <w:r w:rsidR="002F07A9">
              <w:rPr>
                <w:rFonts w:ascii="Arial Narrow" w:hAnsi="Arial Narrow"/>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Cs/>
                <w:color w:val="000000"/>
                <w:sz w:val="20"/>
                <w:szCs w:val="20"/>
              </w:rPr>
              <w:t>$</w:t>
            </w:r>
            <w:r w:rsidR="002F07A9">
              <w:rPr>
                <w:rFonts w:ascii="Arial Narrow" w:hAnsi="Arial Narrow"/>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182" w:type="dxa"/>
            <w:tcBorders>
              <w:top w:val="single" w:sz="4" w:space="0" w:color="auto"/>
              <w:left w:val="nil"/>
              <w:bottom w:val="single" w:sz="4" w:space="0" w:color="auto"/>
              <w:right w:val="single" w:sz="4" w:space="0" w:color="auto"/>
            </w:tcBorders>
            <w:shd w:val="clear" w:color="auto" w:fill="auto"/>
            <w:vAlign w:val="center"/>
          </w:tcPr>
          <w:p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Cs/>
                <w:color w:val="000000"/>
                <w:sz w:val="20"/>
                <w:szCs w:val="20"/>
              </w:rPr>
              <w:t>$</w:t>
            </w:r>
            <w:r w:rsidR="002F07A9">
              <w:rPr>
                <w:rFonts w:ascii="Arial Narrow" w:hAnsi="Arial Narrow"/>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Cs/>
                <w:color w:val="000000"/>
                <w:sz w:val="20"/>
                <w:szCs w:val="20"/>
              </w:rPr>
              <w:t>$</w:t>
            </w:r>
            <w:r w:rsidR="002F07A9">
              <w:rPr>
                <w:rFonts w:ascii="Arial Narrow" w:hAnsi="Arial Narrow"/>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Cs/>
                <w:color w:val="000000"/>
                <w:sz w:val="20"/>
                <w:szCs w:val="20"/>
              </w:rPr>
              <w:t>$</w:t>
            </w:r>
            <w:r w:rsidR="002F07A9">
              <w:rPr>
                <w:rFonts w:ascii="Arial Narrow" w:hAnsi="Arial Narrow"/>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Cs/>
                <w:color w:val="000000"/>
                <w:sz w:val="20"/>
                <w:szCs w:val="20"/>
              </w:rPr>
              <w:t>$</w:t>
            </w:r>
            <w:r w:rsidR="002F07A9">
              <w:rPr>
                <w:rFonts w:ascii="Arial Narrow" w:hAnsi="Arial Narrow"/>
                <w:bCs/>
                <w:noProof/>
                <w:color w:val="000000"/>
                <w:sz w:val="20"/>
                <w:szCs w:val="20"/>
                <w:highlight w:val="black"/>
              </w:rPr>
              <w:t>'''''''''''''''''</w:t>
            </w:r>
            <w:r w:rsidR="002D5920" w:rsidRPr="002D5920">
              <w:rPr>
                <w:rFonts w:ascii="Arial Narrow" w:hAnsi="Arial Narrow"/>
                <w:bCs/>
                <w:color w:val="000000"/>
                <w:sz w:val="20"/>
                <w:szCs w:val="20"/>
                <w:vertAlign w:val="superscript"/>
              </w:rPr>
              <w:t>1</w:t>
            </w:r>
          </w:p>
        </w:tc>
      </w:tr>
      <w:tr w:rsidR="00E56669" w:rsidRPr="0046360F" w:rsidTr="00B01619">
        <w:trPr>
          <w:trHeight w:val="456"/>
        </w:trPr>
        <w:tc>
          <w:tcPr>
            <w:tcW w:w="2357" w:type="dxa"/>
            <w:vAlign w:val="center"/>
          </w:tcPr>
          <w:p w:rsidR="00E56669" w:rsidRPr="0046360F" w:rsidRDefault="00E56669" w:rsidP="00E56669">
            <w:pPr>
              <w:ind w:right="-72"/>
              <w:jc w:val="left"/>
              <w:rPr>
                <w:rFonts w:ascii="Arial Narrow" w:hAnsi="Arial Narrow"/>
                <w:b/>
                <w:sz w:val="20"/>
                <w:szCs w:val="20"/>
              </w:rPr>
            </w:pPr>
            <w:r w:rsidRPr="0046360F">
              <w:rPr>
                <w:rFonts w:ascii="Arial Narrow" w:hAnsi="Arial Narrow"/>
                <w:b/>
                <w:sz w:val="20"/>
                <w:szCs w:val="20"/>
              </w:rPr>
              <w:t>Net cost to PBS/RPBS/MBS</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576168" w:rsidRPr="00576168">
              <w:rPr>
                <w:rFonts w:ascii="Arial Narrow" w:hAnsi="Arial Narrow"/>
                <w:sz w:val="18"/>
                <w:szCs w:val="18"/>
                <w:vertAlign w:val="superscript"/>
              </w:rPr>
              <w:t>2</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rsidR="00E56669" w:rsidRPr="00AB7161" w:rsidRDefault="00E56669" w:rsidP="00E56669">
            <w:pPr>
              <w:ind w:left="-86" w:right="-73"/>
              <w:jc w:val="center"/>
              <w:rPr>
                <w:rFonts w:ascii="Arial Narrow" w:hAnsi="Arial Narrow"/>
                <w:b/>
                <w:bCs/>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AB7161" w:rsidRPr="00AB7161">
              <w:rPr>
                <w:rFonts w:ascii="Arial Narrow" w:hAnsi="Arial Narrow"/>
                <w:bCs/>
                <w:color w:val="000000"/>
                <w:sz w:val="20"/>
                <w:szCs w:val="20"/>
                <w:vertAlign w:val="superscript"/>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AB7161" w:rsidRPr="00AB7161">
              <w:rPr>
                <w:rFonts w:ascii="Arial Narrow" w:hAnsi="Arial Narrow"/>
                <w:bCs/>
                <w:color w:val="000000"/>
                <w:sz w:val="20"/>
                <w:szCs w:val="20"/>
                <w:vertAlign w:val="superscript"/>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
                <w:bCs/>
                <w:sz w:val="20"/>
                <w:szCs w:val="20"/>
              </w:rPr>
              <w:t>$</w:t>
            </w:r>
            <w:r w:rsidR="002F07A9">
              <w:rPr>
                <w:rFonts w:ascii="Arial Narrow" w:hAnsi="Arial Narrow"/>
                <w:b/>
                <w:bCs/>
                <w:noProof/>
                <w:color w:val="000000"/>
                <w:sz w:val="20"/>
                <w:szCs w:val="20"/>
                <w:highlight w:val="black"/>
              </w:rPr>
              <w:t>''''''''''''''''''''''''''</w:t>
            </w:r>
            <w:r w:rsidR="00740B1E" w:rsidRPr="00AB7161">
              <w:rPr>
                <w:rFonts w:ascii="Arial Narrow" w:hAnsi="Arial Narrow"/>
                <w:bCs/>
                <w:color w:val="000000"/>
                <w:sz w:val="20"/>
                <w:szCs w:val="20"/>
                <w:vertAlign w:val="superscript"/>
              </w:rPr>
              <w:t>6</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AB7161" w:rsidRPr="00AB7161">
              <w:rPr>
                <w:rFonts w:ascii="Arial Narrow" w:hAnsi="Arial Narrow"/>
                <w:bCs/>
                <w:color w:val="000000"/>
                <w:sz w:val="20"/>
                <w:szCs w:val="20"/>
                <w:vertAlign w:val="superscript"/>
              </w:rPr>
              <w:t>6</w:t>
            </w:r>
          </w:p>
        </w:tc>
      </w:tr>
      <w:tr w:rsidR="00CC4517" w:rsidRPr="0046360F" w:rsidTr="00B01619">
        <w:trPr>
          <w:trHeight w:val="224"/>
        </w:trPr>
        <w:tc>
          <w:tcPr>
            <w:tcW w:w="9634" w:type="dxa"/>
            <w:gridSpan w:val="7"/>
            <w:tcBorders>
              <w:right w:val="single" w:sz="4" w:space="0" w:color="auto"/>
            </w:tcBorders>
            <w:shd w:val="clear" w:color="auto" w:fill="DBE5F1" w:themeFill="accent1" w:themeFillTint="33"/>
            <w:vAlign w:val="center"/>
          </w:tcPr>
          <w:p w:rsidR="00CC4517" w:rsidRPr="0046360F" w:rsidRDefault="00CC4517" w:rsidP="005A1016">
            <w:pPr>
              <w:jc w:val="left"/>
              <w:rPr>
                <w:rFonts w:ascii="Arial Narrow" w:hAnsi="Arial Narrow"/>
                <w:b/>
                <w:bCs/>
                <w:color w:val="000000"/>
                <w:sz w:val="20"/>
                <w:szCs w:val="20"/>
              </w:rPr>
            </w:pPr>
            <w:r w:rsidRPr="0046360F">
              <w:rPr>
                <w:rFonts w:ascii="Arial Narrow" w:hAnsi="Arial Narrow"/>
                <w:b/>
                <w:sz w:val="20"/>
                <w:szCs w:val="20"/>
              </w:rPr>
              <w:t>July 2020 submission</w:t>
            </w:r>
          </w:p>
        </w:tc>
      </w:tr>
      <w:tr w:rsidR="005A1016" w:rsidRPr="0046360F" w:rsidTr="00B01619">
        <w:trPr>
          <w:trHeight w:val="231"/>
        </w:trPr>
        <w:tc>
          <w:tcPr>
            <w:tcW w:w="2357" w:type="dxa"/>
            <w:shd w:val="clear" w:color="auto" w:fill="DBE5F1" w:themeFill="accent1" w:themeFillTint="33"/>
            <w:vAlign w:val="center"/>
          </w:tcPr>
          <w:p w:rsidR="005A1016" w:rsidRPr="0046360F" w:rsidRDefault="005A1016" w:rsidP="005A1016">
            <w:pPr>
              <w:ind w:right="-72" w:firstLine="22"/>
              <w:jc w:val="left"/>
              <w:rPr>
                <w:rFonts w:ascii="Arial Narrow" w:hAnsi="Arial Narrow"/>
                <w:b/>
                <w:sz w:val="20"/>
                <w:szCs w:val="20"/>
              </w:rPr>
            </w:pPr>
            <w:r w:rsidRPr="0046360F">
              <w:rPr>
                <w:rFonts w:ascii="Arial Narrow" w:hAnsi="Arial Narrow"/>
                <w:bCs/>
                <w:sz w:val="20"/>
                <w:szCs w:val="20"/>
              </w:rPr>
              <w:t>Total no. scripts per year</w:t>
            </w:r>
          </w:p>
        </w:tc>
        <w:tc>
          <w:tcPr>
            <w:tcW w:w="1134" w:type="dxa"/>
            <w:shd w:val="clear" w:color="auto" w:fill="DBE5F1" w:themeFill="accent1" w:themeFillTint="33"/>
            <w:vAlign w:val="center"/>
          </w:tcPr>
          <w:p w:rsidR="005A1016" w:rsidRPr="0046360F" w:rsidRDefault="002F07A9" w:rsidP="005A1016">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E402D4">
              <w:rPr>
                <w:rFonts w:ascii="Arial Narrow" w:hAnsi="Arial Narrow"/>
                <w:color w:val="000000"/>
                <w:sz w:val="20"/>
                <w:szCs w:val="20"/>
                <w:vertAlign w:val="superscript"/>
              </w:rPr>
              <w:t>8</w:t>
            </w:r>
          </w:p>
        </w:tc>
        <w:tc>
          <w:tcPr>
            <w:tcW w:w="1134" w:type="dxa"/>
            <w:shd w:val="clear" w:color="auto" w:fill="DBE5F1" w:themeFill="accent1" w:themeFillTint="33"/>
            <w:vAlign w:val="center"/>
          </w:tcPr>
          <w:p w:rsidR="005A1016" w:rsidRPr="002F07A9" w:rsidRDefault="002F07A9" w:rsidP="005A1016">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E402D4" w:rsidRPr="00B01619">
              <w:rPr>
                <w:rFonts w:ascii="Arial Narrow" w:hAnsi="Arial Narrow"/>
                <w:color w:val="000000"/>
                <w:sz w:val="20"/>
                <w:szCs w:val="20"/>
                <w:vertAlign w:val="superscript"/>
              </w:rPr>
              <w:t>9</w:t>
            </w:r>
            <w:r w:rsidRPr="00B01619">
              <w:rPr>
                <w:rFonts w:ascii="Arial Narrow" w:hAnsi="Arial Narrow"/>
                <w:noProof/>
                <w:color w:val="000000"/>
                <w:sz w:val="20"/>
                <w:szCs w:val="20"/>
                <w:highlight w:val="black"/>
              </w:rPr>
              <w:t xml:space="preserve"> </w:t>
            </w:r>
          </w:p>
        </w:tc>
        <w:tc>
          <w:tcPr>
            <w:tcW w:w="1182" w:type="dxa"/>
            <w:shd w:val="clear" w:color="auto" w:fill="DBE5F1" w:themeFill="accent1" w:themeFillTint="33"/>
            <w:vAlign w:val="center"/>
          </w:tcPr>
          <w:p w:rsidR="005A1016" w:rsidRPr="002F07A9" w:rsidRDefault="002F07A9" w:rsidP="005A1016">
            <w:pPr>
              <w:ind w:left="-86" w:right="-73"/>
              <w:jc w:val="center"/>
              <w:rPr>
                <w:rFonts w:ascii="Arial Narrow" w:hAnsi="Arial Narrow"/>
                <w:b/>
                <w:bCs/>
                <w:color w:val="000000"/>
                <w:sz w:val="20"/>
                <w:szCs w:val="20"/>
                <w:vertAlign w:val="superscript"/>
              </w:rPr>
            </w:pPr>
            <w:r>
              <w:rPr>
                <w:rFonts w:ascii="Arial Narrow" w:hAnsi="Arial Narrow"/>
                <w:noProof/>
                <w:color w:val="000000"/>
                <w:sz w:val="20"/>
                <w:szCs w:val="20"/>
                <w:highlight w:val="black"/>
              </w:rPr>
              <w:t>'''''''''''''''''</w:t>
            </w:r>
            <w:r w:rsidR="00E402D4" w:rsidRPr="00E402D4">
              <w:rPr>
                <w:rFonts w:ascii="Arial Narrow" w:hAnsi="Arial Narrow"/>
                <w:color w:val="000000"/>
                <w:sz w:val="20"/>
                <w:szCs w:val="20"/>
                <w:vertAlign w:val="superscript"/>
              </w:rPr>
              <w:t>10</w:t>
            </w:r>
            <w:r>
              <w:rPr>
                <w:rFonts w:ascii="Arial Narrow" w:hAnsi="Arial Narrow"/>
                <w:noProof/>
                <w:color w:val="000000"/>
                <w:sz w:val="20"/>
                <w:szCs w:val="20"/>
                <w:highlight w:val="black"/>
              </w:rPr>
              <w:t xml:space="preserve"> </w:t>
            </w:r>
          </w:p>
        </w:tc>
        <w:tc>
          <w:tcPr>
            <w:tcW w:w="1276" w:type="dxa"/>
            <w:shd w:val="clear" w:color="auto" w:fill="DBE5F1" w:themeFill="accent1" w:themeFillTint="33"/>
            <w:vAlign w:val="center"/>
          </w:tcPr>
          <w:p w:rsidR="005A1016" w:rsidRPr="002F07A9" w:rsidRDefault="002F07A9" w:rsidP="005A1016">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E402D4" w:rsidRPr="00E402D4">
              <w:rPr>
                <w:rFonts w:ascii="Arial Narrow" w:hAnsi="Arial Narrow"/>
                <w:color w:val="000000"/>
                <w:sz w:val="20"/>
                <w:szCs w:val="20"/>
                <w:vertAlign w:val="superscript"/>
              </w:rPr>
              <w:t>10</w:t>
            </w:r>
          </w:p>
        </w:tc>
        <w:tc>
          <w:tcPr>
            <w:tcW w:w="1276" w:type="dxa"/>
            <w:shd w:val="clear" w:color="auto" w:fill="DBE5F1" w:themeFill="accent1" w:themeFillTint="33"/>
            <w:vAlign w:val="center"/>
          </w:tcPr>
          <w:p w:rsidR="005A1016" w:rsidRPr="002F07A9" w:rsidRDefault="002F07A9" w:rsidP="005A1016">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E402D4" w:rsidRPr="00E402D4">
              <w:rPr>
                <w:rFonts w:ascii="Arial Narrow" w:hAnsi="Arial Narrow"/>
                <w:color w:val="000000"/>
                <w:sz w:val="20"/>
                <w:szCs w:val="20"/>
                <w:vertAlign w:val="superscript"/>
              </w:rPr>
              <w:t>10</w:t>
            </w:r>
          </w:p>
        </w:tc>
        <w:tc>
          <w:tcPr>
            <w:tcW w:w="1275" w:type="dxa"/>
            <w:shd w:val="clear" w:color="auto" w:fill="DBE5F1" w:themeFill="accent1" w:themeFillTint="33"/>
            <w:vAlign w:val="center"/>
          </w:tcPr>
          <w:p w:rsidR="005A1016" w:rsidRPr="002F07A9" w:rsidRDefault="002F07A9" w:rsidP="00E402D4">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E402D4" w:rsidRPr="00E402D4">
              <w:rPr>
                <w:rFonts w:ascii="Arial Narrow" w:hAnsi="Arial Narrow"/>
                <w:color w:val="000000"/>
                <w:sz w:val="20"/>
                <w:szCs w:val="20"/>
                <w:vertAlign w:val="superscript"/>
              </w:rPr>
              <w:t>10</w:t>
            </w:r>
          </w:p>
        </w:tc>
      </w:tr>
      <w:tr w:rsidR="005A1016" w:rsidRPr="0046360F" w:rsidTr="00B01619">
        <w:trPr>
          <w:trHeight w:val="456"/>
        </w:trPr>
        <w:tc>
          <w:tcPr>
            <w:tcW w:w="2357" w:type="dxa"/>
            <w:shd w:val="clear" w:color="auto" w:fill="DBE5F1" w:themeFill="accent1" w:themeFillTint="33"/>
            <w:vAlign w:val="center"/>
          </w:tcPr>
          <w:p w:rsidR="005A1016" w:rsidRPr="0046360F" w:rsidRDefault="005A1016" w:rsidP="005A1016">
            <w:pPr>
              <w:ind w:right="-72"/>
              <w:jc w:val="left"/>
              <w:rPr>
                <w:rFonts w:ascii="Arial Narrow" w:hAnsi="Arial Narrow"/>
                <w:b/>
                <w:sz w:val="20"/>
                <w:szCs w:val="20"/>
              </w:rPr>
            </w:pPr>
            <w:r w:rsidRPr="0046360F">
              <w:rPr>
                <w:rFonts w:ascii="Arial Narrow" w:hAnsi="Arial Narrow"/>
                <w:b/>
                <w:sz w:val="20"/>
                <w:szCs w:val="20"/>
              </w:rPr>
              <w:t>Net cost to PBS/RPBS</w:t>
            </w:r>
          </w:p>
        </w:tc>
        <w:tc>
          <w:tcPr>
            <w:tcW w:w="1134" w:type="dxa"/>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color w:val="000000"/>
                <w:sz w:val="20"/>
                <w:szCs w:val="20"/>
              </w:rPr>
              <w:t>$</w:t>
            </w:r>
            <w:r w:rsidR="002F07A9">
              <w:rPr>
                <w:rFonts w:ascii="Arial Narrow" w:hAnsi="Arial Narrow"/>
                <w:b/>
                <w:noProof/>
                <w:color w:val="000000"/>
                <w:sz w:val="20"/>
                <w:szCs w:val="20"/>
                <w:highlight w:val="black"/>
              </w:rPr>
              <w:t>''''''''''''''''''''''</w:t>
            </w:r>
            <w:r w:rsidR="002D5920" w:rsidRPr="002D5920">
              <w:rPr>
                <w:rFonts w:ascii="Arial Narrow" w:hAnsi="Arial Narrow"/>
                <w:color w:val="000000"/>
                <w:sz w:val="20"/>
                <w:szCs w:val="20"/>
                <w:vertAlign w:val="superscript"/>
              </w:rPr>
              <w:t>3</w:t>
            </w:r>
            <w:r w:rsidRPr="0046360F">
              <w:rPr>
                <w:rFonts w:ascii="Arial Narrow" w:hAnsi="Arial Narrow"/>
                <w:b/>
                <w:color w:val="000000"/>
                <w:sz w:val="20"/>
                <w:szCs w:val="20"/>
              </w:rPr>
              <w:t xml:space="preserve"> </w:t>
            </w:r>
          </w:p>
        </w:tc>
        <w:tc>
          <w:tcPr>
            <w:tcW w:w="1134" w:type="dxa"/>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color w:val="000000"/>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color w:val="000000"/>
                <w:sz w:val="20"/>
                <w:szCs w:val="20"/>
                <w:vertAlign w:val="superscript"/>
              </w:rPr>
              <w:t>5</w:t>
            </w:r>
            <w:r w:rsidRPr="0046360F">
              <w:rPr>
                <w:rFonts w:ascii="Arial Narrow" w:hAnsi="Arial Narrow"/>
                <w:b/>
                <w:color w:val="000000"/>
                <w:sz w:val="20"/>
                <w:szCs w:val="20"/>
              </w:rPr>
              <w:t xml:space="preserve"> </w:t>
            </w:r>
          </w:p>
        </w:tc>
        <w:tc>
          <w:tcPr>
            <w:tcW w:w="1182" w:type="dxa"/>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color w:val="000000"/>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r w:rsidRPr="0046360F">
              <w:rPr>
                <w:rFonts w:ascii="Arial Narrow" w:hAnsi="Arial Narrow"/>
                <w:b/>
                <w:color w:val="000000"/>
                <w:sz w:val="20"/>
                <w:szCs w:val="20"/>
              </w:rPr>
              <w:t xml:space="preserve"> </w:t>
            </w:r>
          </w:p>
        </w:tc>
        <w:tc>
          <w:tcPr>
            <w:tcW w:w="1276" w:type="dxa"/>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color w:val="000000"/>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r w:rsidRPr="0046360F">
              <w:rPr>
                <w:rFonts w:ascii="Arial Narrow" w:hAnsi="Arial Narrow"/>
                <w:b/>
                <w:color w:val="000000"/>
                <w:sz w:val="20"/>
                <w:szCs w:val="20"/>
              </w:rPr>
              <w:t xml:space="preserve"> </w:t>
            </w:r>
          </w:p>
        </w:tc>
        <w:tc>
          <w:tcPr>
            <w:tcW w:w="1276" w:type="dxa"/>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color w:val="000000"/>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r w:rsidRPr="0046360F">
              <w:rPr>
                <w:rFonts w:ascii="Arial Narrow" w:hAnsi="Arial Narrow"/>
                <w:b/>
                <w:color w:val="000000"/>
                <w:sz w:val="20"/>
                <w:szCs w:val="20"/>
              </w:rPr>
              <w:t xml:space="preserve"> </w:t>
            </w:r>
          </w:p>
        </w:tc>
        <w:tc>
          <w:tcPr>
            <w:tcW w:w="1275" w:type="dxa"/>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color w:val="000000"/>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r w:rsidRPr="0046360F">
              <w:rPr>
                <w:rFonts w:ascii="Arial Narrow" w:hAnsi="Arial Narrow"/>
                <w:b/>
                <w:color w:val="000000"/>
                <w:sz w:val="20"/>
                <w:szCs w:val="20"/>
              </w:rPr>
              <w:t xml:space="preserve"> </w:t>
            </w:r>
          </w:p>
        </w:tc>
      </w:tr>
      <w:tr w:rsidR="005A1016" w:rsidRPr="0046360F" w:rsidTr="00B01619">
        <w:trPr>
          <w:trHeight w:val="224"/>
        </w:trPr>
        <w:tc>
          <w:tcPr>
            <w:tcW w:w="2357" w:type="dxa"/>
            <w:shd w:val="clear" w:color="auto" w:fill="DBE5F1" w:themeFill="accent1" w:themeFillTint="33"/>
            <w:vAlign w:val="center"/>
          </w:tcPr>
          <w:p w:rsidR="005A1016" w:rsidRPr="0046360F" w:rsidRDefault="005A1016" w:rsidP="005A1016">
            <w:pPr>
              <w:ind w:right="-72"/>
              <w:jc w:val="left"/>
              <w:rPr>
                <w:rFonts w:ascii="Arial Narrow" w:hAnsi="Arial Narrow"/>
                <w:b/>
                <w:sz w:val="20"/>
                <w:szCs w:val="20"/>
              </w:rPr>
            </w:pPr>
            <w:r w:rsidRPr="0046360F">
              <w:rPr>
                <w:rFonts w:ascii="Arial Narrow" w:hAnsi="Arial Narrow"/>
                <w:bCs/>
                <w:sz w:val="20"/>
                <w:szCs w:val="20"/>
              </w:rPr>
              <w:t>Net cost to MBS</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sz w:val="20"/>
                <w:szCs w:val="20"/>
              </w:rPr>
              <w:t>$</w:t>
            </w:r>
            <w:r w:rsidR="002F07A9">
              <w:rPr>
                <w:rFonts w:ascii="Arial Narrow" w:hAnsi="Arial Narrow"/>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sz w:val="20"/>
                <w:szCs w:val="20"/>
              </w:rPr>
              <w:t>$</w:t>
            </w:r>
            <w:r w:rsidR="002F07A9">
              <w:rPr>
                <w:rFonts w:ascii="Arial Narrow" w:hAnsi="Arial Narrow"/>
                <w:noProof/>
                <w:color w:val="000000"/>
                <w:sz w:val="20"/>
                <w:szCs w:val="20"/>
                <w:highlight w:val="black"/>
              </w:rPr>
              <w:t>''''''''''''''''''</w:t>
            </w:r>
            <w:r w:rsidR="002D5920" w:rsidRPr="002D5920">
              <w:rPr>
                <w:rFonts w:ascii="Arial Narrow" w:hAnsi="Arial Narrow"/>
                <w:bCs/>
                <w:color w:val="000000"/>
                <w:sz w:val="20"/>
                <w:szCs w:val="20"/>
                <w:vertAlign w:val="superscript"/>
              </w:rPr>
              <w:t>1</w:t>
            </w:r>
            <w:r w:rsidRPr="0046360F">
              <w:rPr>
                <w:rFonts w:ascii="Arial Narrow" w:hAnsi="Arial Narrow"/>
                <w:sz w:val="20"/>
                <w:szCs w:val="20"/>
              </w:rPr>
              <w:t xml:space="preserve"> </w:t>
            </w:r>
          </w:p>
        </w:tc>
        <w:tc>
          <w:tcPr>
            <w:tcW w:w="11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sz w:val="20"/>
                <w:szCs w:val="20"/>
              </w:rPr>
              <w:t>$</w:t>
            </w:r>
            <w:r w:rsidR="002F07A9">
              <w:rPr>
                <w:rFonts w:ascii="Arial Narrow" w:hAnsi="Arial Narrow"/>
                <w:noProof/>
                <w:color w:val="000000"/>
                <w:sz w:val="20"/>
                <w:szCs w:val="20"/>
                <w:highlight w:val="black"/>
              </w:rPr>
              <w:t>'''''''''''''''''''</w:t>
            </w:r>
            <w:r w:rsidR="002D5920" w:rsidRPr="002D5920">
              <w:rPr>
                <w:rFonts w:ascii="Arial Narrow" w:hAnsi="Arial Narrow"/>
                <w:bCs/>
                <w:color w:val="000000"/>
                <w:sz w:val="20"/>
                <w:szCs w:val="20"/>
                <w:vertAlign w:val="superscript"/>
              </w:rPr>
              <w:t>1</w:t>
            </w:r>
            <w:r w:rsidRPr="0046360F">
              <w:rPr>
                <w:rFonts w:ascii="Arial Narrow" w:hAnsi="Arial Narrow"/>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sz w:val="20"/>
                <w:szCs w:val="20"/>
              </w:rPr>
              <w:t>$</w:t>
            </w:r>
            <w:r w:rsidR="002F07A9">
              <w:rPr>
                <w:rFonts w:ascii="Arial Narrow" w:hAnsi="Arial Narrow"/>
                <w:noProof/>
                <w:color w:val="000000"/>
                <w:sz w:val="20"/>
                <w:szCs w:val="20"/>
                <w:highlight w:val="black"/>
              </w:rPr>
              <w:t>''''''''''''''''''''</w:t>
            </w:r>
            <w:r w:rsidR="002D5920" w:rsidRPr="002D5920">
              <w:rPr>
                <w:rFonts w:ascii="Arial Narrow" w:hAnsi="Arial Narrow"/>
                <w:bCs/>
                <w:color w:val="000000"/>
                <w:sz w:val="20"/>
                <w:szCs w:val="20"/>
                <w:vertAlign w:val="superscript"/>
              </w:rPr>
              <w:t>1</w:t>
            </w:r>
            <w:r w:rsidRPr="0046360F">
              <w:rPr>
                <w:rFonts w:ascii="Arial Narrow" w:hAnsi="Arial Narrow"/>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1016" w:rsidRPr="0046360F" w:rsidRDefault="005A1016" w:rsidP="002D5920">
            <w:pPr>
              <w:ind w:left="-86" w:right="-73"/>
              <w:jc w:val="center"/>
              <w:rPr>
                <w:rFonts w:ascii="Arial Narrow" w:hAnsi="Arial Narrow"/>
                <w:b/>
                <w:bCs/>
                <w:color w:val="000000"/>
                <w:sz w:val="20"/>
                <w:szCs w:val="20"/>
              </w:rPr>
            </w:pPr>
            <w:r w:rsidRPr="0046360F">
              <w:rPr>
                <w:rFonts w:ascii="Arial Narrow" w:hAnsi="Arial Narrow"/>
                <w:sz w:val="20"/>
                <w:szCs w:val="20"/>
              </w:rPr>
              <w:t>$</w:t>
            </w:r>
            <w:r w:rsidR="002F07A9">
              <w:rPr>
                <w:rFonts w:ascii="Arial Narrow" w:hAnsi="Arial Narrow"/>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sz w:val="20"/>
                <w:szCs w:val="20"/>
              </w:rPr>
              <w:t>$</w:t>
            </w:r>
            <w:r w:rsidR="002F07A9">
              <w:rPr>
                <w:rFonts w:ascii="Arial Narrow" w:hAnsi="Arial Narrow"/>
                <w:noProof/>
                <w:color w:val="000000"/>
                <w:sz w:val="20"/>
                <w:szCs w:val="20"/>
                <w:highlight w:val="black"/>
              </w:rPr>
              <w:t>'''''''''''''''''</w:t>
            </w:r>
            <w:r w:rsidR="002D5920" w:rsidRPr="002D5920">
              <w:rPr>
                <w:rFonts w:ascii="Arial Narrow" w:hAnsi="Arial Narrow"/>
                <w:bCs/>
                <w:color w:val="000000"/>
                <w:sz w:val="20"/>
                <w:szCs w:val="20"/>
                <w:vertAlign w:val="superscript"/>
              </w:rPr>
              <w:t>1</w:t>
            </w:r>
            <w:r w:rsidRPr="0046360F">
              <w:rPr>
                <w:rFonts w:ascii="Arial Narrow" w:hAnsi="Arial Narrow"/>
                <w:sz w:val="20"/>
                <w:szCs w:val="20"/>
              </w:rPr>
              <w:t xml:space="preserve"> </w:t>
            </w:r>
          </w:p>
        </w:tc>
      </w:tr>
      <w:tr w:rsidR="005A1016" w:rsidRPr="0046360F" w:rsidTr="00B01619">
        <w:trPr>
          <w:trHeight w:val="450"/>
        </w:trPr>
        <w:tc>
          <w:tcPr>
            <w:tcW w:w="2357" w:type="dxa"/>
            <w:shd w:val="clear" w:color="auto" w:fill="DBE5F1" w:themeFill="accent1" w:themeFillTint="33"/>
            <w:vAlign w:val="center"/>
          </w:tcPr>
          <w:p w:rsidR="005A1016" w:rsidRPr="0046360F" w:rsidRDefault="005A1016" w:rsidP="005A1016">
            <w:pPr>
              <w:ind w:right="-72"/>
              <w:jc w:val="left"/>
              <w:rPr>
                <w:rFonts w:ascii="Arial Narrow" w:hAnsi="Arial Narrow"/>
                <w:b/>
                <w:sz w:val="20"/>
                <w:szCs w:val="20"/>
              </w:rPr>
            </w:pPr>
            <w:r w:rsidRPr="0046360F">
              <w:rPr>
                <w:rFonts w:ascii="Arial Narrow" w:hAnsi="Arial Narrow"/>
                <w:b/>
                <w:sz w:val="20"/>
                <w:szCs w:val="20"/>
              </w:rPr>
              <w:t>Net cost to PBS/RPBS/MBS</w:t>
            </w:r>
          </w:p>
        </w:tc>
        <w:tc>
          <w:tcPr>
            <w:tcW w:w="1134" w:type="dxa"/>
            <w:shd w:val="clear" w:color="auto" w:fill="DBE5F1" w:themeFill="accent1" w:themeFillTint="33"/>
            <w:vAlign w:val="center"/>
          </w:tcPr>
          <w:p w:rsidR="005A1016" w:rsidRPr="002D5920" w:rsidRDefault="005A1016" w:rsidP="005A1016">
            <w:pPr>
              <w:ind w:left="-86" w:right="-73"/>
              <w:jc w:val="center"/>
              <w:rPr>
                <w:rFonts w:ascii="Arial Narrow" w:hAnsi="Arial Narrow"/>
                <w:b/>
                <w:bCs/>
                <w:color w:val="000000"/>
                <w:sz w:val="20"/>
                <w:szCs w:val="20"/>
              </w:rPr>
            </w:pPr>
            <w:r w:rsidRPr="0046360F">
              <w:rPr>
                <w:rFonts w:ascii="Arial Narrow" w:hAnsi="Arial Narrow"/>
                <w:b/>
                <w:sz w:val="20"/>
                <w:szCs w:val="20"/>
              </w:rPr>
              <w:t>$</w:t>
            </w:r>
            <w:r w:rsidR="002F07A9">
              <w:rPr>
                <w:rFonts w:ascii="Arial Narrow" w:hAnsi="Arial Narrow"/>
                <w:b/>
                <w:noProof/>
                <w:color w:val="000000"/>
                <w:sz w:val="20"/>
                <w:szCs w:val="20"/>
                <w:highlight w:val="black"/>
              </w:rPr>
              <w:t>'''''''''''''''''''''</w:t>
            </w:r>
            <w:r w:rsidR="002D5920">
              <w:rPr>
                <w:rFonts w:ascii="Arial Narrow" w:hAnsi="Arial Narrow"/>
                <w:bCs/>
                <w:color w:val="000000"/>
                <w:sz w:val="20"/>
                <w:szCs w:val="20"/>
                <w:vertAlign w:val="superscript"/>
              </w:rPr>
              <w:t>3</w:t>
            </w:r>
          </w:p>
        </w:tc>
        <w:tc>
          <w:tcPr>
            <w:tcW w:w="1134" w:type="dxa"/>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color w:val="000000"/>
                <w:sz w:val="20"/>
                <w:szCs w:val="20"/>
                <w:vertAlign w:val="superscript"/>
              </w:rPr>
              <w:t>5</w:t>
            </w:r>
          </w:p>
        </w:tc>
        <w:tc>
          <w:tcPr>
            <w:tcW w:w="1182" w:type="dxa"/>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p>
        </w:tc>
        <w:tc>
          <w:tcPr>
            <w:tcW w:w="1276" w:type="dxa"/>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p>
        </w:tc>
        <w:tc>
          <w:tcPr>
            <w:tcW w:w="1276" w:type="dxa"/>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p>
        </w:tc>
        <w:tc>
          <w:tcPr>
            <w:tcW w:w="1275" w:type="dxa"/>
            <w:shd w:val="clear" w:color="auto" w:fill="DBE5F1" w:themeFill="accent1" w:themeFillTint="33"/>
            <w:vAlign w:val="center"/>
          </w:tcPr>
          <w:p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p>
        </w:tc>
      </w:tr>
    </w:tbl>
    <w:p w:rsidR="00241B8E" w:rsidRPr="0046360F" w:rsidRDefault="00241B8E" w:rsidP="00241B8E">
      <w:pPr>
        <w:pStyle w:val="TableFooter"/>
      </w:pPr>
      <w:r w:rsidRPr="0046360F">
        <w:t>Source: Tables 4.2.4, p.175; 4.2.5, p.176; 4.2.6, p.177; 4.2.8, p.178 of the resubmission; Utilisation and cost model - tafamidis spreadsheet.</w:t>
      </w:r>
    </w:p>
    <w:p w:rsidR="00241B8E" w:rsidRPr="0046360F" w:rsidRDefault="00241B8E" w:rsidP="00241B8E">
      <w:pPr>
        <w:pStyle w:val="TableFooter"/>
      </w:pPr>
      <w:r w:rsidRPr="0046360F">
        <w:t xml:space="preserve">Abbreviations: </w:t>
      </w:r>
      <w:r w:rsidRPr="0046360F">
        <w:rPr>
          <w:szCs w:val="18"/>
        </w:rPr>
        <w:t>ATTR-CM, cardiac transthyretin amyloidosis;</w:t>
      </w:r>
      <w:r w:rsidRPr="0046360F">
        <w:t xml:space="preserve"> NYHA, New York Heart Association classification.</w:t>
      </w:r>
    </w:p>
    <w:p w:rsidR="00241B8E" w:rsidRPr="0046360F" w:rsidRDefault="00241B8E" w:rsidP="00241B8E">
      <w:pPr>
        <w:pStyle w:val="TableFooter"/>
      </w:pPr>
      <w:r w:rsidRPr="0046360F">
        <w:rPr>
          <w:vertAlign w:val="superscript"/>
        </w:rPr>
        <w:t>a</w:t>
      </w:r>
      <w:r w:rsidRPr="0046360F">
        <w:t xml:space="preserve"> Uptake is calculated based on the number of patients with NYHA class I-II or non-persistent class III minus the number of patients continuing tafamidis treatment from the previous year</w:t>
      </w:r>
      <w:r w:rsidR="001640F7" w:rsidRPr="0046360F">
        <w:t>.</w:t>
      </w:r>
    </w:p>
    <w:p w:rsidR="00241B8E" w:rsidRPr="0046360F" w:rsidRDefault="00241B8E" w:rsidP="00241B8E">
      <w:pPr>
        <w:pStyle w:val="TableFooter"/>
      </w:pPr>
      <w:r w:rsidRPr="0046360F">
        <w:rPr>
          <w:vertAlign w:val="superscript"/>
        </w:rPr>
        <w:t>b</w:t>
      </w:r>
      <w:r w:rsidRPr="0046360F">
        <w:t xml:space="preserve"> The </w:t>
      </w:r>
      <w:r w:rsidR="00653F02" w:rsidRPr="0046360F">
        <w:t xml:space="preserve">resubmission </w:t>
      </w:r>
      <w:r w:rsidR="00216093" w:rsidRPr="0046360F">
        <w:t>inappropriately</w:t>
      </w:r>
      <w:r w:rsidR="00216093" w:rsidRPr="0046360F">
        <w:rPr>
          <w:i/>
        </w:rPr>
        <w:t xml:space="preserve"> </w:t>
      </w:r>
      <w:r w:rsidR="00653F02" w:rsidRPr="0046360F">
        <w:t xml:space="preserve">adjusted the </w:t>
      </w:r>
      <w:r w:rsidRPr="0046360F">
        <w:t>number of initiating and continuing patients in year 1 to be 2 out of 12 months (1/6</w:t>
      </w:r>
      <w:r w:rsidRPr="0046360F">
        <w:rPr>
          <w:vertAlign w:val="superscript"/>
        </w:rPr>
        <w:t>th</w:t>
      </w:r>
      <w:r w:rsidRPr="0046360F">
        <w:t xml:space="preserve"> of calculated initiating and continuing patients), as listing was not anticipated to occur until November 2021. The number for the full year is presented in parentheses.</w:t>
      </w:r>
    </w:p>
    <w:p w:rsidR="00F66D19" w:rsidRDefault="00F66D19" w:rsidP="00241B8E">
      <w:pPr>
        <w:pStyle w:val="TableFooter"/>
      </w:pPr>
      <w:r w:rsidRPr="0046360F">
        <w:rPr>
          <w:vertAlign w:val="superscript"/>
        </w:rPr>
        <w:t xml:space="preserve">c </w:t>
      </w:r>
      <w:r w:rsidR="00CC4022" w:rsidRPr="0046360F">
        <w:t>Grandfathered</w:t>
      </w:r>
      <w:r w:rsidRPr="0046360F">
        <w:t xml:space="preserve"> patients </w:t>
      </w:r>
      <w:r w:rsidR="00CC4022" w:rsidRPr="0046360F">
        <w:t>were</w:t>
      </w:r>
      <w:r w:rsidRPr="0046360F">
        <w:t xml:space="preserve"> greater in Year 2 than Year 1, as the submission anticipated listing in November 2021. Most grandfathered patients therefore </w:t>
      </w:r>
      <w:r w:rsidR="00CC4022" w:rsidRPr="0046360F">
        <w:t>were</w:t>
      </w:r>
      <w:r w:rsidRPr="0046360F">
        <w:t xml:space="preserve"> anticipated to initiate in Year 2.</w:t>
      </w:r>
    </w:p>
    <w:p w:rsidR="002D5920" w:rsidRPr="00AB7161" w:rsidRDefault="002D5920" w:rsidP="00241B8E">
      <w:pPr>
        <w:pStyle w:val="TableFooter"/>
        <w:rPr>
          <w:i/>
        </w:rPr>
      </w:pPr>
      <w:r w:rsidRPr="00AB7161">
        <w:rPr>
          <w:i/>
        </w:rPr>
        <w:t xml:space="preserve">The redacted values correspond to the following ranges: </w:t>
      </w:r>
    </w:p>
    <w:p w:rsidR="002D5920" w:rsidRPr="00AB7161" w:rsidRDefault="002D5920" w:rsidP="00241B8E">
      <w:pPr>
        <w:pStyle w:val="TableFooter"/>
        <w:rPr>
          <w:i/>
        </w:rPr>
      </w:pPr>
      <w:r w:rsidRPr="00AB7161">
        <w:rPr>
          <w:i/>
          <w:vertAlign w:val="superscript"/>
        </w:rPr>
        <w:t>1</w:t>
      </w:r>
      <w:r w:rsidRPr="00AB7161">
        <w:rPr>
          <w:i/>
        </w:rPr>
        <w:t>$0 to &lt;$10 million</w:t>
      </w:r>
    </w:p>
    <w:p w:rsidR="002D5920" w:rsidRPr="00AB7161" w:rsidRDefault="002D5920" w:rsidP="00241B8E">
      <w:pPr>
        <w:pStyle w:val="TableFooter"/>
        <w:rPr>
          <w:i/>
        </w:rPr>
      </w:pPr>
      <w:r w:rsidRPr="00AB7161">
        <w:rPr>
          <w:i/>
          <w:vertAlign w:val="superscript"/>
        </w:rPr>
        <w:t>2</w:t>
      </w:r>
      <w:r w:rsidRPr="00AB7161">
        <w:rPr>
          <w:i/>
        </w:rPr>
        <w:t xml:space="preserve">$50 </w:t>
      </w:r>
      <w:r w:rsidR="003B5808">
        <w:rPr>
          <w:i/>
        </w:rPr>
        <w:t xml:space="preserve">million </w:t>
      </w:r>
      <w:r w:rsidRPr="00AB7161">
        <w:rPr>
          <w:i/>
        </w:rPr>
        <w:t>to &lt;$60 million</w:t>
      </w:r>
    </w:p>
    <w:p w:rsidR="002D5920" w:rsidRPr="00AB7161" w:rsidRDefault="002D5920" w:rsidP="00241B8E">
      <w:pPr>
        <w:pStyle w:val="TableFooter"/>
        <w:rPr>
          <w:i/>
        </w:rPr>
      </w:pPr>
      <w:r w:rsidRPr="00AB7161">
        <w:rPr>
          <w:i/>
          <w:vertAlign w:val="superscript"/>
        </w:rPr>
        <w:t>3</w:t>
      </w:r>
      <w:r w:rsidRPr="00AB7161">
        <w:rPr>
          <w:i/>
        </w:rPr>
        <w:t xml:space="preserve">$20 </w:t>
      </w:r>
      <w:r w:rsidR="003B5808">
        <w:rPr>
          <w:i/>
        </w:rPr>
        <w:t xml:space="preserve">million </w:t>
      </w:r>
      <w:r w:rsidRPr="00AB7161">
        <w:rPr>
          <w:i/>
        </w:rPr>
        <w:t>to &lt;$30 million</w:t>
      </w:r>
    </w:p>
    <w:p w:rsidR="00AB7161" w:rsidRPr="00AB7161" w:rsidRDefault="00AB7161" w:rsidP="00241B8E">
      <w:pPr>
        <w:pStyle w:val="TableFooter"/>
        <w:rPr>
          <w:i/>
        </w:rPr>
      </w:pPr>
      <w:r w:rsidRPr="00AB7161">
        <w:rPr>
          <w:i/>
          <w:vertAlign w:val="superscript"/>
        </w:rPr>
        <w:t>4</w:t>
      </w:r>
      <w:r w:rsidRPr="00AB7161">
        <w:rPr>
          <w:i/>
        </w:rPr>
        <w:t xml:space="preserve">$90 </w:t>
      </w:r>
      <w:r w:rsidR="003B5808">
        <w:rPr>
          <w:i/>
        </w:rPr>
        <w:t xml:space="preserve">million </w:t>
      </w:r>
      <w:r w:rsidRPr="00AB7161">
        <w:rPr>
          <w:i/>
        </w:rPr>
        <w:t>to &lt;$100 million</w:t>
      </w:r>
    </w:p>
    <w:p w:rsidR="00AB7161" w:rsidRPr="00AB7161" w:rsidRDefault="00AB7161" w:rsidP="00241B8E">
      <w:pPr>
        <w:pStyle w:val="TableFooter"/>
        <w:rPr>
          <w:i/>
        </w:rPr>
      </w:pPr>
      <w:r w:rsidRPr="00AB7161">
        <w:rPr>
          <w:i/>
          <w:vertAlign w:val="superscript"/>
        </w:rPr>
        <w:t>5</w:t>
      </w:r>
      <w:r w:rsidRPr="00AB7161">
        <w:rPr>
          <w:i/>
        </w:rPr>
        <w:t xml:space="preserve">$80 </w:t>
      </w:r>
      <w:r w:rsidR="003B5808">
        <w:rPr>
          <w:i/>
        </w:rPr>
        <w:t xml:space="preserve">million </w:t>
      </w:r>
      <w:r w:rsidRPr="00AB7161">
        <w:rPr>
          <w:i/>
        </w:rPr>
        <w:t>to &lt;$90 million</w:t>
      </w:r>
    </w:p>
    <w:p w:rsidR="00AB7161" w:rsidRDefault="00AB7161" w:rsidP="00241B8E">
      <w:pPr>
        <w:pStyle w:val="TableFooter"/>
        <w:rPr>
          <w:i/>
        </w:rPr>
      </w:pPr>
      <w:r w:rsidRPr="00AB7161">
        <w:rPr>
          <w:i/>
          <w:vertAlign w:val="superscript"/>
        </w:rPr>
        <w:t>6</w:t>
      </w:r>
      <w:r w:rsidRPr="00AB7161">
        <w:rPr>
          <w:i/>
        </w:rPr>
        <w:t xml:space="preserve">$100 </w:t>
      </w:r>
      <w:r w:rsidR="003B5808">
        <w:rPr>
          <w:i/>
        </w:rPr>
        <w:t xml:space="preserve">million </w:t>
      </w:r>
      <w:r w:rsidRPr="00AB7161">
        <w:rPr>
          <w:i/>
        </w:rPr>
        <w:t>to &lt;$200 million</w:t>
      </w:r>
    </w:p>
    <w:p w:rsidR="001D589E" w:rsidRDefault="001D589E" w:rsidP="00241B8E">
      <w:pPr>
        <w:pStyle w:val="TableFooter"/>
        <w:rPr>
          <w:i/>
        </w:rPr>
      </w:pPr>
      <w:r>
        <w:rPr>
          <w:i/>
          <w:vertAlign w:val="superscript"/>
        </w:rPr>
        <w:t>7</w:t>
      </w:r>
      <w:r>
        <w:rPr>
          <w:i/>
        </w:rPr>
        <w:t>&lt;500</w:t>
      </w:r>
    </w:p>
    <w:p w:rsidR="00D24816" w:rsidRDefault="00D24816" w:rsidP="00241B8E">
      <w:pPr>
        <w:pStyle w:val="TableFooter"/>
        <w:rPr>
          <w:i/>
        </w:rPr>
      </w:pPr>
      <w:r>
        <w:rPr>
          <w:i/>
          <w:vertAlign w:val="superscript"/>
        </w:rPr>
        <w:t>8</w:t>
      </w:r>
      <w:r>
        <w:rPr>
          <w:i/>
        </w:rPr>
        <w:t>500 to &lt;5,000</w:t>
      </w:r>
    </w:p>
    <w:p w:rsidR="00554117" w:rsidRDefault="00554117" w:rsidP="00241B8E">
      <w:pPr>
        <w:pStyle w:val="TableFooter"/>
        <w:rPr>
          <w:i/>
        </w:rPr>
      </w:pPr>
      <w:r>
        <w:rPr>
          <w:i/>
          <w:vertAlign w:val="superscript"/>
        </w:rPr>
        <w:t>9</w:t>
      </w:r>
      <w:r>
        <w:rPr>
          <w:i/>
        </w:rPr>
        <w:t>5,000 to &lt;10,000</w:t>
      </w:r>
    </w:p>
    <w:p w:rsidR="00554117" w:rsidRDefault="00554117" w:rsidP="00241B8E">
      <w:pPr>
        <w:pStyle w:val="TableFooter"/>
        <w:rPr>
          <w:i/>
        </w:rPr>
      </w:pPr>
      <w:r>
        <w:rPr>
          <w:i/>
          <w:vertAlign w:val="superscript"/>
        </w:rPr>
        <w:t>10</w:t>
      </w:r>
      <w:r>
        <w:rPr>
          <w:i/>
        </w:rPr>
        <w:t>10,000 to &lt;20,000</w:t>
      </w:r>
    </w:p>
    <w:p w:rsidR="001D3DCC" w:rsidRPr="001D3DCC" w:rsidRDefault="001D3DCC" w:rsidP="00241B8E">
      <w:pPr>
        <w:pStyle w:val="TableFooter"/>
        <w:rPr>
          <w:i/>
        </w:rPr>
      </w:pPr>
      <w:r>
        <w:rPr>
          <w:i/>
          <w:vertAlign w:val="superscript"/>
        </w:rPr>
        <w:t>11</w:t>
      </w:r>
      <w:r>
        <w:rPr>
          <w:i/>
        </w:rPr>
        <w:t>20,000 to &lt;30,000</w:t>
      </w:r>
    </w:p>
    <w:p w:rsidR="00241B8E" w:rsidRPr="0046360F" w:rsidRDefault="00241B8E" w:rsidP="00241B8E">
      <w:pPr>
        <w:pStyle w:val="ExecSumBodyText"/>
        <w:numPr>
          <w:ilvl w:val="1"/>
          <w:numId w:val="1"/>
        </w:numPr>
      </w:pPr>
      <w:r w:rsidRPr="0046360F">
        <w:t>The net cost to the PBS</w:t>
      </w:r>
      <w:r w:rsidR="004B59E2" w:rsidRPr="0046360F">
        <w:t>/RPBS</w:t>
      </w:r>
      <w:r w:rsidRPr="0046360F">
        <w:t xml:space="preserve"> of tafamidis (effective price) was $</w:t>
      </w:r>
      <w:r w:rsidR="006E05AC">
        <w:t>100</w:t>
      </w:r>
      <w:r w:rsidR="003B5808">
        <w:t xml:space="preserve"> million</w:t>
      </w:r>
      <w:r w:rsidR="006E05AC">
        <w:t xml:space="preserve"> to &lt;$200</w:t>
      </w:r>
      <w:r w:rsidRPr="0046360F">
        <w:t xml:space="preserve"> million in Year 6</w:t>
      </w:r>
      <w:r w:rsidR="004B59E2" w:rsidRPr="0046360F">
        <w:t xml:space="preserve"> and</w:t>
      </w:r>
      <w:r w:rsidRPr="0046360F">
        <w:t xml:space="preserve"> a total of $</w:t>
      </w:r>
      <w:r w:rsidR="006E05AC">
        <w:t xml:space="preserve">500 </w:t>
      </w:r>
      <w:r w:rsidR="003B5808">
        <w:t xml:space="preserve">million </w:t>
      </w:r>
      <w:r w:rsidR="006E05AC">
        <w:t>to &lt;$600</w:t>
      </w:r>
      <w:r w:rsidRPr="0046360F">
        <w:t xml:space="preserve"> million over 5.2 years</w:t>
      </w:r>
      <w:r w:rsidR="0046360F" w:rsidRPr="0046360F">
        <w:t xml:space="preserve">. </w:t>
      </w:r>
    </w:p>
    <w:p w:rsidR="00173FC8" w:rsidRPr="0046360F" w:rsidRDefault="00E0637C" w:rsidP="006319D5">
      <w:pPr>
        <w:pStyle w:val="ExecSumBodyText"/>
      </w:pPr>
      <w:r w:rsidRPr="0046360F">
        <w:t>The July 2020 submission estimated a net cost to the PBS/MBS for tafamidis (effective price) of $</w:t>
      </w:r>
      <w:r w:rsidR="006E05AC">
        <w:t>100</w:t>
      </w:r>
      <w:r w:rsidR="003B5808">
        <w:t xml:space="preserve"> million</w:t>
      </w:r>
      <w:r w:rsidR="006E05AC">
        <w:t xml:space="preserve"> to &lt;$200</w:t>
      </w:r>
      <w:r w:rsidRPr="0046360F">
        <w:t xml:space="preserve"> million in Year 6</w:t>
      </w:r>
      <w:r w:rsidR="004B59E2" w:rsidRPr="0046360F">
        <w:t xml:space="preserve"> and</w:t>
      </w:r>
      <w:r w:rsidRPr="0046360F">
        <w:t xml:space="preserve"> a total of $</w:t>
      </w:r>
      <w:r w:rsidR="006E05AC">
        <w:t>700</w:t>
      </w:r>
      <w:r w:rsidR="003B5808">
        <w:t xml:space="preserve"> million</w:t>
      </w:r>
      <w:r w:rsidR="001F4E40">
        <w:t xml:space="preserve"> </w:t>
      </w:r>
      <w:r w:rsidR="006E05AC">
        <w:t>to &lt;$800</w:t>
      </w:r>
      <w:r w:rsidR="006319D5" w:rsidRPr="0046360F">
        <w:t> </w:t>
      </w:r>
      <w:r w:rsidRPr="0046360F">
        <w:t>million over 6 years.</w:t>
      </w:r>
    </w:p>
    <w:p w:rsidR="00241B8E" w:rsidRPr="0046360F" w:rsidRDefault="00241B8E" w:rsidP="00241B8E">
      <w:pPr>
        <w:pStyle w:val="ExecSumBodyText"/>
        <w:numPr>
          <w:ilvl w:val="1"/>
          <w:numId w:val="1"/>
        </w:numPr>
        <w:rPr>
          <w:iCs/>
        </w:rPr>
      </w:pPr>
      <w:bookmarkStart w:id="46" w:name="_Ref69222575"/>
      <w:r w:rsidRPr="0046360F">
        <w:rPr>
          <w:iCs/>
        </w:rPr>
        <w:t xml:space="preserve">The estimated net cost of tafamidis </w:t>
      </w:r>
      <w:r w:rsidR="00F17289" w:rsidRPr="0046360F">
        <w:rPr>
          <w:iCs/>
        </w:rPr>
        <w:t>was</w:t>
      </w:r>
      <w:r w:rsidRPr="0046360F">
        <w:rPr>
          <w:iCs/>
        </w:rPr>
        <w:t xml:space="preserve"> highly uncertain</w:t>
      </w:r>
      <w:r w:rsidR="004B59E2" w:rsidRPr="0046360F">
        <w:rPr>
          <w:iCs/>
        </w:rPr>
        <w:t>, and likely to be substantially underestimated overall</w:t>
      </w:r>
      <w:r w:rsidR="004B59E2" w:rsidRPr="0046360F">
        <w:rPr>
          <w:i/>
          <w:iCs/>
        </w:rPr>
        <w:t>,</w:t>
      </w:r>
      <w:r w:rsidRPr="0046360F">
        <w:rPr>
          <w:iCs/>
        </w:rPr>
        <w:t xml:space="preserve"> due to the following issues:</w:t>
      </w:r>
      <w:bookmarkEnd w:id="46"/>
    </w:p>
    <w:p w:rsidR="00241B8E" w:rsidRPr="0046360F" w:rsidRDefault="00241B8E" w:rsidP="001F43FC">
      <w:pPr>
        <w:pStyle w:val="ListParagraph"/>
        <w:numPr>
          <w:ilvl w:val="0"/>
          <w:numId w:val="6"/>
        </w:numPr>
        <w:ind w:left="1134"/>
      </w:pPr>
      <w:r w:rsidRPr="0046360F">
        <w:t xml:space="preserve">The estimated eligible Australian population likely to be treated with tafamidis was based </w:t>
      </w:r>
      <w:r w:rsidR="00DF2E9B" w:rsidRPr="0046360F">
        <w:t xml:space="preserve">on </w:t>
      </w:r>
      <w:r w:rsidRPr="0046360F">
        <w:t xml:space="preserve">the application of multiple factors with substantial cumulative uncertainty. Additionally, given that tafamidis would be the first disease-modifying agent listed for the treatment of ATTR-CM and is likely to increase awareness and diagnosis of the condition, </w:t>
      </w:r>
      <w:r w:rsidR="004B59E2" w:rsidRPr="0046360F">
        <w:t xml:space="preserve">along with increased usage of more accessible diagnostic methodology (especially radionucleide bone scintigraphy), </w:t>
      </w:r>
      <w:r w:rsidRPr="0046360F">
        <w:t>it is likely that the utilisation and financial estimates will be higher than those presented in the resubmission.</w:t>
      </w:r>
    </w:p>
    <w:p w:rsidR="00241B8E" w:rsidRPr="0046360F" w:rsidRDefault="00241B8E" w:rsidP="001F43FC">
      <w:pPr>
        <w:pStyle w:val="ListParagraph"/>
        <w:numPr>
          <w:ilvl w:val="0"/>
          <w:numId w:val="6"/>
        </w:numPr>
        <w:ind w:left="1134"/>
      </w:pPr>
      <w:r w:rsidRPr="0046360F">
        <w:t>The resubmission estimated that diagnosis rates would increase from 30</w:t>
      </w:r>
      <w:r w:rsidR="006319D5" w:rsidRPr="0046360F">
        <w:t xml:space="preserve"> to</w:t>
      </w:r>
      <w:r w:rsidR="00BF610C" w:rsidRPr="0046360F">
        <w:t xml:space="preserve"> </w:t>
      </w:r>
      <w:r w:rsidRPr="0046360F">
        <w:t xml:space="preserve">80% over the first 6 years of listing. This was an assumption based on expert opinion that ATTR-CM is </w:t>
      </w:r>
      <w:r w:rsidR="00DF2E9B" w:rsidRPr="0046360F">
        <w:t xml:space="preserve">very </w:t>
      </w:r>
      <w:r w:rsidRPr="0046360F">
        <w:t xml:space="preserve">underdiagnosed. It </w:t>
      </w:r>
      <w:r w:rsidR="00F17289" w:rsidRPr="0046360F">
        <w:t>was</w:t>
      </w:r>
      <w:r w:rsidRPr="0046360F">
        <w:t xml:space="preserve"> unclear whether this estimate is likely to be accurate. The resubmission did not attempt to quantify current rates of diagnosis in Australia. The published estimates used to determine the prevalence of ATTR-CM may already account for the underdiagnosis of these patients. </w:t>
      </w:r>
    </w:p>
    <w:p w:rsidR="00241B8E" w:rsidRPr="0046360F" w:rsidRDefault="00241B8E" w:rsidP="001F43FC">
      <w:pPr>
        <w:pStyle w:val="ListParagraph"/>
        <w:numPr>
          <w:ilvl w:val="0"/>
          <w:numId w:val="6"/>
        </w:numPr>
        <w:ind w:left="1134"/>
      </w:pPr>
      <w:r w:rsidRPr="0046360F">
        <w:t xml:space="preserve">The proportion of patients with NYHA classes I-III appeared to be based on the complement of the proportion of patients with Gillmore stage III from an Australian study by Choi et al. 2020 (16%). Gillmore stage III is not equivalent to NYHA class IV. The proportion of patients with NYHA class IV </w:t>
      </w:r>
      <w:r w:rsidR="00F17289" w:rsidRPr="0046360F">
        <w:t>was</w:t>
      </w:r>
      <w:r w:rsidRPr="0046360F">
        <w:t xml:space="preserve"> assumed to decline over time. Although it </w:t>
      </w:r>
      <w:r w:rsidR="00F17289" w:rsidRPr="0046360F">
        <w:t>was</w:t>
      </w:r>
      <w:r w:rsidRPr="0046360F">
        <w:t xml:space="preserve"> not explicitly stated, this may be due to an assumption that the introduction of tafamidis will result in diagnosis at earlier NYHA classes, however no evidence was provided to support the estimates over time. </w:t>
      </w:r>
    </w:p>
    <w:p w:rsidR="00241B8E" w:rsidRPr="0046360F" w:rsidRDefault="00241B8E" w:rsidP="001F43FC">
      <w:pPr>
        <w:pStyle w:val="ListParagraph"/>
        <w:numPr>
          <w:ilvl w:val="0"/>
          <w:numId w:val="6"/>
        </w:numPr>
        <w:ind w:left="1134"/>
      </w:pPr>
      <w:r w:rsidRPr="0046360F">
        <w:rPr>
          <w:iCs/>
        </w:rPr>
        <w:t>The resubmission estimated the proportion of patients with non-persistent NYHA class III, based on the number of placebo treated patients in the ATTR-ACT trial (13/63; 21%) with NYHA class III at baseline who transitioned to NYHA class I-II by 6 months.</w:t>
      </w:r>
      <w:r w:rsidRPr="0046360F">
        <w:t xml:space="preserve"> </w:t>
      </w:r>
      <w:r w:rsidRPr="0046360F">
        <w:rPr>
          <w:iCs/>
        </w:rPr>
        <w:t>Given the subjective nature of NYHA classification and the proposed restriction limiting treatment to NYHA class I and II (including patients with NYHA class III who return to NYHA class II with adequate management), it is likely that the proportion of patients classified as non-persistent NYHA class III will be higher than estimated in the resubmission.</w:t>
      </w:r>
      <w:r w:rsidRPr="0046360F">
        <w:t xml:space="preserve"> </w:t>
      </w:r>
      <w:r w:rsidR="00216093" w:rsidRPr="0046360F">
        <w:t xml:space="preserve">The PSCR indicated that that the proportion could be 50%, based on the opinion of three clinical experts. The ESC considered this indicated substantial uncertainty regarding the proportion of patients </w:t>
      </w:r>
      <w:r w:rsidR="00216093" w:rsidRPr="0046360F">
        <w:rPr>
          <w:iCs/>
        </w:rPr>
        <w:t>with non-persistent NYHA class III in clinical practice</w:t>
      </w:r>
      <w:r w:rsidR="00216093" w:rsidRPr="0046360F">
        <w:t>.</w:t>
      </w:r>
    </w:p>
    <w:p w:rsidR="00241B8E" w:rsidRPr="0046360F" w:rsidRDefault="00241B8E" w:rsidP="001F43FC">
      <w:pPr>
        <w:pStyle w:val="ListParagraph"/>
        <w:numPr>
          <w:ilvl w:val="0"/>
          <w:numId w:val="6"/>
        </w:numPr>
        <w:ind w:left="1134"/>
      </w:pPr>
      <w:r w:rsidRPr="0046360F">
        <w:rPr>
          <w:iCs/>
        </w:rPr>
        <w:t>The resubmission assumed uptake rates of between 50</w:t>
      </w:r>
      <w:r w:rsidR="00216093" w:rsidRPr="0046360F">
        <w:rPr>
          <w:iCs/>
        </w:rPr>
        <w:t xml:space="preserve"> to </w:t>
      </w:r>
      <w:r w:rsidRPr="0046360F">
        <w:rPr>
          <w:iCs/>
        </w:rPr>
        <w:t>75% from years 1</w:t>
      </w:r>
      <w:r w:rsidR="00216093" w:rsidRPr="0046360F">
        <w:rPr>
          <w:iCs/>
        </w:rPr>
        <w:t xml:space="preserve"> to </w:t>
      </w:r>
      <w:r w:rsidRPr="0046360F">
        <w:rPr>
          <w:iCs/>
        </w:rPr>
        <w:t>6.</w:t>
      </w:r>
      <w:r w:rsidRPr="0046360F">
        <w:t xml:space="preserve"> No source nor justification for the uptake rates was provided in the resubmission. </w:t>
      </w:r>
    </w:p>
    <w:p w:rsidR="00241B8E" w:rsidRPr="0046360F" w:rsidRDefault="00241B8E" w:rsidP="001F43FC">
      <w:pPr>
        <w:pStyle w:val="ListParagraph"/>
        <w:numPr>
          <w:ilvl w:val="0"/>
          <w:numId w:val="6"/>
        </w:numPr>
        <w:ind w:left="1134"/>
      </w:pPr>
      <w:r w:rsidRPr="0046360F">
        <w:rPr>
          <w:iCs/>
        </w:rPr>
        <w:t xml:space="preserve">The resubmission assumed that listing would occur in November 2021, and therefore reduced the number of continuing patients to be 2/12 months of what they would be if treated for a full year. </w:t>
      </w:r>
      <w:r w:rsidRPr="0046360F">
        <w:t>This significantly reduce</w:t>
      </w:r>
      <w:r w:rsidR="00F17289" w:rsidRPr="0046360F">
        <w:t>d</w:t>
      </w:r>
      <w:r w:rsidRPr="0046360F">
        <w:t xml:space="preserve"> the financial impact of year 1, and means that the utilisation and financial model does not cover 6 full years of listing, as required in the PBAC Guidelines</w:t>
      </w:r>
      <w:r w:rsidR="001A4520" w:rsidRPr="0046360F">
        <w:t xml:space="preserve"> (2016 v5.0)</w:t>
      </w:r>
      <w:r w:rsidRPr="0046360F">
        <w:t xml:space="preserve">. </w:t>
      </w:r>
    </w:p>
    <w:p w:rsidR="008E6864" w:rsidRPr="0046360F" w:rsidRDefault="008E6864" w:rsidP="001F43FC">
      <w:pPr>
        <w:pStyle w:val="ListParagraph"/>
        <w:numPr>
          <w:ilvl w:val="0"/>
          <w:numId w:val="6"/>
        </w:numPr>
        <w:ind w:left="1134"/>
      </w:pPr>
      <w:r w:rsidRPr="0046360F">
        <w:rPr>
          <w:iCs/>
        </w:rPr>
        <w:t xml:space="preserve">Whereas the economic model included the costs of screening </w:t>
      </w:r>
      <w:r w:rsidR="00216093" w:rsidRPr="0046360F">
        <w:rPr>
          <w:iCs/>
        </w:rPr>
        <w:t xml:space="preserve">patients </w:t>
      </w:r>
      <w:r w:rsidRPr="0046360F">
        <w:rPr>
          <w:iCs/>
        </w:rPr>
        <w:t xml:space="preserve">with suspected ATTR-CM who are not eligible for tafamidis (it was assumed that 10.84 </w:t>
      </w:r>
      <w:r w:rsidR="00216093" w:rsidRPr="0046360F">
        <w:rPr>
          <w:iCs/>
        </w:rPr>
        <w:t xml:space="preserve">patients </w:t>
      </w:r>
      <w:r w:rsidRPr="0046360F">
        <w:rPr>
          <w:iCs/>
        </w:rPr>
        <w:t>were screened for each treated tafamidis patient), the financial estimates only included the costs of screening associated with patients who are treated with tafamidis, and the costs of diagnostic testing were therefore likely to be significantly underestimated.</w:t>
      </w:r>
    </w:p>
    <w:p w:rsidR="00241B8E" w:rsidRPr="0046360F" w:rsidRDefault="000A4D0F" w:rsidP="000A4D0F">
      <w:pPr>
        <w:pStyle w:val="3-SubsectionHeading"/>
      </w:pPr>
      <w:r w:rsidRPr="0046360F">
        <w:t>Quality Use of Medicines</w:t>
      </w:r>
    </w:p>
    <w:p w:rsidR="006319D5" w:rsidRPr="0046360F" w:rsidRDefault="006319D5" w:rsidP="00BF610C">
      <w:pPr>
        <w:pStyle w:val="ExecSumBodyText"/>
      </w:pPr>
      <w:r w:rsidRPr="0046360F">
        <w:t xml:space="preserve">The PSCR </w:t>
      </w:r>
      <w:r w:rsidR="000A4D0F" w:rsidRPr="0046360F">
        <w:t xml:space="preserve">reiterated </w:t>
      </w:r>
      <w:r w:rsidRPr="0046360F">
        <w:t>the sponsor’s intent</w:t>
      </w:r>
      <w:r w:rsidR="00BF610C" w:rsidRPr="0046360F">
        <w:t>ion</w:t>
      </w:r>
      <w:r w:rsidRPr="0046360F">
        <w:t xml:space="preserve"> to support an ATTR-CM registry in Australia.</w:t>
      </w:r>
      <w:r w:rsidR="00BF610C" w:rsidRPr="0046360F">
        <w:t xml:space="preserve"> The resubmission stated that the registry will enable the monitoring of overall survival and surrogate outcomes measures, and will provide further information on the condition as well as the treatment outcomes.</w:t>
      </w:r>
    </w:p>
    <w:p w:rsidR="00241B8E" w:rsidRPr="0046360F" w:rsidRDefault="00241B8E" w:rsidP="00241B8E">
      <w:pPr>
        <w:pStyle w:val="3-SubsectionHeading"/>
      </w:pPr>
      <w:bookmarkStart w:id="47" w:name="_Toc62050870"/>
      <w:r w:rsidRPr="0046360F">
        <w:t>Financial Management – Risk Sharing Arrangements</w:t>
      </w:r>
      <w:bookmarkEnd w:id="47"/>
    </w:p>
    <w:p w:rsidR="00241B8E" w:rsidRPr="0046360F" w:rsidRDefault="00B5015C" w:rsidP="00241B8E">
      <w:pPr>
        <w:pStyle w:val="ExecSumBodyText"/>
        <w:numPr>
          <w:ilvl w:val="1"/>
          <w:numId w:val="1"/>
        </w:numPr>
      </w:pPr>
      <w:r w:rsidRPr="0046360F">
        <w:t xml:space="preserve">In its consideration of the July 2020 tafamidis submission, the PBAC stated that a resubmission would need to include a risk sharing arrangement </w:t>
      </w:r>
      <w:r w:rsidR="00B71A9F" w:rsidRPr="0046360F">
        <w:t xml:space="preserve">(RSA) </w:t>
      </w:r>
      <w:r w:rsidRPr="0046360F">
        <w:t>that adequately addresses the uncertainties with the use of tafamidis in a broad population (para 7.19, Tafamidis PSD, July 2020 PBAC meeting). The resubmission presented alternative estimates of the eligible patient size, based on patients with NYHA class I/II or non-persistent NYHA class III symptoms at baseline, which the resubmission claimed have made the estimates more reliable. Although the sponsor proposed to enter a</w:t>
      </w:r>
      <w:r w:rsidR="00B71A9F">
        <w:t>n RSA</w:t>
      </w:r>
      <w:r w:rsidRPr="0046360F">
        <w:t xml:space="preserve"> with caps and rebates to manage uncertainty, d</w:t>
      </w:r>
      <w:r w:rsidR="00241B8E" w:rsidRPr="0046360F">
        <w:t xml:space="preserve">etails of a proposed </w:t>
      </w:r>
      <w:r w:rsidR="00B71A9F">
        <w:t xml:space="preserve">RSA </w:t>
      </w:r>
      <w:r w:rsidR="00241B8E" w:rsidRPr="0046360F">
        <w:t xml:space="preserve">were not included in the resubmission, but the sponsor </w:t>
      </w:r>
      <w:r w:rsidR="00A32005" w:rsidRPr="0046360F">
        <w:t>stated a</w:t>
      </w:r>
      <w:r w:rsidR="00241B8E" w:rsidRPr="0046360F">
        <w:t xml:space="preserve"> willing</w:t>
      </w:r>
      <w:r w:rsidR="00A32005" w:rsidRPr="0046360F">
        <w:t>ness</w:t>
      </w:r>
      <w:r w:rsidR="00241B8E" w:rsidRPr="0046360F">
        <w:t xml:space="preserve"> to work with the PBAC and PBAC Secretariat to develop a mutually acceptable agreement. </w:t>
      </w:r>
      <w:r w:rsidR="002F5B25" w:rsidRPr="0046360F">
        <w:t xml:space="preserve">The ESC </w:t>
      </w:r>
      <w:r w:rsidR="000A4D0F" w:rsidRPr="0046360F">
        <w:t xml:space="preserve">and PBAC </w:t>
      </w:r>
      <w:r w:rsidR="00BF610C" w:rsidRPr="0046360F">
        <w:t>reiterated</w:t>
      </w:r>
      <w:r w:rsidR="002F5B25" w:rsidRPr="0046360F">
        <w:t xml:space="preserve"> that a</w:t>
      </w:r>
      <w:r w:rsidR="00B71A9F">
        <w:t xml:space="preserve">n RSA </w:t>
      </w:r>
      <w:r w:rsidR="002F5B25" w:rsidRPr="0046360F">
        <w:t>would be required.</w:t>
      </w:r>
    </w:p>
    <w:p w:rsidR="00526C53" w:rsidRPr="0046360F" w:rsidRDefault="00D87FC2" w:rsidP="0093229C">
      <w:pPr>
        <w:pStyle w:val="ExecSumBodyText"/>
        <w:numPr>
          <w:ilvl w:val="0"/>
          <w:numId w:val="0"/>
        </w:numPr>
        <w:rPr>
          <w:i/>
        </w:rPr>
      </w:pPr>
      <w:r w:rsidRPr="0046360F">
        <w:rPr>
          <w:i/>
        </w:rPr>
        <w:t>For more detail on the PBAC’s view, see section 7 PBAC outcome.</w:t>
      </w:r>
    </w:p>
    <w:p w:rsidR="00526C53" w:rsidRPr="0046360F" w:rsidRDefault="00526C53" w:rsidP="00A67187">
      <w:pPr>
        <w:pStyle w:val="2-SectionHeading"/>
        <w:numPr>
          <w:ilvl w:val="0"/>
          <w:numId w:val="1"/>
        </w:numPr>
      </w:pPr>
      <w:r w:rsidRPr="0046360F">
        <w:t>PBAC Outcome</w:t>
      </w:r>
    </w:p>
    <w:p w:rsidR="00A55590" w:rsidRPr="0046360F" w:rsidRDefault="00526C53" w:rsidP="00A55590">
      <w:pPr>
        <w:pStyle w:val="ExecSumBodyText"/>
        <w:rPr>
          <w:lang w:eastAsia="en-US"/>
        </w:rPr>
      </w:pPr>
      <w:r w:rsidRPr="0046360F">
        <w:rPr>
          <w:lang w:eastAsia="en-US"/>
        </w:rPr>
        <w:t>The PBAC did not recommend</w:t>
      </w:r>
      <w:r w:rsidR="00195D5B" w:rsidRPr="0046360F">
        <w:rPr>
          <w:lang w:eastAsia="en-US"/>
        </w:rPr>
        <w:t xml:space="preserve"> tafamidis for the treatment of patients with transthyretin amyloid cardiomyopathy (ATTR-CM)</w:t>
      </w:r>
      <w:r w:rsidRPr="0046360F">
        <w:rPr>
          <w:lang w:eastAsia="en-US"/>
        </w:rPr>
        <w:t xml:space="preserve">. </w:t>
      </w:r>
      <w:r w:rsidR="00A55590" w:rsidRPr="0046360F">
        <w:rPr>
          <w:lang w:eastAsia="en-US"/>
        </w:rPr>
        <w:t xml:space="preserve">The PBAC acknowledged again the </w:t>
      </w:r>
      <w:r w:rsidR="00AC3E47" w:rsidRPr="0046360F">
        <w:rPr>
          <w:lang w:eastAsia="en-US"/>
        </w:rPr>
        <w:t xml:space="preserve">high unmet </w:t>
      </w:r>
      <w:r w:rsidR="00A55590" w:rsidRPr="0046360F">
        <w:rPr>
          <w:lang w:eastAsia="en-US"/>
        </w:rPr>
        <w:t xml:space="preserve">need for treatments for this condition, and recognised that the resubmission had </w:t>
      </w:r>
      <w:r w:rsidR="003029A6" w:rsidRPr="0046360F">
        <w:rPr>
          <w:lang w:eastAsia="en-US"/>
        </w:rPr>
        <w:t xml:space="preserve">partially </w:t>
      </w:r>
      <w:r w:rsidR="00A55590" w:rsidRPr="0046360F">
        <w:rPr>
          <w:lang w:eastAsia="en-US"/>
        </w:rPr>
        <w:t xml:space="preserve">addressed a number of the PBAC’s previous </w:t>
      </w:r>
      <w:r w:rsidR="002A6536" w:rsidRPr="0046360F">
        <w:rPr>
          <w:lang w:eastAsia="en-US"/>
        </w:rPr>
        <w:t>concerns</w:t>
      </w:r>
      <w:r w:rsidR="00A55590" w:rsidRPr="0046360F">
        <w:rPr>
          <w:lang w:eastAsia="en-US"/>
        </w:rPr>
        <w:t>. However, it considered that a further price reduction would be needed to reach an acceptable incremental cost-effectiveness ratio</w:t>
      </w:r>
      <w:r w:rsidR="00143704" w:rsidRPr="0046360F">
        <w:rPr>
          <w:lang w:eastAsia="en-US"/>
        </w:rPr>
        <w:t xml:space="preserve"> (ICER)</w:t>
      </w:r>
      <w:r w:rsidR="00A55590" w:rsidRPr="0046360F">
        <w:rPr>
          <w:lang w:eastAsia="en-US"/>
        </w:rPr>
        <w:t xml:space="preserve">, and a </w:t>
      </w:r>
      <w:r w:rsidR="00636FA9" w:rsidRPr="0046360F">
        <w:rPr>
          <w:lang w:eastAsia="en-US"/>
        </w:rPr>
        <w:t>Risk Sharing Arrangement (RSA)</w:t>
      </w:r>
      <w:r w:rsidR="00A55590" w:rsidRPr="0046360F">
        <w:rPr>
          <w:lang w:eastAsia="en-US"/>
        </w:rPr>
        <w:t xml:space="preserve"> was needed to manage the high risk of use above the submission’s estimates.</w:t>
      </w:r>
    </w:p>
    <w:p w:rsidR="00CF3629" w:rsidRPr="0046360F" w:rsidRDefault="00CF3629" w:rsidP="00CF3629">
      <w:pPr>
        <w:pStyle w:val="ExecSumBodyText"/>
        <w:rPr>
          <w:bCs/>
          <w:lang w:eastAsia="en-US"/>
        </w:rPr>
      </w:pPr>
      <w:r w:rsidRPr="0046360F">
        <w:rPr>
          <w:bCs/>
          <w:lang w:eastAsia="en-US"/>
        </w:rPr>
        <w:t xml:space="preserve">The PBAC acknowledged the consumer comments in continued support of listing tafamidis, and recognised the ongoing impact that a lack of PBS therapies for this condition was having on patients’ </w:t>
      </w:r>
      <w:r w:rsidR="007A7A5E" w:rsidRPr="0046360F">
        <w:rPr>
          <w:bCs/>
          <w:lang w:eastAsia="en-US"/>
        </w:rPr>
        <w:t xml:space="preserve">prognosis and </w:t>
      </w:r>
      <w:r w:rsidRPr="0046360F">
        <w:rPr>
          <w:bCs/>
          <w:lang w:eastAsia="en-US"/>
        </w:rPr>
        <w:t xml:space="preserve">quality of life. </w:t>
      </w:r>
    </w:p>
    <w:p w:rsidR="00A33CF5" w:rsidRPr="0046360F" w:rsidRDefault="00CF3629" w:rsidP="00A33CF5">
      <w:pPr>
        <w:pStyle w:val="ExecSumBodyText"/>
        <w:rPr>
          <w:lang w:eastAsia="en-US"/>
        </w:rPr>
      </w:pPr>
      <w:r w:rsidRPr="0046360F">
        <w:t>The resubmission again positioned tafamidis as a disease modifying treatment in addition to or in place of standard management of ATTR-CM heart failure, in patients with ATTR-CM related heart failure confirmed by bone scintigraphy</w:t>
      </w:r>
      <w:r w:rsidR="004A2044">
        <w:t xml:space="preserve">, </w:t>
      </w:r>
      <w:r w:rsidRPr="0046360F">
        <w:t>histological confirmation of transthyretin precursor protein in cardiac tissue, and immunochemistry or mass spectrometry as required, with or without gene testing.</w:t>
      </w:r>
      <w:r w:rsidR="00A33CF5" w:rsidRPr="0046360F">
        <w:t xml:space="preserve"> </w:t>
      </w:r>
      <w:r w:rsidR="00A33CF5" w:rsidRPr="0046360F">
        <w:rPr>
          <w:bCs/>
          <w:lang w:eastAsia="en-US"/>
        </w:rPr>
        <w:t>The PBAC noted that standard management remained the appropriate comparator.</w:t>
      </w:r>
    </w:p>
    <w:p w:rsidR="004D2162" w:rsidRPr="0046360F" w:rsidRDefault="00E57E06" w:rsidP="005B4910">
      <w:pPr>
        <w:pStyle w:val="ExecSumBodyText"/>
        <w:rPr>
          <w:bCs/>
          <w:lang w:eastAsia="en-US"/>
        </w:rPr>
      </w:pPr>
      <w:r w:rsidRPr="0046360F">
        <w:rPr>
          <w:lang w:eastAsia="en-US"/>
        </w:rPr>
        <w:t xml:space="preserve">The PBAC </w:t>
      </w:r>
      <w:r w:rsidR="00652784" w:rsidRPr="0046360F">
        <w:rPr>
          <w:lang w:eastAsia="en-US"/>
        </w:rPr>
        <w:t xml:space="preserve">recalled its </w:t>
      </w:r>
      <w:r w:rsidR="004D2162" w:rsidRPr="0046360F">
        <w:rPr>
          <w:lang w:eastAsia="en-US"/>
        </w:rPr>
        <w:t xml:space="preserve">previous position that </w:t>
      </w:r>
      <w:r w:rsidR="00652784" w:rsidRPr="0046360F">
        <w:rPr>
          <w:lang w:eastAsia="en-US"/>
        </w:rPr>
        <w:t>the requested restriction should more closely align with the</w:t>
      </w:r>
      <w:r w:rsidR="004D2162" w:rsidRPr="0046360F">
        <w:rPr>
          <w:lang w:eastAsia="en-US"/>
        </w:rPr>
        <w:t xml:space="preserve"> pivotal</w:t>
      </w:r>
      <w:r w:rsidR="00652784" w:rsidRPr="0046360F">
        <w:rPr>
          <w:lang w:eastAsia="en-US"/>
        </w:rPr>
        <w:t xml:space="preserve"> ATTR-ACT trial inclusion and exclusion criteria</w:t>
      </w:r>
      <w:r w:rsidR="004D2162" w:rsidRPr="0046360F">
        <w:rPr>
          <w:lang w:eastAsia="en-US"/>
        </w:rPr>
        <w:t xml:space="preserve">, and that </w:t>
      </w:r>
      <w:r w:rsidR="002A6536" w:rsidRPr="0046360F">
        <w:rPr>
          <w:lang w:eastAsia="en-US"/>
        </w:rPr>
        <w:t xml:space="preserve">specific </w:t>
      </w:r>
      <w:r w:rsidR="004D2162" w:rsidRPr="0046360F">
        <w:rPr>
          <w:lang w:eastAsia="en-US"/>
        </w:rPr>
        <w:t xml:space="preserve">discontinuation criteria should be included in the restriction (see </w:t>
      </w:r>
      <w:r w:rsidR="00C170ED" w:rsidRPr="0046360F">
        <w:t xml:space="preserve">Table </w:t>
      </w:r>
      <w:r w:rsidR="00C170ED">
        <w:rPr>
          <w:noProof/>
        </w:rPr>
        <w:t>2</w:t>
      </w:r>
      <w:r w:rsidR="004D2162" w:rsidRPr="0046360F">
        <w:rPr>
          <w:lang w:eastAsia="en-US"/>
        </w:rPr>
        <w:t xml:space="preserve">). The PBAC </w:t>
      </w:r>
      <w:r w:rsidR="00063E03" w:rsidRPr="0046360F">
        <w:rPr>
          <w:lang w:eastAsia="en-US"/>
        </w:rPr>
        <w:t>considered</w:t>
      </w:r>
      <w:r w:rsidR="004D2162" w:rsidRPr="0046360F">
        <w:rPr>
          <w:lang w:eastAsia="en-US"/>
        </w:rPr>
        <w:t xml:space="preserve"> that the resubmission had largely addressed these matters</w:t>
      </w:r>
      <w:r w:rsidR="00063E03" w:rsidRPr="0046360F">
        <w:rPr>
          <w:lang w:eastAsia="en-US"/>
        </w:rPr>
        <w:t xml:space="preserve">, </w:t>
      </w:r>
      <w:r w:rsidR="006A3980" w:rsidRPr="0046360F">
        <w:rPr>
          <w:lang w:eastAsia="en-US"/>
        </w:rPr>
        <w:t>noting two exceptions:</w:t>
      </w:r>
    </w:p>
    <w:p w:rsidR="00652784" w:rsidRPr="0046360F" w:rsidRDefault="00143704" w:rsidP="005B4910">
      <w:pPr>
        <w:pStyle w:val="ListParagraph"/>
        <w:numPr>
          <w:ilvl w:val="0"/>
          <w:numId w:val="6"/>
        </w:numPr>
        <w:spacing w:after="120"/>
        <w:ind w:left="1134"/>
        <w:contextualSpacing w:val="0"/>
        <w:rPr>
          <w:bCs/>
          <w:lang w:eastAsia="en-US"/>
        </w:rPr>
      </w:pPr>
      <w:r w:rsidRPr="0046360F">
        <w:rPr>
          <w:lang w:eastAsia="en-US"/>
        </w:rPr>
        <w:t xml:space="preserve">The </w:t>
      </w:r>
      <w:r w:rsidRPr="0046360F">
        <w:rPr>
          <w:bCs/>
          <w:lang w:eastAsia="en-US"/>
        </w:rPr>
        <w:t>resubmission</w:t>
      </w:r>
      <w:r w:rsidRPr="0046360F">
        <w:rPr>
          <w:lang w:eastAsia="en-US"/>
        </w:rPr>
        <w:t xml:space="preserve"> maintained that tafamidis should be able to be prescribed by not only specialist cardiologists, but also </w:t>
      </w:r>
      <w:r w:rsidR="00652784" w:rsidRPr="0046360F">
        <w:rPr>
          <w:bCs/>
          <w:lang w:eastAsia="en-US"/>
        </w:rPr>
        <w:t>consultant physicians with experience in amyloid disorders</w:t>
      </w:r>
      <w:r w:rsidRPr="0046360F">
        <w:rPr>
          <w:bCs/>
          <w:lang w:eastAsia="en-US"/>
        </w:rPr>
        <w:t xml:space="preserve">. The PBAC considered this </w:t>
      </w:r>
      <w:r w:rsidR="006E1340" w:rsidRPr="0046360F">
        <w:rPr>
          <w:bCs/>
          <w:lang w:eastAsia="en-US"/>
        </w:rPr>
        <w:t xml:space="preserve">was </w:t>
      </w:r>
      <w:r w:rsidRPr="0046360F">
        <w:rPr>
          <w:bCs/>
          <w:lang w:eastAsia="en-US"/>
        </w:rPr>
        <w:t xml:space="preserve">acceptable, noting advice that ATTR-CM is currently </w:t>
      </w:r>
      <w:r w:rsidR="00EB1F6A" w:rsidRPr="0046360F">
        <w:rPr>
          <w:bCs/>
          <w:lang w:eastAsia="en-US"/>
        </w:rPr>
        <w:t>diagnosed and treated</w:t>
      </w:r>
      <w:r w:rsidRPr="0046360F">
        <w:rPr>
          <w:bCs/>
          <w:lang w:eastAsia="en-US"/>
        </w:rPr>
        <w:t xml:space="preserve"> in specialist amyloid centres, where consultant physicians may be managing </w:t>
      </w:r>
      <w:r w:rsidR="00EB1F6A" w:rsidRPr="0046360F">
        <w:rPr>
          <w:bCs/>
          <w:lang w:eastAsia="en-US"/>
        </w:rPr>
        <w:t xml:space="preserve">these </w:t>
      </w:r>
      <w:r w:rsidRPr="0046360F">
        <w:rPr>
          <w:bCs/>
          <w:lang w:eastAsia="en-US"/>
        </w:rPr>
        <w:t xml:space="preserve">patients. </w:t>
      </w:r>
    </w:p>
    <w:p w:rsidR="00EB1F6A" w:rsidRPr="0046360F" w:rsidRDefault="00EB1F6A" w:rsidP="006A3980">
      <w:pPr>
        <w:pStyle w:val="ListParagraph"/>
        <w:numPr>
          <w:ilvl w:val="0"/>
          <w:numId w:val="6"/>
        </w:numPr>
        <w:spacing w:after="240"/>
        <w:ind w:left="1134"/>
        <w:rPr>
          <w:bCs/>
          <w:lang w:eastAsia="en-US"/>
        </w:rPr>
      </w:pPr>
      <w:r w:rsidRPr="0046360F">
        <w:rPr>
          <w:lang w:eastAsia="en-US"/>
        </w:rPr>
        <w:t xml:space="preserve">The resubmission proposed to limit tafamidis </w:t>
      </w:r>
      <w:r w:rsidR="00652784" w:rsidRPr="0046360F">
        <w:rPr>
          <w:lang w:eastAsia="en-US"/>
        </w:rPr>
        <w:t>eligibility</w:t>
      </w:r>
      <w:r w:rsidRPr="0046360F">
        <w:rPr>
          <w:lang w:eastAsia="en-US"/>
        </w:rPr>
        <w:t xml:space="preserve"> </w:t>
      </w:r>
      <w:r w:rsidR="00652784" w:rsidRPr="0046360F">
        <w:rPr>
          <w:lang w:eastAsia="en-US"/>
        </w:rPr>
        <w:t>to patients with NYHA class I and II heart failure on initiation</w:t>
      </w:r>
      <w:r w:rsidRPr="0046360F">
        <w:rPr>
          <w:lang w:eastAsia="en-US"/>
        </w:rPr>
        <w:t xml:space="preserve"> (including p</w:t>
      </w:r>
      <w:r w:rsidR="00652784" w:rsidRPr="0046360F">
        <w:rPr>
          <w:lang w:eastAsia="en-US"/>
        </w:rPr>
        <w:t>atients with NYHA class III heart failure who return to NYHA class II with adequate management</w:t>
      </w:r>
      <w:r w:rsidRPr="0046360F">
        <w:rPr>
          <w:lang w:eastAsia="en-US"/>
        </w:rPr>
        <w:t>). Under the proposed restriction, pa</w:t>
      </w:r>
      <w:r w:rsidR="00652784" w:rsidRPr="0046360F">
        <w:rPr>
          <w:lang w:eastAsia="en-US"/>
        </w:rPr>
        <w:t>tients with persistent NYHA class III</w:t>
      </w:r>
      <w:r w:rsidRPr="0046360F">
        <w:rPr>
          <w:lang w:eastAsia="en-US"/>
        </w:rPr>
        <w:t xml:space="preserve"> </w:t>
      </w:r>
      <w:r w:rsidR="008B4C89" w:rsidRPr="0046360F">
        <w:rPr>
          <w:lang w:eastAsia="en-US"/>
        </w:rPr>
        <w:t>would be</w:t>
      </w:r>
      <w:r w:rsidR="00652784" w:rsidRPr="0046360F">
        <w:rPr>
          <w:lang w:eastAsia="en-US"/>
        </w:rPr>
        <w:t xml:space="preserve"> ineligible</w:t>
      </w:r>
      <w:r w:rsidRPr="0046360F">
        <w:rPr>
          <w:lang w:eastAsia="en-US"/>
        </w:rPr>
        <w:t xml:space="preserve"> to initiate tafamidis, but </w:t>
      </w:r>
      <w:r w:rsidR="00652784" w:rsidRPr="0046360F">
        <w:rPr>
          <w:lang w:eastAsia="en-US"/>
        </w:rPr>
        <w:t xml:space="preserve">patients progressing to NYHA stage III </w:t>
      </w:r>
      <w:r w:rsidRPr="0046360F">
        <w:rPr>
          <w:lang w:eastAsia="en-US"/>
        </w:rPr>
        <w:t xml:space="preserve">whilst on treatment </w:t>
      </w:r>
      <w:r w:rsidR="008B4C89" w:rsidRPr="0046360F">
        <w:rPr>
          <w:lang w:eastAsia="en-US"/>
        </w:rPr>
        <w:t>would be able to</w:t>
      </w:r>
      <w:r w:rsidRPr="0046360F">
        <w:rPr>
          <w:lang w:eastAsia="en-US"/>
        </w:rPr>
        <w:t xml:space="preserve"> </w:t>
      </w:r>
      <w:r w:rsidR="00652784" w:rsidRPr="0046360F">
        <w:rPr>
          <w:lang w:eastAsia="en-US"/>
        </w:rPr>
        <w:t xml:space="preserve">continue </w:t>
      </w:r>
      <w:r w:rsidRPr="0046360F">
        <w:rPr>
          <w:lang w:eastAsia="en-US"/>
        </w:rPr>
        <w:t>with PBS-subsidised therapy</w:t>
      </w:r>
      <w:r w:rsidR="00652784" w:rsidRPr="0046360F">
        <w:rPr>
          <w:lang w:eastAsia="en-US"/>
        </w:rPr>
        <w:t>.</w:t>
      </w:r>
      <w:r w:rsidRPr="0046360F">
        <w:rPr>
          <w:lang w:eastAsia="en-US"/>
        </w:rPr>
        <w:t xml:space="preserve"> The PBAC noted that this amendment to the </w:t>
      </w:r>
      <w:r w:rsidR="00201985" w:rsidRPr="0046360F">
        <w:rPr>
          <w:lang w:eastAsia="en-US"/>
        </w:rPr>
        <w:t>patient population</w:t>
      </w:r>
      <w:r w:rsidRPr="0046360F">
        <w:rPr>
          <w:lang w:eastAsia="en-US"/>
        </w:rPr>
        <w:t xml:space="preserve"> was proposed in an attempt to address its previous concern that the magnitude of the benefit of tafamidis with baseline </w:t>
      </w:r>
      <w:r w:rsidR="00B71A9F" w:rsidRPr="0046360F">
        <w:rPr>
          <w:lang w:eastAsia="en-US"/>
        </w:rPr>
        <w:t>NYHA</w:t>
      </w:r>
      <w:r w:rsidRPr="0046360F">
        <w:rPr>
          <w:lang w:eastAsia="en-US"/>
        </w:rPr>
        <w:t xml:space="preserve"> class III was</w:t>
      </w:r>
      <w:r w:rsidR="006E1340" w:rsidRPr="0046360F">
        <w:rPr>
          <w:lang w:eastAsia="en-US"/>
        </w:rPr>
        <w:t xml:space="preserve"> uncertain. </w:t>
      </w:r>
      <w:r w:rsidR="00201985" w:rsidRPr="0046360F">
        <w:rPr>
          <w:lang w:eastAsia="en-US"/>
        </w:rPr>
        <w:t xml:space="preserve">However, the PBAC considered that the proportion of patients with </w:t>
      </w:r>
      <w:r w:rsidR="008B4C89" w:rsidRPr="0046360F">
        <w:rPr>
          <w:lang w:eastAsia="en-US"/>
        </w:rPr>
        <w:t>non-</w:t>
      </w:r>
      <w:r w:rsidR="00201985" w:rsidRPr="0046360F">
        <w:rPr>
          <w:lang w:eastAsia="en-US"/>
        </w:rPr>
        <w:t xml:space="preserve">persistent </w:t>
      </w:r>
      <w:r w:rsidR="00B71A9F" w:rsidRPr="0046360F">
        <w:rPr>
          <w:lang w:eastAsia="en-US"/>
        </w:rPr>
        <w:t>NYHA</w:t>
      </w:r>
      <w:r w:rsidR="00201985" w:rsidRPr="0046360F">
        <w:rPr>
          <w:lang w:eastAsia="en-US"/>
        </w:rPr>
        <w:t xml:space="preserve"> class III heart failure </w:t>
      </w:r>
      <w:r w:rsidR="008B4C89" w:rsidRPr="0046360F">
        <w:rPr>
          <w:lang w:eastAsia="en-US"/>
        </w:rPr>
        <w:t>was uncertain</w:t>
      </w:r>
      <w:r w:rsidR="00201985" w:rsidRPr="0046360F">
        <w:rPr>
          <w:lang w:eastAsia="en-US"/>
        </w:rPr>
        <w:t>.</w:t>
      </w:r>
    </w:p>
    <w:p w:rsidR="00B22EE6" w:rsidRPr="0046360F" w:rsidRDefault="004D2162" w:rsidP="006A3980">
      <w:pPr>
        <w:pStyle w:val="ExecSumBodyText"/>
      </w:pPr>
      <w:r w:rsidRPr="0046360F">
        <w:t>T</w:t>
      </w:r>
      <w:r w:rsidR="00B22EE6" w:rsidRPr="0046360F">
        <w:t xml:space="preserve">he </w:t>
      </w:r>
      <w:r w:rsidR="00201985" w:rsidRPr="0046360F">
        <w:t xml:space="preserve">submission </w:t>
      </w:r>
      <w:r w:rsidR="00D5245A" w:rsidRPr="003B5808">
        <w:t xml:space="preserve">assumed </w:t>
      </w:r>
      <w:r w:rsidR="003B5808">
        <w:t>&lt;500</w:t>
      </w:r>
      <w:r w:rsidR="00D5245A" w:rsidRPr="0046360F">
        <w:t xml:space="preserve"> patients receiving non-PBS subsidised tafamidis would require grandfathering on to the PBS</w:t>
      </w:r>
      <w:r w:rsidR="001610A7">
        <w:t>; restriction wording was not proposed</w:t>
      </w:r>
      <w:r w:rsidR="00D5245A" w:rsidRPr="0046360F">
        <w:t>.</w:t>
      </w:r>
      <w:r w:rsidR="001610A7">
        <w:t xml:space="preserve"> </w:t>
      </w:r>
      <w:r w:rsidR="00D5245A" w:rsidRPr="0046360F">
        <w:t xml:space="preserve">The </w:t>
      </w:r>
      <w:r w:rsidR="00B22EE6" w:rsidRPr="0046360F">
        <w:t xml:space="preserve">PBAC </w:t>
      </w:r>
      <w:r w:rsidR="00D5245A" w:rsidRPr="0046360F">
        <w:t>considered that</w:t>
      </w:r>
      <w:r w:rsidR="00B22EE6" w:rsidRPr="0046360F">
        <w:t xml:space="preserve"> </w:t>
      </w:r>
      <w:r w:rsidR="00D5245A" w:rsidRPr="0046360F">
        <w:t xml:space="preserve">patients with Class I and II heart failure would be able to initiate via the proposed PBS restriction, although patients </w:t>
      </w:r>
      <w:r w:rsidR="00B22EE6" w:rsidRPr="0046360F">
        <w:t xml:space="preserve">who </w:t>
      </w:r>
      <w:r w:rsidR="00D5245A" w:rsidRPr="0046360F">
        <w:t xml:space="preserve">had </w:t>
      </w:r>
      <w:r w:rsidR="00B22EE6" w:rsidRPr="0046360F">
        <w:t>progressed from NYHA class II to NYHA class III heart failure during non</w:t>
      </w:r>
      <w:r w:rsidRPr="0046360F">
        <w:t>-PBS-</w:t>
      </w:r>
      <w:r w:rsidR="00B22EE6" w:rsidRPr="0046360F">
        <w:t>subsidised treatment</w:t>
      </w:r>
      <w:r w:rsidR="00D5245A" w:rsidRPr="0046360F">
        <w:t xml:space="preserve"> would </w:t>
      </w:r>
      <w:r w:rsidR="00B22EE6" w:rsidRPr="0046360F">
        <w:t xml:space="preserve">require a </w:t>
      </w:r>
      <w:r w:rsidR="00D5245A" w:rsidRPr="0046360F">
        <w:t>separate grandfathering restriction</w:t>
      </w:r>
      <w:r w:rsidR="00B22EE6" w:rsidRPr="0046360F">
        <w:t>.</w:t>
      </w:r>
    </w:p>
    <w:p w:rsidR="005E20BB" w:rsidRPr="0046360F" w:rsidRDefault="00FE4286" w:rsidP="00753E70">
      <w:pPr>
        <w:pStyle w:val="ExecSumBodyText"/>
        <w:rPr>
          <w:lang w:eastAsia="en-US"/>
        </w:rPr>
      </w:pPr>
      <w:r w:rsidRPr="0046360F">
        <w:rPr>
          <w:bCs/>
          <w:lang w:eastAsia="en-US"/>
        </w:rPr>
        <w:t>The</w:t>
      </w:r>
      <w:r w:rsidR="00CF3629" w:rsidRPr="0046360F">
        <w:rPr>
          <w:bCs/>
          <w:lang w:eastAsia="en-US"/>
        </w:rPr>
        <w:t xml:space="preserve"> </w:t>
      </w:r>
      <w:r w:rsidRPr="0046360F">
        <w:rPr>
          <w:bCs/>
          <w:lang w:eastAsia="en-US"/>
        </w:rPr>
        <w:t xml:space="preserve">PBAC </w:t>
      </w:r>
      <w:r w:rsidR="00D5245A" w:rsidRPr="0046360F">
        <w:rPr>
          <w:bCs/>
          <w:lang w:eastAsia="en-US"/>
        </w:rPr>
        <w:t xml:space="preserve">recalled that it was previously concerned that </w:t>
      </w:r>
      <w:r w:rsidR="00CF3629" w:rsidRPr="0046360F">
        <w:rPr>
          <w:bCs/>
          <w:lang w:eastAsia="en-US"/>
        </w:rPr>
        <w:t xml:space="preserve">the positive predictive value of bone scintigraphy may not be reproduced in non-specialist centres </w:t>
      </w:r>
      <w:r w:rsidR="00753E70" w:rsidRPr="0046360F">
        <w:rPr>
          <w:bCs/>
          <w:lang w:eastAsia="en-US"/>
        </w:rPr>
        <w:t>given that interpretation of bone scans is potentially subjective</w:t>
      </w:r>
      <w:r w:rsidR="004762AB" w:rsidRPr="0046360F">
        <w:rPr>
          <w:bCs/>
          <w:lang w:eastAsia="en-US"/>
        </w:rPr>
        <w:t xml:space="preserve"> (</w:t>
      </w:r>
      <w:r w:rsidR="004762AB" w:rsidRPr="0046360F">
        <w:rPr>
          <w:lang w:eastAsia="en-US"/>
        </w:rPr>
        <w:t>para</w:t>
      </w:r>
      <w:r w:rsidR="00E66E6B" w:rsidRPr="0046360F">
        <w:rPr>
          <w:lang w:eastAsia="en-US"/>
        </w:rPr>
        <w:t>graph</w:t>
      </w:r>
      <w:r w:rsidR="004762AB" w:rsidRPr="0046360F">
        <w:rPr>
          <w:lang w:eastAsia="en-US"/>
        </w:rPr>
        <w:t xml:space="preserve"> 7.4, tafamidis PSD, July 2020 PBAC meeting)</w:t>
      </w:r>
      <w:r w:rsidR="00753E70" w:rsidRPr="0046360F">
        <w:rPr>
          <w:bCs/>
          <w:lang w:eastAsia="en-US"/>
        </w:rPr>
        <w:t xml:space="preserve">. </w:t>
      </w:r>
      <w:r w:rsidR="00A33CF5" w:rsidRPr="0046360F">
        <w:rPr>
          <w:bCs/>
          <w:lang w:eastAsia="en-US"/>
        </w:rPr>
        <w:t>The PBAC considered that the resubmission had satisfactorily</w:t>
      </w:r>
      <w:r w:rsidR="00753E70" w:rsidRPr="0046360F">
        <w:rPr>
          <w:bCs/>
          <w:lang w:eastAsia="en-US"/>
        </w:rPr>
        <w:t xml:space="preserve"> addressed this </w:t>
      </w:r>
      <w:r w:rsidR="00A33CF5" w:rsidRPr="0046360F">
        <w:rPr>
          <w:bCs/>
          <w:lang w:eastAsia="en-US"/>
        </w:rPr>
        <w:t>matter</w:t>
      </w:r>
      <w:r w:rsidR="00753E70" w:rsidRPr="0046360F">
        <w:rPr>
          <w:bCs/>
          <w:lang w:eastAsia="en-US"/>
        </w:rPr>
        <w:t xml:space="preserve">, as it </w:t>
      </w:r>
      <w:r w:rsidRPr="0046360F">
        <w:rPr>
          <w:bCs/>
          <w:lang w:eastAsia="en-US"/>
        </w:rPr>
        <w:t xml:space="preserve">presented expert opinion from a leading Australian nuclear medicine specialist </w:t>
      </w:r>
      <w:r w:rsidR="00A33CF5" w:rsidRPr="0046360F">
        <w:rPr>
          <w:bCs/>
          <w:lang w:eastAsia="en-US"/>
        </w:rPr>
        <w:t xml:space="preserve">stating </w:t>
      </w:r>
      <w:r w:rsidRPr="0046360F">
        <w:rPr>
          <w:bCs/>
          <w:lang w:eastAsia="en-US"/>
        </w:rPr>
        <w:t>that scans are able to be performed by all centres, and that reporting is now performed with standard criteria from consensus guidelines in Dorbala et al, 2019.</w:t>
      </w:r>
    </w:p>
    <w:p w:rsidR="004762AB" w:rsidRPr="0046360F" w:rsidRDefault="004762AB" w:rsidP="004762AB">
      <w:pPr>
        <w:pStyle w:val="ExecSumBodyText"/>
        <w:rPr>
          <w:bCs/>
          <w:lang w:eastAsia="en-US"/>
        </w:rPr>
      </w:pPr>
      <w:r w:rsidRPr="0046360F">
        <w:rPr>
          <w:lang w:eastAsia="en-US"/>
        </w:rPr>
        <w:t>The PBAC recalled that it had previously accepted the clinical claim that tafamidis is superior in efficacy compared with standard management, but that the magnitude of benefit in the Australian PBS population was uncertain due to uncertain efficacy in patients with NYHA class III heart failure, the differences in baseline risk of death between NYHA classes and TTR genotypes, and the uncertain applicability of the ATTR-ACT population to the Australian setting in terms of the distribution of NYHA classes. It also r</w:t>
      </w:r>
      <w:r w:rsidR="008569B1" w:rsidRPr="0046360F">
        <w:t>ecalled that results for key outcomes were similar for the 20 mg and 80 mg doses of tafamidis and that adequate justification for the 80 mg dose rather than the 20 mg had not been provided (para</w:t>
      </w:r>
      <w:r w:rsidRPr="0046360F">
        <w:t>graph</w:t>
      </w:r>
      <w:r w:rsidR="0093229C" w:rsidRPr="0046360F">
        <w:t>s</w:t>
      </w:r>
      <w:r w:rsidRPr="0046360F">
        <w:t xml:space="preserve"> 7.9 and</w:t>
      </w:r>
      <w:r w:rsidR="008569B1" w:rsidRPr="0046360F">
        <w:t> 7.10</w:t>
      </w:r>
      <w:r w:rsidR="000924BF" w:rsidRPr="0046360F">
        <w:t xml:space="preserve">, </w:t>
      </w:r>
      <w:r w:rsidRPr="0046360F">
        <w:rPr>
          <w:lang w:eastAsia="en-US"/>
        </w:rPr>
        <w:t>t</w:t>
      </w:r>
      <w:r w:rsidR="000924BF" w:rsidRPr="0046360F">
        <w:rPr>
          <w:lang w:eastAsia="en-US"/>
        </w:rPr>
        <w:t>afamidis PSD, July 2020</w:t>
      </w:r>
      <w:r w:rsidR="008569B1" w:rsidRPr="0046360F">
        <w:t>).</w:t>
      </w:r>
      <w:r w:rsidR="000924BF" w:rsidRPr="0046360F">
        <w:t xml:space="preserve"> </w:t>
      </w:r>
    </w:p>
    <w:p w:rsidR="00674108" w:rsidRPr="0046360F" w:rsidRDefault="00DE59D8" w:rsidP="00544CAA">
      <w:pPr>
        <w:pStyle w:val="ExecSumBodyText"/>
        <w:rPr>
          <w:bCs/>
          <w:lang w:eastAsia="en-US"/>
        </w:rPr>
      </w:pPr>
      <w:r w:rsidRPr="0046360F">
        <w:t>In response to these concerns, the resubmission amended the proposed PBS restriction</w:t>
      </w:r>
      <w:r w:rsidR="0018116C" w:rsidRPr="0046360F">
        <w:t xml:space="preserve"> </w:t>
      </w:r>
      <w:r w:rsidR="001A1212" w:rsidRPr="0046360F">
        <w:t xml:space="preserve">in terms of NYHA classes </w:t>
      </w:r>
      <w:r w:rsidR="0018116C" w:rsidRPr="0046360F">
        <w:t>(as noted above)</w:t>
      </w:r>
      <w:r w:rsidRPr="0046360F">
        <w:t>, and also presented additional clinical evidence</w:t>
      </w:r>
      <w:r w:rsidR="0018116C" w:rsidRPr="0046360F">
        <w:t xml:space="preserve">. The previous submission was based on the ATTR-ACT trial and B3461045 </w:t>
      </w:r>
      <w:r w:rsidR="00674108" w:rsidRPr="0046360F">
        <w:t xml:space="preserve">long term </w:t>
      </w:r>
      <w:r w:rsidR="0018116C" w:rsidRPr="0046360F">
        <w:t>extension study</w:t>
      </w:r>
      <w:r w:rsidR="003F4980" w:rsidRPr="0046360F">
        <w:t xml:space="preserve">, </w:t>
      </w:r>
      <w:r w:rsidR="00674108" w:rsidRPr="0046360F">
        <w:t>and</w:t>
      </w:r>
      <w:r w:rsidR="003F4980" w:rsidRPr="0046360F">
        <w:t xml:space="preserve"> th</w:t>
      </w:r>
      <w:r w:rsidR="0018116C" w:rsidRPr="0046360F">
        <w:t xml:space="preserve">e resubmission presented </w:t>
      </w:r>
      <w:r w:rsidRPr="0046360F">
        <w:t xml:space="preserve">new post hoc subgroup analyses of </w:t>
      </w:r>
      <w:r w:rsidR="003F4980" w:rsidRPr="0046360F">
        <w:t xml:space="preserve">the </w:t>
      </w:r>
      <w:r w:rsidRPr="0046360F">
        <w:t>ATTR-ACT</w:t>
      </w:r>
      <w:r w:rsidR="003F4980" w:rsidRPr="0046360F">
        <w:t xml:space="preserve"> trial</w:t>
      </w:r>
      <w:r w:rsidRPr="0046360F">
        <w:t>, further interim results from the ongoing B3461045</w:t>
      </w:r>
      <w:r w:rsidR="00674108" w:rsidRPr="0046360F">
        <w:t xml:space="preserve"> study</w:t>
      </w:r>
      <w:r w:rsidRPr="0046360F">
        <w:t>, and post hoc subgroup analyses of the combined ATTR-ACT and B3461045 data sets.</w:t>
      </w:r>
      <w:r w:rsidR="001A1212" w:rsidRPr="0046360F">
        <w:t xml:space="preserve"> In </w:t>
      </w:r>
      <w:r w:rsidR="00C23388" w:rsidRPr="0046360F">
        <w:t>reviewing</w:t>
      </w:r>
      <w:r w:rsidR="001A1212" w:rsidRPr="0046360F">
        <w:t xml:space="preserve"> this new evidence, the PBAC</w:t>
      </w:r>
      <w:r w:rsidR="00EA5C1D" w:rsidRPr="0046360F">
        <w:t xml:space="preserve">’s </w:t>
      </w:r>
      <w:r w:rsidR="00FE1BA6" w:rsidRPr="0046360F">
        <w:t xml:space="preserve">concerns </w:t>
      </w:r>
      <w:r w:rsidR="00EA5C1D" w:rsidRPr="0046360F">
        <w:t xml:space="preserve">regarding the magnitude of the benefit were lessened, </w:t>
      </w:r>
      <w:r w:rsidR="00906E81" w:rsidRPr="0046360F">
        <w:t>and although</w:t>
      </w:r>
      <w:r w:rsidR="00EA5C1D" w:rsidRPr="0046360F">
        <w:t xml:space="preserve"> a moderate</w:t>
      </w:r>
      <w:r w:rsidR="00906E81" w:rsidRPr="0046360F">
        <w:t xml:space="preserve"> amount of uncertainty remained, it recognised that tafamidis provided a substantial and clinically relevant improvement in efficacy overall.</w:t>
      </w:r>
      <w:r w:rsidR="00EA5C1D" w:rsidRPr="0046360F">
        <w:t xml:space="preserve"> The PBAC</w:t>
      </w:r>
      <w:r w:rsidR="001A1212" w:rsidRPr="0046360F">
        <w:t>:</w:t>
      </w:r>
    </w:p>
    <w:p w:rsidR="001A1212" w:rsidRPr="0046360F" w:rsidRDefault="001A1212" w:rsidP="00544CAA">
      <w:pPr>
        <w:pStyle w:val="ListParagraph"/>
        <w:numPr>
          <w:ilvl w:val="0"/>
          <w:numId w:val="6"/>
        </w:numPr>
        <w:spacing w:after="120"/>
        <w:ind w:left="1134"/>
        <w:contextualSpacing w:val="0"/>
        <w:rPr>
          <w:bCs/>
          <w:lang w:eastAsia="en-US"/>
        </w:rPr>
      </w:pPr>
      <w:r w:rsidRPr="0046360F">
        <w:rPr>
          <w:bCs/>
          <w:lang w:eastAsia="en-US"/>
        </w:rPr>
        <w:t>Recognised that limited data was available to assess the applicability of the ATTR-ACT trial to the Australian setting</w:t>
      </w:r>
      <w:r w:rsidR="000335A4" w:rsidRPr="0046360F">
        <w:rPr>
          <w:bCs/>
          <w:lang w:eastAsia="en-US"/>
        </w:rPr>
        <w:t xml:space="preserve">. </w:t>
      </w:r>
      <w:r w:rsidR="006517C1" w:rsidRPr="0046360F">
        <w:rPr>
          <w:bCs/>
          <w:lang w:eastAsia="en-US"/>
        </w:rPr>
        <w:t xml:space="preserve">Whilst the analyses </w:t>
      </w:r>
      <w:r w:rsidR="00DB5C33" w:rsidRPr="0046360F">
        <w:rPr>
          <w:bCs/>
          <w:lang w:eastAsia="en-US"/>
        </w:rPr>
        <w:t>presented</w:t>
      </w:r>
      <w:r w:rsidR="006517C1" w:rsidRPr="0046360F">
        <w:rPr>
          <w:bCs/>
          <w:lang w:eastAsia="en-US"/>
        </w:rPr>
        <w:t xml:space="preserve"> were not </w:t>
      </w:r>
      <w:r w:rsidR="00C46B31" w:rsidRPr="0046360F">
        <w:rPr>
          <w:bCs/>
          <w:lang w:eastAsia="en-US"/>
        </w:rPr>
        <w:t>indubitable</w:t>
      </w:r>
      <w:r w:rsidR="006517C1" w:rsidRPr="0046360F">
        <w:rPr>
          <w:bCs/>
          <w:lang w:eastAsia="en-US"/>
        </w:rPr>
        <w:t xml:space="preserve"> (see paragraph </w:t>
      </w:r>
      <w:r w:rsidR="00C170ED">
        <w:rPr>
          <w:bCs/>
          <w:lang w:eastAsia="en-US"/>
        </w:rPr>
        <w:t>6.</w:t>
      </w:r>
      <w:r w:rsidR="003B6AEA">
        <w:rPr>
          <w:bCs/>
          <w:lang w:eastAsia="en-US"/>
        </w:rPr>
        <w:t>11</w:t>
      </w:r>
      <w:r w:rsidR="006517C1" w:rsidRPr="0046360F">
        <w:rPr>
          <w:bCs/>
          <w:lang w:eastAsia="en-US"/>
        </w:rPr>
        <w:t xml:space="preserve">), the PBAC considered that it may be reasonable to assume that the Australian PBS population would increasingly reflect the ATTR-ACT trial population as </w:t>
      </w:r>
      <w:r w:rsidR="00764E9A" w:rsidRPr="0046360F">
        <w:rPr>
          <w:bCs/>
          <w:lang w:eastAsia="en-US"/>
        </w:rPr>
        <w:t>specific</w:t>
      </w:r>
      <w:r w:rsidR="006517C1" w:rsidRPr="0046360F">
        <w:rPr>
          <w:bCs/>
          <w:lang w:eastAsia="en-US"/>
        </w:rPr>
        <w:t xml:space="preserve"> investigation</w:t>
      </w:r>
      <w:r w:rsidR="00764E9A" w:rsidRPr="0046360F">
        <w:rPr>
          <w:bCs/>
          <w:lang w:eastAsia="en-US"/>
        </w:rPr>
        <w:t xml:space="preserve"> for ATTR-CM</w:t>
      </w:r>
      <w:r w:rsidR="006517C1" w:rsidRPr="0046360F">
        <w:rPr>
          <w:bCs/>
          <w:lang w:eastAsia="en-US"/>
        </w:rPr>
        <w:t xml:space="preserve"> </w:t>
      </w:r>
      <w:r w:rsidR="00DB5C33" w:rsidRPr="0046360F">
        <w:rPr>
          <w:bCs/>
          <w:lang w:eastAsia="en-US"/>
        </w:rPr>
        <w:t xml:space="preserve">becomes standard (per paragraph </w:t>
      </w:r>
      <w:r w:rsidR="00C170ED">
        <w:rPr>
          <w:bCs/>
          <w:lang w:eastAsia="en-US"/>
        </w:rPr>
        <w:t>6.1</w:t>
      </w:r>
      <w:r w:rsidR="003B6AEA">
        <w:rPr>
          <w:bCs/>
          <w:lang w:eastAsia="en-US"/>
        </w:rPr>
        <w:t>3</w:t>
      </w:r>
      <w:r w:rsidR="00DB5C33" w:rsidRPr="0046360F">
        <w:rPr>
          <w:bCs/>
          <w:lang w:eastAsia="en-US"/>
        </w:rPr>
        <w:t xml:space="preserve">). However, it remained unclear whether </w:t>
      </w:r>
      <w:r w:rsidR="00DF0D67" w:rsidRPr="0046360F">
        <w:rPr>
          <w:bCs/>
          <w:lang w:eastAsia="en-US"/>
        </w:rPr>
        <w:t xml:space="preserve">cases </w:t>
      </w:r>
      <w:r w:rsidR="00DB5C33" w:rsidRPr="0046360F">
        <w:rPr>
          <w:bCs/>
          <w:lang w:eastAsia="en-US"/>
        </w:rPr>
        <w:t xml:space="preserve">diagnosed </w:t>
      </w:r>
      <w:r w:rsidR="00DF0D67" w:rsidRPr="0046360F">
        <w:rPr>
          <w:bCs/>
          <w:lang w:eastAsia="en-US"/>
        </w:rPr>
        <w:t xml:space="preserve">earlier </w:t>
      </w:r>
      <w:r w:rsidR="00DB5C33" w:rsidRPr="0046360F">
        <w:rPr>
          <w:bCs/>
          <w:lang w:eastAsia="en-US"/>
        </w:rPr>
        <w:t xml:space="preserve">would have more benign clinical courses and so the resubmission’s claim that earlier diagnosis would result in improvements in survival was not necessarily supported. </w:t>
      </w:r>
    </w:p>
    <w:p w:rsidR="000335A4" w:rsidRPr="0046360F" w:rsidRDefault="00C23388" w:rsidP="00544CAA">
      <w:pPr>
        <w:pStyle w:val="ListParagraph"/>
        <w:numPr>
          <w:ilvl w:val="0"/>
          <w:numId w:val="6"/>
        </w:numPr>
        <w:spacing w:after="120"/>
        <w:ind w:left="1134"/>
        <w:contextualSpacing w:val="0"/>
        <w:rPr>
          <w:bCs/>
          <w:lang w:eastAsia="en-US"/>
        </w:rPr>
      </w:pPr>
      <w:r w:rsidRPr="0046360F">
        <w:rPr>
          <w:bCs/>
          <w:lang w:eastAsia="en-US"/>
        </w:rPr>
        <w:t xml:space="preserve">Considered that </w:t>
      </w:r>
      <w:r w:rsidR="002C25B2" w:rsidRPr="0046360F">
        <w:rPr>
          <w:bCs/>
          <w:lang w:eastAsia="en-US"/>
        </w:rPr>
        <w:t xml:space="preserve">the post hoc analyses with respect to </w:t>
      </w:r>
      <w:r w:rsidR="00A75476" w:rsidRPr="0046360F">
        <w:rPr>
          <w:bCs/>
          <w:lang w:eastAsia="en-US"/>
        </w:rPr>
        <w:t>NYHA</w:t>
      </w:r>
      <w:r w:rsidR="002C25B2" w:rsidRPr="0046360F">
        <w:rPr>
          <w:bCs/>
          <w:lang w:eastAsia="en-US"/>
        </w:rPr>
        <w:t xml:space="preserve"> class were difficult to interpret (paragraph </w:t>
      </w:r>
      <w:r w:rsidR="00C170ED">
        <w:rPr>
          <w:bCs/>
          <w:lang w:eastAsia="en-US"/>
        </w:rPr>
        <w:t>6.</w:t>
      </w:r>
      <w:r w:rsidR="003B6AEA">
        <w:rPr>
          <w:bCs/>
          <w:lang w:eastAsia="en-US"/>
        </w:rPr>
        <w:t>7</w:t>
      </w:r>
      <w:r w:rsidR="002C25B2" w:rsidRPr="0046360F">
        <w:rPr>
          <w:bCs/>
          <w:lang w:eastAsia="en-US"/>
        </w:rPr>
        <w:t xml:space="preserve"> and </w:t>
      </w:r>
      <w:r w:rsidR="00C170ED">
        <w:rPr>
          <w:bCs/>
          <w:lang w:eastAsia="en-US"/>
        </w:rPr>
        <w:t>6.</w:t>
      </w:r>
      <w:r w:rsidR="003B6AEA">
        <w:rPr>
          <w:bCs/>
          <w:lang w:eastAsia="en-US"/>
        </w:rPr>
        <w:t>30</w:t>
      </w:r>
      <w:r w:rsidR="002C25B2" w:rsidRPr="0046360F">
        <w:rPr>
          <w:bCs/>
          <w:lang w:eastAsia="en-US"/>
        </w:rPr>
        <w:t xml:space="preserve">). The PBAC remained of the view that the absolute benefit of tafamidis treatment will vary between subgroups, and that the higher rates of CV-related hospitalisation </w:t>
      </w:r>
      <w:r w:rsidR="007124AE" w:rsidRPr="0046360F">
        <w:rPr>
          <w:bCs/>
          <w:lang w:eastAsia="en-US"/>
        </w:rPr>
        <w:t xml:space="preserve">in </w:t>
      </w:r>
      <w:r w:rsidR="00A75476" w:rsidRPr="0046360F">
        <w:rPr>
          <w:bCs/>
          <w:lang w:eastAsia="en-US"/>
        </w:rPr>
        <w:t>NYHA</w:t>
      </w:r>
      <w:r w:rsidR="00196C5F" w:rsidRPr="0046360F">
        <w:rPr>
          <w:bCs/>
          <w:lang w:eastAsia="en-US"/>
        </w:rPr>
        <w:t xml:space="preserve"> class III </w:t>
      </w:r>
      <w:r w:rsidR="007124AE" w:rsidRPr="0046360F">
        <w:rPr>
          <w:bCs/>
          <w:lang w:eastAsia="en-US"/>
        </w:rPr>
        <w:t xml:space="preserve">patients treated with tafamidis versus placebo </w:t>
      </w:r>
      <w:r w:rsidR="002C25B2" w:rsidRPr="0046360F">
        <w:rPr>
          <w:bCs/>
          <w:lang w:eastAsia="en-US"/>
        </w:rPr>
        <w:t>were not adequately explained</w:t>
      </w:r>
      <w:r w:rsidR="000F3FFD" w:rsidRPr="0046360F">
        <w:rPr>
          <w:bCs/>
          <w:lang w:eastAsia="en-US"/>
        </w:rPr>
        <w:t xml:space="preserve"> by the resubmission. </w:t>
      </w:r>
      <w:r w:rsidR="00E83BF4" w:rsidRPr="0046360F">
        <w:rPr>
          <w:bCs/>
          <w:lang w:eastAsia="en-US"/>
        </w:rPr>
        <w:t>Nonetheless</w:t>
      </w:r>
      <w:r w:rsidR="000F3FFD" w:rsidRPr="0046360F">
        <w:rPr>
          <w:bCs/>
          <w:lang w:eastAsia="en-US"/>
        </w:rPr>
        <w:t>, the PBAC recognised that the exclusion of persistent class III patients from the listing partially mitigated this concern.</w:t>
      </w:r>
    </w:p>
    <w:p w:rsidR="00454D39" w:rsidRPr="0046360F" w:rsidRDefault="000F3FFD" w:rsidP="00544CAA">
      <w:pPr>
        <w:pStyle w:val="ListParagraph"/>
        <w:numPr>
          <w:ilvl w:val="0"/>
          <w:numId w:val="6"/>
        </w:numPr>
        <w:spacing w:after="120"/>
        <w:ind w:left="1134"/>
        <w:contextualSpacing w:val="0"/>
        <w:rPr>
          <w:bCs/>
          <w:lang w:eastAsia="en-US"/>
        </w:rPr>
      </w:pPr>
      <w:r w:rsidRPr="0046360F">
        <w:rPr>
          <w:bCs/>
          <w:lang w:eastAsia="en-US"/>
        </w:rPr>
        <w:t xml:space="preserve">Considered that the post hoc subgroups with respect to the 20 mg and 80 mg dose differences were also inconclusive and difficult to interpret (see paragraphs </w:t>
      </w:r>
      <w:r w:rsidR="00C170ED">
        <w:rPr>
          <w:bCs/>
          <w:lang w:eastAsia="en-US"/>
        </w:rPr>
        <w:t>6.3</w:t>
      </w:r>
      <w:r w:rsidR="003B6AEA">
        <w:rPr>
          <w:bCs/>
          <w:lang w:eastAsia="en-US"/>
        </w:rPr>
        <w:t>3</w:t>
      </w:r>
      <w:r w:rsidRPr="0046360F">
        <w:rPr>
          <w:bCs/>
          <w:lang w:eastAsia="en-US"/>
        </w:rPr>
        <w:t xml:space="preserve"> and </w:t>
      </w:r>
      <w:r w:rsidR="00C170ED">
        <w:rPr>
          <w:bCs/>
          <w:lang w:eastAsia="en-US"/>
        </w:rPr>
        <w:t>6.3</w:t>
      </w:r>
      <w:r w:rsidR="003B6AEA">
        <w:rPr>
          <w:bCs/>
          <w:lang w:eastAsia="en-US"/>
        </w:rPr>
        <w:t>4</w:t>
      </w:r>
      <w:r w:rsidRPr="0046360F">
        <w:rPr>
          <w:bCs/>
          <w:lang w:eastAsia="en-US"/>
        </w:rPr>
        <w:t>)</w:t>
      </w:r>
      <w:r w:rsidR="00454D39" w:rsidRPr="0046360F">
        <w:rPr>
          <w:bCs/>
          <w:lang w:eastAsia="en-US"/>
        </w:rPr>
        <w:t>. H</w:t>
      </w:r>
      <w:r w:rsidRPr="0046360F">
        <w:rPr>
          <w:bCs/>
          <w:lang w:eastAsia="en-US"/>
        </w:rPr>
        <w:t>owever</w:t>
      </w:r>
      <w:r w:rsidR="00454D39" w:rsidRPr="0046360F">
        <w:rPr>
          <w:bCs/>
          <w:lang w:eastAsia="en-US"/>
        </w:rPr>
        <w:t>, the PBAC also</w:t>
      </w:r>
      <w:r w:rsidRPr="0046360F">
        <w:rPr>
          <w:bCs/>
          <w:lang w:eastAsia="en-US"/>
        </w:rPr>
        <w:t xml:space="preserve"> acknowledged that the recommended dose in the TGA-approved Product Information (PI) is 61 mg once daily, with the PI noting that this is bioequivalent to 80 mg tafamidis meglumine. </w:t>
      </w:r>
    </w:p>
    <w:p w:rsidR="00E330D5" w:rsidRPr="0046360F" w:rsidRDefault="00840486" w:rsidP="005B763C">
      <w:pPr>
        <w:pStyle w:val="ExecSumBodyText"/>
        <w:rPr>
          <w:szCs w:val="20"/>
          <w:lang w:eastAsia="en-US"/>
        </w:rPr>
      </w:pPr>
      <w:r w:rsidRPr="0046360F">
        <w:rPr>
          <w:szCs w:val="20"/>
          <w:lang w:eastAsia="en-US"/>
        </w:rPr>
        <w:t xml:space="preserve">The PBAC </w:t>
      </w:r>
      <w:r w:rsidR="0021564F" w:rsidRPr="0046360F">
        <w:rPr>
          <w:szCs w:val="20"/>
          <w:lang w:eastAsia="en-US"/>
        </w:rPr>
        <w:t xml:space="preserve">recalled that it previously considered that the clinical safety dataset was small and inadequate to make a claim of non-inferior safety </w:t>
      </w:r>
      <w:r w:rsidR="005B763C" w:rsidRPr="0046360F">
        <w:rPr>
          <w:szCs w:val="20"/>
          <w:lang w:eastAsia="en-US"/>
        </w:rPr>
        <w:t xml:space="preserve">compared to standard management </w:t>
      </w:r>
      <w:r w:rsidR="0021564F" w:rsidRPr="0046360F">
        <w:rPr>
          <w:szCs w:val="20"/>
          <w:lang w:eastAsia="en-US"/>
        </w:rPr>
        <w:t>(paragraph 7.11. tafamidis P</w:t>
      </w:r>
      <w:r w:rsidR="009E4ACB" w:rsidRPr="0046360F">
        <w:rPr>
          <w:szCs w:val="20"/>
          <w:lang w:eastAsia="en-US"/>
        </w:rPr>
        <w:t>SD, July 2020</w:t>
      </w:r>
      <w:r w:rsidR="0021564F" w:rsidRPr="0046360F">
        <w:rPr>
          <w:szCs w:val="20"/>
          <w:lang w:eastAsia="en-US"/>
        </w:rPr>
        <w:t xml:space="preserve">). </w:t>
      </w:r>
      <w:r w:rsidR="005B763C" w:rsidRPr="0046360F">
        <w:rPr>
          <w:szCs w:val="20"/>
          <w:lang w:eastAsia="en-US"/>
        </w:rPr>
        <w:t>The resubmission amended its claim to inferiority, which the PBAC considered reasonable, noting</w:t>
      </w:r>
      <w:r w:rsidR="0058250B" w:rsidRPr="0046360F">
        <w:rPr>
          <w:szCs w:val="20"/>
          <w:lang w:eastAsia="en-US"/>
        </w:rPr>
        <w:t xml:space="preserve"> again</w:t>
      </w:r>
      <w:r w:rsidR="005B763C" w:rsidRPr="0046360F">
        <w:rPr>
          <w:szCs w:val="20"/>
          <w:lang w:eastAsia="en-US"/>
        </w:rPr>
        <w:t xml:space="preserve"> that there </w:t>
      </w:r>
      <w:r w:rsidRPr="0046360F">
        <w:rPr>
          <w:szCs w:val="20"/>
          <w:lang w:eastAsia="en-US"/>
        </w:rPr>
        <w:t>were no significant toxicity or safety signa</w:t>
      </w:r>
      <w:r w:rsidR="003D7D98" w:rsidRPr="0046360F">
        <w:rPr>
          <w:szCs w:val="20"/>
          <w:lang w:eastAsia="en-US"/>
        </w:rPr>
        <w:t>ls with tafamidis in the trial.</w:t>
      </w:r>
    </w:p>
    <w:p w:rsidR="0058250B" w:rsidRPr="0046360F" w:rsidRDefault="00474C94" w:rsidP="00544CAA">
      <w:pPr>
        <w:pStyle w:val="ExecSumBodyText"/>
        <w:rPr>
          <w:i/>
          <w:lang w:eastAsia="en-US"/>
        </w:rPr>
      </w:pPr>
      <w:bookmarkStart w:id="48" w:name="_Ref69221597"/>
      <w:r w:rsidRPr="0046360F">
        <w:rPr>
          <w:lang w:eastAsia="en-US"/>
        </w:rPr>
        <w:t>In terms of the economic analysis, the PBAC recollected that it considered the previous submission’s estimate of cost-effectiveness to be unreliable given major structural limitations of the model and uncertain proportion of patients across NHYA classes (paragraph 7.15, tafamidis PSD, July 20</w:t>
      </w:r>
      <w:r w:rsidR="009E4ACB" w:rsidRPr="0046360F">
        <w:rPr>
          <w:lang w:eastAsia="en-US"/>
        </w:rPr>
        <w:t>20</w:t>
      </w:r>
      <w:r w:rsidRPr="0046360F">
        <w:rPr>
          <w:lang w:eastAsia="en-US"/>
        </w:rPr>
        <w:t>). The PBAC noted that the resubmission had adopted a new model (with structure and inputs described in paragraphs </w:t>
      </w:r>
      <w:r w:rsidR="00C170ED">
        <w:rPr>
          <w:lang w:eastAsia="en-US"/>
        </w:rPr>
        <w:t>6.4</w:t>
      </w:r>
      <w:r w:rsidR="003B6AEA">
        <w:rPr>
          <w:lang w:eastAsia="en-US"/>
        </w:rPr>
        <w:t>7</w:t>
      </w:r>
      <w:r w:rsidRPr="0046360F">
        <w:rPr>
          <w:lang w:eastAsia="en-US"/>
        </w:rPr>
        <w:t xml:space="preserve"> to </w:t>
      </w:r>
      <w:r w:rsidR="00C170ED">
        <w:rPr>
          <w:lang w:eastAsia="en-US"/>
        </w:rPr>
        <w:t>6.5</w:t>
      </w:r>
      <w:r w:rsidR="003B6AEA">
        <w:rPr>
          <w:lang w:eastAsia="en-US"/>
        </w:rPr>
        <w:t>1</w:t>
      </w:r>
      <w:r w:rsidRPr="0046360F">
        <w:rPr>
          <w:lang w:eastAsia="en-US"/>
        </w:rPr>
        <w:t>), intended to address PBAC’s previous concerns (</w:t>
      </w:r>
      <w:r w:rsidR="00051342" w:rsidRPr="0046360F">
        <w:rPr>
          <w:lang w:eastAsia="en-US"/>
        </w:rPr>
        <w:t>that is</w:t>
      </w:r>
      <w:r w:rsidRPr="0046360F">
        <w:rPr>
          <w:lang w:eastAsia="en-US"/>
        </w:rPr>
        <w:t xml:space="preserve">: </w:t>
      </w:r>
      <w:r w:rsidRPr="0046360F">
        <w:rPr>
          <w:szCs w:val="20"/>
          <w:lang w:eastAsia="en-US"/>
        </w:rPr>
        <w:t>patients remaining in baseline NYHA class; constant probability of CV hospitalisation; all CV hospitalisations non-fatal; and treatment effects maintained following treatment discontinuation). With regard to the resubmission’s model, the PBAC</w:t>
      </w:r>
      <w:r w:rsidR="00051342" w:rsidRPr="0046360F">
        <w:rPr>
          <w:szCs w:val="20"/>
          <w:lang w:eastAsia="en-US"/>
        </w:rPr>
        <w:t xml:space="preserve"> noted that the base case ICER was $</w:t>
      </w:r>
      <w:r w:rsidR="00576CDE">
        <w:rPr>
          <w:szCs w:val="20"/>
          <w:lang w:eastAsia="en-US"/>
        </w:rPr>
        <w:t>155,000 to &lt;$255,000</w:t>
      </w:r>
      <w:r w:rsidR="00051342" w:rsidRPr="0046360F">
        <w:rPr>
          <w:szCs w:val="20"/>
          <w:lang w:eastAsia="en-US"/>
        </w:rPr>
        <w:t xml:space="preserve"> per QALY after corrections made during evaluation, and</w:t>
      </w:r>
      <w:r w:rsidR="00407ABF" w:rsidRPr="0046360F">
        <w:rPr>
          <w:szCs w:val="20"/>
          <w:lang w:eastAsia="en-US"/>
        </w:rPr>
        <w:t xml:space="preserve"> that</w:t>
      </w:r>
      <w:r w:rsidRPr="0046360F">
        <w:rPr>
          <w:szCs w:val="20"/>
          <w:lang w:eastAsia="en-US"/>
        </w:rPr>
        <w:t>:</w:t>
      </w:r>
      <w:bookmarkEnd w:id="48"/>
    </w:p>
    <w:p w:rsidR="00051342" w:rsidRPr="0046360F" w:rsidRDefault="00544CAA" w:rsidP="00544CAA">
      <w:pPr>
        <w:pStyle w:val="ListParagraph"/>
        <w:numPr>
          <w:ilvl w:val="0"/>
          <w:numId w:val="6"/>
        </w:numPr>
        <w:spacing w:after="120"/>
        <w:ind w:left="1134"/>
        <w:contextualSpacing w:val="0"/>
        <w:rPr>
          <w:i/>
          <w:lang w:eastAsia="en-US"/>
        </w:rPr>
      </w:pPr>
      <w:r w:rsidRPr="0046360F">
        <w:rPr>
          <w:lang w:eastAsia="en-US"/>
        </w:rPr>
        <w:t>The model s</w:t>
      </w:r>
      <w:r w:rsidR="00051342" w:rsidRPr="0046360F">
        <w:rPr>
          <w:lang w:eastAsia="en-US"/>
        </w:rPr>
        <w:t xml:space="preserve">till assumed maintenance of treatment </w:t>
      </w:r>
      <w:r w:rsidR="00FF13B1">
        <w:rPr>
          <w:lang w:eastAsia="en-US"/>
        </w:rPr>
        <w:t>e</w:t>
      </w:r>
      <w:r w:rsidR="00FF13B1" w:rsidRPr="0046360F">
        <w:rPr>
          <w:lang w:eastAsia="en-US"/>
        </w:rPr>
        <w:t xml:space="preserve">ffect </w:t>
      </w:r>
      <w:r w:rsidR="00051342" w:rsidRPr="0046360F">
        <w:rPr>
          <w:lang w:eastAsia="en-US"/>
        </w:rPr>
        <w:t>following discontinuation. The pre-PBAC response attempted to</w:t>
      </w:r>
      <w:r w:rsidR="00051342" w:rsidRPr="0046360F">
        <w:rPr>
          <w:iCs/>
          <w:lang w:eastAsia="en-US"/>
        </w:rPr>
        <w:t xml:space="preserve"> account for discontinuation with a sensitivity analysis, which increased the ICER to $</w:t>
      </w:r>
      <w:r w:rsidR="00576CDE">
        <w:rPr>
          <w:iCs/>
          <w:lang w:eastAsia="en-US"/>
        </w:rPr>
        <w:t>155,000 to &lt;$255,000/QALY gained</w:t>
      </w:r>
      <w:r w:rsidR="00051342" w:rsidRPr="0046360F">
        <w:rPr>
          <w:iCs/>
          <w:lang w:eastAsia="en-US"/>
        </w:rPr>
        <w:t xml:space="preserve"> (using the corrected model), although the PBAC noted that this analysis </w:t>
      </w:r>
      <w:r w:rsidR="0007138B" w:rsidRPr="0046360F">
        <w:rPr>
          <w:iCs/>
          <w:lang w:eastAsia="en-US"/>
        </w:rPr>
        <w:t>did not fully</w:t>
      </w:r>
      <w:r w:rsidR="00051342" w:rsidRPr="0046360F">
        <w:rPr>
          <w:iCs/>
          <w:lang w:eastAsia="en-US"/>
        </w:rPr>
        <w:t xml:space="preserve"> correct the issue</w:t>
      </w:r>
      <w:r w:rsidR="0007138B" w:rsidRPr="0046360F">
        <w:rPr>
          <w:iCs/>
          <w:lang w:eastAsia="en-US"/>
        </w:rPr>
        <w:t xml:space="preserve"> as the impact of treatment discontinuation on outcomes other than survival was not addressed</w:t>
      </w:r>
      <w:r w:rsidR="00051342" w:rsidRPr="0046360F">
        <w:rPr>
          <w:iCs/>
          <w:lang w:eastAsia="en-US"/>
        </w:rPr>
        <w:t xml:space="preserve"> (see paragraph </w:t>
      </w:r>
      <w:r w:rsidR="00C170ED">
        <w:rPr>
          <w:iCs/>
          <w:lang w:eastAsia="en-US"/>
        </w:rPr>
        <w:t>6.5</w:t>
      </w:r>
      <w:r w:rsidR="003B6AEA">
        <w:rPr>
          <w:iCs/>
          <w:lang w:eastAsia="en-US"/>
        </w:rPr>
        <w:t>6</w:t>
      </w:r>
      <w:r w:rsidR="00051342" w:rsidRPr="0046360F">
        <w:rPr>
          <w:iCs/>
          <w:lang w:eastAsia="en-US"/>
        </w:rPr>
        <w:t xml:space="preserve">). </w:t>
      </w:r>
    </w:p>
    <w:p w:rsidR="00474C94" w:rsidRPr="0046360F" w:rsidRDefault="00544CAA" w:rsidP="00544CAA">
      <w:pPr>
        <w:pStyle w:val="ListParagraph"/>
        <w:numPr>
          <w:ilvl w:val="0"/>
          <w:numId w:val="6"/>
        </w:numPr>
        <w:spacing w:after="120"/>
        <w:ind w:left="1134"/>
        <w:contextualSpacing w:val="0"/>
        <w:rPr>
          <w:i/>
          <w:lang w:eastAsia="en-US"/>
        </w:rPr>
      </w:pPr>
      <w:r w:rsidRPr="0046360F">
        <w:rPr>
          <w:lang w:eastAsia="en-US"/>
        </w:rPr>
        <w:t>The model a</w:t>
      </w:r>
      <w:r w:rsidR="00407ABF" w:rsidRPr="0046360F">
        <w:rPr>
          <w:lang w:eastAsia="en-US"/>
        </w:rPr>
        <w:t>ssumed</w:t>
      </w:r>
      <w:r w:rsidR="00215CC2" w:rsidRPr="0046360F">
        <w:rPr>
          <w:lang w:eastAsia="en-US"/>
        </w:rPr>
        <w:t xml:space="preserve"> constant transition probabilities beyond 30 months, with the consequence that probabilities for death from several health states</w:t>
      </w:r>
      <w:r w:rsidR="00E66E6B" w:rsidRPr="0046360F">
        <w:rPr>
          <w:lang w:eastAsia="en-US"/>
        </w:rPr>
        <w:t xml:space="preserve"> in the later years of the model</w:t>
      </w:r>
      <w:r w:rsidR="00215CC2" w:rsidRPr="0046360F">
        <w:rPr>
          <w:lang w:eastAsia="en-US"/>
        </w:rPr>
        <w:t xml:space="preserve"> were lower than Australian general population estimates, which was not clinically plausible given the poor prognosis of ATTR-CM. The pre-PBAC response  conducted a </w:t>
      </w:r>
      <w:r w:rsidR="00407ABF" w:rsidRPr="0046360F">
        <w:rPr>
          <w:lang w:eastAsia="en-US"/>
        </w:rPr>
        <w:t>sensitivity analysi</w:t>
      </w:r>
      <w:r w:rsidR="00215CC2" w:rsidRPr="0046360F">
        <w:rPr>
          <w:lang w:eastAsia="en-US"/>
        </w:rPr>
        <w:t>s to increase the risk of death by 5.3%, per six-month cycle from Year 4 onwards, which increased the ICER to $</w:t>
      </w:r>
      <w:r w:rsidR="001E6952">
        <w:rPr>
          <w:lang w:eastAsia="en-US"/>
        </w:rPr>
        <w:t>155,000 to &lt; $255,000/QALY gained</w:t>
      </w:r>
      <w:r w:rsidR="00215CC2" w:rsidRPr="0046360F">
        <w:rPr>
          <w:lang w:eastAsia="en-US"/>
        </w:rPr>
        <w:t xml:space="preserve"> (using the corrected model)</w:t>
      </w:r>
      <w:r w:rsidRPr="0046360F">
        <w:rPr>
          <w:lang w:eastAsia="en-US"/>
        </w:rPr>
        <w:t>.</w:t>
      </w:r>
      <w:r w:rsidR="00215CC2" w:rsidRPr="0046360F">
        <w:rPr>
          <w:lang w:eastAsia="en-US"/>
        </w:rPr>
        <w:t xml:space="preserve"> While this analysis represented a crude adjustment for mortality</w:t>
      </w:r>
      <w:r w:rsidRPr="0046360F">
        <w:rPr>
          <w:lang w:eastAsia="en-US"/>
        </w:rPr>
        <w:t xml:space="preserve"> (see paragraph </w:t>
      </w:r>
      <w:r w:rsidR="00C170ED">
        <w:rPr>
          <w:lang w:eastAsia="en-US"/>
        </w:rPr>
        <w:t>6.5</w:t>
      </w:r>
      <w:r w:rsidR="003B6AEA">
        <w:rPr>
          <w:lang w:eastAsia="en-US"/>
        </w:rPr>
        <w:t>3</w:t>
      </w:r>
      <w:r w:rsidRPr="0046360F">
        <w:rPr>
          <w:lang w:eastAsia="en-US"/>
        </w:rPr>
        <w:t>)</w:t>
      </w:r>
      <w:r w:rsidR="00215CC2" w:rsidRPr="0046360F">
        <w:rPr>
          <w:lang w:eastAsia="en-US"/>
        </w:rPr>
        <w:t>, the PBAC considered that it may be reasonable in the absence of better data.</w:t>
      </w:r>
    </w:p>
    <w:p w:rsidR="00215CC2" w:rsidRPr="0046360F" w:rsidRDefault="00544CAA" w:rsidP="00544CAA">
      <w:pPr>
        <w:pStyle w:val="ListParagraph"/>
        <w:numPr>
          <w:ilvl w:val="0"/>
          <w:numId w:val="6"/>
        </w:numPr>
        <w:spacing w:after="120"/>
        <w:ind w:left="1134"/>
        <w:contextualSpacing w:val="0"/>
        <w:rPr>
          <w:i/>
          <w:lang w:eastAsia="en-US"/>
        </w:rPr>
      </w:pPr>
      <w:r w:rsidRPr="0046360F">
        <w:rPr>
          <w:lang w:eastAsia="en-US"/>
        </w:rPr>
        <w:t>C</w:t>
      </w:r>
      <w:r w:rsidR="00215CC2" w:rsidRPr="0046360F">
        <w:rPr>
          <w:lang w:eastAsia="en-US"/>
        </w:rPr>
        <w:t>ombining the two sensitivity analyses in the pre-PBAC response resulted in an ICER of $</w:t>
      </w:r>
      <w:r w:rsidR="00576CDE">
        <w:rPr>
          <w:lang w:eastAsia="en-US"/>
        </w:rPr>
        <w:t>155,000 to &lt;$255,000</w:t>
      </w:r>
      <w:r w:rsidR="000A0F62" w:rsidRPr="0046360F">
        <w:rPr>
          <w:lang w:eastAsia="en-US"/>
        </w:rPr>
        <w:t xml:space="preserve"> per QALY</w:t>
      </w:r>
      <w:r w:rsidR="00215CC2" w:rsidRPr="0046360F">
        <w:rPr>
          <w:lang w:eastAsia="en-US"/>
        </w:rPr>
        <w:t xml:space="preserve"> (using the </w:t>
      </w:r>
      <w:r w:rsidRPr="0046360F">
        <w:rPr>
          <w:lang w:eastAsia="en-US"/>
        </w:rPr>
        <w:t>corrected</w:t>
      </w:r>
      <w:r w:rsidR="00215CC2" w:rsidRPr="0046360F">
        <w:rPr>
          <w:lang w:eastAsia="en-US"/>
        </w:rPr>
        <w:t xml:space="preserve"> model).</w:t>
      </w:r>
      <w:r w:rsidR="00170A4F" w:rsidRPr="0046360F">
        <w:rPr>
          <w:lang w:eastAsia="en-US"/>
        </w:rPr>
        <w:t xml:space="preserve"> The PBAC </w:t>
      </w:r>
      <w:r w:rsidR="00A60C9F" w:rsidRPr="0046360F">
        <w:rPr>
          <w:lang w:eastAsia="en-US"/>
        </w:rPr>
        <w:t>considered</w:t>
      </w:r>
      <w:r w:rsidR="00170A4F" w:rsidRPr="0046360F">
        <w:rPr>
          <w:lang w:eastAsia="en-US"/>
        </w:rPr>
        <w:t xml:space="preserve"> that due to </w:t>
      </w:r>
      <w:r w:rsidR="0007138B" w:rsidRPr="0046360F">
        <w:rPr>
          <w:lang w:eastAsia="en-US"/>
        </w:rPr>
        <w:t xml:space="preserve">not addressing the impact of </w:t>
      </w:r>
      <w:r w:rsidR="00170A4F" w:rsidRPr="0046360F">
        <w:rPr>
          <w:lang w:eastAsia="en-US"/>
        </w:rPr>
        <w:t>treatment discontinuation</w:t>
      </w:r>
      <w:r w:rsidR="0007138B" w:rsidRPr="0046360F">
        <w:rPr>
          <w:lang w:eastAsia="en-US"/>
        </w:rPr>
        <w:t xml:space="preserve"> on all outcomes</w:t>
      </w:r>
      <w:r w:rsidR="00170A4F" w:rsidRPr="0046360F">
        <w:rPr>
          <w:lang w:eastAsia="en-US"/>
        </w:rPr>
        <w:t xml:space="preserve">, this remained a likely underestimate. </w:t>
      </w:r>
    </w:p>
    <w:p w:rsidR="00DB35D4" w:rsidRPr="0046360F" w:rsidRDefault="000A0F62" w:rsidP="00F20401">
      <w:pPr>
        <w:pStyle w:val="ExecSumBodyText"/>
        <w:rPr>
          <w:i/>
          <w:color w:val="1F497D" w:themeColor="text2"/>
          <w:lang w:eastAsia="en-US"/>
        </w:rPr>
      </w:pPr>
      <w:r w:rsidRPr="0046360F">
        <w:rPr>
          <w:lang w:eastAsia="en-US"/>
        </w:rPr>
        <w:t xml:space="preserve">Overall, the PBAC considered that the resubmission’s model results were more reliable than </w:t>
      </w:r>
      <w:r w:rsidR="008F1B6A" w:rsidRPr="0046360F">
        <w:rPr>
          <w:lang w:eastAsia="en-US"/>
        </w:rPr>
        <w:t>those from the</w:t>
      </w:r>
      <w:r w:rsidRPr="0046360F">
        <w:rPr>
          <w:lang w:eastAsia="en-US"/>
        </w:rPr>
        <w:t xml:space="preserve"> previous model</w:t>
      </w:r>
      <w:r w:rsidR="008F1B6A" w:rsidRPr="0046360F">
        <w:rPr>
          <w:lang w:eastAsia="en-US"/>
        </w:rPr>
        <w:t xml:space="preserve">, but that the ICER produced under </w:t>
      </w:r>
      <w:r w:rsidRPr="0046360F">
        <w:rPr>
          <w:lang w:eastAsia="en-US"/>
        </w:rPr>
        <w:t xml:space="preserve">the most </w:t>
      </w:r>
      <w:r w:rsidR="008F1B6A" w:rsidRPr="0046360F">
        <w:rPr>
          <w:lang w:eastAsia="en-US"/>
        </w:rPr>
        <w:t>realistic</w:t>
      </w:r>
      <w:r w:rsidRPr="0046360F">
        <w:rPr>
          <w:lang w:eastAsia="en-US"/>
        </w:rPr>
        <w:t xml:space="preserve"> scenario</w:t>
      </w:r>
      <w:r w:rsidR="00170A4F" w:rsidRPr="0046360F">
        <w:rPr>
          <w:lang w:eastAsia="en-US"/>
        </w:rPr>
        <w:t xml:space="preserve"> presented</w:t>
      </w:r>
      <w:r w:rsidRPr="0046360F">
        <w:rPr>
          <w:lang w:eastAsia="en-US"/>
        </w:rPr>
        <w:t xml:space="preserve"> ($</w:t>
      </w:r>
      <w:r w:rsidR="00576CDE">
        <w:rPr>
          <w:lang w:eastAsia="en-US"/>
        </w:rPr>
        <w:t>155,000 to &lt;$255,000</w:t>
      </w:r>
      <w:r w:rsidRPr="0046360F">
        <w:rPr>
          <w:lang w:eastAsia="en-US"/>
        </w:rPr>
        <w:t xml:space="preserve"> per QALY) remained </w:t>
      </w:r>
      <w:r w:rsidR="008F1B6A" w:rsidRPr="0046360F">
        <w:rPr>
          <w:lang w:eastAsia="en-US"/>
        </w:rPr>
        <w:t>excessively</w:t>
      </w:r>
      <w:r w:rsidRPr="0046360F">
        <w:rPr>
          <w:lang w:eastAsia="en-US"/>
        </w:rPr>
        <w:t xml:space="preserve"> high. </w:t>
      </w:r>
      <w:r w:rsidR="008F1B6A" w:rsidRPr="0046360F">
        <w:rPr>
          <w:lang w:eastAsia="en-US"/>
        </w:rPr>
        <w:t xml:space="preserve">The </w:t>
      </w:r>
      <w:r w:rsidR="008F1B6A" w:rsidRPr="0046360F">
        <w:rPr>
          <w:szCs w:val="20"/>
          <w:lang w:eastAsia="en-US"/>
        </w:rPr>
        <w:t>PBAC noted that to achieve a</w:t>
      </w:r>
      <w:r w:rsidR="00906E81" w:rsidRPr="0046360F">
        <w:rPr>
          <w:szCs w:val="20"/>
          <w:lang w:eastAsia="en-US"/>
        </w:rPr>
        <w:t xml:space="preserve"> more acceptable </w:t>
      </w:r>
      <w:r w:rsidR="008F1B6A" w:rsidRPr="0046360F">
        <w:rPr>
          <w:szCs w:val="20"/>
          <w:lang w:eastAsia="en-US"/>
        </w:rPr>
        <w:t>ICER of $</w:t>
      </w:r>
      <w:r w:rsidR="00576CDE">
        <w:rPr>
          <w:szCs w:val="20"/>
          <w:lang w:eastAsia="en-US"/>
        </w:rPr>
        <w:t>75,000 to &lt;$95,000</w:t>
      </w:r>
      <w:r w:rsidR="008F1B6A" w:rsidRPr="0046360F">
        <w:rPr>
          <w:szCs w:val="20"/>
          <w:lang w:eastAsia="en-US"/>
        </w:rPr>
        <w:t xml:space="preserve"> per QALY in this scenario, a </w:t>
      </w:r>
      <w:r w:rsidR="00FF13B1">
        <w:rPr>
          <w:szCs w:val="20"/>
          <w:lang w:eastAsia="en-US"/>
        </w:rPr>
        <w:t xml:space="preserve">further </w:t>
      </w:r>
      <w:r w:rsidR="008F1B6A" w:rsidRPr="0046360F">
        <w:rPr>
          <w:szCs w:val="20"/>
          <w:lang w:eastAsia="en-US"/>
        </w:rPr>
        <w:t xml:space="preserve">price reduction of </w:t>
      </w:r>
      <w:r w:rsidR="008F1B6A" w:rsidRPr="003B5808">
        <w:rPr>
          <w:szCs w:val="20"/>
          <w:lang w:eastAsia="en-US"/>
        </w:rPr>
        <w:t>65</w:t>
      </w:r>
      <w:r w:rsidR="008F1B6A" w:rsidRPr="0046360F">
        <w:rPr>
          <w:szCs w:val="20"/>
          <w:lang w:eastAsia="en-US"/>
        </w:rPr>
        <w:t>% would be required. In the context of this substantial price reduction, the high clinical need, and clear effectiveness of medicine, the PBAC considered that the resubmission’s model may provide a reliable basis for decision making</w:t>
      </w:r>
      <w:r w:rsidR="00DB35D4" w:rsidRPr="0046360F">
        <w:rPr>
          <w:szCs w:val="20"/>
          <w:lang w:eastAsia="en-US"/>
        </w:rPr>
        <w:t>.</w:t>
      </w:r>
      <w:r w:rsidR="00F20401" w:rsidRPr="0046360F">
        <w:rPr>
          <w:i/>
          <w:lang w:eastAsia="en-US"/>
        </w:rPr>
        <w:t xml:space="preserve"> </w:t>
      </w:r>
    </w:p>
    <w:p w:rsidR="00702E79" w:rsidRPr="0046360F" w:rsidRDefault="00702E79" w:rsidP="009974D9">
      <w:pPr>
        <w:pStyle w:val="ExecSumBodyText"/>
        <w:rPr>
          <w:rFonts w:cstheme="minorHAnsi"/>
          <w:lang w:eastAsia="en-US"/>
        </w:rPr>
      </w:pPr>
      <w:r w:rsidRPr="0046360F">
        <w:rPr>
          <w:lang w:eastAsia="en-US"/>
        </w:rPr>
        <w:t>Regarding the estimated PBS usage and financial implications, the PBAC noted that the resubmission’s approach was extensively revised</w:t>
      </w:r>
      <w:r w:rsidR="00655364" w:rsidRPr="0046360F">
        <w:rPr>
          <w:lang w:eastAsia="en-US"/>
        </w:rPr>
        <w:t>. The PBAC had considered that the previous financial implications were uncertain and likely underestimated and that given the very high financial impact ($</w:t>
      </w:r>
      <w:r w:rsidR="00576CDE">
        <w:rPr>
          <w:lang w:eastAsia="en-US"/>
        </w:rPr>
        <w:t xml:space="preserve">700 </w:t>
      </w:r>
      <w:r w:rsidR="003B5808">
        <w:rPr>
          <w:lang w:eastAsia="en-US"/>
        </w:rPr>
        <w:t xml:space="preserve">million </w:t>
      </w:r>
      <w:r w:rsidR="00576CDE">
        <w:rPr>
          <w:lang w:eastAsia="en-US"/>
        </w:rPr>
        <w:t>to &lt;$800</w:t>
      </w:r>
      <w:r w:rsidR="00655364" w:rsidRPr="0046360F">
        <w:rPr>
          <w:lang w:eastAsia="en-US"/>
        </w:rPr>
        <w:t xml:space="preserve"> million over 6 years), </w:t>
      </w:r>
      <w:r w:rsidR="00655364" w:rsidRPr="0046360F">
        <w:t xml:space="preserve">further work was required to determine the size of the eligible population in Australia, particularly the incidence and prevalence of the condition (paragraph 7.17, tafamidis PSD, July 2020). The resubmission used </w:t>
      </w:r>
      <w:r w:rsidR="00655364" w:rsidRPr="0046360F">
        <w:rPr>
          <w:iCs/>
        </w:rPr>
        <w:t xml:space="preserve">new data sources to estimate prevalence of ATTR-CM, revised diagnosis and uptake rates, </w:t>
      </w:r>
      <w:r w:rsidR="008F06A2" w:rsidRPr="0046360F">
        <w:rPr>
          <w:iCs/>
        </w:rPr>
        <w:t xml:space="preserve">used </w:t>
      </w:r>
      <w:r w:rsidR="00655364" w:rsidRPr="0046360F">
        <w:rPr>
          <w:iCs/>
        </w:rPr>
        <w:t>new sources to inform the distribution of patients across NYHA classes, and applied a reduced effective price for tafamidis.</w:t>
      </w:r>
      <w:r w:rsidR="00AC2970">
        <w:rPr>
          <w:iCs/>
        </w:rPr>
        <w:t xml:space="preserve"> The PBAC considered that the 300 additional patients assumed to be grandfathered would be captured in the estimates of the prevalent population.</w:t>
      </w:r>
      <w:r w:rsidR="00AC2970" w:rsidRPr="0046360F">
        <w:rPr>
          <w:iCs/>
        </w:rPr>
        <w:t xml:space="preserve"> </w:t>
      </w:r>
      <w:r w:rsidR="009974D9" w:rsidRPr="0046360F">
        <w:rPr>
          <w:iCs/>
        </w:rPr>
        <w:t>The PBAC noted that the revised impact was $</w:t>
      </w:r>
      <w:r w:rsidR="00576CDE">
        <w:rPr>
          <w:iCs/>
        </w:rPr>
        <w:t xml:space="preserve">500 </w:t>
      </w:r>
      <w:r w:rsidR="003B5808">
        <w:rPr>
          <w:iCs/>
        </w:rPr>
        <w:t xml:space="preserve">million </w:t>
      </w:r>
      <w:r w:rsidR="00576CDE">
        <w:rPr>
          <w:iCs/>
        </w:rPr>
        <w:t>to &lt;$600</w:t>
      </w:r>
      <w:r w:rsidR="009974D9" w:rsidRPr="0046360F">
        <w:rPr>
          <w:iCs/>
        </w:rPr>
        <w:t xml:space="preserve"> million over 5.2 years, but</w:t>
      </w:r>
      <w:r w:rsidR="00AC2970">
        <w:rPr>
          <w:iCs/>
        </w:rPr>
        <w:t xml:space="preserve"> noting the issues in paragraph </w:t>
      </w:r>
      <w:r w:rsidR="00C170ED">
        <w:rPr>
          <w:iCs/>
        </w:rPr>
        <w:t>6.7</w:t>
      </w:r>
      <w:r w:rsidR="003B6AEA">
        <w:rPr>
          <w:iCs/>
        </w:rPr>
        <w:t>5</w:t>
      </w:r>
      <w:r w:rsidR="009974D9" w:rsidRPr="0046360F">
        <w:rPr>
          <w:iCs/>
        </w:rPr>
        <w:t xml:space="preserve">, agreed that the net cost likely remained underestimated. However, the PBAC considered that the resubmission’s revised approach was appropriate in the context of these estimates being used to implement a </w:t>
      </w:r>
      <w:r w:rsidR="00636FA9" w:rsidRPr="0046360F">
        <w:rPr>
          <w:iCs/>
        </w:rPr>
        <w:t>RSA</w:t>
      </w:r>
      <w:r w:rsidR="009974D9" w:rsidRPr="0046360F">
        <w:rPr>
          <w:iCs/>
        </w:rPr>
        <w:t>, and given the lack of more reliable alternative data on which to base the estimates.</w:t>
      </w:r>
    </w:p>
    <w:p w:rsidR="00526C53" w:rsidRPr="0046360F" w:rsidRDefault="00526C53" w:rsidP="001C0525">
      <w:pPr>
        <w:widowControl w:val="0"/>
        <w:numPr>
          <w:ilvl w:val="1"/>
          <w:numId w:val="1"/>
        </w:numPr>
        <w:spacing w:after="120"/>
        <w:rPr>
          <w:rFonts w:asciiTheme="minorHAnsi" w:hAnsiTheme="minorHAnsi"/>
          <w:bCs/>
          <w:snapToGrid w:val="0"/>
          <w:lang w:eastAsia="en-US"/>
        </w:rPr>
      </w:pPr>
      <w:r w:rsidRPr="0046360F">
        <w:rPr>
          <w:rFonts w:asciiTheme="minorHAnsi" w:hAnsiTheme="minorHAnsi"/>
          <w:bCs/>
          <w:snapToGrid w:val="0"/>
          <w:lang w:eastAsia="en-US"/>
        </w:rPr>
        <w:t xml:space="preserve">The PBAC considered the outstanding issues may be addressed in a simple resubmission for </w:t>
      </w:r>
      <w:r w:rsidR="002263A4" w:rsidRPr="0046360F">
        <w:rPr>
          <w:rFonts w:asciiTheme="minorHAnsi" w:hAnsiTheme="minorHAnsi"/>
          <w:bCs/>
          <w:snapToGrid w:val="0"/>
          <w:lang w:eastAsia="en-US"/>
        </w:rPr>
        <w:t>tafamidis</w:t>
      </w:r>
      <w:r w:rsidRPr="0046360F">
        <w:rPr>
          <w:rFonts w:asciiTheme="minorHAnsi" w:hAnsiTheme="minorHAnsi"/>
          <w:bCs/>
          <w:snapToGrid w:val="0"/>
          <w:lang w:eastAsia="en-US"/>
        </w:rPr>
        <w:t xml:space="preserve"> if the following changes were made, without any additional amendments to the economic evalua</w:t>
      </w:r>
      <w:r w:rsidR="003D7D98" w:rsidRPr="0046360F">
        <w:rPr>
          <w:rFonts w:asciiTheme="minorHAnsi" w:hAnsiTheme="minorHAnsi"/>
          <w:bCs/>
          <w:snapToGrid w:val="0"/>
          <w:lang w:eastAsia="en-US"/>
        </w:rPr>
        <w:t>tion or financial implications:</w:t>
      </w:r>
    </w:p>
    <w:p w:rsidR="009974D9" w:rsidRPr="0046360F" w:rsidRDefault="005B4910" w:rsidP="00214291">
      <w:pPr>
        <w:pStyle w:val="ListParagraph"/>
        <w:numPr>
          <w:ilvl w:val="0"/>
          <w:numId w:val="6"/>
        </w:numPr>
        <w:spacing w:after="120"/>
        <w:ind w:left="1134"/>
        <w:contextualSpacing w:val="0"/>
        <w:rPr>
          <w:rFonts w:asciiTheme="minorHAnsi" w:hAnsiTheme="minorHAnsi"/>
          <w:bCs/>
          <w:snapToGrid w:val="0"/>
          <w:lang w:eastAsia="en-US"/>
        </w:rPr>
      </w:pPr>
      <w:r w:rsidRPr="0046360F">
        <w:rPr>
          <w:rFonts w:asciiTheme="minorHAnsi" w:hAnsiTheme="minorHAnsi"/>
          <w:bCs/>
          <w:snapToGrid w:val="0"/>
          <w:lang w:eastAsia="en-US"/>
        </w:rPr>
        <w:t xml:space="preserve">An </w:t>
      </w:r>
      <w:r w:rsidRPr="009359C4">
        <w:rPr>
          <w:rFonts w:asciiTheme="minorHAnsi" w:hAnsiTheme="minorHAnsi" w:cstheme="minorHAnsi"/>
          <w:bCs/>
          <w:snapToGrid w:val="0"/>
          <w:lang w:eastAsia="en-US"/>
        </w:rPr>
        <w:t>ICER of $</w:t>
      </w:r>
      <w:r w:rsidR="009359C4" w:rsidRPr="009359C4">
        <w:rPr>
          <w:rFonts w:asciiTheme="minorHAnsi" w:hAnsiTheme="minorHAnsi" w:cstheme="minorHAnsi"/>
          <w:color w:val="333333"/>
        </w:rPr>
        <w:t>75,000 to &lt; $95,000/QALY</w:t>
      </w:r>
      <w:r w:rsidRPr="0046360F">
        <w:rPr>
          <w:rFonts w:asciiTheme="minorHAnsi" w:hAnsiTheme="minorHAnsi"/>
          <w:bCs/>
          <w:snapToGrid w:val="0"/>
          <w:lang w:eastAsia="en-US"/>
        </w:rPr>
        <w:t xml:space="preserve"> for the model </w:t>
      </w:r>
      <w:r w:rsidR="009F436B" w:rsidRPr="0046360F">
        <w:rPr>
          <w:rFonts w:asciiTheme="minorHAnsi" w:hAnsiTheme="minorHAnsi"/>
          <w:bCs/>
          <w:snapToGrid w:val="0"/>
          <w:lang w:eastAsia="en-US"/>
        </w:rPr>
        <w:t xml:space="preserve">applying the two sensitivity analyses in the pre-PBAC response, noted in paragraph </w:t>
      </w:r>
      <w:r w:rsidR="00C170ED">
        <w:rPr>
          <w:rFonts w:asciiTheme="minorHAnsi" w:hAnsiTheme="minorHAnsi"/>
          <w:bCs/>
          <w:snapToGrid w:val="0"/>
          <w:lang w:eastAsia="en-US"/>
        </w:rPr>
        <w:t>7.10</w:t>
      </w:r>
      <w:r w:rsidR="009F436B" w:rsidRPr="0046360F">
        <w:rPr>
          <w:rFonts w:asciiTheme="minorHAnsi" w:hAnsiTheme="minorHAnsi"/>
          <w:bCs/>
          <w:snapToGrid w:val="0"/>
          <w:lang w:eastAsia="en-US"/>
        </w:rPr>
        <w:t xml:space="preserve"> (and</w:t>
      </w:r>
      <w:r w:rsidRPr="0046360F">
        <w:rPr>
          <w:rFonts w:asciiTheme="minorHAnsi" w:hAnsiTheme="minorHAnsi"/>
          <w:bCs/>
          <w:snapToGrid w:val="0"/>
          <w:lang w:eastAsia="en-US"/>
        </w:rPr>
        <w:t xml:space="preserve"> </w:t>
      </w:r>
      <w:r w:rsidR="009F436B" w:rsidRPr="0046360F">
        <w:rPr>
          <w:rFonts w:asciiTheme="minorHAnsi" w:hAnsiTheme="minorHAnsi"/>
          <w:bCs/>
          <w:snapToGrid w:val="0"/>
          <w:lang w:eastAsia="en-US"/>
        </w:rPr>
        <w:t xml:space="preserve">corrected as per evaluation for </w:t>
      </w:r>
      <w:r w:rsidR="009F436B" w:rsidRPr="0046360F">
        <w:rPr>
          <w:rFonts w:asciiTheme="minorHAnsi" w:hAnsiTheme="minorHAnsi"/>
          <w:bCs/>
          <w:iCs/>
          <w:snapToGrid w:val="0"/>
          <w:lang w:eastAsia="en-US"/>
        </w:rPr>
        <w:t>errors in the calculation of acute disease costs and disease management costs, and the inappropriate use of MBS benefit rather than MBS fee).</w:t>
      </w:r>
    </w:p>
    <w:p w:rsidR="00214291" w:rsidRPr="0046360F" w:rsidRDefault="009F436B" w:rsidP="00214291">
      <w:pPr>
        <w:pStyle w:val="ListParagraph"/>
        <w:numPr>
          <w:ilvl w:val="0"/>
          <w:numId w:val="6"/>
        </w:numPr>
        <w:spacing w:after="120"/>
        <w:ind w:left="1134"/>
        <w:contextualSpacing w:val="0"/>
        <w:rPr>
          <w:rFonts w:asciiTheme="minorHAnsi" w:hAnsiTheme="minorHAnsi"/>
          <w:bCs/>
          <w:snapToGrid w:val="0"/>
          <w:lang w:eastAsia="en-US"/>
        </w:rPr>
      </w:pPr>
      <w:r w:rsidRPr="0046360F">
        <w:rPr>
          <w:lang w:eastAsia="en-US"/>
        </w:rPr>
        <w:t>Revised financial estimates accounting for a revised price, and costed over six full years, as required in the PBAC Guidelines (2016, v5.0)</w:t>
      </w:r>
      <w:r w:rsidR="00AC2970">
        <w:rPr>
          <w:lang w:eastAsia="en-US"/>
        </w:rPr>
        <w:t>, and excluding grandfathered patients as they are captured in the prevalent population</w:t>
      </w:r>
      <w:r w:rsidRPr="0046360F">
        <w:rPr>
          <w:lang w:eastAsia="en-US"/>
        </w:rPr>
        <w:t>.</w:t>
      </w:r>
    </w:p>
    <w:p w:rsidR="00214291" w:rsidRPr="0046360F" w:rsidRDefault="009F436B" w:rsidP="00214291">
      <w:pPr>
        <w:pStyle w:val="ListParagraph"/>
        <w:numPr>
          <w:ilvl w:val="0"/>
          <w:numId w:val="6"/>
        </w:numPr>
        <w:spacing w:after="120"/>
        <w:ind w:left="1134"/>
        <w:contextualSpacing w:val="0"/>
        <w:rPr>
          <w:rFonts w:asciiTheme="minorHAnsi" w:hAnsiTheme="minorHAnsi"/>
          <w:bCs/>
          <w:snapToGrid w:val="0"/>
          <w:lang w:eastAsia="en-US"/>
        </w:rPr>
      </w:pPr>
      <w:r w:rsidRPr="0046360F">
        <w:rPr>
          <w:rFonts w:asciiTheme="minorHAnsi" w:hAnsiTheme="minorHAnsi"/>
          <w:bCs/>
          <w:snapToGrid w:val="0"/>
          <w:lang w:eastAsia="en-US"/>
        </w:rPr>
        <w:t xml:space="preserve">Outline an RSA to provide </w:t>
      </w:r>
      <w:r w:rsidRPr="0046360F">
        <w:rPr>
          <w:lang w:eastAsia="en-US"/>
        </w:rPr>
        <w:t>more</w:t>
      </w:r>
      <w:r w:rsidRPr="0046360F">
        <w:rPr>
          <w:rFonts w:asciiTheme="minorHAnsi" w:hAnsiTheme="minorHAnsi"/>
          <w:bCs/>
          <w:snapToGrid w:val="0"/>
          <w:lang w:eastAsia="en-US"/>
        </w:rPr>
        <w:t xml:space="preserve"> certainty with respect to the total cost, and to manage the risk associated with use in a broader population in which cost-effectiveness is unknown</w:t>
      </w:r>
      <w:r w:rsidR="00E83988" w:rsidRPr="0046360F">
        <w:rPr>
          <w:rFonts w:asciiTheme="minorHAnsi" w:hAnsiTheme="minorHAnsi"/>
          <w:bCs/>
          <w:snapToGrid w:val="0"/>
          <w:lang w:eastAsia="en-US"/>
        </w:rPr>
        <w:t>.</w:t>
      </w:r>
      <w:r w:rsidRPr="0046360F">
        <w:rPr>
          <w:rFonts w:asciiTheme="minorHAnsi" w:hAnsiTheme="minorHAnsi"/>
          <w:bCs/>
          <w:snapToGrid w:val="0"/>
          <w:lang w:eastAsia="en-US"/>
        </w:rPr>
        <w:t xml:space="preserve"> </w:t>
      </w:r>
    </w:p>
    <w:p w:rsidR="00324839" w:rsidRPr="0046360F" w:rsidRDefault="00526C53" w:rsidP="00214291">
      <w:pPr>
        <w:widowControl w:val="0"/>
        <w:numPr>
          <w:ilvl w:val="1"/>
          <w:numId w:val="1"/>
        </w:numPr>
        <w:spacing w:after="120"/>
        <w:rPr>
          <w:rFonts w:asciiTheme="minorHAnsi" w:hAnsiTheme="minorHAnsi"/>
          <w:bCs/>
          <w:snapToGrid w:val="0"/>
          <w:lang w:eastAsia="en-US"/>
        </w:rPr>
      </w:pPr>
      <w:r w:rsidRPr="0046360F">
        <w:rPr>
          <w:rFonts w:asciiTheme="minorHAnsi" w:hAnsiTheme="minorHAnsi"/>
          <w:bCs/>
          <w:snapToGrid w:val="0"/>
          <w:lang w:eastAsia="en-US"/>
        </w:rPr>
        <w:t xml:space="preserve">The PBAC also considered </w:t>
      </w:r>
      <w:r w:rsidR="002263A4" w:rsidRPr="0046360F">
        <w:rPr>
          <w:rFonts w:asciiTheme="minorHAnsi" w:hAnsiTheme="minorHAnsi"/>
          <w:bCs/>
          <w:snapToGrid w:val="0"/>
          <w:lang w:eastAsia="en-US"/>
        </w:rPr>
        <w:t>tafamidis</w:t>
      </w:r>
      <w:r w:rsidRPr="0046360F">
        <w:rPr>
          <w:rFonts w:asciiTheme="minorHAnsi" w:hAnsiTheme="minorHAnsi"/>
          <w:bCs/>
          <w:snapToGrid w:val="0"/>
          <w:lang w:eastAsia="en-US"/>
        </w:rPr>
        <w:t xml:space="preserve"> addresses a high and urgent unmet clinical need and was expected to provide a substantial and clinically relevant improvement in efficacy, over any alternative therapies. Therefore, the PBAC considered an early resolution pathway would be acceptable if the resubmission addressed each of the points in the above paragraph with no further adjustment. The resubmission must be lodged by week 7 of the current PBAC cycle or the next cycle. If any of these terms are not acceptable to the sponsor, a standard re-entry pathway is available.</w:t>
      </w:r>
      <w:r w:rsidR="00324839" w:rsidRPr="0046360F">
        <w:rPr>
          <w:rFonts w:asciiTheme="minorHAnsi" w:hAnsiTheme="minorHAnsi"/>
          <w:bCs/>
          <w:snapToGrid w:val="0"/>
          <w:color w:val="0070C0"/>
          <w:lang w:eastAsia="en-US"/>
        </w:rPr>
        <w:t xml:space="preserve"> </w:t>
      </w:r>
    </w:p>
    <w:p w:rsidR="00526C53" w:rsidRPr="0046360F" w:rsidRDefault="00526C53" w:rsidP="001C0525">
      <w:pPr>
        <w:widowControl w:val="0"/>
        <w:numPr>
          <w:ilvl w:val="1"/>
          <w:numId w:val="1"/>
        </w:numPr>
        <w:spacing w:after="120"/>
        <w:rPr>
          <w:rFonts w:asciiTheme="minorHAnsi" w:hAnsiTheme="minorHAnsi"/>
          <w:bCs/>
          <w:snapToGrid w:val="0"/>
          <w:lang w:eastAsia="en-US"/>
        </w:rPr>
      </w:pPr>
      <w:r w:rsidRPr="0046360F">
        <w:rPr>
          <w:rFonts w:asciiTheme="minorHAnsi" w:hAnsiTheme="minorHAnsi"/>
          <w:bCs/>
          <w:snapToGrid w:val="0"/>
          <w:lang w:eastAsia="en-US"/>
        </w:rPr>
        <w:t>The PBAC noted that this submission is eligible for an Independent Review.</w:t>
      </w:r>
    </w:p>
    <w:p w:rsidR="00526C53" w:rsidRPr="0046360F" w:rsidRDefault="00526C53" w:rsidP="00526C53">
      <w:pPr>
        <w:spacing w:before="240"/>
        <w:rPr>
          <w:rFonts w:asciiTheme="minorHAnsi" w:hAnsiTheme="minorHAnsi"/>
          <w:b/>
          <w:bCs/>
          <w:snapToGrid w:val="0"/>
          <w:lang w:eastAsia="en-US"/>
        </w:rPr>
      </w:pPr>
      <w:r w:rsidRPr="0046360F">
        <w:rPr>
          <w:rFonts w:asciiTheme="minorHAnsi" w:hAnsiTheme="minorHAnsi"/>
          <w:b/>
          <w:bCs/>
          <w:snapToGrid w:val="0"/>
          <w:lang w:eastAsia="en-US"/>
        </w:rPr>
        <w:t>Outcome:</w:t>
      </w:r>
    </w:p>
    <w:p w:rsidR="00606FBA" w:rsidRDefault="00526C53" w:rsidP="00D30741">
      <w:pPr>
        <w:spacing w:after="120"/>
        <w:rPr>
          <w:rFonts w:asciiTheme="minorHAnsi" w:hAnsiTheme="minorHAnsi"/>
          <w:bCs/>
          <w:snapToGrid w:val="0"/>
          <w:lang w:eastAsia="en-US"/>
        </w:rPr>
      </w:pPr>
      <w:r w:rsidRPr="0046360F">
        <w:rPr>
          <w:rFonts w:asciiTheme="minorHAnsi" w:hAnsiTheme="minorHAnsi"/>
          <w:bCs/>
          <w:snapToGrid w:val="0"/>
          <w:lang w:eastAsia="en-US"/>
        </w:rPr>
        <w:t>Rejected</w:t>
      </w:r>
      <w:bookmarkEnd w:id="34"/>
    </w:p>
    <w:p w:rsidR="00AC64FE" w:rsidRDefault="00AC64FE"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Default="00592FA5" w:rsidP="00D30741">
      <w:pPr>
        <w:spacing w:after="120"/>
        <w:rPr>
          <w:rFonts w:asciiTheme="minorHAnsi" w:hAnsiTheme="minorHAnsi"/>
          <w:bCs/>
          <w:snapToGrid w:val="0"/>
          <w:lang w:eastAsia="en-US"/>
        </w:rPr>
      </w:pPr>
    </w:p>
    <w:p w:rsidR="00592FA5" w:rsidRPr="00592FA5" w:rsidRDefault="00592FA5" w:rsidP="005741B0">
      <w:pPr>
        <w:pStyle w:val="1MainTitle"/>
        <w:ind w:left="0" w:firstLine="0"/>
        <w:jc w:val="left"/>
        <w:rPr>
          <w:rFonts w:eastAsia="Calibri"/>
          <w:color w:val="FF0000"/>
          <w:sz w:val="28"/>
          <w:szCs w:val="28"/>
          <w:lang w:eastAsia="en-US"/>
        </w:rPr>
      </w:pPr>
      <w:r w:rsidRPr="009C4137">
        <w:rPr>
          <w:rFonts w:eastAsia="Calibri"/>
          <w:color w:val="FF0000"/>
          <w:sz w:val="28"/>
          <w:szCs w:val="28"/>
          <w:lang w:eastAsia="en-US"/>
        </w:rPr>
        <w:t>Addendum to the March 2021 PBAC Minutes:</w:t>
      </w:r>
    </w:p>
    <w:p w:rsidR="00592FA5" w:rsidRPr="0046360F" w:rsidRDefault="00592FA5" w:rsidP="00592FA5">
      <w:pPr>
        <w:pStyle w:val="1-MainHeading"/>
      </w:pPr>
      <w:r w:rsidRPr="00D53347">
        <w:t>7.02</w:t>
      </w:r>
      <w:r w:rsidRPr="00D53347">
        <w:tab/>
        <w:t>TAFAMIDIS</w:t>
      </w:r>
      <w:r w:rsidRPr="0046360F">
        <w:t>,</w:t>
      </w:r>
      <w:r w:rsidRPr="0046360F">
        <w:br/>
        <w:t>Capsule 61 mg,</w:t>
      </w:r>
      <w:r w:rsidRPr="0046360F">
        <w:br/>
        <w:t>Vyndamax</w:t>
      </w:r>
      <w:r w:rsidRPr="0046360F">
        <w:rPr>
          <w:vertAlign w:val="superscript"/>
        </w:rPr>
        <w:t>®</w:t>
      </w:r>
      <w:r w:rsidRPr="0046360F">
        <w:t>,</w:t>
      </w:r>
      <w:r w:rsidRPr="0046360F">
        <w:br/>
        <w:t>Pfizer Australia Pty Ltd.</w:t>
      </w:r>
    </w:p>
    <w:p w:rsidR="00592FA5" w:rsidRPr="0046360F" w:rsidRDefault="00592FA5" w:rsidP="00592FA5">
      <w:pPr>
        <w:pStyle w:val="2-SectionHeading"/>
        <w:numPr>
          <w:ilvl w:val="0"/>
          <w:numId w:val="1"/>
        </w:numPr>
      </w:pPr>
      <w:r>
        <w:t>Background</w:t>
      </w:r>
    </w:p>
    <w:p w:rsidR="00592FA5" w:rsidRDefault="00592FA5" w:rsidP="00592FA5">
      <w:pPr>
        <w:pStyle w:val="ExecSumBodyText"/>
        <w:numPr>
          <w:ilvl w:val="1"/>
          <w:numId w:val="1"/>
        </w:numPr>
      </w:pPr>
      <w:r>
        <w:t>An</w:t>
      </w:r>
      <w:r w:rsidRPr="00F81F7A">
        <w:t xml:space="preserve"> </w:t>
      </w:r>
      <w:r>
        <w:t>early resolution</w:t>
      </w:r>
      <w:r w:rsidRPr="00666C49">
        <w:t xml:space="preserve"> </w:t>
      </w:r>
      <w:r>
        <w:t>resubmission was provided, which sought to address the PBAC’s concerns from</w:t>
      </w:r>
      <w:r w:rsidRPr="00EB39C8">
        <w:t xml:space="preserve"> its March 2021 meeting, </w:t>
      </w:r>
      <w:r>
        <w:t xml:space="preserve">at which the </w:t>
      </w:r>
      <w:r w:rsidRPr="00EB39C8">
        <w:t>C</w:t>
      </w:r>
      <w:r>
        <w:t>ommittee</w:t>
      </w:r>
      <w:r w:rsidRPr="00EB39C8">
        <w:t xml:space="preserve"> </w:t>
      </w:r>
      <w:r>
        <w:t>did not recommend tafamidis for the</w:t>
      </w:r>
      <w:r w:rsidRPr="0046360F">
        <w:t xml:space="preserve"> treatment of patients with transthyretin cardiac amyloidosis (ATTR-CM)</w:t>
      </w:r>
      <w:r>
        <w:t xml:space="preserve">. </w:t>
      </w:r>
    </w:p>
    <w:p w:rsidR="00592FA5" w:rsidRPr="00B6677F" w:rsidRDefault="00592FA5" w:rsidP="00592FA5">
      <w:pPr>
        <w:pStyle w:val="2-SectionHeading"/>
        <w:numPr>
          <w:ilvl w:val="0"/>
          <w:numId w:val="1"/>
        </w:numPr>
      </w:pPr>
      <w:r w:rsidRPr="00B6677F">
        <w:t>Consideration of the evidence</w:t>
      </w:r>
    </w:p>
    <w:p w:rsidR="00592FA5" w:rsidRPr="005E4194" w:rsidRDefault="00592FA5" w:rsidP="00592FA5">
      <w:pPr>
        <w:pStyle w:val="ExecSumBodyText"/>
        <w:numPr>
          <w:ilvl w:val="1"/>
          <w:numId w:val="1"/>
        </w:numPr>
      </w:pPr>
      <w:r>
        <w:t>In March 2021 t</w:t>
      </w:r>
      <w:r w:rsidRPr="005E4194">
        <w:rPr>
          <w:bCs/>
          <w:lang w:eastAsia="en-US"/>
        </w:rPr>
        <w:t xml:space="preserve">he PBAC </w:t>
      </w:r>
      <w:r>
        <w:rPr>
          <w:bCs/>
          <w:lang w:eastAsia="en-US"/>
        </w:rPr>
        <w:t>“</w:t>
      </w:r>
      <w:r w:rsidRPr="005E4194">
        <w:rPr>
          <w:bCs/>
          <w:lang w:eastAsia="en-US"/>
        </w:rPr>
        <w:t>considered the outstanding issues may be addressed in a simple resubmission for tafamidis if the following changes were made, without any additional amendments to the economic evaluation or financial implications:</w:t>
      </w:r>
    </w:p>
    <w:p w:rsidR="00592FA5" w:rsidRPr="0046360F" w:rsidRDefault="00592FA5" w:rsidP="00592FA5">
      <w:pPr>
        <w:pStyle w:val="ListParagraph"/>
        <w:numPr>
          <w:ilvl w:val="0"/>
          <w:numId w:val="6"/>
        </w:numPr>
        <w:spacing w:after="120"/>
        <w:ind w:left="1134"/>
        <w:contextualSpacing w:val="0"/>
        <w:rPr>
          <w:rFonts w:asciiTheme="minorHAnsi" w:hAnsiTheme="minorHAnsi"/>
          <w:bCs/>
          <w:snapToGrid w:val="0"/>
          <w:lang w:eastAsia="en-US"/>
        </w:rPr>
      </w:pPr>
      <w:r w:rsidRPr="0046360F">
        <w:rPr>
          <w:rFonts w:asciiTheme="minorHAnsi" w:hAnsiTheme="minorHAnsi"/>
          <w:bCs/>
          <w:snapToGrid w:val="0"/>
          <w:lang w:eastAsia="en-US"/>
        </w:rPr>
        <w:t xml:space="preserve">An ICER of </w:t>
      </w:r>
      <w:r w:rsidR="0077718E">
        <w:rPr>
          <w:rFonts w:cs="Times New Roman"/>
        </w:rPr>
        <w:t xml:space="preserve">$75,000 to &lt; $95,000 </w:t>
      </w:r>
      <w:r w:rsidRPr="0046360F">
        <w:rPr>
          <w:rFonts w:asciiTheme="minorHAnsi" w:hAnsiTheme="minorHAnsi"/>
          <w:bCs/>
          <w:snapToGrid w:val="0"/>
          <w:lang w:eastAsia="en-US"/>
        </w:rPr>
        <w:t xml:space="preserve">for the model applying the two sensitivity analyses in the pre-PBAC response, noted in paragraph </w:t>
      </w:r>
      <w:r>
        <w:rPr>
          <w:rFonts w:asciiTheme="minorHAnsi" w:hAnsiTheme="minorHAnsi"/>
          <w:bCs/>
          <w:snapToGrid w:val="0"/>
          <w:lang w:eastAsia="en-US"/>
        </w:rPr>
        <w:t>7.10</w:t>
      </w:r>
      <w:r w:rsidRPr="0046360F">
        <w:rPr>
          <w:rFonts w:asciiTheme="minorHAnsi" w:hAnsiTheme="minorHAnsi"/>
          <w:bCs/>
          <w:snapToGrid w:val="0"/>
          <w:lang w:eastAsia="en-US"/>
        </w:rPr>
        <w:t xml:space="preserve"> (and corrected as per evaluation for </w:t>
      </w:r>
      <w:r w:rsidRPr="0046360F">
        <w:rPr>
          <w:rFonts w:asciiTheme="minorHAnsi" w:hAnsiTheme="minorHAnsi"/>
          <w:bCs/>
          <w:iCs/>
          <w:snapToGrid w:val="0"/>
          <w:lang w:eastAsia="en-US"/>
        </w:rPr>
        <w:t>errors in the calculation of acute disease costs and disease management costs, and the inappropriate use of MBS benefit rather than MBS fee).</w:t>
      </w:r>
    </w:p>
    <w:p w:rsidR="00592FA5" w:rsidRPr="0046360F" w:rsidRDefault="00592FA5" w:rsidP="00592FA5">
      <w:pPr>
        <w:pStyle w:val="ListParagraph"/>
        <w:numPr>
          <w:ilvl w:val="0"/>
          <w:numId w:val="6"/>
        </w:numPr>
        <w:spacing w:after="120"/>
        <w:ind w:left="1134"/>
        <w:contextualSpacing w:val="0"/>
        <w:rPr>
          <w:rFonts w:asciiTheme="minorHAnsi" w:hAnsiTheme="minorHAnsi"/>
          <w:bCs/>
          <w:snapToGrid w:val="0"/>
          <w:lang w:eastAsia="en-US"/>
        </w:rPr>
      </w:pPr>
      <w:r w:rsidRPr="0046360F">
        <w:rPr>
          <w:lang w:eastAsia="en-US"/>
        </w:rPr>
        <w:t>Revised financial estimates accounting for a revised price, and costed over six full years, as required in the PBAC Guidelines (2016, v5.0)</w:t>
      </w:r>
      <w:r>
        <w:rPr>
          <w:lang w:eastAsia="en-US"/>
        </w:rPr>
        <w:t>, and excluding grandfathered patients as they are captured in the prevalent population</w:t>
      </w:r>
      <w:r w:rsidRPr="0046360F">
        <w:rPr>
          <w:lang w:eastAsia="en-US"/>
        </w:rPr>
        <w:t>.</w:t>
      </w:r>
    </w:p>
    <w:p w:rsidR="00592FA5" w:rsidRPr="0046360F" w:rsidRDefault="00592FA5" w:rsidP="00592FA5">
      <w:pPr>
        <w:pStyle w:val="ListParagraph"/>
        <w:numPr>
          <w:ilvl w:val="0"/>
          <w:numId w:val="6"/>
        </w:numPr>
        <w:spacing w:after="120"/>
        <w:ind w:left="1134"/>
        <w:contextualSpacing w:val="0"/>
        <w:rPr>
          <w:rFonts w:asciiTheme="minorHAnsi" w:hAnsiTheme="minorHAnsi"/>
          <w:bCs/>
          <w:snapToGrid w:val="0"/>
          <w:lang w:eastAsia="en-US"/>
        </w:rPr>
      </w:pPr>
      <w:r w:rsidRPr="0046360F">
        <w:rPr>
          <w:rFonts w:asciiTheme="minorHAnsi" w:hAnsiTheme="minorHAnsi"/>
          <w:bCs/>
          <w:snapToGrid w:val="0"/>
          <w:lang w:eastAsia="en-US"/>
        </w:rPr>
        <w:t xml:space="preserve">Outline an RSA to provide </w:t>
      </w:r>
      <w:r w:rsidRPr="0046360F">
        <w:rPr>
          <w:lang w:eastAsia="en-US"/>
        </w:rPr>
        <w:t>more</w:t>
      </w:r>
      <w:r w:rsidRPr="0046360F">
        <w:rPr>
          <w:rFonts w:asciiTheme="minorHAnsi" w:hAnsiTheme="minorHAnsi"/>
          <w:bCs/>
          <w:snapToGrid w:val="0"/>
          <w:lang w:eastAsia="en-US"/>
        </w:rPr>
        <w:t xml:space="preserve"> certainty with respect to the total cost, and to manage the risk associated with use in a broader population in which cost-effectiveness is </w:t>
      </w:r>
      <w:r w:rsidRPr="004619D4">
        <w:rPr>
          <w:rFonts w:asciiTheme="minorHAnsi" w:hAnsiTheme="minorHAnsi"/>
          <w:bCs/>
          <w:snapToGrid w:val="0"/>
          <w:lang w:eastAsia="en-US"/>
        </w:rPr>
        <w:t xml:space="preserve">unknown” (paragraph 7.13, tafamidis </w:t>
      </w:r>
      <w:r w:rsidR="00F42BA8">
        <w:rPr>
          <w:rFonts w:asciiTheme="minorHAnsi" w:hAnsiTheme="minorHAnsi"/>
          <w:bCs/>
          <w:snapToGrid w:val="0"/>
          <w:lang w:eastAsia="en-US"/>
        </w:rPr>
        <w:t>PSD</w:t>
      </w:r>
      <w:r w:rsidRPr="004619D4">
        <w:rPr>
          <w:rFonts w:asciiTheme="minorHAnsi" w:hAnsiTheme="minorHAnsi"/>
          <w:bCs/>
          <w:snapToGrid w:val="0"/>
          <w:lang w:eastAsia="en-US"/>
        </w:rPr>
        <w:t>, March 2021 PBAC meeting).</w:t>
      </w:r>
      <w:r w:rsidRPr="0046360F">
        <w:rPr>
          <w:rFonts w:asciiTheme="minorHAnsi" w:hAnsiTheme="minorHAnsi"/>
          <w:bCs/>
          <w:snapToGrid w:val="0"/>
          <w:lang w:eastAsia="en-US"/>
        </w:rPr>
        <w:t xml:space="preserve"> </w:t>
      </w:r>
    </w:p>
    <w:p w:rsidR="00592FA5" w:rsidRDefault="00592FA5" w:rsidP="00592FA5">
      <w:pPr>
        <w:pStyle w:val="ExecSumBodyText"/>
        <w:numPr>
          <w:ilvl w:val="1"/>
          <w:numId w:val="1"/>
        </w:numPr>
        <w:rPr>
          <w:bCs/>
          <w:lang w:eastAsia="en-US"/>
        </w:rPr>
      </w:pPr>
      <w:r w:rsidRPr="0069015C">
        <w:t>The</w:t>
      </w:r>
      <w:r>
        <w:rPr>
          <w:bCs/>
          <w:lang w:eastAsia="en-US"/>
        </w:rPr>
        <w:t xml:space="preserve"> table below summarises how each of these issues were addressed in the resubmission. </w:t>
      </w:r>
    </w:p>
    <w:p w:rsidR="00592FA5" w:rsidRPr="001C0EC7" w:rsidRDefault="00592FA5" w:rsidP="00592FA5">
      <w:pPr>
        <w:pStyle w:val="Caption"/>
        <w:keepLines/>
        <w:rPr>
          <w:szCs w:val="20"/>
          <w:lang w:eastAsia="en-US"/>
        </w:rPr>
      </w:pPr>
      <w:r w:rsidRPr="00F80A96">
        <w:rPr>
          <w:szCs w:val="20"/>
          <w:lang w:eastAsia="en-US"/>
        </w:rPr>
        <w:t>Table 1</w:t>
      </w:r>
      <w:r>
        <w:rPr>
          <w:szCs w:val="20"/>
          <w:lang w:eastAsia="en-US"/>
        </w:rPr>
        <w:t>8</w:t>
      </w:r>
      <w:r w:rsidRPr="00F80A96">
        <w:rPr>
          <w:szCs w:val="20"/>
          <w:lang w:eastAsia="en-US"/>
        </w:rPr>
        <w:t>: Summary</w:t>
      </w:r>
      <w:r w:rsidRPr="005E4194">
        <w:rPr>
          <w:szCs w:val="20"/>
          <w:lang w:eastAsia="en-US"/>
        </w:rPr>
        <w:t xml:space="preserve"> of key </w:t>
      </w:r>
      <w:r>
        <w:rPr>
          <w:szCs w:val="20"/>
          <w:lang w:eastAsia="en-US"/>
        </w:rPr>
        <w:t xml:space="preserve">matters and how they were addressed in the </w:t>
      </w:r>
      <w:r w:rsidRPr="005E4194">
        <w:rPr>
          <w:szCs w:val="20"/>
          <w:lang w:eastAsia="en-US"/>
        </w:rPr>
        <w:t>current resubmission</w:t>
      </w:r>
    </w:p>
    <w:tbl>
      <w:tblPr>
        <w:tblStyle w:val="TableGrid"/>
        <w:tblW w:w="5000" w:type="pct"/>
        <w:tblLook w:val="04A0" w:firstRow="1" w:lastRow="0" w:firstColumn="1" w:lastColumn="0" w:noHBand="0" w:noVBand="1"/>
      </w:tblPr>
      <w:tblGrid>
        <w:gridCol w:w="3933"/>
        <w:gridCol w:w="5084"/>
      </w:tblGrid>
      <w:tr w:rsidR="00592FA5" w:rsidRPr="005E4194" w:rsidTr="00CA39C0">
        <w:trPr>
          <w:tblHeader/>
        </w:trPr>
        <w:tc>
          <w:tcPr>
            <w:tcW w:w="2181" w:type="pct"/>
            <w:tcBorders>
              <w:bottom w:val="single" w:sz="4" w:space="0" w:color="auto"/>
            </w:tcBorders>
            <w:shd w:val="clear" w:color="auto" w:fill="FFFFFF" w:themeFill="background1"/>
          </w:tcPr>
          <w:p w:rsidR="00592FA5" w:rsidRPr="005E4194" w:rsidRDefault="00592FA5" w:rsidP="00CA39C0">
            <w:pPr>
              <w:pStyle w:val="MainBodyText"/>
              <w:keepNext/>
              <w:keepLines/>
              <w:spacing w:after="0" w:line="240" w:lineRule="auto"/>
              <w:jc w:val="left"/>
              <w:rPr>
                <w:rFonts w:ascii="Arial Narrow" w:hAnsi="Arial Narrow" w:cstheme="minorHAnsi"/>
                <w:b/>
                <w:bCs/>
                <w:sz w:val="20"/>
                <w:szCs w:val="20"/>
                <w:lang w:eastAsia="en-US"/>
              </w:rPr>
            </w:pPr>
            <w:r>
              <w:rPr>
                <w:rFonts w:ascii="Arial Narrow" w:hAnsi="Arial Narrow" w:cstheme="minorHAnsi"/>
                <w:b/>
                <w:bCs/>
                <w:sz w:val="20"/>
                <w:szCs w:val="20"/>
                <w:lang w:eastAsia="en-US"/>
              </w:rPr>
              <w:t>PBAC advice (paragraph 7.13)</w:t>
            </w:r>
          </w:p>
        </w:tc>
        <w:tc>
          <w:tcPr>
            <w:tcW w:w="2819" w:type="pct"/>
            <w:tcBorders>
              <w:bottom w:val="single" w:sz="4" w:space="0" w:color="auto"/>
            </w:tcBorders>
            <w:shd w:val="clear" w:color="auto" w:fill="FFFFFF" w:themeFill="background1"/>
          </w:tcPr>
          <w:p w:rsidR="00592FA5" w:rsidRPr="005E4194" w:rsidRDefault="00592FA5" w:rsidP="00CA39C0">
            <w:pPr>
              <w:pStyle w:val="MainBodyText"/>
              <w:keepNext/>
              <w:keepLines/>
              <w:spacing w:after="0" w:line="240" w:lineRule="auto"/>
              <w:jc w:val="left"/>
              <w:rPr>
                <w:rFonts w:ascii="Arial Narrow" w:hAnsi="Arial Narrow" w:cstheme="minorHAnsi"/>
                <w:b/>
                <w:bCs/>
                <w:sz w:val="20"/>
                <w:szCs w:val="20"/>
                <w:lang w:eastAsia="en-US"/>
              </w:rPr>
            </w:pPr>
            <w:r>
              <w:rPr>
                <w:rFonts w:ascii="Arial Narrow" w:hAnsi="Arial Narrow" w:cstheme="minorHAnsi"/>
                <w:b/>
                <w:bCs/>
                <w:sz w:val="20"/>
                <w:szCs w:val="20"/>
                <w:lang w:eastAsia="en-US"/>
              </w:rPr>
              <w:t>How the resubmission addressed this</w:t>
            </w:r>
          </w:p>
        </w:tc>
      </w:tr>
      <w:tr w:rsidR="00592FA5" w:rsidRPr="005E4194" w:rsidTr="00CA39C0">
        <w:tc>
          <w:tcPr>
            <w:tcW w:w="2181" w:type="pct"/>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keepNext/>
              <w:keepLines/>
              <w:tabs>
                <w:tab w:val="left" w:pos="447"/>
              </w:tabs>
              <w:spacing w:after="0" w:line="240" w:lineRule="auto"/>
              <w:jc w:val="left"/>
              <w:rPr>
                <w:rFonts w:ascii="Arial Narrow" w:hAnsi="Arial Narrow" w:cstheme="minorHAnsi"/>
                <w:sz w:val="20"/>
                <w:szCs w:val="20"/>
                <w:lang w:eastAsia="en-US"/>
              </w:rPr>
            </w:pPr>
            <w:r w:rsidRPr="0069015C">
              <w:rPr>
                <w:rFonts w:ascii="Arial Narrow" w:hAnsi="Arial Narrow" w:cstheme="minorHAnsi"/>
                <w:sz w:val="20"/>
                <w:szCs w:val="20"/>
                <w:lang w:eastAsia="en-US"/>
              </w:rPr>
              <w:t xml:space="preserve">An ICER </w:t>
            </w:r>
            <w:r w:rsidRPr="00EE6BA6">
              <w:rPr>
                <w:rFonts w:ascii="Arial Narrow" w:hAnsi="Arial Narrow" w:cstheme="minorHAnsi"/>
                <w:sz w:val="20"/>
                <w:szCs w:val="20"/>
                <w:lang w:eastAsia="en-US"/>
              </w:rPr>
              <w:t>of $</w:t>
            </w:r>
            <w:r w:rsidR="00AC11CA">
              <w:rPr>
                <w:rFonts w:ascii="Arial Narrow" w:hAnsi="Arial Narrow" w:cstheme="minorHAnsi"/>
                <w:noProof/>
                <w:color w:val="000000"/>
                <w:sz w:val="20"/>
                <w:szCs w:val="20"/>
                <w:highlight w:val="black"/>
                <w:lang w:eastAsia="en-US"/>
              </w:rPr>
              <w:t>''''''''''''''''</w:t>
            </w:r>
            <w:r w:rsidR="007F614A" w:rsidRPr="00EE6BA6">
              <w:rPr>
                <w:rFonts w:ascii="Arial Narrow" w:hAnsi="Arial Narrow" w:cstheme="minorHAnsi"/>
                <w:sz w:val="20"/>
                <w:szCs w:val="20"/>
                <w:vertAlign w:val="superscript"/>
                <w:lang w:eastAsia="en-US"/>
              </w:rPr>
              <w:t>1</w:t>
            </w:r>
            <w:r w:rsidRPr="00EE6BA6">
              <w:rPr>
                <w:rFonts w:ascii="Arial Narrow" w:hAnsi="Arial Narrow" w:cstheme="minorHAnsi"/>
                <w:sz w:val="20"/>
                <w:szCs w:val="20"/>
                <w:lang w:eastAsia="en-US"/>
              </w:rPr>
              <w:t xml:space="preserve"> for the model applying</w:t>
            </w:r>
            <w:r w:rsidRPr="0069015C">
              <w:rPr>
                <w:rFonts w:ascii="Arial Narrow" w:hAnsi="Arial Narrow" w:cstheme="minorHAnsi"/>
                <w:sz w:val="20"/>
                <w:szCs w:val="20"/>
                <w:lang w:eastAsia="en-US"/>
              </w:rPr>
              <w:t xml:space="preserve"> the two sensitivity analyses in the pre-PBAC response</w:t>
            </w:r>
          </w:p>
        </w:tc>
        <w:tc>
          <w:tcPr>
            <w:tcW w:w="2819" w:type="pct"/>
            <w:tcBorders>
              <w:top w:val="single" w:sz="4" w:space="0" w:color="auto"/>
              <w:left w:val="single" w:sz="4" w:space="0" w:color="auto"/>
              <w:bottom w:val="single" w:sz="4" w:space="0" w:color="auto"/>
              <w:right w:val="single" w:sz="4" w:space="0" w:color="auto"/>
            </w:tcBorders>
            <w:shd w:val="clear" w:color="auto" w:fill="auto"/>
          </w:tcPr>
          <w:p w:rsidR="00592FA5" w:rsidRDefault="00592FA5" w:rsidP="00CA39C0">
            <w:pPr>
              <w:pStyle w:val="MainBodyText"/>
              <w:keepNext/>
              <w:keepLines/>
              <w:spacing w:after="0" w:line="240" w:lineRule="auto"/>
              <w:jc w:val="left"/>
              <w:rPr>
                <w:rFonts w:ascii="Arial Narrow" w:hAnsi="Arial Narrow" w:cstheme="minorHAnsi"/>
                <w:sz w:val="20"/>
                <w:szCs w:val="20"/>
                <w:lang w:eastAsia="en-US"/>
              </w:rPr>
            </w:pPr>
            <w:r w:rsidRPr="0069015C">
              <w:rPr>
                <w:rFonts w:ascii="Arial Narrow" w:hAnsi="Arial Narrow" w:cstheme="minorHAnsi"/>
                <w:sz w:val="20"/>
                <w:szCs w:val="20"/>
                <w:lang w:eastAsia="en-US"/>
              </w:rPr>
              <w:t xml:space="preserve">ICER </w:t>
            </w:r>
            <w:r w:rsidRPr="00EE6BA6">
              <w:rPr>
                <w:rFonts w:ascii="Arial Narrow" w:hAnsi="Arial Narrow" w:cstheme="minorHAnsi"/>
                <w:sz w:val="20"/>
                <w:szCs w:val="20"/>
                <w:lang w:eastAsia="en-US"/>
              </w:rPr>
              <w:t>of $</w:t>
            </w:r>
            <w:r w:rsidR="00AC11CA">
              <w:rPr>
                <w:rFonts w:ascii="Arial Narrow" w:hAnsi="Arial Narrow" w:cstheme="minorHAnsi"/>
                <w:noProof/>
                <w:color w:val="000000"/>
                <w:sz w:val="20"/>
                <w:szCs w:val="20"/>
                <w:highlight w:val="black"/>
                <w:lang w:eastAsia="en-US"/>
              </w:rPr>
              <w:t>''''''''''''''''''''</w:t>
            </w:r>
            <w:r w:rsidR="007F614A" w:rsidRPr="00EE6BA6">
              <w:rPr>
                <w:rFonts w:ascii="Arial Narrow" w:hAnsi="Arial Narrow" w:cstheme="minorHAnsi"/>
                <w:sz w:val="20"/>
                <w:szCs w:val="20"/>
                <w:vertAlign w:val="superscript"/>
                <w:lang w:eastAsia="en-US"/>
              </w:rPr>
              <w:t>2</w:t>
            </w:r>
            <w:r w:rsidRPr="0069015C">
              <w:rPr>
                <w:rFonts w:ascii="Arial Narrow" w:hAnsi="Arial Narrow" w:cstheme="minorHAnsi"/>
                <w:sz w:val="20"/>
                <w:szCs w:val="20"/>
                <w:lang w:eastAsia="en-US"/>
              </w:rPr>
              <w:t>/QALY</w:t>
            </w:r>
            <w:r>
              <w:rPr>
                <w:rFonts w:ascii="Arial Narrow" w:hAnsi="Arial Narrow" w:cstheme="minorHAnsi"/>
                <w:sz w:val="20"/>
                <w:szCs w:val="20"/>
                <w:lang w:eastAsia="en-US"/>
              </w:rPr>
              <w:t>.</w:t>
            </w:r>
          </w:p>
          <w:p w:rsidR="00592FA5" w:rsidRPr="002F6045" w:rsidRDefault="002F6045" w:rsidP="00CA39C0">
            <w:pPr>
              <w:pStyle w:val="MainBodyText"/>
              <w:keepNext/>
              <w:keepLines/>
              <w:spacing w:after="0" w:line="240" w:lineRule="auto"/>
              <w:jc w:val="left"/>
              <w:rPr>
                <w:rFonts w:ascii="Arial Narrow" w:hAnsi="Arial Narrow" w:cstheme="minorHAnsi"/>
                <w:sz w:val="20"/>
                <w:szCs w:val="20"/>
                <w:highlight w:val="black"/>
                <w:lang w:eastAsia="en-US"/>
              </w:rPr>
            </w:pPr>
            <w:r>
              <w:rPr>
                <w:rFonts w:ascii="Arial Narrow" w:hAnsi="Arial Narrow" w:cstheme="minorHAnsi"/>
                <w:noProof/>
                <w:color w:val="000000"/>
                <w:sz w:val="20"/>
                <w:szCs w:val="20"/>
                <w:highlight w:val="black"/>
                <w:lang w:eastAsia="en-US"/>
              </w:rPr>
              <w:t>'''''''''' ''''''''''''''''''''' '''''''''''' ''''''''' '''''''''''''''''' ''''''' ''''''''''' ''''''' ''''''' ''''''''' ''' '''''''''''''''' ''''''''' ''' '''''''''''''' '''''''''''' '''''''''''''''''''' ''''''''''''''''''''''''''</w:t>
            </w:r>
          </w:p>
        </w:tc>
      </w:tr>
      <w:tr w:rsidR="00592FA5" w:rsidRPr="005E4194" w:rsidTr="00CA39C0">
        <w:tc>
          <w:tcPr>
            <w:tcW w:w="2181" w:type="pct"/>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tabs>
                <w:tab w:val="left" w:pos="468"/>
              </w:tabs>
              <w:spacing w:after="0" w:line="240" w:lineRule="auto"/>
              <w:jc w:val="left"/>
              <w:rPr>
                <w:rFonts w:ascii="Arial Narrow" w:hAnsi="Arial Narrow" w:cstheme="minorHAnsi"/>
                <w:sz w:val="20"/>
                <w:szCs w:val="20"/>
                <w:lang w:eastAsia="en-US"/>
              </w:rPr>
            </w:pPr>
            <w:r w:rsidRPr="0069015C">
              <w:rPr>
                <w:rFonts w:ascii="Arial Narrow" w:hAnsi="Arial Narrow" w:cstheme="minorHAnsi"/>
                <w:sz w:val="20"/>
                <w:szCs w:val="20"/>
                <w:lang w:eastAsia="en-US"/>
              </w:rPr>
              <w:t>Revised financial estimates a</w:t>
            </w:r>
            <w:r>
              <w:rPr>
                <w:rFonts w:ascii="Arial Narrow" w:hAnsi="Arial Narrow" w:cstheme="minorHAnsi"/>
                <w:sz w:val="20"/>
                <w:szCs w:val="20"/>
                <w:lang w:eastAsia="en-US"/>
              </w:rPr>
              <w:t>ccounting for a revised price,</w:t>
            </w:r>
            <w:r w:rsidRPr="0069015C">
              <w:rPr>
                <w:rFonts w:ascii="Arial Narrow" w:hAnsi="Arial Narrow" w:cstheme="minorHAnsi"/>
                <w:sz w:val="20"/>
                <w:szCs w:val="20"/>
                <w:lang w:eastAsia="en-US"/>
              </w:rPr>
              <w:t xml:space="preserve"> costed over six full years,</w:t>
            </w:r>
            <w:r>
              <w:rPr>
                <w:rFonts w:ascii="Arial Narrow" w:hAnsi="Arial Narrow" w:cstheme="minorHAnsi"/>
                <w:sz w:val="20"/>
                <w:szCs w:val="20"/>
                <w:lang w:eastAsia="en-US"/>
              </w:rPr>
              <w:t xml:space="preserve"> and excluding grandfather patients.</w:t>
            </w:r>
          </w:p>
        </w:tc>
        <w:tc>
          <w:tcPr>
            <w:tcW w:w="2819" w:type="pct"/>
            <w:tcBorders>
              <w:top w:val="single" w:sz="4" w:space="0" w:color="auto"/>
              <w:left w:val="single" w:sz="4" w:space="0" w:color="auto"/>
              <w:bottom w:val="single" w:sz="4" w:space="0" w:color="auto"/>
              <w:right w:val="single" w:sz="4" w:space="0" w:color="auto"/>
            </w:tcBorders>
            <w:shd w:val="clear" w:color="auto" w:fill="auto"/>
          </w:tcPr>
          <w:p w:rsidR="00592FA5" w:rsidRPr="00EE6BA6" w:rsidRDefault="00592FA5" w:rsidP="00CA39C0">
            <w:pPr>
              <w:pStyle w:val="MainBodyText"/>
              <w:spacing w:after="0" w:line="240" w:lineRule="auto"/>
              <w:jc w:val="left"/>
              <w:rPr>
                <w:rFonts w:ascii="Arial Narrow" w:hAnsi="Arial Narrow" w:cstheme="minorHAnsi"/>
                <w:sz w:val="20"/>
                <w:szCs w:val="20"/>
                <w:lang w:eastAsia="en-US"/>
              </w:rPr>
            </w:pPr>
            <w:r w:rsidRPr="00EE6BA6">
              <w:rPr>
                <w:rFonts w:ascii="Arial Narrow" w:hAnsi="Arial Narrow" w:cstheme="minorHAnsi"/>
                <w:sz w:val="20"/>
                <w:szCs w:val="20"/>
                <w:lang w:eastAsia="en-US"/>
              </w:rPr>
              <w:t xml:space="preserve">The changes were made as requested. </w:t>
            </w:r>
          </w:p>
          <w:p w:rsidR="00592FA5" w:rsidRPr="00EE6BA6" w:rsidRDefault="00592FA5" w:rsidP="00CA39C0">
            <w:pPr>
              <w:pStyle w:val="MainBodyText"/>
              <w:spacing w:after="0" w:line="240" w:lineRule="auto"/>
              <w:jc w:val="left"/>
              <w:rPr>
                <w:rFonts w:ascii="Arial Narrow" w:hAnsi="Arial Narrow" w:cstheme="minorHAnsi"/>
                <w:sz w:val="20"/>
                <w:szCs w:val="20"/>
                <w:lang w:eastAsia="en-US"/>
              </w:rPr>
            </w:pPr>
            <w:r w:rsidRPr="00EE6BA6">
              <w:rPr>
                <w:rFonts w:ascii="Arial Narrow" w:hAnsi="Arial Narrow" w:cstheme="minorHAnsi"/>
                <w:sz w:val="20"/>
                <w:szCs w:val="20"/>
                <w:lang w:eastAsia="en-US"/>
              </w:rPr>
              <w:t>The total expenditure was estimated to be $</w:t>
            </w:r>
            <w:r w:rsidR="00AC11CA">
              <w:rPr>
                <w:rFonts w:ascii="Arial Narrow" w:hAnsi="Arial Narrow" w:cstheme="minorHAnsi"/>
                <w:noProof/>
                <w:color w:val="000000"/>
                <w:sz w:val="20"/>
                <w:szCs w:val="20"/>
                <w:highlight w:val="black"/>
                <w:lang w:eastAsia="en-US"/>
              </w:rPr>
              <w:t>''''''''''''' '''''''''''''''''</w:t>
            </w:r>
            <w:r w:rsidR="00CA39C0" w:rsidRPr="00EE6BA6">
              <w:rPr>
                <w:rFonts w:ascii="Arial Narrow" w:hAnsi="Arial Narrow" w:cstheme="minorHAnsi"/>
                <w:sz w:val="20"/>
                <w:szCs w:val="20"/>
                <w:vertAlign w:val="superscript"/>
                <w:lang w:eastAsia="en-US"/>
              </w:rPr>
              <w:t>3</w:t>
            </w:r>
            <w:r w:rsidRPr="00EE6BA6">
              <w:rPr>
                <w:rFonts w:ascii="Arial Narrow" w:hAnsi="Arial Narrow" w:cstheme="minorHAnsi"/>
                <w:sz w:val="20"/>
                <w:szCs w:val="20"/>
                <w:lang w:eastAsia="en-US"/>
              </w:rPr>
              <w:t xml:space="preserve"> over 6 years, compared with $</w:t>
            </w:r>
            <w:r w:rsidR="00AC11CA">
              <w:rPr>
                <w:rFonts w:ascii="Arial Narrow" w:hAnsi="Arial Narrow" w:cstheme="minorHAnsi"/>
                <w:noProof/>
                <w:color w:val="000000"/>
                <w:sz w:val="20"/>
                <w:szCs w:val="20"/>
                <w:highlight w:val="black"/>
                <w:lang w:eastAsia="en-US"/>
              </w:rPr>
              <w:t>'''''''''''''''''''''''''''''''''</w:t>
            </w:r>
            <w:r w:rsidR="00CA39C0" w:rsidRPr="00EE6BA6">
              <w:rPr>
                <w:rFonts w:ascii="Arial Narrow" w:hAnsi="Arial Narrow" w:cstheme="minorHAnsi"/>
                <w:sz w:val="20"/>
                <w:szCs w:val="20"/>
                <w:vertAlign w:val="superscript"/>
                <w:lang w:eastAsia="en-US"/>
              </w:rPr>
              <w:t>4</w:t>
            </w:r>
            <w:r w:rsidRPr="00EE6BA6">
              <w:rPr>
                <w:rFonts w:ascii="Arial Narrow" w:hAnsi="Arial Narrow" w:cstheme="minorHAnsi"/>
                <w:sz w:val="20"/>
                <w:szCs w:val="20"/>
                <w:lang w:eastAsia="en-US"/>
              </w:rPr>
              <w:t xml:space="preserve"> over 5.2 years in the previous submission.</w:t>
            </w:r>
          </w:p>
        </w:tc>
      </w:tr>
      <w:tr w:rsidR="00592FA5" w:rsidRPr="005E4194" w:rsidTr="00CA39C0">
        <w:trPr>
          <w:trHeight w:val="229"/>
        </w:trPr>
        <w:tc>
          <w:tcPr>
            <w:tcW w:w="2181" w:type="pct"/>
            <w:vMerge w:val="restart"/>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tabs>
                <w:tab w:val="left" w:pos="468"/>
              </w:tabs>
              <w:spacing w:after="0" w:line="240" w:lineRule="auto"/>
              <w:jc w:val="left"/>
              <w:rPr>
                <w:rFonts w:ascii="Arial Narrow" w:hAnsi="Arial Narrow" w:cstheme="minorHAnsi"/>
                <w:sz w:val="20"/>
                <w:szCs w:val="20"/>
                <w:lang w:eastAsia="en-US"/>
              </w:rPr>
            </w:pPr>
            <w:r w:rsidRPr="0069015C">
              <w:rPr>
                <w:rFonts w:ascii="Arial Narrow" w:hAnsi="Arial Narrow" w:cstheme="minorHAnsi"/>
                <w:sz w:val="20"/>
                <w:szCs w:val="20"/>
                <w:lang w:eastAsia="en-US"/>
              </w:rPr>
              <w:t>Outline an RSA to provide more certainty with respect to the total cost, and to manage the risk associated with use in a broader population in which cost-effectiveness is unknown</w:t>
            </w:r>
          </w:p>
        </w:tc>
        <w:tc>
          <w:tcPr>
            <w:tcW w:w="2819" w:type="pct"/>
            <w:vMerge w:val="restart"/>
            <w:tcBorders>
              <w:top w:val="single" w:sz="4" w:space="0" w:color="auto"/>
              <w:left w:val="single" w:sz="4" w:space="0" w:color="auto"/>
              <w:right w:val="single" w:sz="4" w:space="0" w:color="auto"/>
            </w:tcBorders>
            <w:shd w:val="clear" w:color="auto" w:fill="auto"/>
          </w:tcPr>
          <w:p w:rsidR="00592FA5" w:rsidRPr="00EE6BA6" w:rsidRDefault="00592FA5" w:rsidP="00CA39C0">
            <w:pPr>
              <w:pStyle w:val="MainBodyText"/>
              <w:spacing w:after="0" w:line="240" w:lineRule="auto"/>
              <w:jc w:val="left"/>
              <w:rPr>
                <w:rFonts w:ascii="Arial Narrow" w:hAnsi="Arial Narrow" w:cstheme="minorHAnsi"/>
                <w:sz w:val="20"/>
                <w:szCs w:val="20"/>
                <w:lang w:eastAsia="en-US"/>
              </w:rPr>
            </w:pPr>
            <w:r w:rsidRPr="00EE6BA6">
              <w:rPr>
                <w:rFonts w:ascii="Arial Narrow" w:hAnsi="Arial Narrow" w:cstheme="minorHAnsi"/>
                <w:sz w:val="20"/>
                <w:szCs w:val="20"/>
                <w:lang w:eastAsia="en-US"/>
              </w:rPr>
              <w:t>An RSA proposal was included, in which the proposed caps were higher than the resubmission’s estimated financial expenditure (the proposed caps were $</w:t>
            </w:r>
            <w:r w:rsidR="00AC11CA">
              <w:rPr>
                <w:rFonts w:ascii="Arial Narrow" w:hAnsi="Arial Narrow" w:cstheme="minorHAnsi"/>
                <w:noProof/>
                <w:color w:val="000000"/>
                <w:sz w:val="20"/>
                <w:szCs w:val="20"/>
                <w:highlight w:val="black"/>
                <w:lang w:eastAsia="en-US"/>
              </w:rPr>
              <w:t>''''''''' '''''''''''''''</w:t>
            </w:r>
            <w:r w:rsidR="007F614A" w:rsidRPr="00EE6BA6">
              <w:rPr>
                <w:rFonts w:ascii="Arial Narrow" w:hAnsi="Arial Narrow" w:cstheme="minorHAnsi"/>
                <w:sz w:val="20"/>
                <w:szCs w:val="20"/>
                <w:vertAlign w:val="superscript"/>
                <w:lang w:eastAsia="en-US"/>
              </w:rPr>
              <w:t>3</w:t>
            </w:r>
            <w:r w:rsidRPr="00EE6BA6">
              <w:rPr>
                <w:rFonts w:ascii="Arial Narrow" w:hAnsi="Arial Narrow" w:cstheme="minorHAnsi"/>
                <w:sz w:val="20"/>
                <w:szCs w:val="20"/>
                <w:lang w:eastAsia="en-US"/>
              </w:rPr>
              <w:t xml:space="preserve"> over 6 years compared with the estimated expenditure of $</w:t>
            </w:r>
            <w:r w:rsidR="00AC11CA">
              <w:rPr>
                <w:rFonts w:ascii="Arial Narrow" w:hAnsi="Arial Narrow" w:cstheme="minorHAnsi"/>
                <w:noProof/>
                <w:color w:val="000000"/>
                <w:sz w:val="20"/>
                <w:szCs w:val="20"/>
                <w:highlight w:val="black"/>
                <w:lang w:eastAsia="en-US"/>
              </w:rPr>
              <w:t>'''''''''''' ''''''''''''''''</w:t>
            </w:r>
            <w:r w:rsidR="008F4AB6" w:rsidRPr="00EE6BA6">
              <w:rPr>
                <w:rFonts w:ascii="Arial Narrow" w:hAnsi="Arial Narrow" w:cstheme="minorHAnsi"/>
                <w:sz w:val="20"/>
                <w:szCs w:val="20"/>
                <w:vertAlign w:val="superscript"/>
                <w:lang w:eastAsia="en-US"/>
              </w:rPr>
              <w:t>3</w:t>
            </w:r>
            <w:r w:rsidRPr="00EE6BA6">
              <w:rPr>
                <w:rFonts w:ascii="Arial Narrow" w:hAnsi="Arial Narrow" w:cstheme="minorHAnsi"/>
                <w:sz w:val="20"/>
                <w:szCs w:val="20"/>
                <w:lang w:eastAsia="en-US"/>
              </w:rPr>
              <w:t xml:space="preserve">). A rebate of </w:t>
            </w:r>
            <w:r w:rsidR="00AC11CA">
              <w:rPr>
                <w:rFonts w:ascii="Arial Narrow" w:hAnsi="Arial Narrow" w:cstheme="minorHAnsi"/>
                <w:noProof/>
                <w:color w:val="000000"/>
                <w:sz w:val="20"/>
                <w:szCs w:val="20"/>
                <w:highlight w:val="black"/>
                <w:lang w:eastAsia="en-US"/>
              </w:rPr>
              <w:t>''''''</w:t>
            </w:r>
            <w:r w:rsidRPr="00EE6BA6">
              <w:rPr>
                <w:rFonts w:ascii="Arial Narrow" w:hAnsi="Arial Narrow" w:cstheme="minorHAnsi"/>
                <w:sz w:val="20"/>
                <w:szCs w:val="20"/>
                <w:lang w:eastAsia="en-US"/>
              </w:rPr>
              <w:t>% was proposed for any utilisation in excess of the caps.</w:t>
            </w:r>
          </w:p>
        </w:tc>
      </w:tr>
      <w:tr w:rsidR="00592FA5" w:rsidRPr="005E4194" w:rsidTr="00CA39C0">
        <w:trPr>
          <w:trHeight w:val="229"/>
        </w:trPr>
        <w:tc>
          <w:tcPr>
            <w:tcW w:w="2181" w:type="pct"/>
            <w:vMerge/>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jc w:val="left"/>
              <w:rPr>
                <w:rFonts w:ascii="Arial Narrow" w:hAnsi="Arial Narrow" w:cstheme="minorHAnsi"/>
                <w:sz w:val="20"/>
                <w:szCs w:val="20"/>
                <w:u w:val="single"/>
                <w:lang w:eastAsia="en-US"/>
              </w:rPr>
            </w:pPr>
          </w:p>
        </w:tc>
        <w:tc>
          <w:tcPr>
            <w:tcW w:w="2819" w:type="pct"/>
            <w:vMerge/>
            <w:tcBorders>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r>
    </w:tbl>
    <w:p w:rsidR="00592FA5" w:rsidRDefault="00592FA5" w:rsidP="00592FA5">
      <w:pPr>
        <w:rPr>
          <w:rFonts w:ascii="Arial Narrow" w:hAnsi="Arial Narrow"/>
          <w:sz w:val="20"/>
          <w:szCs w:val="20"/>
        </w:rPr>
      </w:pPr>
      <w:r>
        <w:rPr>
          <w:rFonts w:ascii="Arial Narrow" w:hAnsi="Arial Narrow"/>
          <w:sz w:val="20"/>
          <w:szCs w:val="20"/>
        </w:rPr>
        <w:t>Source: Compiled during preparation of the Minutes</w:t>
      </w:r>
    </w:p>
    <w:p w:rsidR="007F614A" w:rsidRPr="007F614A" w:rsidRDefault="007F614A" w:rsidP="00592FA5">
      <w:pPr>
        <w:rPr>
          <w:rFonts w:ascii="Arial Narrow" w:hAnsi="Arial Narrow"/>
          <w:i/>
          <w:iCs/>
          <w:sz w:val="20"/>
          <w:szCs w:val="20"/>
        </w:rPr>
      </w:pPr>
      <w:r>
        <w:rPr>
          <w:rFonts w:ascii="Arial Narrow" w:hAnsi="Arial Narrow"/>
          <w:i/>
          <w:iCs/>
          <w:sz w:val="20"/>
          <w:szCs w:val="20"/>
        </w:rPr>
        <w:t>The redacted values correspond to the following ranges:</w:t>
      </w:r>
    </w:p>
    <w:p w:rsidR="007F614A" w:rsidRPr="007F614A" w:rsidRDefault="007F614A" w:rsidP="00592FA5">
      <w:pPr>
        <w:rPr>
          <w:rFonts w:ascii="Arial Narrow" w:hAnsi="Arial Narrow"/>
          <w:i/>
          <w:iCs/>
          <w:sz w:val="20"/>
          <w:szCs w:val="20"/>
        </w:rPr>
      </w:pPr>
      <w:r w:rsidRPr="007F614A">
        <w:rPr>
          <w:rFonts w:ascii="Arial Narrow" w:hAnsi="Arial Narrow"/>
          <w:i/>
          <w:iCs/>
          <w:sz w:val="20"/>
          <w:szCs w:val="20"/>
          <w:vertAlign w:val="superscript"/>
        </w:rPr>
        <w:t>1</w:t>
      </w:r>
      <w:r w:rsidRPr="007F614A">
        <w:rPr>
          <w:rFonts w:ascii="Arial Narrow" w:hAnsi="Arial Narrow"/>
          <w:i/>
          <w:iCs/>
          <w:sz w:val="20"/>
          <w:szCs w:val="20"/>
        </w:rPr>
        <w:t>$75,000 to &lt; $95,000</w:t>
      </w:r>
    </w:p>
    <w:p w:rsidR="002D0722" w:rsidRDefault="007F614A" w:rsidP="00592FA5">
      <w:pPr>
        <w:rPr>
          <w:rFonts w:ascii="Arial Narrow" w:hAnsi="Arial Narrow"/>
          <w:i/>
          <w:iCs/>
          <w:sz w:val="20"/>
          <w:szCs w:val="20"/>
        </w:rPr>
      </w:pPr>
      <w:r w:rsidRPr="007F614A">
        <w:rPr>
          <w:rFonts w:ascii="Arial Narrow" w:hAnsi="Arial Narrow"/>
          <w:i/>
          <w:iCs/>
          <w:sz w:val="20"/>
          <w:szCs w:val="20"/>
          <w:vertAlign w:val="superscript"/>
        </w:rPr>
        <w:t>2</w:t>
      </w:r>
      <w:r w:rsidRPr="007F614A">
        <w:rPr>
          <w:rFonts w:ascii="Arial Narrow" w:hAnsi="Arial Narrow"/>
          <w:i/>
          <w:iCs/>
          <w:sz w:val="20"/>
          <w:szCs w:val="20"/>
        </w:rPr>
        <w:t>$135,000 to &lt; $155,000/QALY</w:t>
      </w:r>
    </w:p>
    <w:p w:rsidR="007F614A" w:rsidRDefault="007F614A" w:rsidP="00592FA5">
      <w:pPr>
        <w:rPr>
          <w:rFonts w:ascii="Arial Narrow" w:hAnsi="Arial Narrow"/>
          <w:i/>
          <w:iCs/>
          <w:sz w:val="20"/>
          <w:szCs w:val="20"/>
        </w:rPr>
      </w:pPr>
      <w:r>
        <w:rPr>
          <w:rFonts w:ascii="Arial Narrow" w:hAnsi="Arial Narrow"/>
          <w:i/>
          <w:iCs/>
          <w:sz w:val="20"/>
          <w:szCs w:val="20"/>
          <w:vertAlign w:val="superscript"/>
        </w:rPr>
        <w:t>3</w:t>
      </w:r>
      <w:r w:rsidR="008F4AB6" w:rsidRPr="008F4AB6">
        <w:rPr>
          <w:rFonts w:ascii="Arial Narrow" w:hAnsi="Arial Narrow"/>
          <w:i/>
          <w:iCs/>
          <w:sz w:val="20"/>
          <w:szCs w:val="20"/>
        </w:rPr>
        <w:t>$200 million to &lt; $300 million</w:t>
      </w:r>
    </w:p>
    <w:p w:rsidR="00CA39C0" w:rsidRPr="008F4AB6" w:rsidRDefault="00CA39C0" w:rsidP="00592FA5">
      <w:pPr>
        <w:rPr>
          <w:rFonts w:ascii="Arial Narrow" w:hAnsi="Arial Narrow"/>
          <w:i/>
          <w:iCs/>
          <w:sz w:val="20"/>
          <w:szCs w:val="20"/>
        </w:rPr>
      </w:pPr>
      <w:r>
        <w:rPr>
          <w:rFonts w:ascii="Arial Narrow" w:hAnsi="Arial Narrow"/>
          <w:i/>
          <w:iCs/>
          <w:sz w:val="20"/>
          <w:szCs w:val="20"/>
          <w:vertAlign w:val="superscript"/>
        </w:rPr>
        <w:t>4</w:t>
      </w:r>
      <w:r w:rsidRPr="00CA39C0">
        <w:rPr>
          <w:rFonts w:ascii="Arial Narrow" w:hAnsi="Arial Narrow"/>
          <w:i/>
          <w:iCs/>
          <w:sz w:val="20"/>
          <w:szCs w:val="20"/>
        </w:rPr>
        <w:t>$500 million to &lt; $600 million</w:t>
      </w:r>
    </w:p>
    <w:p w:rsidR="00592FA5" w:rsidRPr="00A452D3" w:rsidRDefault="00592FA5" w:rsidP="00592FA5">
      <w:pPr>
        <w:pStyle w:val="ExecSumBodyText"/>
        <w:numPr>
          <w:ilvl w:val="0"/>
          <w:numId w:val="0"/>
        </w:numPr>
        <w:ind w:left="720"/>
      </w:pPr>
    </w:p>
    <w:p w:rsidR="00592FA5" w:rsidRDefault="00592FA5" w:rsidP="00592FA5">
      <w:pPr>
        <w:pStyle w:val="ExecSumBodyText"/>
        <w:numPr>
          <w:ilvl w:val="1"/>
          <w:numId w:val="1"/>
        </w:numPr>
      </w:pPr>
      <w:r w:rsidRPr="00A452D3">
        <w:t>A</w:t>
      </w:r>
      <w:r>
        <w:t xml:space="preserve"> key additional change, not requested in Paragraph 7.13 of the previous </w:t>
      </w:r>
      <w:r w:rsidR="00F42BA8">
        <w:t>PSD</w:t>
      </w:r>
      <w:r>
        <w:t xml:space="preserve">, would </w:t>
      </w:r>
      <w:r w:rsidRPr="00A452D3">
        <w:t>require pa</w:t>
      </w:r>
      <w:r>
        <w:t>tients with persistent class III</w:t>
      </w:r>
      <w:r w:rsidRPr="00A452D3">
        <w:t xml:space="preserve"> heart failure to discontinue tafamidis. In the previous submission, </w:t>
      </w:r>
      <w:r>
        <w:t xml:space="preserve">while </w:t>
      </w:r>
      <w:r w:rsidRPr="00A452D3">
        <w:t>patients w</w:t>
      </w:r>
      <w:r>
        <w:t xml:space="preserve">ith persistent class III heart failure could not </w:t>
      </w:r>
      <w:r w:rsidRPr="00A452D3">
        <w:t>commence tafamidis</w:t>
      </w:r>
      <w:r>
        <w:t xml:space="preserve">, continuation was permitted until the patient progressed to class IV heart failure. </w:t>
      </w:r>
      <w:r w:rsidRPr="00A452D3">
        <w:t xml:space="preserve">This change resulted in </w:t>
      </w:r>
      <w:r>
        <w:t xml:space="preserve">significant </w:t>
      </w:r>
      <w:r w:rsidRPr="00A452D3">
        <w:t>changes to the economic</w:t>
      </w:r>
      <w:r>
        <w:t xml:space="preserve"> model and financial estimates</w:t>
      </w:r>
      <w:r w:rsidRPr="00A452D3">
        <w:t xml:space="preserve">, namely additional health states in the </w:t>
      </w:r>
      <w:r>
        <w:t xml:space="preserve">economic </w:t>
      </w:r>
      <w:r w:rsidRPr="00A452D3">
        <w:t>model and additional assumptions in the financial</w:t>
      </w:r>
      <w:r>
        <w:t xml:space="preserve"> estimate</w:t>
      </w:r>
      <w:r w:rsidRPr="00A452D3">
        <w:t>s.</w:t>
      </w:r>
      <w:r>
        <w:t xml:space="preserve"> As an</w:t>
      </w:r>
      <w:r w:rsidRPr="00A452D3">
        <w:t xml:space="preserve"> </w:t>
      </w:r>
      <w:r>
        <w:t>early resolution</w:t>
      </w:r>
      <w:r w:rsidRPr="00666C49">
        <w:t xml:space="preserve"> </w:t>
      </w:r>
      <w:r>
        <w:t>resubmission, these changes were not evaluated.</w:t>
      </w:r>
    </w:p>
    <w:p w:rsidR="00592FA5" w:rsidRPr="00A452D3" w:rsidRDefault="00592FA5" w:rsidP="00592FA5">
      <w:pPr>
        <w:pStyle w:val="ExecSumBodyText"/>
        <w:numPr>
          <w:ilvl w:val="1"/>
          <w:numId w:val="1"/>
        </w:numPr>
      </w:pPr>
      <w:r>
        <w:t>The resubmission stated that the changes outlined in the table below had been made. As an</w:t>
      </w:r>
      <w:r w:rsidRPr="00A452D3">
        <w:t xml:space="preserve"> </w:t>
      </w:r>
      <w:r>
        <w:t>early resolution</w:t>
      </w:r>
      <w:r w:rsidRPr="00666C49">
        <w:t xml:space="preserve"> </w:t>
      </w:r>
      <w:r>
        <w:t>resubmission, these changes were not evaluated.</w:t>
      </w:r>
    </w:p>
    <w:p w:rsidR="00592FA5" w:rsidRPr="005E4194" w:rsidRDefault="00592FA5" w:rsidP="00592FA5">
      <w:pPr>
        <w:pStyle w:val="Caption"/>
        <w:keepLines/>
        <w:rPr>
          <w:szCs w:val="20"/>
        </w:rPr>
      </w:pPr>
      <w:bookmarkStart w:id="49" w:name="_Toc55216638"/>
      <w:bookmarkStart w:id="50" w:name="_Toc55227425"/>
      <w:bookmarkStart w:id="51" w:name="_Toc80704811"/>
      <w:r w:rsidRPr="005E4194">
        <w:rPr>
          <w:szCs w:val="20"/>
          <w:lang w:eastAsia="en-US"/>
        </w:rPr>
        <w:t xml:space="preserve">Table </w:t>
      </w:r>
      <w:r>
        <w:rPr>
          <w:szCs w:val="20"/>
          <w:lang w:eastAsia="en-US"/>
        </w:rPr>
        <w:t>19</w:t>
      </w:r>
      <w:r w:rsidRPr="005E4194">
        <w:rPr>
          <w:szCs w:val="20"/>
          <w:lang w:eastAsia="en-US"/>
        </w:rPr>
        <w:t xml:space="preserve">: Summary </w:t>
      </w:r>
      <w:bookmarkEnd w:id="49"/>
      <w:bookmarkEnd w:id="50"/>
      <w:r w:rsidRPr="005E4194">
        <w:rPr>
          <w:szCs w:val="20"/>
          <w:lang w:eastAsia="en-US"/>
        </w:rPr>
        <w:t>of key differences between previous and current resubmission</w:t>
      </w:r>
      <w:bookmarkEnd w:id="51"/>
    </w:p>
    <w:tbl>
      <w:tblPr>
        <w:tblStyle w:val="TableGrid"/>
        <w:tblW w:w="0" w:type="auto"/>
        <w:tblLook w:val="04A0" w:firstRow="1" w:lastRow="0" w:firstColumn="1" w:lastColumn="0" w:noHBand="0" w:noVBand="1"/>
      </w:tblPr>
      <w:tblGrid>
        <w:gridCol w:w="1980"/>
        <w:gridCol w:w="3118"/>
        <w:gridCol w:w="3918"/>
      </w:tblGrid>
      <w:tr w:rsidR="00592FA5" w:rsidRPr="005E4194" w:rsidTr="00CA39C0">
        <w:trPr>
          <w:tblHeader/>
        </w:trPr>
        <w:tc>
          <w:tcPr>
            <w:tcW w:w="1980" w:type="dxa"/>
            <w:tcBorders>
              <w:bottom w:val="single" w:sz="4" w:space="0" w:color="auto"/>
            </w:tcBorders>
            <w:shd w:val="clear" w:color="auto" w:fill="FFFFFF" w:themeFill="background1"/>
          </w:tcPr>
          <w:p w:rsidR="00592FA5" w:rsidRPr="005E4194" w:rsidRDefault="00592FA5" w:rsidP="00CA39C0">
            <w:pPr>
              <w:pStyle w:val="MainBodyText"/>
              <w:keepNext/>
              <w:keepLines/>
              <w:spacing w:after="0" w:line="240" w:lineRule="auto"/>
              <w:jc w:val="left"/>
              <w:rPr>
                <w:rFonts w:ascii="Arial Narrow" w:hAnsi="Arial Narrow" w:cstheme="minorHAnsi"/>
                <w:b/>
                <w:bCs/>
                <w:sz w:val="20"/>
                <w:szCs w:val="20"/>
                <w:lang w:eastAsia="en-US"/>
              </w:rPr>
            </w:pPr>
            <w:r w:rsidRPr="005E4194">
              <w:rPr>
                <w:rFonts w:ascii="Arial Narrow" w:hAnsi="Arial Narrow" w:cstheme="minorHAnsi"/>
                <w:b/>
                <w:bCs/>
                <w:sz w:val="20"/>
                <w:szCs w:val="20"/>
                <w:lang w:eastAsia="en-US"/>
              </w:rPr>
              <w:t>Section</w:t>
            </w:r>
          </w:p>
        </w:tc>
        <w:tc>
          <w:tcPr>
            <w:tcW w:w="3118" w:type="dxa"/>
            <w:tcBorders>
              <w:bottom w:val="single" w:sz="4" w:space="0" w:color="auto"/>
            </w:tcBorders>
            <w:shd w:val="clear" w:color="auto" w:fill="FFFFFF" w:themeFill="background1"/>
          </w:tcPr>
          <w:p w:rsidR="00592FA5" w:rsidRPr="005E4194" w:rsidRDefault="00592FA5" w:rsidP="00CA39C0">
            <w:pPr>
              <w:pStyle w:val="MainBodyText"/>
              <w:keepNext/>
              <w:keepLines/>
              <w:spacing w:after="0" w:line="240" w:lineRule="auto"/>
              <w:jc w:val="left"/>
              <w:rPr>
                <w:rFonts w:ascii="Arial Narrow" w:hAnsi="Arial Narrow" w:cstheme="minorHAnsi"/>
                <w:b/>
                <w:bCs/>
                <w:sz w:val="20"/>
                <w:szCs w:val="20"/>
                <w:lang w:eastAsia="en-US"/>
              </w:rPr>
            </w:pPr>
            <w:r w:rsidRPr="005E4194">
              <w:rPr>
                <w:rFonts w:ascii="Arial Narrow" w:hAnsi="Arial Narrow" w:cstheme="minorHAnsi"/>
                <w:b/>
                <w:bCs/>
                <w:sz w:val="20"/>
                <w:szCs w:val="20"/>
                <w:lang w:eastAsia="en-US"/>
              </w:rPr>
              <w:t>Previous resubmission</w:t>
            </w:r>
          </w:p>
        </w:tc>
        <w:tc>
          <w:tcPr>
            <w:tcW w:w="3918" w:type="dxa"/>
            <w:tcBorders>
              <w:bottom w:val="single" w:sz="4" w:space="0" w:color="auto"/>
            </w:tcBorders>
            <w:shd w:val="clear" w:color="auto" w:fill="FFFFFF" w:themeFill="background1"/>
          </w:tcPr>
          <w:p w:rsidR="00592FA5" w:rsidRPr="005E4194" w:rsidRDefault="00592FA5" w:rsidP="00CA39C0">
            <w:pPr>
              <w:pStyle w:val="MainBodyText"/>
              <w:keepNext/>
              <w:keepLines/>
              <w:spacing w:after="0" w:line="240" w:lineRule="auto"/>
              <w:jc w:val="left"/>
              <w:rPr>
                <w:rFonts w:ascii="Arial Narrow" w:hAnsi="Arial Narrow" w:cstheme="minorHAnsi"/>
                <w:b/>
                <w:bCs/>
                <w:sz w:val="20"/>
                <w:szCs w:val="20"/>
                <w:lang w:eastAsia="en-US"/>
              </w:rPr>
            </w:pPr>
            <w:r w:rsidRPr="005E4194">
              <w:rPr>
                <w:rFonts w:ascii="Arial Narrow" w:hAnsi="Arial Narrow" w:cstheme="minorHAnsi"/>
                <w:b/>
                <w:bCs/>
                <w:sz w:val="20"/>
                <w:szCs w:val="20"/>
                <w:lang w:eastAsia="en-US"/>
              </w:rPr>
              <w:t>This resubmission</w:t>
            </w:r>
          </w:p>
        </w:tc>
      </w:tr>
      <w:tr w:rsidR="00592FA5" w:rsidRPr="005E4194" w:rsidTr="00CA39C0">
        <w:tc>
          <w:tcPr>
            <w:tcW w:w="9016" w:type="dxa"/>
            <w:gridSpan w:val="3"/>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keepNext/>
              <w:keepLines/>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Section 1: Context</w:t>
            </w:r>
          </w:p>
        </w:tc>
      </w:tr>
      <w:tr w:rsidR="00592FA5" w:rsidRPr="005E4194" w:rsidTr="00CA39C0">
        <w:tc>
          <w:tcPr>
            <w:tcW w:w="1980" w:type="dxa"/>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keepNext/>
              <w:keepLines/>
              <w:tabs>
                <w:tab w:val="left" w:pos="447"/>
              </w:tabs>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 xml:space="preserve">Clinical issues </w:t>
            </w:r>
            <w:r>
              <w:rPr>
                <w:rFonts w:ascii="Arial Narrow" w:hAnsi="Arial Narrow" w:cstheme="minorHAnsi"/>
                <w:sz w:val="20"/>
                <w:szCs w:val="20"/>
                <w:lang w:eastAsia="en-US"/>
              </w:rPr>
              <w:t>addressed by the s</w:t>
            </w:r>
            <w:r w:rsidRPr="005E4194">
              <w:rPr>
                <w:rFonts w:ascii="Arial Narrow" w:hAnsi="Arial Narrow" w:cstheme="minorHAnsi"/>
                <w:sz w:val="20"/>
                <w:szCs w:val="20"/>
                <w:lang w:eastAsia="en-US"/>
              </w:rPr>
              <w:t>ubmission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keepNext/>
              <w:keepLines/>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 xml:space="preserve">Initiation in NYHA class I and II and non-persistent NYHA class III HF. Discontinuation in NYHA class IV HF. </w:t>
            </w: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keepNext/>
              <w:keepLines/>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 xml:space="preserve">Initiation in NYHA class I and II HF. Discontinuation in NYHA class III HF, confirmed by a further assessment after 3-6 months, and NYHA class IV HF. </w:t>
            </w:r>
          </w:p>
        </w:tc>
      </w:tr>
      <w:tr w:rsidR="00592FA5" w:rsidRPr="005E4194" w:rsidTr="00CA39C0">
        <w:tc>
          <w:tcPr>
            <w:tcW w:w="1980" w:type="dxa"/>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tabs>
                <w:tab w:val="left" w:pos="468"/>
              </w:tabs>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Regulatory process</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EE6BA6" w:rsidRDefault="00592FA5" w:rsidP="00CA39C0">
            <w:pPr>
              <w:pStyle w:val="MainBodyText"/>
              <w:spacing w:after="0" w:line="240" w:lineRule="auto"/>
              <w:jc w:val="left"/>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EE6BA6" w:rsidRDefault="00592FA5" w:rsidP="00CA39C0">
            <w:pPr>
              <w:pStyle w:val="MainBodyText"/>
              <w:spacing w:after="0" w:line="240" w:lineRule="auto"/>
              <w:jc w:val="left"/>
              <w:rPr>
                <w:rFonts w:ascii="Arial Narrow" w:hAnsi="Arial Narrow" w:cstheme="minorHAnsi"/>
                <w:sz w:val="20"/>
                <w:szCs w:val="20"/>
                <w:lang w:eastAsia="en-US"/>
              </w:rPr>
            </w:pPr>
            <w:r w:rsidRPr="00EE6BA6">
              <w:rPr>
                <w:rFonts w:ascii="Arial Narrow" w:hAnsi="Arial Narrow" w:cstheme="minorHAnsi"/>
                <w:sz w:val="20"/>
                <w:szCs w:val="20"/>
                <w:lang w:eastAsia="en-US"/>
              </w:rPr>
              <w:t>Includes a more complete list of international registrations.</w:t>
            </w:r>
          </w:p>
        </w:tc>
      </w:tr>
      <w:tr w:rsidR="00592FA5" w:rsidRPr="005E4194" w:rsidTr="00CA39C0">
        <w:tc>
          <w:tcPr>
            <w:tcW w:w="1980" w:type="dxa"/>
            <w:vMerge w:val="restart"/>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tabs>
                <w:tab w:val="left" w:pos="468"/>
              </w:tabs>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Proposed PBS listing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EE6BA6" w:rsidRDefault="00592FA5" w:rsidP="00CA39C0">
            <w:pPr>
              <w:pStyle w:val="MainBodyText"/>
              <w:spacing w:after="0" w:line="240" w:lineRule="auto"/>
              <w:jc w:val="left"/>
              <w:rPr>
                <w:rFonts w:ascii="Arial Narrow" w:hAnsi="Arial Narrow" w:cstheme="minorHAnsi"/>
                <w:sz w:val="20"/>
                <w:szCs w:val="20"/>
                <w:lang w:eastAsia="en-US"/>
              </w:rPr>
            </w:pPr>
            <w:r w:rsidRPr="00EE6BA6">
              <w:rPr>
                <w:rFonts w:ascii="Arial Narrow" w:hAnsi="Arial Narrow" w:cstheme="minorHAnsi"/>
                <w:sz w:val="20"/>
                <w:szCs w:val="20"/>
                <w:lang w:eastAsia="en-US"/>
              </w:rPr>
              <w:t>Effective DPMQ of $</w:t>
            </w:r>
            <w:r w:rsidR="00AC11CA">
              <w:rPr>
                <w:rFonts w:ascii="Arial Narrow" w:hAnsi="Arial Narrow" w:cstheme="minorHAnsi"/>
                <w:noProof/>
                <w:color w:val="000000"/>
                <w:sz w:val="20"/>
                <w:szCs w:val="20"/>
                <w:highlight w:val="black"/>
                <w:lang w:eastAsia="en-US"/>
              </w:rPr>
              <w:t>''''''''''''''</w:t>
            </w: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EE6BA6" w:rsidRDefault="00592FA5" w:rsidP="00CA39C0">
            <w:pPr>
              <w:pStyle w:val="MainBodyText"/>
              <w:spacing w:after="0" w:line="240" w:lineRule="auto"/>
              <w:jc w:val="left"/>
              <w:rPr>
                <w:rFonts w:ascii="Arial Narrow" w:hAnsi="Arial Narrow" w:cstheme="minorHAnsi"/>
                <w:sz w:val="20"/>
                <w:szCs w:val="20"/>
                <w:lang w:eastAsia="en-US"/>
              </w:rPr>
            </w:pPr>
            <w:r w:rsidRPr="00EE6BA6">
              <w:rPr>
                <w:rFonts w:ascii="Arial Narrow" w:hAnsi="Arial Narrow" w:cstheme="minorHAnsi"/>
                <w:sz w:val="20"/>
                <w:szCs w:val="20"/>
                <w:lang w:eastAsia="en-US"/>
              </w:rPr>
              <w:t xml:space="preserve">Effective DPMQ </w:t>
            </w:r>
            <w:r w:rsidRPr="00E4540A">
              <w:rPr>
                <w:rFonts w:ascii="Arial Narrow" w:hAnsi="Arial Narrow" w:cstheme="minorHAnsi"/>
                <w:sz w:val="20"/>
                <w:szCs w:val="20"/>
                <w:lang w:eastAsia="en-US"/>
              </w:rPr>
              <w:t>of $</w:t>
            </w:r>
            <w:r w:rsidR="00EB0C53">
              <w:rPr>
                <w:rFonts w:ascii="Arial Narrow" w:hAnsi="Arial Narrow" w:cstheme="minorHAnsi"/>
                <w:noProof/>
                <w:color w:val="000000"/>
                <w:sz w:val="20"/>
                <w:szCs w:val="20"/>
                <w:highlight w:val="black"/>
                <w:lang w:eastAsia="en-US"/>
              </w:rPr>
              <w:t>''''''''''' '''''' '''''''' ''''''''' ''' ''''''''''''' ''''' ''''''''''''''''''''''' '''''''''' ''''''''''''''''' ''''' '''''''''''''''''' '''''''''''''''''''''''</w:t>
            </w:r>
          </w:p>
        </w:tc>
      </w:tr>
      <w:tr w:rsidR="00592FA5" w:rsidRPr="005E4194" w:rsidTr="00CA39C0">
        <w:tc>
          <w:tcPr>
            <w:tcW w:w="1980" w:type="dxa"/>
            <w:vMerge/>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jc w:val="left"/>
              <w:rPr>
                <w:rFonts w:ascii="Arial Narrow" w:hAnsi="Arial Narrow" w:cstheme="minorHAnsi"/>
                <w:sz w:val="20"/>
                <w:szCs w:val="20"/>
                <w:u w:val="single"/>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 xml:space="preserve">Initiation in NYHA class I and II and non-persistent NYHA class III HF. Discontinuation in NYHA class IV HF. </w:t>
            </w: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 xml:space="preserve">Initiation in NYHA class I and II HF. Discontinuation in NYHA class III HF, confirmed by a further assessment after 3-6 months, and NYHA class IV HF. </w:t>
            </w:r>
          </w:p>
        </w:tc>
      </w:tr>
      <w:tr w:rsidR="00592FA5" w:rsidRPr="005E4194" w:rsidTr="00CA39C0">
        <w:tc>
          <w:tcPr>
            <w:tcW w:w="9016" w:type="dxa"/>
            <w:gridSpan w:val="3"/>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Section 2: Clinical evaluation</w:t>
            </w:r>
          </w:p>
        </w:tc>
      </w:tr>
      <w:tr w:rsidR="00592FA5" w:rsidRPr="005E4194" w:rsidTr="00CA39C0">
        <w:tc>
          <w:tcPr>
            <w:tcW w:w="1980" w:type="dxa"/>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tabs>
                <w:tab w:val="left" w:pos="496"/>
              </w:tabs>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Identify relevant trials</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Literature searches updated. Further publications of ATTR-ACT and the LTE study identified.</w:t>
            </w:r>
          </w:p>
        </w:tc>
      </w:tr>
      <w:tr w:rsidR="00592FA5" w:rsidRPr="005E4194" w:rsidTr="00CA39C0">
        <w:tc>
          <w:tcPr>
            <w:tcW w:w="1980" w:type="dxa"/>
            <w:vMerge w:val="restart"/>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tabs>
                <w:tab w:val="left" w:pos="496"/>
              </w:tabs>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Extended assessment of comparative harms</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Literature search for extended safety updated. 6 publications identified.</w:t>
            </w:r>
          </w:p>
        </w:tc>
      </w:tr>
      <w:tr w:rsidR="00592FA5" w:rsidRPr="005E4194" w:rsidTr="00CA39C0">
        <w:tc>
          <w:tcPr>
            <w:tcW w:w="1980" w:type="dxa"/>
            <w:vMerge/>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tabs>
                <w:tab w:val="left" w:pos="160"/>
              </w:tabs>
              <w:spacing w:after="0" w:line="240" w:lineRule="auto"/>
              <w:ind w:left="164" w:hanging="164"/>
              <w:jc w:val="left"/>
              <w:rPr>
                <w:rFonts w:ascii="Arial Narrow" w:hAnsi="Arial Narrow" w:cstheme="minorHAnsi"/>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Updated to include results from latest periodic safety update report.</w:t>
            </w:r>
          </w:p>
        </w:tc>
      </w:tr>
      <w:tr w:rsidR="00592FA5" w:rsidRPr="005E4194" w:rsidTr="00CA39C0">
        <w:tc>
          <w:tcPr>
            <w:tcW w:w="1980" w:type="dxa"/>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tabs>
                <w:tab w:val="left" w:pos="165"/>
                <w:tab w:val="left" w:pos="524"/>
              </w:tabs>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T</w:t>
            </w:r>
            <w:r>
              <w:rPr>
                <w:rFonts w:ascii="Arial Narrow" w:hAnsi="Arial Narrow" w:cstheme="minorHAnsi"/>
                <w:sz w:val="20"/>
                <w:szCs w:val="20"/>
                <w:lang w:eastAsia="en-US"/>
              </w:rPr>
              <w:t xml:space="preserve">herapeutic </w:t>
            </w:r>
            <w:r w:rsidRPr="005E4194">
              <w:rPr>
                <w:rFonts w:ascii="Arial Narrow" w:hAnsi="Arial Narrow" w:cstheme="minorHAnsi"/>
                <w:sz w:val="20"/>
                <w:szCs w:val="20"/>
                <w:lang w:eastAsia="en-US"/>
              </w:rPr>
              <w:t>conclusion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Therapeutic conclusion based on benefit of tafamidis in NYHA class I and II HF only.</w:t>
            </w:r>
          </w:p>
        </w:tc>
      </w:tr>
      <w:tr w:rsidR="00592FA5" w:rsidRPr="005E4194" w:rsidTr="00CA39C0">
        <w:tc>
          <w:tcPr>
            <w:tcW w:w="9016" w:type="dxa"/>
            <w:gridSpan w:val="3"/>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Section 3:  Economic evaluation</w:t>
            </w:r>
          </w:p>
        </w:tc>
      </w:tr>
      <w:tr w:rsidR="00592FA5" w:rsidRPr="005E4194" w:rsidTr="00CA39C0">
        <w:tc>
          <w:tcPr>
            <w:tcW w:w="1980" w:type="dxa"/>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keepNext/>
              <w:tabs>
                <w:tab w:val="left" w:pos="710"/>
              </w:tabs>
              <w:spacing w:after="0" w:line="240" w:lineRule="auto"/>
              <w:ind w:left="32" w:hanging="32"/>
              <w:jc w:val="left"/>
              <w:rPr>
                <w:rFonts w:ascii="Arial Narrow" w:hAnsi="Arial Narrow" w:cstheme="minorHAnsi"/>
                <w:sz w:val="20"/>
                <w:szCs w:val="20"/>
                <w:lang w:eastAsia="en-US"/>
              </w:rPr>
            </w:pPr>
            <w:r w:rsidRPr="005E4194">
              <w:rPr>
                <w:rFonts w:ascii="Arial Narrow" w:hAnsi="Arial Narrow" w:cstheme="minorHAnsi"/>
                <w:sz w:val="20"/>
                <w:szCs w:val="20"/>
                <w:lang w:eastAsia="en-US"/>
              </w:rPr>
              <w:t>Overall rationale of the economic evaluation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 xml:space="preserve">Initiation in NYHA class I and II and non-persistent NYHA class III HF. Discontinuation in NYHA class IV HF. </w:t>
            </w: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 xml:space="preserve">Initiation in NYHA class I and II HF. Discontinuation in NYHA class III HF, confirmed by a further assessment after 3-6 months, and NYHA class IV HF. </w:t>
            </w:r>
          </w:p>
        </w:tc>
      </w:tr>
      <w:tr w:rsidR="00592FA5" w:rsidRPr="005E4194" w:rsidTr="00CA39C0">
        <w:tc>
          <w:tcPr>
            <w:tcW w:w="1980" w:type="dxa"/>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tabs>
                <w:tab w:val="left" w:pos="447"/>
              </w:tabs>
              <w:spacing w:after="0" w:line="240" w:lineRule="auto"/>
              <w:ind w:left="32" w:hanging="32"/>
              <w:jc w:val="left"/>
              <w:rPr>
                <w:rFonts w:ascii="Arial Narrow" w:hAnsi="Arial Narrow" w:cstheme="minorHAnsi"/>
                <w:sz w:val="20"/>
                <w:szCs w:val="20"/>
                <w:lang w:eastAsia="en-US"/>
              </w:rPr>
            </w:pPr>
            <w:r w:rsidRPr="005E4194">
              <w:rPr>
                <w:rFonts w:ascii="Arial Narrow" w:hAnsi="Arial Narrow" w:cstheme="minorHAnsi"/>
                <w:sz w:val="20"/>
                <w:szCs w:val="20"/>
                <w:lang w:eastAsia="en-US"/>
              </w:rPr>
              <w:t>Literature review</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 xml:space="preserve">Updated literature review performed. Two further publications discussed. </w:t>
            </w:r>
          </w:p>
        </w:tc>
      </w:tr>
      <w:tr w:rsidR="00592FA5" w:rsidRPr="005E4194" w:rsidTr="00CA39C0">
        <w:tc>
          <w:tcPr>
            <w:tcW w:w="9016" w:type="dxa"/>
            <w:gridSpan w:val="3"/>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ind w:left="32" w:hanging="32"/>
              <w:jc w:val="left"/>
              <w:rPr>
                <w:rFonts w:ascii="Arial Narrow" w:hAnsi="Arial Narrow" w:cstheme="minorHAnsi"/>
                <w:sz w:val="20"/>
                <w:szCs w:val="20"/>
                <w:lang w:eastAsia="en-US"/>
              </w:rPr>
            </w:pPr>
            <w:r w:rsidRPr="005E4194">
              <w:rPr>
                <w:rFonts w:ascii="Arial Narrow" w:hAnsi="Arial Narrow" w:cstheme="minorHAnsi"/>
                <w:sz w:val="20"/>
                <w:szCs w:val="20"/>
                <w:lang w:eastAsia="en-US"/>
              </w:rPr>
              <w:t>Section 4: Use of the medicine in practice</w:t>
            </w:r>
          </w:p>
        </w:tc>
      </w:tr>
      <w:tr w:rsidR="00592FA5" w:rsidRPr="005E4194" w:rsidTr="00CA39C0">
        <w:tc>
          <w:tcPr>
            <w:tcW w:w="1980" w:type="dxa"/>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ind w:left="32" w:hanging="32"/>
              <w:jc w:val="left"/>
              <w:rPr>
                <w:rFonts w:ascii="Arial Narrow" w:hAnsi="Arial Narrow" w:cstheme="minorHAnsi"/>
                <w:sz w:val="20"/>
                <w:szCs w:val="20"/>
                <w:lang w:eastAsia="en-US"/>
              </w:rPr>
            </w:pPr>
            <w:r w:rsidRPr="005E4194">
              <w:rPr>
                <w:rFonts w:ascii="Arial Narrow" w:hAnsi="Arial Narrow" w:cstheme="minorHAnsi"/>
                <w:sz w:val="20"/>
                <w:szCs w:val="20"/>
                <w:lang w:eastAsia="en-US"/>
              </w:rPr>
              <w:t>Throughout Section 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2021 first year of listing. 2026 sixth year of listing</w:t>
            </w: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2022 first year of listing. 2027 sixth year of listing.</w:t>
            </w:r>
          </w:p>
        </w:tc>
      </w:tr>
      <w:tr w:rsidR="00592FA5" w:rsidRPr="005E4194" w:rsidTr="00CA39C0">
        <w:tc>
          <w:tcPr>
            <w:tcW w:w="1980" w:type="dxa"/>
            <w:vMerge w:val="restart"/>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tabs>
                <w:tab w:val="left" w:pos="495"/>
              </w:tabs>
              <w:spacing w:after="0" w:line="240" w:lineRule="auto"/>
              <w:ind w:left="32" w:hanging="32"/>
              <w:jc w:val="left"/>
              <w:rPr>
                <w:rFonts w:ascii="Arial Narrow" w:hAnsi="Arial Narrow" w:cstheme="minorHAnsi"/>
                <w:sz w:val="20"/>
                <w:szCs w:val="20"/>
                <w:lang w:eastAsia="en-US"/>
              </w:rPr>
            </w:pPr>
            <w:r w:rsidRPr="005E4194">
              <w:rPr>
                <w:rFonts w:ascii="Arial Narrow" w:hAnsi="Arial Narrow" w:cstheme="minorHAnsi"/>
                <w:sz w:val="20"/>
                <w:szCs w:val="20"/>
                <w:lang w:eastAsia="en-US"/>
              </w:rPr>
              <w:t>Justification of the selected data sources</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 xml:space="preserve">Initiation in NYHA class I and II and non-persistent NYHA class III HF. Discontinuation in NYHA class IV HF. </w:t>
            </w: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 xml:space="preserve">Initiation in NYHA class I and II HF. Discontinuation in NYHA class III HF, confirmed by a further assessment after 3-6 months, and NYHA class IV HF. </w:t>
            </w:r>
          </w:p>
        </w:tc>
      </w:tr>
      <w:tr w:rsidR="00592FA5" w:rsidRPr="005E4194" w:rsidTr="00CA39C0">
        <w:tc>
          <w:tcPr>
            <w:tcW w:w="1980" w:type="dxa"/>
            <w:vMerge/>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tabs>
                <w:tab w:val="left" w:pos="496"/>
              </w:tabs>
              <w:spacing w:after="0" w:line="240" w:lineRule="auto"/>
              <w:ind w:left="32" w:hanging="32"/>
              <w:jc w:val="left"/>
              <w:rPr>
                <w:rFonts w:ascii="Arial Narrow" w:hAnsi="Arial Narrow" w:cstheme="minorHAnsi"/>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Inclusion of population estimates for 2027.</w:t>
            </w:r>
          </w:p>
        </w:tc>
      </w:tr>
      <w:tr w:rsidR="00592FA5" w:rsidRPr="005E4194" w:rsidTr="00CA39C0">
        <w:tc>
          <w:tcPr>
            <w:tcW w:w="1980" w:type="dxa"/>
            <w:vMerge w:val="restart"/>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3-SubsectionHeading"/>
              <w:rPr>
                <w:u w:val="single"/>
                <w:lang w:eastAsia="en-US"/>
              </w:rPr>
            </w:pPr>
            <w:r w:rsidRPr="0069015C">
              <w:rPr>
                <w:rFonts w:ascii="Arial Narrow" w:eastAsia="TimesNewRoman" w:hAnsi="Arial Narrow" w:cstheme="minorHAnsi"/>
                <w:b w:val="0"/>
                <w:i w:val="0"/>
                <w:spacing w:val="0"/>
                <w:kern w:val="0"/>
                <w:sz w:val="20"/>
                <w:szCs w:val="20"/>
                <w:lang w:eastAsia="en-US"/>
              </w:rPr>
              <w:t>Estimation of the use and financial impacts of the proposed medicine</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Updated patient numbers according to revised years.</w:t>
            </w:r>
          </w:p>
        </w:tc>
      </w:tr>
      <w:tr w:rsidR="00592FA5" w:rsidRPr="005E4194" w:rsidTr="00CA39C0">
        <w:tc>
          <w:tcPr>
            <w:tcW w:w="1980" w:type="dxa"/>
            <w:vMerge/>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Estimates include initiation in patients with NYHA class I-II only.</w:t>
            </w:r>
          </w:p>
        </w:tc>
      </w:tr>
      <w:tr w:rsidR="00592FA5" w:rsidRPr="005E4194" w:rsidTr="00CA39C0">
        <w:tc>
          <w:tcPr>
            <w:tcW w:w="1980" w:type="dxa"/>
            <w:vMerge/>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Discontinuation includes patients who transition to NYHA class III and do not improve to class I-II during 3-6-month period.</w:t>
            </w:r>
          </w:p>
        </w:tc>
      </w:tr>
      <w:tr w:rsidR="00592FA5" w:rsidRPr="005E4194" w:rsidTr="00CA39C0">
        <w:tc>
          <w:tcPr>
            <w:tcW w:w="1980" w:type="dxa"/>
            <w:vMerge/>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r w:rsidRPr="005E4194">
              <w:rPr>
                <w:rFonts w:ascii="Arial Narrow" w:hAnsi="Arial Narrow" w:cstheme="minorHAnsi"/>
                <w:sz w:val="20"/>
                <w:szCs w:val="20"/>
                <w:lang w:eastAsia="en-US"/>
              </w:rPr>
              <w:t>Revised pack numbers calculated.</w:t>
            </w:r>
          </w:p>
        </w:tc>
      </w:tr>
      <w:tr w:rsidR="00592FA5" w:rsidRPr="005E4194" w:rsidTr="00CA39C0">
        <w:tc>
          <w:tcPr>
            <w:tcW w:w="1980" w:type="dxa"/>
            <w:vMerge/>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r w:rsidRPr="005E4194">
              <w:rPr>
                <w:rFonts w:ascii="Arial Narrow" w:hAnsi="Arial Narrow" w:cstheme="minorHAnsi"/>
                <w:sz w:val="20"/>
                <w:szCs w:val="20"/>
                <w:lang w:eastAsia="en-US"/>
              </w:rPr>
              <w:t>Revised financial impact according to other changes and with revised proposed effective prices.</w:t>
            </w:r>
          </w:p>
        </w:tc>
      </w:tr>
      <w:tr w:rsidR="00592FA5" w:rsidRPr="005E4194" w:rsidTr="00CA39C0">
        <w:tc>
          <w:tcPr>
            <w:tcW w:w="1980" w:type="dxa"/>
            <w:vMerge/>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jc w:val="left"/>
              <w:rPr>
                <w:rFonts w:ascii="Arial Narrow" w:hAnsi="Arial Narrow" w:cstheme="minorHAnsi"/>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r w:rsidRPr="005E4194">
              <w:rPr>
                <w:rFonts w:ascii="Arial Narrow" w:hAnsi="Arial Narrow" w:cstheme="minorHAnsi"/>
                <w:sz w:val="20"/>
                <w:szCs w:val="20"/>
                <w:lang w:eastAsia="en-US"/>
              </w:rPr>
              <w:t>Revised financial impact according to other changes with revised proposed published prices.</w:t>
            </w:r>
          </w:p>
        </w:tc>
      </w:tr>
      <w:tr w:rsidR="00592FA5" w:rsidRPr="005E4194" w:rsidTr="00CA39C0">
        <w:tc>
          <w:tcPr>
            <w:tcW w:w="1980" w:type="dxa"/>
            <w:vMerge w:val="restart"/>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ind w:left="32"/>
              <w:jc w:val="left"/>
              <w:rPr>
                <w:rFonts w:ascii="Arial Narrow" w:hAnsi="Arial Narrow" w:cstheme="minorHAnsi"/>
                <w:sz w:val="20"/>
                <w:szCs w:val="20"/>
                <w:lang w:eastAsia="en-US"/>
              </w:rPr>
            </w:pPr>
            <w:r w:rsidRPr="005E4194">
              <w:rPr>
                <w:rFonts w:ascii="Arial Narrow" w:hAnsi="Arial Narrow" w:cstheme="minorHAnsi"/>
                <w:sz w:val="20"/>
                <w:szCs w:val="20"/>
                <w:lang w:eastAsia="en-US"/>
              </w:rPr>
              <w:t>Estimated financial implications for the PBS/RPBS</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r w:rsidRPr="005E4194">
              <w:rPr>
                <w:rFonts w:ascii="Arial Narrow" w:hAnsi="Arial Narrow" w:cstheme="minorHAnsi"/>
                <w:sz w:val="20"/>
                <w:szCs w:val="20"/>
                <w:lang w:eastAsia="en-US"/>
              </w:rPr>
              <w:t>Changes to prescriptions and authorities in accordance with changes in years and reduced population.</w:t>
            </w:r>
          </w:p>
        </w:tc>
      </w:tr>
      <w:tr w:rsidR="00592FA5" w:rsidRPr="005E4194" w:rsidTr="00CA39C0">
        <w:tc>
          <w:tcPr>
            <w:tcW w:w="1980" w:type="dxa"/>
            <w:vMerge/>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ind w:left="32"/>
              <w:jc w:val="left"/>
              <w:rPr>
                <w:rFonts w:ascii="Arial Narrow" w:hAnsi="Arial Narrow" w:cstheme="minorHAnsi"/>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r w:rsidRPr="005E4194">
              <w:rPr>
                <w:rFonts w:ascii="Arial Narrow" w:hAnsi="Arial Narrow" w:cstheme="minorHAnsi"/>
                <w:sz w:val="20"/>
                <w:szCs w:val="20"/>
                <w:lang w:eastAsia="en-US"/>
              </w:rPr>
              <w:t>Changes in number of MBS items in accordance with changes in years and reduced population.</w:t>
            </w:r>
          </w:p>
        </w:tc>
      </w:tr>
      <w:tr w:rsidR="00592FA5" w:rsidRPr="005E4194" w:rsidTr="00CA39C0">
        <w:tc>
          <w:tcPr>
            <w:tcW w:w="1980" w:type="dxa"/>
            <w:vMerge/>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ind w:left="32"/>
              <w:jc w:val="left"/>
              <w:rPr>
                <w:rFonts w:ascii="Arial Narrow" w:hAnsi="Arial Narrow" w:cstheme="minorHAnsi"/>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r w:rsidRPr="005E4194">
              <w:rPr>
                <w:rFonts w:ascii="Arial Narrow" w:hAnsi="Arial Narrow" w:cstheme="minorHAnsi"/>
                <w:sz w:val="20"/>
                <w:szCs w:val="20"/>
                <w:lang w:eastAsia="en-US"/>
              </w:rPr>
              <w:t>Amendments to cost of procedures to 2021 values.</w:t>
            </w:r>
          </w:p>
        </w:tc>
      </w:tr>
      <w:tr w:rsidR="00592FA5" w:rsidRPr="005E4194" w:rsidTr="00CA39C0">
        <w:tc>
          <w:tcPr>
            <w:tcW w:w="1980" w:type="dxa"/>
            <w:vMerge w:val="restart"/>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spacing w:after="0" w:line="240" w:lineRule="auto"/>
              <w:ind w:left="32"/>
              <w:jc w:val="left"/>
              <w:rPr>
                <w:rFonts w:ascii="Arial Narrow" w:hAnsi="Arial Narrow" w:cstheme="minorHAnsi"/>
                <w:sz w:val="20"/>
                <w:szCs w:val="20"/>
                <w:lang w:eastAsia="en-US"/>
              </w:rPr>
            </w:pPr>
            <w:r w:rsidRPr="005E4194">
              <w:rPr>
                <w:rFonts w:ascii="Arial Narrow" w:hAnsi="Arial Narrow" w:cstheme="minorHAnsi"/>
                <w:sz w:val="20"/>
                <w:szCs w:val="20"/>
                <w:lang w:eastAsia="en-US"/>
              </w:rPr>
              <w:t>Identification, estimation and reduction of uncertainty</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r w:rsidRPr="005E4194">
              <w:rPr>
                <w:rFonts w:ascii="Arial Narrow" w:hAnsi="Arial Narrow" w:cstheme="minorHAnsi"/>
                <w:sz w:val="20"/>
                <w:szCs w:val="20"/>
                <w:lang w:eastAsia="en-US"/>
              </w:rPr>
              <w:t>Revised sensitivity analyses included.</w:t>
            </w:r>
          </w:p>
        </w:tc>
      </w:tr>
      <w:tr w:rsidR="00592FA5" w:rsidRPr="005E4194" w:rsidTr="00CA39C0">
        <w:tc>
          <w:tcPr>
            <w:tcW w:w="1980" w:type="dxa"/>
            <w:vMerge/>
            <w:tcBorders>
              <w:top w:val="single" w:sz="4" w:space="0" w:color="auto"/>
              <w:left w:val="single" w:sz="4" w:space="0" w:color="auto"/>
              <w:bottom w:val="single" w:sz="4" w:space="0" w:color="auto"/>
              <w:right w:val="single" w:sz="4" w:space="0" w:color="auto"/>
            </w:tcBorders>
          </w:tcPr>
          <w:p w:rsidR="00592FA5" w:rsidRPr="005E4194" w:rsidRDefault="00592FA5" w:rsidP="00CA39C0">
            <w:pPr>
              <w:pStyle w:val="MainBodyText"/>
              <w:tabs>
                <w:tab w:val="left" w:pos="454"/>
              </w:tabs>
              <w:spacing w:after="0" w:line="240" w:lineRule="auto"/>
              <w:ind w:left="454" w:hanging="454"/>
              <w:jc w:val="left"/>
              <w:rPr>
                <w:rFonts w:ascii="Arial Narrow" w:hAnsi="Arial Narrow" w:cstheme="minorHAnsi"/>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592FA5" w:rsidRPr="005E4194" w:rsidRDefault="00592FA5" w:rsidP="00CA39C0">
            <w:pPr>
              <w:pStyle w:val="MainBodyText"/>
              <w:spacing w:after="0" w:line="240" w:lineRule="auto"/>
              <w:rPr>
                <w:rFonts w:ascii="Arial Narrow" w:hAnsi="Arial Narrow" w:cstheme="minorHAnsi"/>
                <w:sz w:val="20"/>
                <w:szCs w:val="20"/>
                <w:lang w:eastAsia="en-US"/>
              </w:rPr>
            </w:pPr>
            <w:r w:rsidRPr="005E4194">
              <w:rPr>
                <w:rFonts w:ascii="Arial Narrow" w:hAnsi="Arial Narrow" w:cstheme="minorHAnsi"/>
                <w:sz w:val="20"/>
                <w:szCs w:val="20"/>
                <w:lang w:eastAsia="en-US"/>
              </w:rPr>
              <w:t>Includes proposed risk share arrangement with caps and rebates.</w:t>
            </w:r>
          </w:p>
        </w:tc>
      </w:tr>
    </w:tbl>
    <w:p w:rsidR="008F4AB6" w:rsidRPr="005E4194" w:rsidRDefault="00592FA5" w:rsidP="00592FA5">
      <w:pPr>
        <w:rPr>
          <w:rFonts w:ascii="Arial Narrow" w:hAnsi="Arial Narrow"/>
          <w:sz w:val="20"/>
          <w:szCs w:val="20"/>
        </w:rPr>
      </w:pPr>
      <w:r>
        <w:rPr>
          <w:rFonts w:ascii="Arial Narrow" w:hAnsi="Arial Narrow"/>
          <w:sz w:val="20"/>
          <w:szCs w:val="20"/>
        </w:rPr>
        <w:t>Source: Table OV, pp xiii-xiv of the resubmission</w:t>
      </w:r>
    </w:p>
    <w:p w:rsidR="00592FA5" w:rsidRPr="0046360F" w:rsidRDefault="00592FA5" w:rsidP="00592FA5">
      <w:pPr>
        <w:pStyle w:val="2-SectionHeading"/>
        <w:numPr>
          <w:ilvl w:val="0"/>
          <w:numId w:val="1"/>
        </w:numPr>
      </w:pPr>
      <w:r w:rsidRPr="0046360F">
        <w:t>PBAC Outcome</w:t>
      </w:r>
    </w:p>
    <w:p w:rsidR="00592FA5" w:rsidRDefault="00592FA5" w:rsidP="00592FA5">
      <w:pPr>
        <w:pStyle w:val="ExecSumBodyText"/>
        <w:numPr>
          <w:ilvl w:val="1"/>
          <w:numId w:val="1"/>
        </w:numPr>
      </w:pPr>
      <w:r w:rsidRPr="0046360F">
        <w:rPr>
          <w:lang w:eastAsia="en-US"/>
        </w:rPr>
        <w:t>The PBAC did not recommend tafamidis for the treatment of patients with transthyretin amyloid cardiomyopathy (ATTR-CM).</w:t>
      </w:r>
      <w:r>
        <w:rPr>
          <w:lang w:eastAsia="en-US"/>
        </w:rPr>
        <w:t xml:space="preserve"> The PBAC considered that the changes made in the resubmission did not sufficiently address the Committee’s previous advice regarding the requirements of a simple resubmission. In particular, the PBAC considered that the ICER stated in the resubmission (</w:t>
      </w:r>
      <w:r w:rsidR="002D0722" w:rsidRPr="002D0722">
        <w:rPr>
          <w:lang w:eastAsia="en-US"/>
        </w:rPr>
        <w:t>$135,000 to &lt; $155,000</w:t>
      </w:r>
      <w:r w:rsidRPr="00A452D3">
        <w:rPr>
          <w:lang w:eastAsia="en-US"/>
        </w:rPr>
        <w:t>/QALY</w:t>
      </w:r>
      <w:r>
        <w:rPr>
          <w:lang w:eastAsia="en-US"/>
        </w:rPr>
        <w:t>) was significantly higher than the ICER requested (</w:t>
      </w:r>
      <w:r w:rsidR="002D0722" w:rsidRPr="002D0722">
        <w:rPr>
          <w:lang w:eastAsia="en-US"/>
        </w:rPr>
        <w:t>$75,000 to &lt; $95,000</w:t>
      </w:r>
      <w:r w:rsidRPr="00A452D3">
        <w:rPr>
          <w:lang w:eastAsia="en-US"/>
        </w:rPr>
        <w:t>/QALY)</w:t>
      </w:r>
      <w:r>
        <w:rPr>
          <w:lang w:eastAsia="en-US"/>
        </w:rPr>
        <w:t xml:space="preserve"> and noted that it relied on </w:t>
      </w:r>
      <w:r w:rsidRPr="00EA3F77">
        <w:rPr>
          <w:snapToGrid/>
          <w:lang w:eastAsia="en-US"/>
        </w:rPr>
        <w:t>tafamidis be</w:t>
      </w:r>
      <w:r>
        <w:rPr>
          <w:snapToGrid/>
          <w:lang w:eastAsia="en-US"/>
        </w:rPr>
        <w:t>ing</w:t>
      </w:r>
      <w:r w:rsidRPr="00EA3F77">
        <w:rPr>
          <w:snapToGrid/>
          <w:lang w:eastAsia="en-US"/>
        </w:rPr>
        <w:t xml:space="preserve"> discontinued in patients with persistent</w:t>
      </w:r>
      <w:r>
        <w:rPr>
          <w:snapToGrid/>
          <w:lang w:eastAsia="en-US"/>
        </w:rPr>
        <w:t xml:space="preserve"> c</w:t>
      </w:r>
      <w:r w:rsidRPr="00EA3F77">
        <w:rPr>
          <w:snapToGrid/>
          <w:lang w:eastAsia="en-US"/>
        </w:rPr>
        <w:t>lass III heart failure</w:t>
      </w:r>
      <w:r>
        <w:rPr>
          <w:snapToGrid/>
          <w:lang w:eastAsia="en-US"/>
        </w:rPr>
        <w:t>.</w:t>
      </w:r>
      <w:r>
        <w:rPr>
          <w:lang w:eastAsia="en-US"/>
        </w:rPr>
        <w:t xml:space="preserve"> Further, the PBAC considered that the total financial expenditure remained high and the proposed RSA, with expenditure </w:t>
      </w:r>
      <w:r w:rsidRPr="004619D4">
        <w:rPr>
          <w:lang w:eastAsia="en-US"/>
        </w:rPr>
        <w:t>caps higher than the resubmission’s e</w:t>
      </w:r>
      <w:r>
        <w:rPr>
          <w:lang w:eastAsia="en-US"/>
        </w:rPr>
        <w:t xml:space="preserve">stimated financial expenditure, would not adequately </w:t>
      </w:r>
      <w:r>
        <w:t>manage the risk associated with use in a broader population in which cost-effectiveness is unknown</w:t>
      </w:r>
      <w:r>
        <w:rPr>
          <w:lang w:eastAsia="en-US"/>
        </w:rPr>
        <w:t>.</w:t>
      </w:r>
    </w:p>
    <w:p w:rsidR="00592FA5" w:rsidRDefault="00592FA5" w:rsidP="00592FA5">
      <w:pPr>
        <w:pStyle w:val="ExecSumBodyText"/>
        <w:numPr>
          <w:ilvl w:val="1"/>
          <w:numId w:val="1"/>
        </w:numPr>
        <w:rPr>
          <w:snapToGrid/>
          <w:lang w:eastAsia="en-US"/>
        </w:rPr>
      </w:pPr>
      <w:r w:rsidRPr="00EA3F77">
        <w:t>The</w:t>
      </w:r>
      <w:r w:rsidRPr="00EA3F77">
        <w:rPr>
          <w:snapToGrid/>
          <w:lang w:eastAsia="en-US"/>
        </w:rPr>
        <w:t xml:space="preserve"> PBAC considered that the resubmission’s proposal for tafamidis to be discontinued in patients with persistent</w:t>
      </w:r>
      <w:r>
        <w:rPr>
          <w:snapToGrid/>
          <w:lang w:eastAsia="en-US"/>
        </w:rPr>
        <w:t xml:space="preserve"> c</w:t>
      </w:r>
      <w:r w:rsidRPr="00EA3F77">
        <w:rPr>
          <w:snapToGrid/>
          <w:lang w:eastAsia="en-US"/>
        </w:rPr>
        <w:t xml:space="preserve">lass III heart failure may be difficult to implement in practice given the subjective nature of </w:t>
      </w:r>
      <w:r>
        <w:rPr>
          <w:snapToGrid/>
          <w:lang w:eastAsia="en-US"/>
        </w:rPr>
        <w:t>NYHA</w:t>
      </w:r>
      <w:r w:rsidRPr="00EA3F77">
        <w:rPr>
          <w:snapToGrid/>
          <w:lang w:eastAsia="en-US"/>
        </w:rPr>
        <w:t xml:space="preserve"> classification and would likely result in </w:t>
      </w:r>
      <w:r>
        <w:rPr>
          <w:snapToGrid/>
          <w:lang w:eastAsia="en-US"/>
        </w:rPr>
        <w:t>use outside the restriction</w:t>
      </w:r>
      <w:r w:rsidRPr="00EA3F77">
        <w:rPr>
          <w:snapToGrid/>
          <w:lang w:eastAsia="en-US"/>
        </w:rPr>
        <w:t xml:space="preserve">. </w:t>
      </w:r>
    </w:p>
    <w:p w:rsidR="00592FA5" w:rsidRPr="00EA3F77" w:rsidRDefault="00592FA5" w:rsidP="00592FA5">
      <w:pPr>
        <w:pStyle w:val="ExecSumBodyText"/>
        <w:numPr>
          <w:ilvl w:val="1"/>
          <w:numId w:val="1"/>
        </w:numPr>
        <w:rPr>
          <w:snapToGrid/>
          <w:lang w:eastAsia="en-US"/>
        </w:rPr>
      </w:pPr>
      <w:r>
        <w:rPr>
          <w:snapToGrid/>
          <w:lang w:eastAsia="en-US"/>
        </w:rPr>
        <w:t>Notwithstanding this</w:t>
      </w:r>
      <w:r w:rsidRPr="00EA3F77">
        <w:rPr>
          <w:snapToGrid/>
          <w:lang w:eastAsia="en-US"/>
        </w:rPr>
        <w:t>,</w:t>
      </w:r>
      <w:r>
        <w:rPr>
          <w:snapToGrid/>
          <w:lang w:eastAsia="en-US"/>
        </w:rPr>
        <w:t xml:space="preserve"> the PBAC considered that this patient population </w:t>
      </w:r>
      <w:r w:rsidRPr="00EA3F77">
        <w:rPr>
          <w:snapToGrid/>
          <w:lang w:eastAsia="en-US"/>
        </w:rPr>
        <w:t xml:space="preserve">(i.e. patient numbers derived </w:t>
      </w:r>
      <w:r>
        <w:rPr>
          <w:snapToGrid/>
          <w:lang w:eastAsia="en-US"/>
        </w:rPr>
        <w:t xml:space="preserve">based on patients with NYHA class I, II and non-persistent class III </w:t>
      </w:r>
      <w:r w:rsidRPr="00EA3F77">
        <w:rPr>
          <w:snapToGrid/>
          <w:lang w:eastAsia="en-US"/>
        </w:rPr>
        <w:t xml:space="preserve">heart failure) </w:t>
      </w:r>
      <w:r>
        <w:rPr>
          <w:snapToGrid/>
          <w:lang w:eastAsia="en-US"/>
        </w:rPr>
        <w:t xml:space="preserve">may form a reasonable </w:t>
      </w:r>
      <w:r w:rsidRPr="00EA3F77">
        <w:rPr>
          <w:snapToGrid/>
          <w:lang w:eastAsia="en-US"/>
        </w:rPr>
        <w:t>bas</w:t>
      </w:r>
      <w:r>
        <w:rPr>
          <w:snapToGrid/>
          <w:lang w:eastAsia="en-US"/>
        </w:rPr>
        <w:t>is for</w:t>
      </w:r>
      <w:r w:rsidRPr="00EA3F77">
        <w:rPr>
          <w:snapToGrid/>
          <w:lang w:eastAsia="en-US"/>
        </w:rPr>
        <w:t xml:space="preserve"> </w:t>
      </w:r>
      <w:r>
        <w:rPr>
          <w:snapToGrid/>
          <w:lang w:eastAsia="en-US"/>
        </w:rPr>
        <w:t xml:space="preserve">the </w:t>
      </w:r>
      <w:r w:rsidRPr="00EA3F77">
        <w:rPr>
          <w:snapToGrid/>
          <w:lang w:eastAsia="en-US"/>
        </w:rPr>
        <w:t>RSA expenditure</w:t>
      </w:r>
      <w:r>
        <w:rPr>
          <w:snapToGrid/>
          <w:lang w:eastAsia="en-US"/>
        </w:rPr>
        <w:t xml:space="preserve"> caps, given the Committee had previously considered that the efficacy was </w:t>
      </w:r>
      <w:r w:rsidRPr="00EA3F77">
        <w:rPr>
          <w:snapToGrid/>
          <w:lang w:eastAsia="en-US"/>
        </w:rPr>
        <w:t xml:space="preserve">uncertain in patients with NYHA class III heart failure </w:t>
      </w:r>
      <w:r>
        <w:rPr>
          <w:snapToGrid/>
          <w:lang w:eastAsia="en-US"/>
        </w:rPr>
        <w:t xml:space="preserve">(paragraph 7.7, </w:t>
      </w:r>
      <w:r w:rsidRPr="00EA3F77">
        <w:rPr>
          <w:snapToGrid/>
          <w:lang w:eastAsia="en-US"/>
        </w:rPr>
        <w:t xml:space="preserve">tafamidis </w:t>
      </w:r>
      <w:r w:rsidR="00F42BA8">
        <w:rPr>
          <w:snapToGrid/>
          <w:lang w:eastAsia="en-US"/>
        </w:rPr>
        <w:t>PSD</w:t>
      </w:r>
      <w:r w:rsidRPr="00EA3F77">
        <w:rPr>
          <w:snapToGrid/>
          <w:lang w:eastAsia="en-US"/>
        </w:rPr>
        <w:t xml:space="preserve">, March 2021 PBAC meeting). </w:t>
      </w:r>
    </w:p>
    <w:p w:rsidR="00592FA5" w:rsidRDefault="00592FA5" w:rsidP="00592FA5">
      <w:pPr>
        <w:pStyle w:val="ExecSumBodyText"/>
        <w:numPr>
          <w:ilvl w:val="1"/>
          <w:numId w:val="1"/>
        </w:numPr>
        <w:rPr>
          <w:lang w:eastAsia="en-US"/>
        </w:rPr>
      </w:pPr>
      <w:r w:rsidRPr="003022ED">
        <w:rPr>
          <w:lang w:eastAsia="en-US"/>
        </w:rPr>
        <w:t xml:space="preserve">The PBAC </w:t>
      </w:r>
      <w:r>
        <w:rPr>
          <w:lang w:eastAsia="en-US"/>
        </w:rPr>
        <w:t>reiterat</w:t>
      </w:r>
      <w:r w:rsidRPr="003022ED">
        <w:rPr>
          <w:lang w:eastAsia="en-US"/>
        </w:rPr>
        <w:t xml:space="preserve">ed </w:t>
      </w:r>
      <w:r>
        <w:rPr>
          <w:lang w:eastAsia="en-US"/>
        </w:rPr>
        <w:t xml:space="preserve">that </w:t>
      </w:r>
      <w:r w:rsidRPr="003022ED">
        <w:rPr>
          <w:lang w:eastAsia="en-US"/>
        </w:rPr>
        <w:t xml:space="preserve">a resubmission for tafamidis </w:t>
      </w:r>
      <w:r>
        <w:rPr>
          <w:lang w:eastAsia="en-US"/>
        </w:rPr>
        <w:t>should address the following</w:t>
      </w:r>
      <w:r w:rsidRPr="003022ED">
        <w:rPr>
          <w:lang w:eastAsia="en-US"/>
        </w:rPr>
        <w:t xml:space="preserve"> </w:t>
      </w:r>
      <w:r>
        <w:rPr>
          <w:lang w:eastAsia="en-US"/>
        </w:rPr>
        <w:t xml:space="preserve">issues which remain outstanding from paragraph 7.13 of the March 2021 </w:t>
      </w:r>
      <w:r w:rsidR="00F42BA8">
        <w:rPr>
          <w:lang w:eastAsia="en-US"/>
        </w:rPr>
        <w:t>PSD</w:t>
      </w:r>
      <w:r w:rsidRPr="003022ED">
        <w:rPr>
          <w:lang w:eastAsia="en-US"/>
        </w:rPr>
        <w:t>:</w:t>
      </w:r>
      <w:r>
        <w:rPr>
          <w:lang w:eastAsia="en-US"/>
        </w:rPr>
        <w:t xml:space="preserve"> </w:t>
      </w:r>
    </w:p>
    <w:p w:rsidR="00592FA5" w:rsidRDefault="00592FA5" w:rsidP="00592FA5">
      <w:pPr>
        <w:pStyle w:val="ListParagraph"/>
        <w:numPr>
          <w:ilvl w:val="0"/>
          <w:numId w:val="6"/>
        </w:numPr>
        <w:spacing w:after="240"/>
        <w:ind w:left="1134"/>
        <w:rPr>
          <w:lang w:eastAsia="en-US"/>
        </w:rPr>
      </w:pPr>
      <w:r>
        <w:rPr>
          <w:lang w:eastAsia="en-US"/>
        </w:rPr>
        <w:t xml:space="preserve">An ICER of </w:t>
      </w:r>
      <w:r w:rsidR="002D0722" w:rsidRPr="002D0722">
        <w:rPr>
          <w:lang w:eastAsia="en-US"/>
        </w:rPr>
        <w:t>$75,000 to &lt; $95,000</w:t>
      </w:r>
      <w:r>
        <w:rPr>
          <w:lang w:eastAsia="en-US"/>
        </w:rPr>
        <w:t>for the model applying the two sensitivity analyses in the pre-PBAC response</w:t>
      </w:r>
    </w:p>
    <w:p w:rsidR="00592FA5" w:rsidRDefault="00592FA5" w:rsidP="00592FA5">
      <w:pPr>
        <w:pStyle w:val="ListParagraph"/>
        <w:numPr>
          <w:ilvl w:val="0"/>
          <w:numId w:val="6"/>
        </w:numPr>
        <w:spacing w:after="120"/>
        <w:ind w:left="1134" w:hanging="357"/>
        <w:rPr>
          <w:lang w:eastAsia="en-US"/>
        </w:rPr>
      </w:pPr>
      <w:r>
        <w:rPr>
          <w:lang w:eastAsia="en-US"/>
        </w:rPr>
        <w:t>Outline an RSA to provide more certainty with respect to the total cost, and to manage the risk associated with use in a broader population in which cost-effectiveness is unknown.</w:t>
      </w:r>
    </w:p>
    <w:p w:rsidR="00592FA5" w:rsidRDefault="00592FA5" w:rsidP="00592FA5">
      <w:pPr>
        <w:pStyle w:val="ExecSumBodyText"/>
        <w:numPr>
          <w:ilvl w:val="1"/>
          <w:numId w:val="1"/>
        </w:numPr>
        <w:rPr>
          <w:lang w:eastAsia="en-US"/>
        </w:rPr>
      </w:pPr>
      <w:r>
        <w:t>The PBAC noted</w:t>
      </w:r>
      <w:r w:rsidRPr="00C33883">
        <w:rPr>
          <w:lang w:eastAsia="en-US"/>
        </w:rPr>
        <w:t xml:space="preserve"> that an early resolution pathway had been </w:t>
      </w:r>
      <w:r>
        <w:rPr>
          <w:lang w:eastAsia="en-US"/>
        </w:rPr>
        <w:t>made available</w:t>
      </w:r>
      <w:r w:rsidRPr="00C33883">
        <w:rPr>
          <w:lang w:eastAsia="en-US"/>
        </w:rPr>
        <w:t xml:space="preserve"> in March 2021, but </w:t>
      </w:r>
      <w:r>
        <w:rPr>
          <w:lang w:eastAsia="en-US"/>
        </w:rPr>
        <w:t xml:space="preserve">considered </w:t>
      </w:r>
      <w:r w:rsidRPr="00C33883">
        <w:rPr>
          <w:lang w:eastAsia="en-US"/>
        </w:rPr>
        <w:t xml:space="preserve">that the </w:t>
      </w:r>
      <w:r>
        <w:rPr>
          <w:lang w:eastAsia="en-US"/>
        </w:rPr>
        <w:t>remaining</w:t>
      </w:r>
      <w:r w:rsidRPr="00C33883">
        <w:rPr>
          <w:lang w:eastAsia="en-US"/>
        </w:rPr>
        <w:t xml:space="preserve"> issues had not been </w:t>
      </w:r>
      <w:r>
        <w:rPr>
          <w:lang w:eastAsia="en-US"/>
        </w:rPr>
        <w:t>resolved by the approach proposed in the sponsor’s resubmission. The PBAC noted that any resubmission would be through the standard re-entry pathway.</w:t>
      </w:r>
    </w:p>
    <w:p w:rsidR="00592FA5" w:rsidRDefault="00592FA5" w:rsidP="00592FA5">
      <w:pPr>
        <w:pStyle w:val="ExecSumBodyText"/>
        <w:numPr>
          <w:ilvl w:val="0"/>
          <w:numId w:val="0"/>
        </w:numPr>
        <w:rPr>
          <w:lang w:eastAsia="en-US"/>
        </w:rPr>
      </w:pPr>
    </w:p>
    <w:p w:rsidR="00592FA5" w:rsidRDefault="00592FA5" w:rsidP="00592FA5">
      <w:pPr>
        <w:pStyle w:val="ExecSumBodyText"/>
        <w:numPr>
          <w:ilvl w:val="0"/>
          <w:numId w:val="0"/>
        </w:numPr>
        <w:rPr>
          <w:lang w:eastAsia="en-US"/>
        </w:rPr>
      </w:pPr>
      <w:r w:rsidRPr="00935078">
        <w:rPr>
          <w:b/>
          <w:bCs/>
          <w:lang w:eastAsia="en-US"/>
        </w:rPr>
        <w:t>Outcome:</w:t>
      </w:r>
      <w:r>
        <w:rPr>
          <w:lang w:eastAsia="en-US"/>
        </w:rPr>
        <w:t xml:space="preserve"> </w:t>
      </w:r>
      <w:r>
        <w:rPr>
          <w:lang w:eastAsia="en-US"/>
        </w:rPr>
        <w:br/>
        <w:t>Not recommended</w:t>
      </w:r>
    </w:p>
    <w:p w:rsidR="00592FA5" w:rsidRDefault="00592FA5" w:rsidP="00592FA5">
      <w:pPr>
        <w:pStyle w:val="2-SectionHeading"/>
        <w:rPr>
          <w:lang w:eastAsia="en-US"/>
        </w:rPr>
      </w:pPr>
      <w:r w:rsidRPr="00C07617">
        <w:t>Context for Decision</w:t>
      </w:r>
    </w:p>
    <w:p w:rsidR="00592FA5" w:rsidRDefault="00592FA5" w:rsidP="00592FA5">
      <w:pPr>
        <w:rPr>
          <w:lang w:val="en-GB"/>
        </w:rPr>
      </w:pPr>
      <w:r w:rsidRPr="007129F2">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592FA5" w:rsidRDefault="00592FA5" w:rsidP="00592FA5">
      <w:pPr>
        <w:rPr>
          <w:lang w:val="en-GB"/>
        </w:rPr>
      </w:pPr>
    </w:p>
    <w:p w:rsidR="00592FA5" w:rsidRPr="00592FA5" w:rsidRDefault="00592FA5" w:rsidP="00592FA5">
      <w:pPr>
        <w:pStyle w:val="2-SectionHeading"/>
        <w:rPr>
          <w:lang w:val="en-GB"/>
        </w:rPr>
      </w:pPr>
      <w:r>
        <w:t>Sponsor’s Comment</w:t>
      </w:r>
    </w:p>
    <w:p w:rsidR="002E3416" w:rsidRDefault="002E3416" w:rsidP="00EE6BA6">
      <w:pPr>
        <w:ind w:firstLine="720"/>
      </w:pPr>
    </w:p>
    <w:p w:rsidR="002E3416" w:rsidRPr="001179AC" w:rsidRDefault="002E3416" w:rsidP="002E3416">
      <w:pPr>
        <w:ind w:left="720"/>
      </w:pPr>
      <w:r w:rsidRPr="002E3416">
        <w:t>Pfizer is disappointed that the substantial changes proposed were not adequate to secure a positive recommendation from the PBAC to make tafamidis available for Australian patients with ATTR-CM</w:t>
      </w:r>
    </w:p>
    <w:p w:rsidR="00592FA5" w:rsidRPr="007129F2" w:rsidRDefault="00592FA5" w:rsidP="00592FA5">
      <w:pPr>
        <w:rPr>
          <w:lang w:val="en-GB"/>
        </w:rPr>
      </w:pPr>
    </w:p>
    <w:p w:rsidR="00592FA5" w:rsidRDefault="00592FA5" w:rsidP="00592FA5">
      <w:pPr>
        <w:rPr>
          <w:lang w:eastAsia="en-US"/>
        </w:rPr>
      </w:pPr>
    </w:p>
    <w:p w:rsidR="00592FA5" w:rsidRPr="00D30741" w:rsidRDefault="00592FA5" w:rsidP="00592FA5">
      <w:pPr>
        <w:rPr>
          <w:snapToGrid w:val="0"/>
          <w:lang w:eastAsia="en-US"/>
        </w:rPr>
      </w:pPr>
    </w:p>
    <w:sectPr w:rsidR="00592FA5" w:rsidRPr="00D30741" w:rsidSect="0025100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C53" w:rsidRDefault="00EB0C53" w:rsidP="00124A51">
      <w:r>
        <w:separator/>
      </w:r>
    </w:p>
    <w:p w:rsidR="00EB0C53" w:rsidRDefault="00EB0C53"/>
  </w:endnote>
  <w:endnote w:type="continuationSeparator" w:id="0">
    <w:p w:rsidR="00EB0C53" w:rsidRDefault="00EB0C53" w:rsidP="00124A51">
      <w:r>
        <w:continuationSeparator/>
      </w:r>
    </w:p>
    <w:p w:rsidR="00EB0C53" w:rsidRDefault="00EB0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OTNEJMQuadraat">
    <w:altName w:val="MS Gothic"/>
    <w:panose1 w:val="00000000000000000000"/>
    <w:charset w:val="80"/>
    <w:family w:val="roman"/>
    <w:notTrueType/>
    <w:pitch w:val="default"/>
    <w:sig w:usb0="00000001" w:usb1="08070000" w:usb2="00000010" w:usb3="00000000" w:csb0="00020000"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CA" w:rsidRDefault="00AC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C57" w:rsidRDefault="003D2C57" w:rsidP="004F4E31">
    <w:pPr>
      <w:pStyle w:val="Footer"/>
      <w:keepNext/>
      <w:ind w:left="360"/>
      <w:jc w:val="center"/>
      <w:rPr>
        <w:b/>
        <w:noProof/>
      </w:rPr>
    </w:pPr>
    <w:r w:rsidRPr="00836F75">
      <w:rPr>
        <w:b/>
      </w:rPr>
      <w:fldChar w:fldCharType="begin"/>
    </w:r>
    <w:r w:rsidRPr="00836F75">
      <w:rPr>
        <w:b/>
      </w:rPr>
      <w:instrText xml:space="preserve"> PAGE   \* MERGEFORMAT </w:instrText>
    </w:r>
    <w:r w:rsidRPr="00836F75">
      <w:rPr>
        <w:b/>
      </w:rPr>
      <w:fldChar w:fldCharType="separate"/>
    </w:r>
    <w:r w:rsidR="00EB0C53">
      <w:rPr>
        <w:b/>
        <w:noProof/>
      </w:rPr>
      <w:t>1</w:t>
    </w:r>
    <w:r w:rsidRPr="00836F75">
      <w:rPr>
        <w:b/>
        <w:noProof/>
      </w:rPr>
      <w:fldChar w:fldCharType="end"/>
    </w:r>
  </w:p>
  <w:p w:rsidR="003D2C57" w:rsidRPr="004F4E31" w:rsidRDefault="003D2C57" w:rsidP="004F4E31">
    <w:pPr>
      <w:pStyle w:val="Footer"/>
      <w:keepNext/>
      <w:ind w:left="360"/>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CA" w:rsidRDefault="00AC1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C53" w:rsidRDefault="00EB0C53" w:rsidP="00124A51">
      <w:r>
        <w:separator/>
      </w:r>
    </w:p>
    <w:p w:rsidR="00EB0C53" w:rsidRDefault="00EB0C53"/>
  </w:footnote>
  <w:footnote w:type="continuationSeparator" w:id="0">
    <w:p w:rsidR="00EB0C53" w:rsidRDefault="00EB0C53" w:rsidP="00124A51">
      <w:r>
        <w:continuationSeparator/>
      </w:r>
    </w:p>
    <w:p w:rsidR="00EB0C53" w:rsidRDefault="00EB0C53"/>
  </w:footnote>
  <w:footnote w:id="1">
    <w:p w:rsidR="003D2C57" w:rsidRPr="003E7495" w:rsidRDefault="003D2C57" w:rsidP="003E7495">
      <w:pPr>
        <w:pStyle w:val="FootnoteText"/>
        <w:jc w:val="both"/>
        <w:rPr>
          <w:rFonts w:asciiTheme="minorHAnsi" w:hAnsiTheme="minorHAnsi" w:cstheme="minorHAnsi"/>
        </w:rPr>
      </w:pPr>
      <w:r w:rsidRPr="003E7495">
        <w:rPr>
          <w:rStyle w:val="FootnoteReference"/>
          <w:rFonts w:asciiTheme="minorHAnsi" w:hAnsiTheme="minorHAnsi" w:cstheme="minorHAnsi"/>
        </w:rPr>
        <w:footnoteRef/>
      </w:r>
      <w:r w:rsidRPr="003E7495">
        <w:rPr>
          <w:rFonts w:asciiTheme="minorHAnsi" w:hAnsiTheme="minorHAnsi" w:cstheme="minorHAnsi"/>
        </w:rPr>
        <w:t xml:space="preserve"> </w:t>
      </w:r>
      <w:r w:rsidRPr="003E7495">
        <w:rPr>
          <w:rFonts w:asciiTheme="minorHAnsi" w:hAnsiTheme="minorHAnsi" w:cstheme="minorHAnsi"/>
          <w:sz w:val="16"/>
          <w:szCs w:val="16"/>
        </w:rPr>
        <w:t>Australian Institute of Health and Welfare (AIHW) 2020. General Record of Incidence of Mortality</w:t>
      </w:r>
      <w:r>
        <w:rPr>
          <w:rFonts w:asciiTheme="minorHAnsi" w:hAnsiTheme="minorHAnsi" w:cstheme="minorHAnsi"/>
          <w:sz w:val="16"/>
          <w:szCs w:val="16"/>
        </w:rPr>
        <w:t xml:space="preserve"> (GRIM)</w:t>
      </w:r>
      <w:r w:rsidRPr="003E7495">
        <w:rPr>
          <w:rFonts w:asciiTheme="minorHAnsi" w:hAnsiTheme="minorHAnsi" w:cstheme="minorHAnsi"/>
          <w:sz w:val="16"/>
          <w:szCs w:val="16"/>
        </w:rPr>
        <w:t xml:space="preserve"> books 2018: All causes combined. Canberra:</w:t>
      </w:r>
      <w:r>
        <w:rPr>
          <w:rFonts w:asciiTheme="minorHAnsi" w:hAnsiTheme="minorHAnsi" w:cstheme="minorHAnsi"/>
          <w:sz w:val="16"/>
          <w:szCs w:val="16"/>
        </w:rPr>
        <w:t xml:space="preserve"> </w:t>
      </w:r>
      <w:r w:rsidRPr="003E7495">
        <w:rPr>
          <w:rFonts w:asciiTheme="minorHAnsi" w:hAnsiTheme="minorHAnsi" w:cstheme="minorHAnsi"/>
          <w:sz w:val="16"/>
          <w:szCs w:val="16"/>
        </w:rPr>
        <w:t>AIHW.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CA" w:rsidRDefault="00AC1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C57" w:rsidRPr="00056684" w:rsidRDefault="003D2C57" w:rsidP="00A87DE7">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2021</w:t>
    </w:r>
    <w:r w:rsidRPr="00056684">
      <w:rPr>
        <w:rFonts w:asciiTheme="minorHAnsi" w:hAnsiTheme="minorHAnsi"/>
        <w:i/>
        <w:color w:val="808080"/>
      </w:rPr>
      <w:t xml:space="preserve"> PBAC Meeting</w:t>
    </w:r>
    <w:r>
      <w:rPr>
        <w:rFonts w:asciiTheme="minorHAnsi" w:hAnsiTheme="minorHAnsi"/>
        <w:i/>
        <w:color w:val="808080"/>
      </w:rPr>
      <w:t xml:space="preserve"> with September 2021 Addendum</w:t>
    </w:r>
  </w:p>
  <w:p w:rsidR="003D2C57" w:rsidRDefault="003D2C5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CA" w:rsidRDefault="00AC1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30FA1"/>
    <w:multiLevelType w:val="hybridMultilevel"/>
    <w:tmpl w:val="8020A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94B7C"/>
    <w:multiLevelType w:val="hybridMultilevel"/>
    <w:tmpl w:val="03AC3000"/>
    <w:lvl w:ilvl="0" w:tplc="CAF82C62">
      <w:start w:val="1"/>
      <w:numFmt w:val="bullet"/>
      <w:lvlText w:val=""/>
      <w:lvlJc w:val="left"/>
      <w:pPr>
        <w:ind w:left="1080" w:hanging="360"/>
      </w:pPr>
      <w:rPr>
        <w:rFonts w:ascii="Wingdings" w:eastAsia="Times New Roman" w:hAnsi="Wingdings"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FE46A3"/>
    <w:multiLevelType w:val="hybridMultilevel"/>
    <w:tmpl w:val="1400C3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0345238"/>
    <w:multiLevelType w:val="hybridMultilevel"/>
    <w:tmpl w:val="8C865164"/>
    <w:lvl w:ilvl="0" w:tplc="7E1ED0CA">
      <w:start w:val="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169187B"/>
    <w:multiLevelType w:val="hybridMultilevel"/>
    <w:tmpl w:val="0878657A"/>
    <w:lvl w:ilvl="0" w:tplc="77C2AA2C">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714305"/>
    <w:multiLevelType w:val="hybridMultilevel"/>
    <w:tmpl w:val="C11278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85E7F2A"/>
    <w:multiLevelType w:val="hybridMultilevel"/>
    <w:tmpl w:val="0414E7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6F5AA2"/>
    <w:multiLevelType w:val="hybridMultilevel"/>
    <w:tmpl w:val="947E3E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EBC4A37"/>
    <w:multiLevelType w:val="hybridMultilevel"/>
    <w:tmpl w:val="E58828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B344D3"/>
    <w:multiLevelType w:val="hybridMultilevel"/>
    <w:tmpl w:val="1F1A6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0" w:hanging="360"/>
      </w:pPr>
      <w:rPr>
        <w:rFonts w:ascii="Courier New" w:hAnsi="Courier New" w:cs="Courier New" w:hint="default"/>
      </w:rPr>
    </w:lvl>
    <w:lvl w:ilvl="2" w:tplc="0C090005">
      <w:start w:val="1"/>
      <w:numFmt w:val="bullet"/>
      <w:lvlText w:val=""/>
      <w:lvlJc w:val="left"/>
      <w:pPr>
        <w:ind w:left="720" w:hanging="360"/>
      </w:pPr>
      <w:rPr>
        <w:rFonts w:ascii="Wingdings" w:hAnsi="Wingdings" w:hint="default"/>
      </w:rPr>
    </w:lvl>
    <w:lvl w:ilvl="3" w:tplc="0C090001">
      <w:start w:val="1"/>
      <w:numFmt w:val="bullet"/>
      <w:lvlText w:val=""/>
      <w:lvlJc w:val="left"/>
      <w:pPr>
        <w:ind w:left="1440" w:hanging="360"/>
      </w:pPr>
      <w:rPr>
        <w:rFonts w:ascii="Symbol" w:hAnsi="Symbol" w:hint="default"/>
      </w:rPr>
    </w:lvl>
    <w:lvl w:ilvl="4" w:tplc="0C090003">
      <w:start w:val="1"/>
      <w:numFmt w:val="bullet"/>
      <w:lvlText w:val="o"/>
      <w:lvlJc w:val="left"/>
      <w:pPr>
        <w:ind w:left="2160" w:hanging="360"/>
      </w:pPr>
      <w:rPr>
        <w:rFonts w:ascii="Courier New" w:hAnsi="Courier New" w:cs="Courier New" w:hint="default"/>
      </w:rPr>
    </w:lvl>
    <w:lvl w:ilvl="5" w:tplc="0C090005">
      <w:start w:val="1"/>
      <w:numFmt w:val="bullet"/>
      <w:lvlText w:val=""/>
      <w:lvlJc w:val="left"/>
      <w:pPr>
        <w:ind w:left="2880" w:hanging="360"/>
      </w:pPr>
      <w:rPr>
        <w:rFonts w:ascii="Wingdings" w:hAnsi="Wingdings" w:hint="default"/>
      </w:rPr>
    </w:lvl>
    <w:lvl w:ilvl="6" w:tplc="0C090001">
      <w:start w:val="1"/>
      <w:numFmt w:val="bullet"/>
      <w:lvlText w:val=""/>
      <w:lvlJc w:val="left"/>
      <w:pPr>
        <w:ind w:left="3600" w:hanging="360"/>
      </w:pPr>
      <w:rPr>
        <w:rFonts w:ascii="Symbol" w:hAnsi="Symbol" w:hint="default"/>
      </w:rPr>
    </w:lvl>
    <w:lvl w:ilvl="7" w:tplc="0C090003">
      <w:start w:val="1"/>
      <w:numFmt w:val="bullet"/>
      <w:lvlText w:val="o"/>
      <w:lvlJc w:val="left"/>
      <w:pPr>
        <w:ind w:left="4320" w:hanging="360"/>
      </w:pPr>
      <w:rPr>
        <w:rFonts w:ascii="Courier New" w:hAnsi="Courier New" w:cs="Courier New" w:hint="default"/>
      </w:rPr>
    </w:lvl>
    <w:lvl w:ilvl="8" w:tplc="0C090005">
      <w:start w:val="1"/>
      <w:numFmt w:val="bullet"/>
      <w:lvlText w:val=""/>
      <w:lvlJc w:val="left"/>
      <w:pPr>
        <w:ind w:left="5040" w:hanging="360"/>
      </w:pPr>
      <w:rPr>
        <w:rFonts w:ascii="Wingdings" w:hAnsi="Wingdings" w:hint="default"/>
      </w:rPr>
    </w:lvl>
  </w:abstractNum>
  <w:abstractNum w:abstractNumId="11" w15:restartNumberingAfterBreak="0">
    <w:nsid w:val="385D0C05"/>
    <w:multiLevelType w:val="hybridMultilevel"/>
    <w:tmpl w:val="923A20F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C0593C"/>
    <w:multiLevelType w:val="hybridMultilevel"/>
    <w:tmpl w:val="543A85CC"/>
    <w:lvl w:ilvl="0" w:tplc="E946A1EC">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1F533A"/>
    <w:multiLevelType w:val="hybridMultilevel"/>
    <w:tmpl w:val="54302C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00B002D"/>
    <w:multiLevelType w:val="hybridMultilevel"/>
    <w:tmpl w:val="2FB0D9A8"/>
    <w:lvl w:ilvl="0" w:tplc="A87E739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505F92"/>
    <w:multiLevelType w:val="hybridMultilevel"/>
    <w:tmpl w:val="2D58094E"/>
    <w:lvl w:ilvl="0" w:tplc="13ECB7FE">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310707"/>
    <w:multiLevelType w:val="hybridMultilevel"/>
    <w:tmpl w:val="8FD0B5A6"/>
    <w:lvl w:ilvl="0" w:tplc="42DC402C">
      <w:start w:val="1"/>
      <w:numFmt w:val="bullet"/>
      <w:lvlText w:val="–"/>
      <w:lvlJc w:val="left"/>
      <w:pPr>
        <w:tabs>
          <w:tab w:val="num" w:pos="720"/>
        </w:tabs>
        <w:ind w:left="720" w:hanging="360"/>
      </w:pPr>
      <w:rPr>
        <w:rFonts w:ascii="Times New Roman" w:hAnsi="Times New Roman" w:hint="default"/>
      </w:rPr>
    </w:lvl>
    <w:lvl w:ilvl="1" w:tplc="32E87962">
      <w:start w:val="1"/>
      <w:numFmt w:val="bullet"/>
      <w:lvlText w:val="–"/>
      <w:lvlJc w:val="left"/>
      <w:pPr>
        <w:tabs>
          <w:tab w:val="num" w:pos="1440"/>
        </w:tabs>
        <w:ind w:left="1440" w:hanging="360"/>
      </w:pPr>
      <w:rPr>
        <w:rFonts w:ascii="Times New Roman" w:hAnsi="Times New Roman" w:hint="default"/>
      </w:rPr>
    </w:lvl>
    <w:lvl w:ilvl="2" w:tplc="07909A6E" w:tentative="1">
      <w:start w:val="1"/>
      <w:numFmt w:val="bullet"/>
      <w:lvlText w:val="–"/>
      <w:lvlJc w:val="left"/>
      <w:pPr>
        <w:tabs>
          <w:tab w:val="num" w:pos="2160"/>
        </w:tabs>
        <w:ind w:left="2160" w:hanging="360"/>
      </w:pPr>
      <w:rPr>
        <w:rFonts w:ascii="Times New Roman" w:hAnsi="Times New Roman" w:hint="default"/>
      </w:rPr>
    </w:lvl>
    <w:lvl w:ilvl="3" w:tplc="D58E262C" w:tentative="1">
      <w:start w:val="1"/>
      <w:numFmt w:val="bullet"/>
      <w:lvlText w:val="–"/>
      <w:lvlJc w:val="left"/>
      <w:pPr>
        <w:tabs>
          <w:tab w:val="num" w:pos="2880"/>
        </w:tabs>
        <w:ind w:left="2880" w:hanging="360"/>
      </w:pPr>
      <w:rPr>
        <w:rFonts w:ascii="Times New Roman" w:hAnsi="Times New Roman" w:hint="default"/>
      </w:rPr>
    </w:lvl>
    <w:lvl w:ilvl="4" w:tplc="DB54A526" w:tentative="1">
      <w:start w:val="1"/>
      <w:numFmt w:val="bullet"/>
      <w:lvlText w:val="–"/>
      <w:lvlJc w:val="left"/>
      <w:pPr>
        <w:tabs>
          <w:tab w:val="num" w:pos="3600"/>
        </w:tabs>
        <w:ind w:left="3600" w:hanging="360"/>
      </w:pPr>
      <w:rPr>
        <w:rFonts w:ascii="Times New Roman" w:hAnsi="Times New Roman" w:hint="default"/>
      </w:rPr>
    </w:lvl>
    <w:lvl w:ilvl="5" w:tplc="4E047508" w:tentative="1">
      <w:start w:val="1"/>
      <w:numFmt w:val="bullet"/>
      <w:lvlText w:val="–"/>
      <w:lvlJc w:val="left"/>
      <w:pPr>
        <w:tabs>
          <w:tab w:val="num" w:pos="4320"/>
        </w:tabs>
        <w:ind w:left="4320" w:hanging="360"/>
      </w:pPr>
      <w:rPr>
        <w:rFonts w:ascii="Times New Roman" w:hAnsi="Times New Roman" w:hint="default"/>
      </w:rPr>
    </w:lvl>
    <w:lvl w:ilvl="6" w:tplc="42A05F76" w:tentative="1">
      <w:start w:val="1"/>
      <w:numFmt w:val="bullet"/>
      <w:lvlText w:val="–"/>
      <w:lvlJc w:val="left"/>
      <w:pPr>
        <w:tabs>
          <w:tab w:val="num" w:pos="5040"/>
        </w:tabs>
        <w:ind w:left="5040" w:hanging="360"/>
      </w:pPr>
      <w:rPr>
        <w:rFonts w:ascii="Times New Roman" w:hAnsi="Times New Roman" w:hint="default"/>
      </w:rPr>
    </w:lvl>
    <w:lvl w:ilvl="7" w:tplc="C40ECEB0" w:tentative="1">
      <w:start w:val="1"/>
      <w:numFmt w:val="bullet"/>
      <w:lvlText w:val="–"/>
      <w:lvlJc w:val="left"/>
      <w:pPr>
        <w:tabs>
          <w:tab w:val="num" w:pos="5760"/>
        </w:tabs>
        <w:ind w:left="5760" w:hanging="360"/>
      </w:pPr>
      <w:rPr>
        <w:rFonts w:ascii="Times New Roman" w:hAnsi="Times New Roman" w:hint="default"/>
      </w:rPr>
    </w:lvl>
    <w:lvl w:ilvl="8" w:tplc="C102DDC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E2E435F"/>
    <w:multiLevelType w:val="hybridMultilevel"/>
    <w:tmpl w:val="BE3EE7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F4814FA"/>
    <w:multiLevelType w:val="hybridMultilevel"/>
    <w:tmpl w:val="F1480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FC53ED"/>
    <w:multiLevelType w:val="hybridMultilevel"/>
    <w:tmpl w:val="BF781248"/>
    <w:lvl w:ilvl="0" w:tplc="9ED852CA">
      <w:start w:val="1"/>
      <w:numFmt w:val="bullet"/>
      <w:lvlText w:val=""/>
      <w:lvlJc w:val="left"/>
      <w:pPr>
        <w:ind w:left="720" w:hanging="360"/>
      </w:pPr>
      <w:rPr>
        <w:rFonts w:ascii="Symbol" w:hAnsi="Symbol" w:hint="default"/>
      </w:rPr>
    </w:lvl>
    <w:lvl w:ilvl="1" w:tplc="9C388776">
      <w:start w:val="1"/>
      <w:numFmt w:val="bullet"/>
      <w:lvlText w:val="o"/>
      <w:lvlJc w:val="left"/>
      <w:pPr>
        <w:ind w:left="1440" w:hanging="360"/>
      </w:pPr>
      <w:rPr>
        <w:rFonts w:ascii="Courier New" w:hAnsi="Courier New" w:cs="Times New Roman" w:hint="default"/>
      </w:rPr>
    </w:lvl>
    <w:lvl w:ilvl="2" w:tplc="5B625B62">
      <w:start w:val="1"/>
      <w:numFmt w:val="bullet"/>
      <w:lvlText w:val=""/>
      <w:lvlJc w:val="left"/>
      <w:pPr>
        <w:ind w:left="2160" w:hanging="360"/>
      </w:pPr>
      <w:rPr>
        <w:rFonts w:ascii="Wingdings" w:hAnsi="Wingdings" w:hint="default"/>
      </w:rPr>
    </w:lvl>
    <w:lvl w:ilvl="3" w:tplc="223A6440">
      <w:start w:val="1"/>
      <w:numFmt w:val="bullet"/>
      <w:lvlText w:val=""/>
      <w:lvlJc w:val="left"/>
      <w:pPr>
        <w:ind w:left="2880" w:hanging="360"/>
      </w:pPr>
      <w:rPr>
        <w:rFonts w:ascii="Symbol" w:hAnsi="Symbol" w:hint="default"/>
      </w:rPr>
    </w:lvl>
    <w:lvl w:ilvl="4" w:tplc="7D5491A8">
      <w:start w:val="1"/>
      <w:numFmt w:val="bullet"/>
      <w:lvlText w:val="o"/>
      <w:lvlJc w:val="left"/>
      <w:pPr>
        <w:ind w:left="3600" w:hanging="360"/>
      </w:pPr>
      <w:rPr>
        <w:rFonts w:ascii="Courier New" w:hAnsi="Courier New" w:cs="Times New Roman" w:hint="default"/>
      </w:rPr>
    </w:lvl>
    <w:lvl w:ilvl="5" w:tplc="55228E2E">
      <w:start w:val="1"/>
      <w:numFmt w:val="bullet"/>
      <w:lvlText w:val=""/>
      <w:lvlJc w:val="left"/>
      <w:pPr>
        <w:ind w:left="4320" w:hanging="360"/>
      </w:pPr>
      <w:rPr>
        <w:rFonts w:ascii="Wingdings" w:hAnsi="Wingdings" w:hint="default"/>
      </w:rPr>
    </w:lvl>
    <w:lvl w:ilvl="6" w:tplc="E9AC15DA">
      <w:start w:val="1"/>
      <w:numFmt w:val="bullet"/>
      <w:lvlText w:val=""/>
      <w:lvlJc w:val="left"/>
      <w:pPr>
        <w:ind w:left="5040" w:hanging="360"/>
      </w:pPr>
      <w:rPr>
        <w:rFonts w:ascii="Symbol" w:hAnsi="Symbol" w:hint="default"/>
      </w:rPr>
    </w:lvl>
    <w:lvl w:ilvl="7" w:tplc="91E8D752">
      <w:start w:val="1"/>
      <w:numFmt w:val="bullet"/>
      <w:lvlText w:val="o"/>
      <w:lvlJc w:val="left"/>
      <w:pPr>
        <w:ind w:left="5760" w:hanging="360"/>
      </w:pPr>
      <w:rPr>
        <w:rFonts w:ascii="Courier New" w:hAnsi="Courier New" w:cs="Times New Roman" w:hint="default"/>
      </w:rPr>
    </w:lvl>
    <w:lvl w:ilvl="8" w:tplc="0DA4A524">
      <w:start w:val="1"/>
      <w:numFmt w:val="bullet"/>
      <w:lvlText w:val=""/>
      <w:lvlJc w:val="left"/>
      <w:pPr>
        <w:ind w:left="6480" w:hanging="360"/>
      </w:pPr>
      <w:rPr>
        <w:rFonts w:ascii="Wingdings" w:hAnsi="Wingdings" w:hint="default"/>
      </w:rPr>
    </w:lvl>
  </w:abstractNum>
  <w:abstractNum w:abstractNumId="22" w15:restartNumberingAfterBreak="0">
    <w:nsid w:val="6A5339E1"/>
    <w:multiLevelType w:val="hybridMultilevel"/>
    <w:tmpl w:val="36BAE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6D11CD"/>
    <w:multiLevelType w:val="multilevel"/>
    <w:tmpl w:val="3C48E34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B44584"/>
    <w:multiLevelType w:val="hybridMultilevel"/>
    <w:tmpl w:val="275C73F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5" w15:restartNumberingAfterBreak="0">
    <w:nsid w:val="726140EF"/>
    <w:multiLevelType w:val="multilevel"/>
    <w:tmpl w:val="A85E98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0"/>
  </w:num>
  <w:num w:numId="3">
    <w:abstractNumId w:val="22"/>
  </w:num>
  <w:num w:numId="4">
    <w:abstractNumId w:val="9"/>
  </w:num>
  <w:num w:numId="5">
    <w:abstractNumId w:val="23"/>
  </w:num>
  <w:num w:numId="6">
    <w:abstractNumId w:val="15"/>
  </w:num>
  <w:num w:numId="7">
    <w:abstractNumId w:val="8"/>
  </w:num>
  <w:num w:numId="8">
    <w:abstractNumId w:val="26"/>
  </w:num>
  <w:num w:numId="9">
    <w:abstractNumId w:val="3"/>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6"/>
  </w:num>
  <w:num w:numId="13">
    <w:abstractNumId w:val="14"/>
  </w:num>
  <w:num w:numId="14">
    <w:abstractNumId w:val="19"/>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6"/>
  </w:num>
  <w:num w:numId="24">
    <w:abstractNumId w:val="26"/>
  </w:num>
  <w:num w:numId="25">
    <w:abstractNumId w:val="7"/>
  </w:num>
  <w:num w:numId="26">
    <w:abstractNumId w:val="5"/>
  </w:num>
  <w:num w:numId="27">
    <w:abstractNumId w:val="16"/>
  </w:num>
  <w:num w:numId="28">
    <w:abstractNumId w:val="13"/>
  </w:num>
  <w:num w:numId="29">
    <w:abstractNumId w:val="4"/>
  </w:num>
  <w:num w:numId="30">
    <w:abstractNumId w:val="2"/>
  </w:num>
  <w:num w:numId="31">
    <w:abstractNumId w:val="26"/>
  </w:num>
  <w:num w:numId="32">
    <w:abstractNumId w:val="26"/>
  </w:num>
  <w:num w:numId="33">
    <w:abstractNumId w:val="26"/>
  </w:num>
  <w:num w:numId="34">
    <w:abstractNumId w:val="26"/>
  </w:num>
  <w:num w:numId="35">
    <w:abstractNumId w:val="26"/>
  </w:num>
  <w:num w:numId="36">
    <w:abstractNumId w:val="20"/>
  </w:num>
  <w:num w:numId="37">
    <w:abstractNumId w:val="18"/>
  </w:num>
  <w:num w:numId="38">
    <w:abstractNumId w:val="26"/>
  </w:num>
  <w:num w:numId="39">
    <w:abstractNumId w:val="26"/>
  </w:num>
  <w:num w:numId="40">
    <w:abstractNumId w:val="1"/>
  </w:num>
  <w:num w:numId="41">
    <w:abstractNumId w:val="12"/>
  </w:num>
  <w:num w:numId="42">
    <w:abstractNumId w:val="21"/>
  </w:num>
  <w:num w:numId="43">
    <w:abstractNumId w:val="10"/>
  </w:num>
  <w:num w:numId="44">
    <w:abstractNumId w:val="11"/>
  </w:num>
  <w:num w:numId="4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6EB"/>
    <w:rsid w:val="000017E2"/>
    <w:rsid w:val="00002BFF"/>
    <w:rsid w:val="00003499"/>
    <w:rsid w:val="000039B7"/>
    <w:rsid w:val="00003CAF"/>
    <w:rsid w:val="0000639A"/>
    <w:rsid w:val="00006633"/>
    <w:rsid w:val="00006ACE"/>
    <w:rsid w:val="00006AE0"/>
    <w:rsid w:val="000120D2"/>
    <w:rsid w:val="0001297A"/>
    <w:rsid w:val="00013247"/>
    <w:rsid w:val="000142A3"/>
    <w:rsid w:val="00015450"/>
    <w:rsid w:val="00015886"/>
    <w:rsid w:val="000162EF"/>
    <w:rsid w:val="0001661C"/>
    <w:rsid w:val="000178C1"/>
    <w:rsid w:val="0002052C"/>
    <w:rsid w:val="000207C9"/>
    <w:rsid w:val="00021980"/>
    <w:rsid w:val="0002225F"/>
    <w:rsid w:val="000229B8"/>
    <w:rsid w:val="00023763"/>
    <w:rsid w:val="000274B8"/>
    <w:rsid w:val="00027828"/>
    <w:rsid w:val="0003024A"/>
    <w:rsid w:val="00030AAE"/>
    <w:rsid w:val="000311C5"/>
    <w:rsid w:val="000335A4"/>
    <w:rsid w:val="00033863"/>
    <w:rsid w:val="00035DC0"/>
    <w:rsid w:val="00035F1E"/>
    <w:rsid w:val="00036829"/>
    <w:rsid w:val="000405BB"/>
    <w:rsid w:val="00040895"/>
    <w:rsid w:val="00043161"/>
    <w:rsid w:val="000435EE"/>
    <w:rsid w:val="00043C37"/>
    <w:rsid w:val="00043FC9"/>
    <w:rsid w:val="00045017"/>
    <w:rsid w:val="00045A2B"/>
    <w:rsid w:val="0004698F"/>
    <w:rsid w:val="00046D51"/>
    <w:rsid w:val="00046F6F"/>
    <w:rsid w:val="00051342"/>
    <w:rsid w:val="00052A2A"/>
    <w:rsid w:val="0005364D"/>
    <w:rsid w:val="000539D0"/>
    <w:rsid w:val="00053B00"/>
    <w:rsid w:val="00054621"/>
    <w:rsid w:val="000546D7"/>
    <w:rsid w:val="000546F0"/>
    <w:rsid w:val="00054F97"/>
    <w:rsid w:val="0005561D"/>
    <w:rsid w:val="00055F3C"/>
    <w:rsid w:val="0005622E"/>
    <w:rsid w:val="00056ECF"/>
    <w:rsid w:val="00057AD5"/>
    <w:rsid w:val="000604DF"/>
    <w:rsid w:val="00063E03"/>
    <w:rsid w:val="00063E58"/>
    <w:rsid w:val="000653B5"/>
    <w:rsid w:val="00066360"/>
    <w:rsid w:val="00066A2B"/>
    <w:rsid w:val="00066AF8"/>
    <w:rsid w:val="00067AB1"/>
    <w:rsid w:val="00070978"/>
    <w:rsid w:val="00071248"/>
    <w:rsid w:val="0007138B"/>
    <w:rsid w:val="000717A3"/>
    <w:rsid w:val="000720B9"/>
    <w:rsid w:val="00072F92"/>
    <w:rsid w:val="000737F7"/>
    <w:rsid w:val="00075723"/>
    <w:rsid w:val="00075B94"/>
    <w:rsid w:val="00076261"/>
    <w:rsid w:val="000762C3"/>
    <w:rsid w:val="0007672F"/>
    <w:rsid w:val="00076B24"/>
    <w:rsid w:val="00076B54"/>
    <w:rsid w:val="00076FFE"/>
    <w:rsid w:val="000774F0"/>
    <w:rsid w:val="00080909"/>
    <w:rsid w:val="000812CA"/>
    <w:rsid w:val="00081E63"/>
    <w:rsid w:val="0008258D"/>
    <w:rsid w:val="00083E99"/>
    <w:rsid w:val="00083F92"/>
    <w:rsid w:val="00084289"/>
    <w:rsid w:val="00084FA8"/>
    <w:rsid w:val="000856C5"/>
    <w:rsid w:val="00085BDC"/>
    <w:rsid w:val="00085C31"/>
    <w:rsid w:val="000867B7"/>
    <w:rsid w:val="000871B4"/>
    <w:rsid w:val="00087397"/>
    <w:rsid w:val="000902D9"/>
    <w:rsid w:val="00090C7E"/>
    <w:rsid w:val="0009204C"/>
    <w:rsid w:val="000924BF"/>
    <w:rsid w:val="00092600"/>
    <w:rsid w:val="0009262B"/>
    <w:rsid w:val="00093310"/>
    <w:rsid w:val="0009445C"/>
    <w:rsid w:val="00094BC5"/>
    <w:rsid w:val="00095200"/>
    <w:rsid w:val="00095FE5"/>
    <w:rsid w:val="00096284"/>
    <w:rsid w:val="00097951"/>
    <w:rsid w:val="000A0F62"/>
    <w:rsid w:val="000A1683"/>
    <w:rsid w:val="000A1BC0"/>
    <w:rsid w:val="000A4D0F"/>
    <w:rsid w:val="000A4DE2"/>
    <w:rsid w:val="000A6039"/>
    <w:rsid w:val="000A71E7"/>
    <w:rsid w:val="000A7453"/>
    <w:rsid w:val="000A7D08"/>
    <w:rsid w:val="000B0121"/>
    <w:rsid w:val="000B0670"/>
    <w:rsid w:val="000B0E75"/>
    <w:rsid w:val="000B1686"/>
    <w:rsid w:val="000B2DCB"/>
    <w:rsid w:val="000B49D9"/>
    <w:rsid w:val="000B50EE"/>
    <w:rsid w:val="000B5CE0"/>
    <w:rsid w:val="000B6CAC"/>
    <w:rsid w:val="000B7612"/>
    <w:rsid w:val="000B78AE"/>
    <w:rsid w:val="000C1C51"/>
    <w:rsid w:val="000C2011"/>
    <w:rsid w:val="000C2D96"/>
    <w:rsid w:val="000C3DF9"/>
    <w:rsid w:val="000C4A9E"/>
    <w:rsid w:val="000C5576"/>
    <w:rsid w:val="000C5647"/>
    <w:rsid w:val="000C6713"/>
    <w:rsid w:val="000C7040"/>
    <w:rsid w:val="000D105C"/>
    <w:rsid w:val="000D1BFC"/>
    <w:rsid w:val="000D1D5D"/>
    <w:rsid w:val="000D281A"/>
    <w:rsid w:val="000D2848"/>
    <w:rsid w:val="000D326A"/>
    <w:rsid w:val="000D3B6C"/>
    <w:rsid w:val="000D47E9"/>
    <w:rsid w:val="000D4E20"/>
    <w:rsid w:val="000D51FB"/>
    <w:rsid w:val="000D59F5"/>
    <w:rsid w:val="000D5B27"/>
    <w:rsid w:val="000D793D"/>
    <w:rsid w:val="000E0640"/>
    <w:rsid w:val="000E135D"/>
    <w:rsid w:val="000E342F"/>
    <w:rsid w:val="000E39B7"/>
    <w:rsid w:val="000E7E50"/>
    <w:rsid w:val="000F00BA"/>
    <w:rsid w:val="000F00D4"/>
    <w:rsid w:val="000F2F57"/>
    <w:rsid w:val="000F316A"/>
    <w:rsid w:val="000F3C74"/>
    <w:rsid w:val="000F3FFD"/>
    <w:rsid w:val="000F477C"/>
    <w:rsid w:val="000F49C8"/>
    <w:rsid w:val="000F4BB8"/>
    <w:rsid w:val="000F4FA9"/>
    <w:rsid w:val="000F53FB"/>
    <w:rsid w:val="000F5AB1"/>
    <w:rsid w:val="000F7127"/>
    <w:rsid w:val="000F7B54"/>
    <w:rsid w:val="00100F8A"/>
    <w:rsid w:val="0010452E"/>
    <w:rsid w:val="00105AE2"/>
    <w:rsid w:val="001060C6"/>
    <w:rsid w:val="00106B80"/>
    <w:rsid w:val="00107838"/>
    <w:rsid w:val="0011032E"/>
    <w:rsid w:val="001103C1"/>
    <w:rsid w:val="00110F9F"/>
    <w:rsid w:val="0011348B"/>
    <w:rsid w:val="0011356D"/>
    <w:rsid w:val="00115417"/>
    <w:rsid w:val="001155CF"/>
    <w:rsid w:val="001155F1"/>
    <w:rsid w:val="00115982"/>
    <w:rsid w:val="00116C53"/>
    <w:rsid w:val="00117B4A"/>
    <w:rsid w:val="00120738"/>
    <w:rsid w:val="00121799"/>
    <w:rsid w:val="001222FC"/>
    <w:rsid w:val="00123902"/>
    <w:rsid w:val="00123908"/>
    <w:rsid w:val="00124480"/>
    <w:rsid w:val="00124A51"/>
    <w:rsid w:val="00126621"/>
    <w:rsid w:val="0012662F"/>
    <w:rsid w:val="00126B1D"/>
    <w:rsid w:val="00127F30"/>
    <w:rsid w:val="001301E9"/>
    <w:rsid w:val="00131D82"/>
    <w:rsid w:val="00132A63"/>
    <w:rsid w:val="00132B22"/>
    <w:rsid w:val="00133CE9"/>
    <w:rsid w:val="00133D36"/>
    <w:rsid w:val="00137645"/>
    <w:rsid w:val="0014015A"/>
    <w:rsid w:val="00140E99"/>
    <w:rsid w:val="00142246"/>
    <w:rsid w:val="00142704"/>
    <w:rsid w:val="00142DC4"/>
    <w:rsid w:val="00143704"/>
    <w:rsid w:val="00143F67"/>
    <w:rsid w:val="00145540"/>
    <w:rsid w:val="001456B0"/>
    <w:rsid w:val="00147A3A"/>
    <w:rsid w:val="00152AD1"/>
    <w:rsid w:val="001539E3"/>
    <w:rsid w:val="00153B0B"/>
    <w:rsid w:val="001541D4"/>
    <w:rsid w:val="00154BF0"/>
    <w:rsid w:val="0015512B"/>
    <w:rsid w:val="0015541D"/>
    <w:rsid w:val="001555B8"/>
    <w:rsid w:val="00156320"/>
    <w:rsid w:val="00156F8F"/>
    <w:rsid w:val="00157130"/>
    <w:rsid w:val="001573AF"/>
    <w:rsid w:val="001576B1"/>
    <w:rsid w:val="0016047B"/>
    <w:rsid w:val="00160A4C"/>
    <w:rsid w:val="001610A7"/>
    <w:rsid w:val="00162913"/>
    <w:rsid w:val="0016378D"/>
    <w:rsid w:val="00163EFF"/>
    <w:rsid w:val="00163F66"/>
    <w:rsid w:val="001640F7"/>
    <w:rsid w:val="00165E10"/>
    <w:rsid w:val="001661FB"/>
    <w:rsid w:val="001671A0"/>
    <w:rsid w:val="0016767F"/>
    <w:rsid w:val="00170A4F"/>
    <w:rsid w:val="00170FDE"/>
    <w:rsid w:val="00170FF0"/>
    <w:rsid w:val="0017130B"/>
    <w:rsid w:val="00171999"/>
    <w:rsid w:val="00171EDD"/>
    <w:rsid w:val="00173565"/>
    <w:rsid w:val="001735C9"/>
    <w:rsid w:val="00173B07"/>
    <w:rsid w:val="00173FC8"/>
    <w:rsid w:val="001751FA"/>
    <w:rsid w:val="00175862"/>
    <w:rsid w:val="00175E84"/>
    <w:rsid w:val="00176597"/>
    <w:rsid w:val="00176EAF"/>
    <w:rsid w:val="001801E5"/>
    <w:rsid w:val="001810CE"/>
    <w:rsid w:val="0018116C"/>
    <w:rsid w:val="00181D9C"/>
    <w:rsid w:val="00183188"/>
    <w:rsid w:val="001844B7"/>
    <w:rsid w:val="00184B0E"/>
    <w:rsid w:val="00184E5D"/>
    <w:rsid w:val="00185272"/>
    <w:rsid w:val="001856E7"/>
    <w:rsid w:val="00185C3A"/>
    <w:rsid w:val="001862FE"/>
    <w:rsid w:val="00186DAF"/>
    <w:rsid w:val="001871F1"/>
    <w:rsid w:val="0018752F"/>
    <w:rsid w:val="00191EF7"/>
    <w:rsid w:val="00193838"/>
    <w:rsid w:val="00193EF1"/>
    <w:rsid w:val="00194AD8"/>
    <w:rsid w:val="00195222"/>
    <w:rsid w:val="00195306"/>
    <w:rsid w:val="00195D5B"/>
    <w:rsid w:val="00196B18"/>
    <w:rsid w:val="00196C5F"/>
    <w:rsid w:val="001971FA"/>
    <w:rsid w:val="001975D8"/>
    <w:rsid w:val="00197F44"/>
    <w:rsid w:val="001A1155"/>
    <w:rsid w:val="001A1212"/>
    <w:rsid w:val="001A178E"/>
    <w:rsid w:val="001A43FA"/>
    <w:rsid w:val="001A4520"/>
    <w:rsid w:val="001A47C5"/>
    <w:rsid w:val="001A48EC"/>
    <w:rsid w:val="001A59FB"/>
    <w:rsid w:val="001A5E9E"/>
    <w:rsid w:val="001A6354"/>
    <w:rsid w:val="001A6366"/>
    <w:rsid w:val="001A77FB"/>
    <w:rsid w:val="001A7AE8"/>
    <w:rsid w:val="001B037D"/>
    <w:rsid w:val="001B03B9"/>
    <w:rsid w:val="001B0935"/>
    <w:rsid w:val="001B204E"/>
    <w:rsid w:val="001B2372"/>
    <w:rsid w:val="001B3443"/>
    <w:rsid w:val="001B4045"/>
    <w:rsid w:val="001B4767"/>
    <w:rsid w:val="001B4D20"/>
    <w:rsid w:val="001B577F"/>
    <w:rsid w:val="001C0332"/>
    <w:rsid w:val="001C0525"/>
    <w:rsid w:val="001C06EF"/>
    <w:rsid w:val="001C2116"/>
    <w:rsid w:val="001C2A9B"/>
    <w:rsid w:val="001C4299"/>
    <w:rsid w:val="001C4874"/>
    <w:rsid w:val="001C5921"/>
    <w:rsid w:val="001C5F94"/>
    <w:rsid w:val="001C6AA5"/>
    <w:rsid w:val="001C6E66"/>
    <w:rsid w:val="001D1100"/>
    <w:rsid w:val="001D1391"/>
    <w:rsid w:val="001D25D7"/>
    <w:rsid w:val="001D3DCC"/>
    <w:rsid w:val="001D429D"/>
    <w:rsid w:val="001D50B2"/>
    <w:rsid w:val="001D5628"/>
    <w:rsid w:val="001D589E"/>
    <w:rsid w:val="001D6F76"/>
    <w:rsid w:val="001D7403"/>
    <w:rsid w:val="001D7645"/>
    <w:rsid w:val="001E1E86"/>
    <w:rsid w:val="001E238E"/>
    <w:rsid w:val="001E2483"/>
    <w:rsid w:val="001E250C"/>
    <w:rsid w:val="001E2B1E"/>
    <w:rsid w:val="001E2CFF"/>
    <w:rsid w:val="001E2F24"/>
    <w:rsid w:val="001E30D4"/>
    <w:rsid w:val="001E34DF"/>
    <w:rsid w:val="001E4CFB"/>
    <w:rsid w:val="001E4FB5"/>
    <w:rsid w:val="001E52EB"/>
    <w:rsid w:val="001E61D2"/>
    <w:rsid w:val="001E6952"/>
    <w:rsid w:val="001E740C"/>
    <w:rsid w:val="001E75F2"/>
    <w:rsid w:val="001F061C"/>
    <w:rsid w:val="001F1235"/>
    <w:rsid w:val="001F191D"/>
    <w:rsid w:val="001F1CB3"/>
    <w:rsid w:val="001F38B5"/>
    <w:rsid w:val="001F4081"/>
    <w:rsid w:val="001F43FC"/>
    <w:rsid w:val="001F4E40"/>
    <w:rsid w:val="001F4FE1"/>
    <w:rsid w:val="001F7361"/>
    <w:rsid w:val="001F7E39"/>
    <w:rsid w:val="00200EF8"/>
    <w:rsid w:val="002011B0"/>
    <w:rsid w:val="00201985"/>
    <w:rsid w:val="00203181"/>
    <w:rsid w:val="00203783"/>
    <w:rsid w:val="0020385F"/>
    <w:rsid w:val="00203D95"/>
    <w:rsid w:val="002068A0"/>
    <w:rsid w:val="00206928"/>
    <w:rsid w:val="00207021"/>
    <w:rsid w:val="00207161"/>
    <w:rsid w:val="0020732F"/>
    <w:rsid w:val="00207D00"/>
    <w:rsid w:val="002105C1"/>
    <w:rsid w:val="0021206C"/>
    <w:rsid w:val="00212D07"/>
    <w:rsid w:val="00213EF5"/>
    <w:rsid w:val="00214291"/>
    <w:rsid w:val="0021564F"/>
    <w:rsid w:val="00215CC2"/>
    <w:rsid w:val="00216005"/>
    <w:rsid w:val="00216093"/>
    <w:rsid w:val="00216BF5"/>
    <w:rsid w:val="002205EE"/>
    <w:rsid w:val="00221DAD"/>
    <w:rsid w:val="00222BC5"/>
    <w:rsid w:val="00223690"/>
    <w:rsid w:val="00223B49"/>
    <w:rsid w:val="00223D5A"/>
    <w:rsid w:val="00224B8F"/>
    <w:rsid w:val="00224DD4"/>
    <w:rsid w:val="00225A82"/>
    <w:rsid w:val="002263A4"/>
    <w:rsid w:val="002278A0"/>
    <w:rsid w:val="002309CC"/>
    <w:rsid w:val="00230DB1"/>
    <w:rsid w:val="0023209F"/>
    <w:rsid w:val="0023238A"/>
    <w:rsid w:val="00232F2C"/>
    <w:rsid w:val="002330EC"/>
    <w:rsid w:val="00233C01"/>
    <w:rsid w:val="0023413C"/>
    <w:rsid w:val="002346F0"/>
    <w:rsid w:val="00234CC2"/>
    <w:rsid w:val="0023629D"/>
    <w:rsid w:val="00237255"/>
    <w:rsid w:val="002378E0"/>
    <w:rsid w:val="002408A7"/>
    <w:rsid w:val="002409E0"/>
    <w:rsid w:val="00240DAD"/>
    <w:rsid w:val="00241B8E"/>
    <w:rsid w:val="002424AF"/>
    <w:rsid w:val="002439DC"/>
    <w:rsid w:val="002441D2"/>
    <w:rsid w:val="00244DC8"/>
    <w:rsid w:val="00244FE8"/>
    <w:rsid w:val="00245201"/>
    <w:rsid w:val="002458BA"/>
    <w:rsid w:val="00245CE9"/>
    <w:rsid w:val="0024636C"/>
    <w:rsid w:val="00247925"/>
    <w:rsid w:val="00251006"/>
    <w:rsid w:val="00251CD5"/>
    <w:rsid w:val="002524D5"/>
    <w:rsid w:val="00252C73"/>
    <w:rsid w:val="00253A77"/>
    <w:rsid w:val="00253B1D"/>
    <w:rsid w:val="00254DCF"/>
    <w:rsid w:val="00254F53"/>
    <w:rsid w:val="0025534B"/>
    <w:rsid w:val="00255BB7"/>
    <w:rsid w:val="00257529"/>
    <w:rsid w:val="00257541"/>
    <w:rsid w:val="00257A39"/>
    <w:rsid w:val="00257AC4"/>
    <w:rsid w:val="00260408"/>
    <w:rsid w:val="00261EEF"/>
    <w:rsid w:val="00262A1A"/>
    <w:rsid w:val="00262A87"/>
    <w:rsid w:val="0026392E"/>
    <w:rsid w:val="00264D26"/>
    <w:rsid w:val="00264FB2"/>
    <w:rsid w:val="00265D6A"/>
    <w:rsid w:val="00265E04"/>
    <w:rsid w:val="00266DBA"/>
    <w:rsid w:val="00267642"/>
    <w:rsid w:val="00267AEA"/>
    <w:rsid w:val="002700E6"/>
    <w:rsid w:val="00271357"/>
    <w:rsid w:val="00271BC1"/>
    <w:rsid w:val="0027294B"/>
    <w:rsid w:val="00273EB4"/>
    <w:rsid w:val="00274682"/>
    <w:rsid w:val="00274C55"/>
    <w:rsid w:val="00275C5A"/>
    <w:rsid w:val="002776CD"/>
    <w:rsid w:val="00277834"/>
    <w:rsid w:val="00277F26"/>
    <w:rsid w:val="00281014"/>
    <w:rsid w:val="0028216A"/>
    <w:rsid w:val="00284D87"/>
    <w:rsid w:val="0028665D"/>
    <w:rsid w:val="0029295E"/>
    <w:rsid w:val="00293771"/>
    <w:rsid w:val="002A14AB"/>
    <w:rsid w:val="002A18F8"/>
    <w:rsid w:val="002A2ADE"/>
    <w:rsid w:val="002A2F50"/>
    <w:rsid w:val="002A43DB"/>
    <w:rsid w:val="002A637E"/>
    <w:rsid w:val="002A6536"/>
    <w:rsid w:val="002A6E56"/>
    <w:rsid w:val="002A7705"/>
    <w:rsid w:val="002A7E59"/>
    <w:rsid w:val="002B0591"/>
    <w:rsid w:val="002B05A1"/>
    <w:rsid w:val="002B09A4"/>
    <w:rsid w:val="002B09DD"/>
    <w:rsid w:val="002B18DE"/>
    <w:rsid w:val="002B1C1F"/>
    <w:rsid w:val="002B239F"/>
    <w:rsid w:val="002B2CFC"/>
    <w:rsid w:val="002B432F"/>
    <w:rsid w:val="002B4E86"/>
    <w:rsid w:val="002B62B3"/>
    <w:rsid w:val="002B6754"/>
    <w:rsid w:val="002B6CCE"/>
    <w:rsid w:val="002C2510"/>
    <w:rsid w:val="002C25B2"/>
    <w:rsid w:val="002C2775"/>
    <w:rsid w:val="002C27C1"/>
    <w:rsid w:val="002C2979"/>
    <w:rsid w:val="002C5099"/>
    <w:rsid w:val="002C5889"/>
    <w:rsid w:val="002C71CE"/>
    <w:rsid w:val="002D0722"/>
    <w:rsid w:val="002D08F8"/>
    <w:rsid w:val="002D20C5"/>
    <w:rsid w:val="002D3181"/>
    <w:rsid w:val="002D3E9B"/>
    <w:rsid w:val="002D53E3"/>
    <w:rsid w:val="002D577C"/>
    <w:rsid w:val="002D5920"/>
    <w:rsid w:val="002D633A"/>
    <w:rsid w:val="002E1071"/>
    <w:rsid w:val="002E11C3"/>
    <w:rsid w:val="002E15B9"/>
    <w:rsid w:val="002E2158"/>
    <w:rsid w:val="002E3416"/>
    <w:rsid w:val="002E4782"/>
    <w:rsid w:val="002E4F02"/>
    <w:rsid w:val="002E7722"/>
    <w:rsid w:val="002F07A9"/>
    <w:rsid w:val="002F07BA"/>
    <w:rsid w:val="002F0DA9"/>
    <w:rsid w:val="002F1014"/>
    <w:rsid w:val="002F5B25"/>
    <w:rsid w:val="002F6045"/>
    <w:rsid w:val="002F643C"/>
    <w:rsid w:val="002F71C0"/>
    <w:rsid w:val="002F74F1"/>
    <w:rsid w:val="002F7562"/>
    <w:rsid w:val="002F7C6B"/>
    <w:rsid w:val="00301017"/>
    <w:rsid w:val="0030155F"/>
    <w:rsid w:val="003029A6"/>
    <w:rsid w:val="003032A9"/>
    <w:rsid w:val="0030587B"/>
    <w:rsid w:val="00305F81"/>
    <w:rsid w:val="00306D98"/>
    <w:rsid w:val="0030772F"/>
    <w:rsid w:val="0030786C"/>
    <w:rsid w:val="0031031A"/>
    <w:rsid w:val="00310981"/>
    <w:rsid w:val="003124D9"/>
    <w:rsid w:val="00312594"/>
    <w:rsid w:val="00314900"/>
    <w:rsid w:val="003149EB"/>
    <w:rsid w:val="00315498"/>
    <w:rsid w:val="00316474"/>
    <w:rsid w:val="003177C0"/>
    <w:rsid w:val="0032078F"/>
    <w:rsid w:val="00320B7D"/>
    <w:rsid w:val="0032129B"/>
    <w:rsid w:val="00321655"/>
    <w:rsid w:val="00322107"/>
    <w:rsid w:val="00322355"/>
    <w:rsid w:val="00322846"/>
    <w:rsid w:val="00322C1E"/>
    <w:rsid w:val="00323B37"/>
    <w:rsid w:val="00324839"/>
    <w:rsid w:val="003250DE"/>
    <w:rsid w:val="00326BD7"/>
    <w:rsid w:val="00326DA7"/>
    <w:rsid w:val="00326F52"/>
    <w:rsid w:val="003270E4"/>
    <w:rsid w:val="003276AB"/>
    <w:rsid w:val="00330DAA"/>
    <w:rsid w:val="00330F5C"/>
    <w:rsid w:val="003312A1"/>
    <w:rsid w:val="00331BD9"/>
    <w:rsid w:val="003347E9"/>
    <w:rsid w:val="003366C9"/>
    <w:rsid w:val="00336A60"/>
    <w:rsid w:val="003371B0"/>
    <w:rsid w:val="00337E52"/>
    <w:rsid w:val="00340C7C"/>
    <w:rsid w:val="00340DF1"/>
    <w:rsid w:val="00342AD2"/>
    <w:rsid w:val="003430FC"/>
    <w:rsid w:val="00346A1B"/>
    <w:rsid w:val="00350717"/>
    <w:rsid w:val="003517F9"/>
    <w:rsid w:val="00351BA9"/>
    <w:rsid w:val="00354F64"/>
    <w:rsid w:val="0035563F"/>
    <w:rsid w:val="0035620E"/>
    <w:rsid w:val="0035662D"/>
    <w:rsid w:val="00357C9B"/>
    <w:rsid w:val="00360345"/>
    <w:rsid w:val="00361A05"/>
    <w:rsid w:val="003624C4"/>
    <w:rsid w:val="00363B00"/>
    <w:rsid w:val="0036441E"/>
    <w:rsid w:val="00364859"/>
    <w:rsid w:val="003654AC"/>
    <w:rsid w:val="003675B0"/>
    <w:rsid w:val="003710CF"/>
    <w:rsid w:val="003714D4"/>
    <w:rsid w:val="003716BE"/>
    <w:rsid w:val="0037358A"/>
    <w:rsid w:val="003750F6"/>
    <w:rsid w:val="003760FC"/>
    <w:rsid w:val="003768B3"/>
    <w:rsid w:val="00380DBE"/>
    <w:rsid w:val="003810A9"/>
    <w:rsid w:val="003810D2"/>
    <w:rsid w:val="00381445"/>
    <w:rsid w:val="00381553"/>
    <w:rsid w:val="003834DA"/>
    <w:rsid w:val="0038365C"/>
    <w:rsid w:val="0038369B"/>
    <w:rsid w:val="00383B78"/>
    <w:rsid w:val="0038492E"/>
    <w:rsid w:val="00385A9D"/>
    <w:rsid w:val="00386E46"/>
    <w:rsid w:val="0038744C"/>
    <w:rsid w:val="003902B1"/>
    <w:rsid w:val="0039179C"/>
    <w:rsid w:val="0039290E"/>
    <w:rsid w:val="00392BBD"/>
    <w:rsid w:val="00394FF9"/>
    <w:rsid w:val="00395266"/>
    <w:rsid w:val="0039572C"/>
    <w:rsid w:val="00395EF5"/>
    <w:rsid w:val="00395FA9"/>
    <w:rsid w:val="00396896"/>
    <w:rsid w:val="00396FD0"/>
    <w:rsid w:val="003A0C2B"/>
    <w:rsid w:val="003A1229"/>
    <w:rsid w:val="003A1A7A"/>
    <w:rsid w:val="003A2392"/>
    <w:rsid w:val="003A2831"/>
    <w:rsid w:val="003A311A"/>
    <w:rsid w:val="003A3328"/>
    <w:rsid w:val="003A3CB6"/>
    <w:rsid w:val="003A3ED1"/>
    <w:rsid w:val="003A44DB"/>
    <w:rsid w:val="003A796F"/>
    <w:rsid w:val="003B0B22"/>
    <w:rsid w:val="003B3727"/>
    <w:rsid w:val="003B3971"/>
    <w:rsid w:val="003B3F38"/>
    <w:rsid w:val="003B55D1"/>
    <w:rsid w:val="003B5808"/>
    <w:rsid w:val="003B5B61"/>
    <w:rsid w:val="003B6AEA"/>
    <w:rsid w:val="003B6C82"/>
    <w:rsid w:val="003B7187"/>
    <w:rsid w:val="003C0433"/>
    <w:rsid w:val="003C0BD1"/>
    <w:rsid w:val="003C1654"/>
    <w:rsid w:val="003C362C"/>
    <w:rsid w:val="003C5542"/>
    <w:rsid w:val="003C7D19"/>
    <w:rsid w:val="003C7D2F"/>
    <w:rsid w:val="003D0235"/>
    <w:rsid w:val="003D1828"/>
    <w:rsid w:val="003D1919"/>
    <w:rsid w:val="003D1DE4"/>
    <w:rsid w:val="003D1E9A"/>
    <w:rsid w:val="003D2422"/>
    <w:rsid w:val="003D2C57"/>
    <w:rsid w:val="003D39A1"/>
    <w:rsid w:val="003D3FBF"/>
    <w:rsid w:val="003D4168"/>
    <w:rsid w:val="003D4713"/>
    <w:rsid w:val="003D4A30"/>
    <w:rsid w:val="003D4EC0"/>
    <w:rsid w:val="003D5140"/>
    <w:rsid w:val="003D7452"/>
    <w:rsid w:val="003D77F1"/>
    <w:rsid w:val="003D79BB"/>
    <w:rsid w:val="003D7C98"/>
    <w:rsid w:val="003D7D98"/>
    <w:rsid w:val="003D7D9D"/>
    <w:rsid w:val="003E0543"/>
    <w:rsid w:val="003E1877"/>
    <w:rsid w:val="003E3E94"/>
    <w:rsid w:val="003E53B4"/>
    <w:rsid w:val="003E5A90"/>
    <w:rsid w:val="003E7495"/>
    <w:rsid w:val="003E749E"/>
    <w:rsid w:val="003F03EA"/>
    <w:rsid w:val="003F1906"/>
    <w:rsid w:val="003F2B5C"/>
    <w:rsid w:val="003F32F2"/>
    <w:rsid w:val="003F4156"/>
    <w:rsid w:val="003F4980"/>
    <w:rsid w:val="003F5ADF"/>
    <w:rsid w:val="00400B29"/>
    <w:rsid w:val="00401364"/>
    <w:rsid w:val="004031CE"/>
    <w:rsid w:val="0040504B"/>
    <w:rsid w:val="004056B0"/>
    <w:rsid w:val="004059F4"/>
    <w:rsid w:val="00407ABF"/>
    <w:rsid w:val="00407FE5"/>
    <w:rsid w:val="004101B0"/>
    <w:rsid w:val="00410326"/>
    <w:rsid w:val="0041057C"/>
    <w:rsid w:val="00410708"/>
    <w:rsid w:val="00410EC7"/>
    <w:rsid w:val="004111B9"/>
    <w:rsid w:val="0041122F"/>
    <w:rsid w:val="00411B39"/>
    <w:rsid w:val="004127A7"/>
    <w:rsid w:val="00413A1E"/>
    <w:rsid w:val="00414476"/>
    <w:rsid w:val="00414C2E"/>
    <w:rsid w:val="004151CF"/>
    <w:rsid w:val="00416364"/>
    <w:rsid w:val="00416796"/>
    <w:rsid w:val="00417F13"/>
    <w:rsid w:val="0042047F"/>
    <w:rsid w:val="00420AA6"/>
    <w:rsid w:val="00420B9F"/>
    <w:rsid w:val="00421666"/>
    <w:rsid w:val="0042192C"/>
    <w:rsid w:val="00421B95"/>
    <w:rsid w:val="00422260"/>
    <w:rsid w:val="0042242D"/>
    <w:rsid w:val="0042413F"/>
    <w:rsid w:val="00424EFC"/>
    <w:rsid w:val="00425A04"/>
    <w:rsid w:val="004308FD"/>
    <w:rsid w:val="004311B1"/>
    <w:rsid w:val="00431413"/>
    <w:rsid w:val="004319F8"/>
    <w:rsid w:val="00431E55"/>
    <w:rsid w:val="004321F6"/>
    <w:rsid w:val="00432B30"/>
    <w:rsid w:val="00433044"/>
    <w:rsid w:val="004335C0"/>
    <w:rsid w:val="00433E52"/>
    <w:rsid w:val="00434088"/>
    <w:rsid w:val="004358EF"/>
    <w:rsid w:val="00436232"/>
    <w:rsid w:val="0043750F"/>
    <w:rsid w:val="004375B9"/>
    <w:rsid w:val="00437E90"/>
    <w:rsid w:val="004428D0"/>
    <w:rsid w:val="00444185"/>
    <w:rsid w:val="004443A7"/>
    <w:rsid w:val="0044442C"/>
    <w:rsid w:val="0044462E"/>
    <w:rsid w:val="004452EF"/>
    <w:rsid w:val="00445941"/>
    <w:rsid w:val="004464EB"/>
    <w:rsid w:val="00447D26"/>
    <w:rsid w:val="00447DFC"/>
    <w:rsid w:val="004508B9"/>
    <w:rsid w:val="00450DC3"/>
    <w:rsid w:val="00452E66"/>
    <w:rsid w:val="004535F2"/>
    <w:rsid w:val="0045380D"/>
    <w:rsid w:val="004544A4"/>
    <w:rsid w:val="00454A50"/>
    <w:rsid w:val="00454D39"/>
    <w:rsid w:val="00455D45"/>
    <w:rsid w:val="00462A9B"/>
    <w:rsid w:val="0046360F"/>
    <w:rsid w:val="00464595"/>
    <w:rsid w:val="004658B5"/>
    <w:rsid w:val="00467513"/>
    <w:rsid w:val="00471EA5"/>
    <w:rsid w:val="00472A79"/>
    <w:rsid w:val="00472D0D"/>
    <w:rsid w:val="00473C5B"/>
    <w:rsid w:val="00473F19"/>
    <w:rsid w:val="00474C94"/>
    <w:rsid w:val="00475359"/>
    <w:rsid w:val="004757E5"/>
    <w:rsid w:val="00475E22"/>
    <w:rsid w:val="004762AB"/>
    <w:rsid w:val="0048088E"/>
    <w:rsid w:val="00480F2B"/>
    <w:rsid w:val="00482294"/>
    <w:rsid w:val="00482720"/>
    <w:rsid w:val="0048298B"/>
    <w:rsid w:val="004835E7"/>
    <w:rsid w:val="0048416F"/>
    <w:rsid w:val="00484218"/>
    <w:rsid w:val="00485263"/>
    <w:rsid w:val="00485369"/>
    <w:rsid w:val="004867E2"/>
    <w:rsid w:val="00486F79"/>
    <w:rsid w:val="00490B17"/>
    <w:rsid w:val="00491B3A"/>
    <w:rsid w:val="00492CFD"/>
    <w:rsid w:val="004935B8"/>
    <w:rsid w:val="0049409A"/>
    <w:rsid w:val="00494207"/>
    <w:rsid w:val="00494DD5"/>
    <w:rsid w:val="004952FE"/>
    <w:rsid w:val="00495933"/>
    <w:rsid w:val="00495A63"/>
    <w:rsid w:val="00496071"/>
    <w:rsid w:val="004962D2"/>
    <w:rsid w:val="004A0DA1"/>
    <w:rsid w:val="004A13D6"/>
    <w:rsid w:val="004A1DCC"/>
    <w:rsid w:val="004A2044"/>
    <w:rsid w:val="004A22D7"/>
    <w:rsid w:val="004A51B2"/>
    <w:rsid w:val="004A52E9"/>
    <w:rsid w:val="004A56A6"/>
    <w:rsid w:val="004A6040"/>
    <w:rsid w:val="004A6597"/>
    <w:rsid w:val="004A7848"/>
    <w:rsid w:val="004B1CB4"/>
    <w:rsid w:val="004B2733"/>
    <w:rsid w:val="004B2F18"/>
    <w:rsid w:val="004B3DDB"/>
    <w:rsid w:val="004B44FD"/>
    <w:rsid w:val="004B5186"/>
    <w:rsid w:val="004B59E2"/>
    <w:rsid w:val="004B5CFC"/>
    <w:rsid w:val="004B6776"/>
    <w:rsid w:val="004B6F79"/>
    <w:rsid w:val="004B703D"/>
    <w:rsid w:val="004B7173"/>
    <w:rsid w:val="004B774D"/>
    <w:rsid w:val="004C3488"/>
    <w:rsid w:val="004C39DB"/>
    <w:rsid w:val="004C4AED"/>
    <w:rsid w:val="004C553D"/>
    <w:rsid w:val="004C57AB"/>
    <w:rsid w:val="004C66F1"/>
    <w:rsid w:val="004D1E0C"/>
    <w:rsid w:val="004D2162"/>
    <w:rsid w:val="004D2879"/>
    <w:rsid w:val="004D2C2D"/>
    <w:rsid w:val="004D31F8"/>
    <w:rsid w:val="004D4611"/>
    <w:rsid w:val="004D5771"/>
    <w:rsid w:val="004D69B5"/>
    <w:rsid w:val="004D7227"/>
    <w:rsid w:val="004E0081"/>
    <w:rsid w:val="004E0E7F"/>
    <w:rsid w:val="004E0EB8"/>
    <w:rsid w:val="004E18E9"/>
    <w:rsid w:val="004E2ADC"/>
    <w:rsid w:val="004E43B2"/>
    <w:rsid w:val="004E6CCB"/>
    <w:rsid w:val="004F1D02"/>
    <w:rsid w:val="004F1FCD"/>
    <w:rsid w:val="004F2679"/>
    <w:rsid w:val="004F26A0"/>
    <w:rsid w:val="004F2D80"/>
    <w:rsid w:val="004F2F21"/>
    <w:rsid w:val="004F380C"/>
    <w:rsid w:val="004F3A59"/>
    <w:rsid w:val="004F3DE5"/>
    <w:rsid w:val="004F3F24"/>
    <w:rsid w:val="004F4E31"/>
    <w:rsid w:val="004F606C"/>
    <w:rsid w:val="004F6913"/>
    <w:rsid w:val="004F6A3E"/>
    <w:rsid w:val="004F7865"/>
    <w:rsid w:val="004F7C2B"/>
    <w:rsid w:val="005005E1"/>
    <w:rsid w:val="0050174E"/>
    <w:rsid w:val="00501854"/>
    <w:rsid w:val="0050219B"/>
    <w:rsid w:val="00502530"/>
    <w:rsid w:val="00502659"/>
    <w:rsid w:val="00503F17"/>
    <w:rsid w:val="00506928"/>
    <w:rsid w:val="0050717B"/>
    <w:rsid w:val="005072B8"/>
    <w:rsid w:val="005077EF"/>
    <w:rsid w:val="00507FE7"/>
    <w:rsid w:val="00511AD5"/>
    <w:rsid w:val="00511DC7"/>
    <w:rsid w:val="00511E46"/>
    <w:rsid w:val="00512CE9"/>
    <w:rsid w:val="005142C5"/>
    <w:rsid w:val="00514839"/>
    <w:rsid w:val="00514DE3"/>
    <w:rsid w:val="0051501B"/>
    <w:rsid w:val="005152B5"/>
    <w:rsid w:val="00515BC3"/>
    <w:rsid w:val="0051780D"/>
    <w:rsid w:val="005207A4"/>
    <w:rsid w:val="0052123C"/>
    <w:rsid w:val="00521319"/>
    <w:rsid w:val="00521363"/>
    <w:rsid w:val="00522152"/>
    <w:rsid w:val="005221F7"/>
    <w:rsid w:val="005223BB"/>
    <w:rsid w:val="00522441"/>
    <w:rsid w:val="00522BC8"/>
    <w:rsid w:val="00523C28"/>
    <w:rsid w:val="00523F4B"/>
    <w:rsid w:val="00526C53"/>
    <w:rsid w:val="00530744"/>
    <w:rsid w:val="0053176B"/>
    <w:rsid w:val="00535A7F"/>
    <w:rsid w:val="00536F42"/>
    <w:rsid w:val="00537182"/>
    <w:rsid w:val="00540D81"/>
    <w:rsid w:val="0054132F"/>
    <w:rsid w:val="00541EDD"/>
    <w:rsid w:val="00542743"/>
    <w:rsid w:val="00542C2D"/>
    <w:rsid w:val="00543B6E"/>
    <w:rsid w:val="00544B35"/>
    <w:rsid w:val="00544CAA"/>
    <w:rsid w:val="005455CC"/>
    <w:rsid w:val="00545646"/>
    <w:rsid w:val="00546DE3"/>
    <w:rsid w:val="005478BD"/>
    <w:rsid w:val="005479E3"/>
    <w:rsid w:val="0055182C"/>
    <w:rsid w:val="00551985"/>
    <w:rsid w:val="0055217D"/>
    <w:rsid w:val="00552BD3"/>
    <w:rsid w:val="00553290"/>
    <w:rsid w:val="005532A0"/>
    <w:rsid w:val="00554117"/>
    <w:rsid w:val="00554BB7"/>
    <w:rsid w:val="00555109"/>
    <w:rsid w:val="00555DFC"/>
    <w:rsid w:val="00556B35"/>
    <w:rsid w:val="0055741A"/>
    <w:rsid w:val="005579AC"/>
    <w:rsid w:val="00557CC0"/>
    <w:rsid w:val="005611B7"/>
    <w:rsid w:val="005618D4"/>
    <w:rsid w:val="00561B4F"/>
    <w:rsid w:val="005652ED"/>
    <w:rsid w:val="005656C8"/>
    <w:rsid w:val="00565DF0"/>
    <w:rsid w:val="0056696F"/>
    <w:rsid w:val="00572269"/>
    <w:rsid w:val="0057244A"/>
    <w:rsid w:val="00572D4F"/>
    <w:rsid w:val="00572F26"/>
    <w:rsid w:val="005741B0"/>
    <w:rsid w:val="005750C5"/>
    <w:rsid w:val="005752DE"/>
    <w:rsid w:val="00575D8D"/>
    <w:rsid w:val="00576168"/>
    <w:rsid w:val="00576972"/>
    <w:rsid w:val="00576A6C"/>
    <w:rsid w:val="00576CDE"/>
    <w:rsid w:val="0057720A"/>
    <w:rsid w:val="00577C90"/>
    <w:rsid w:val="00577DF2"/>
    <w:rsid w:val="00581184"/>
    <w:rsid w:val="0058250B"/>
    <w:rsid w:val="0058276E"/>
    <w:rsid w:val="0058303C"/>
    <w:rsid w:val="00583699"/>
    <w:rsid w:val="00584914"/>
    <w:rsid w:val="00585A74"/>
    <w:rsid w:val="00585CDD"/>
    <w:rsid w:val="00586E28"/>
    <w:rsid w:val="00587058"/>
    <w:rsid w:val="00590E01"/>
    <w:rsid w:val="00591957"/>
    <w:rsid w:val="00591BE8"/>
    <w:rsid w:val="00592398"/>
    <w:rsid w:val="00592FA5"/>
    <w:rsid w:val="0059605A"/>
    <w:rsid w:val="0059669C"/>
    <w:rsid w:val="00597BF9"/>
    <w:rsid w:val="00597F10"/>
    <w:rsid w:val="005A0F86"/>
    <w:rsid w:val="005A1016"/>
    <w:rsid w:val="005A136C"/>
    <w:rsid w:val="005A1B6D"/>
    <w:rsid w:val="005A309A"/>
    <w:rsid w:val="005A373D"/>
    <w:rsid w:val="005A497D"/>
    <w:rsid w:val="005A7198"/>
    <w:rsid w:val="005B0B58"/>
    <w:rsid w:val="005B1974"/>
    <w:rsid w:val="005B41A4"/>
    <w:rsid w:val="005B4910"/>
    <w:rsid w:val="005B4E53"/>
    <w:rsid w:val="005B5857"/>
    <w:rsid w:val="005B5B77"/>
    <w:rsid w:val="005B68D9"/>
    <w:rsid w:val="005B763C"/>
    <w:rsid w:val="005C01F2"/>
    <w:rsid w:val="005C15E8"/>
    <w:rsid w:val="005C1AB2"/>
    <w:rsid w:val="005C1B83"/>
    <w:rsid w:val="005C25FF"/>
    <w:rsid w:val="005C29C6"/>
    <w:rsid w:val="005C2D55"/>
    <w:rsid w:val="005C3373"/>
    <w:rsid w:val="005C346B"/>
    <w:rsid w:val="005D044D"/>
    <w:rsid w:val="005D0ABD"/>
    <w:rsid w:val="005D15C8"/>
    <w:rsid w:val="005D18AD"/>
    <w:rsid w:val="005D1FC8"/>
    <w:rsid w:val="005D26B4"/>
    <w:rsid w:val="005D5234"/>
    <w:rsid w:val="005D5470"/>
    <w:rsid w:val="005D644B"/>
    <w:rsid w:val="005D6AB3"/>
    <w:rsid w:val="005D6D5D"/>
    <w:rsid w:val="005E04D1"/>
    <w:rsid w:val="005E181F"/>
    <w:rsid w:val="005E20BB"/>
    <w:rsid w:val="005E5864"/>
    <w:rsid w:val="005E5E6A"/>
    <w:rsid w:val="005E63A2"/>
    <w:rsid w:val="005E66DB"/>
    <w:rsid w:val="005E6CBC"/>
    <w:rsid w:val="005E72FE"/>
    <w:rsid w:val="005E72FF"/>
    <w:rsid w:val="005E73C0"/>
    <w:rsid w:val="005E7DC3"/>
    <w:rsid w:val="005F065B"/>
    <w:rsid w:val="005F0F4F"/>
    <w:rsid w:val="005F144E"/>
    <w:rsid w:val="005F15A5"/>
    <w:rsid w:val="005F1D5C"/>
    <w:rsid w:val="005F20EE"/>
    <w:rsid w:val="005F2706"/>
    <w:rsid w:val="005F2E02"/>
    <w:rsid w:val="005F3740"/>
    <w:rsid w:val="005F5DF0"/>
    <w:rsid w:val="005F6A8F"/>
    <w:rsid w:val="005F6BB7"/>
    <w:rsid w:val="005F7588"/>
    <w:rsid w:val="006005BF"/>
    <w:rsid w:val="006025DD"/>
    <w:rsid w:val="00602BB6"/>
    <w:rsid w:val="00603DB9"/>
    <w:rsid w:val="00603F8D"/>
    <w:rsid w:val="006061DD"/>
    <w:rsid w:val="00606FBA"/>
    <w:rsid w:val="00607669"/>
    <w:rsid w:val="006076F4"/>
    <w:rsid w:val="00607A4A"/>
    <w:rsid w:val="00607AFD"/>
    <w:rsid w:val="0061138F"/>
    <w:rsid w:val="00611CCC"/>
    <w:rsid w:val="00612F97"/>
    <w:rsid w:val="0061345D"/>
    <w:rsid w:val="0061449F"/>
    <w:rsid w:val="006153E4"/>
    <w:rsid w:val="0061549B"/>
    <w:rsid w:val="00615991"/>
    <w:rsid w:val="00616802"/>
    <w:rsid w:val="00617932"/>
    <w:rsid w:val="00617E12"/>
    <w:rsid w:val="00620C25"/>
    <w:rsid w:val="00621477"/>
    <w:rsid w:val="00621ADA"/>
    <w:rsid w:val="00623F7B"/>
    <w:rsid w:val="00625AB3"/>
    <w:rsid w:val="006300C9"/>
    <w:rsid w:val="00630C95"/>
    <w:rsid w:val="0063158F"/>
    <w:rsid w:val="006319D5"/>
    <w:rsid w:val="00631D6B"/>
    <w:rsid w:val="00632183"/>
    <w:rsid w:val="006330A1"/>
    <w:rsid w:val="00633ED6"/>
    <w:rsid w:val="006340A3"/>
    <w:rsid w:val="00634314"/>
    <w:rsid w:val="00634362"/>
    <w:rsid w:val="0063479F"/>
    <w:rsid w:val="006353F0"/>
    <w:rsid w:val="006357B5"/>
    <w:rsid w:val="006364A1"/>
    <w:rsid w:val="0063678E"/>
    <w:rsid w:val="006368EC"/>
    <w:rsid w:val="00636FA9"/>
    <w:rsid w:val="00637BFD"/>
    <w:rsid w:val="00640163"/>
    <w:rsid w:val="00640379"/>
    <w:rsid w:val="0064130E"/>
    <w:rsid w:val="00641C4E"/>
    <w:rsid w:val="00641FB3"/>
    <w:rsid w:val="00643A0C"/>
    <w:rsid w:val="0064434C"/>
    <w:rsid w:val="0064590F"/>
    <w:rsid w:val="00645E68"/>
    <w:rsid w:val="006471CC"/>
    <w:rsid w:val="00647A29"/>
    <w:rsid w:val="006505CD"/>
    <w:rsid w:val="0065079F"/>
    <w:rsid w:val="006517C1"/>
    <w:rsid w:val="00652784"/>
    <w:rsid w:val="00652A28"/>
    <w:rsid w:val="0065379F"/>
    <w:rsid w:val="00653CB6"/>
    <w:rsid w:val="00653F02"/>
    <w:rsid w:val="00655364"/>
    <w:rsid w:val="00655A6F"/>
    <w:rsid w:val="00656188"/>
    <w:rsid w:val="0065715A"/>
    <w:rsid w:val="00657255"/>
    <w:rsid w:val="00657B0B"/>
    <w:rsid w:val="006600E0"/>
    <w:rsid w:val="006605BA"/>
    <w:rsid w:val="006610F1"/>
    <w:rsid w:val="00661B1A"/>
    <w:rsid w:val="00661C6B"/>
    <w:rsid w:val="00664566"/>
    <w:rsid w:val="006646BE"/>
    <w:rsid w:val="006675A8"/>
    <w:rsid w:val="00667DD2"/>
    <w:rsid w:val="00671004"/>
    <w:rsid w:val="00672646"/>
    <w:rsid w:val="00674108"/>
    <w:rsid w:val="00674E42"/>
    <w:rsid w:val="006756EB"/>
    <w:rsid w:val="00675889"/>
    <w:rsid w:val="006764D0"/>
    <w:rsid w:val="00681250"/>
    <w:rsid w:val="006813F8"/>
    <w:rsid w:val="00682112"/>
    <w:rsid w:val="00682BA6"/>
    <w:rsid w:val="00683CAC"/>
    <w:rsid w:val="00685C6B"/>
    <w:rsid w:val="00686957"/>
    <w:rsid w:val="006872BA"/>
    <w:rsid w:val="00687C1E"/>
    <w:rsid w:val="00690795"/>
    <w:rsid w:val="00691648"/>
    <w:rsid w:val="006917D7"/>
    <w:rsid w:val="0069434C"/>
    <w:rsid w:val="006943B8"/>
    <w:rsid w:val="00694F44"/>
    <w:rsid w:val="00696F51"/>
    <w:rsid w:val="006979A5"/>
    <w:rsid w:val="006A0BDF"/>
    <w:rsid w:val="006A3980"/>
    <w:rsid w:val="006A40DD"/>
    <w:rsid w:val="006A4F9C"/>
    <w:rsid w:val="006A52F7"/>
    <w:rsid w:val="006A6B99"/>
    <w:rsid w:val="006A7E5F"/>
    <w:rsid w:val="006B01F1"/>
    <w:rsid w:val="006B261B"/>
    <w:rsid w:val="006B2C90"/>
    <w:rsid w:val="006B35E6"/>
    <w:rsid w:val="006B465A"/>
    <w:rsid w:val="006B581B"/>
    <w:rsid w:val="006B6694"/>
    <w:rsid w:val="006B6DD0"/>
    <w:rsid w:val="006B7CE2"/>
    <w:rsid w:val="006C0399"/>
    <w:rsid w:val="006C2A8E"/>
    <w:rsid w:val="006C3255"/>
    <w:rsid w:val="006C3F26"/>
    <w:rsid w:val="006C4982"/>
    <w:rsid w:val="006C5256"/>
    <w:rsid w:val="006C531D"/>
    <w:rsid w:val="006C62D0"/>
    <w:rsid w:val="006C6F23"/>
    <w:rsid w:val="006C73C0"/>
    <w:rsid w:val="006D01E1"/>
    <w:rsid w:val="006D0D17"/>
    <w:rsid w:val="006D23A6"/>
    <w:rsid w:val="006D3C7D"/>
    <w:rsid w:val="006D4659"/>
    <w:rsid w:val="006D5A5D"/>
    <w:rsid w:val="006D5D5F"/>
    <w:rsid w:val="006D68FB"/>
    <w:rsid w:val="006D7423"/>
    <w:rsid w:val="006E05AC"/>
    <w:rsid w:val="006E0C18"/>
    <w:rsid w:val="006E0DCE"/>
    <w:rsid w:val="006E1340"/>
    <w:rsid w:val="006E2868"/>
    <w:rsid w:val="006E6B4E"/>
    <w:rsid w:val="006F1940"/>
    <w:rsid w:val="006F2F16"/>
    <w:rsid w:val="006F306C"/>
    <w:rsid w:val="006F33A4"/>
    <w:rsid w:val="006F370D"/>
    <w:rsid w:val="006F4204"/>
    <w:rsid w:val="006F63A5"/>
    <w:rsid w:val="00700C61"/>
    <w:rsid w:val="00700CAD"/>
    <w:rsid w:val="0070142B"/>
    <w:rsid w:val="0070276E"/>
    <w:rsid w:val="00702E79"/>
    <w:rsid w:val="00702F8F"/>
    <w:rsid w:val="007061C8"/>
    <w:rsid w:val="007079FC"/>
    <w:rsid w:val="00710DE5"/>
    <w:rsid w:val="00711216"/>
    <w:rsid w:val="007115CE"/>
    <w:rsid w:val="007116A2"/>
    <w:rsid w:val="00711A36"/>
    <w:rsid w:val="00711C63"/>
    <w:rsid w:val="00711E55"/>
    <w:rsid w:val="007124AE"/>
    <w:rsid w:val="007142BC"/>
    <w:rsid w:val="00714C26"/>
    <w:rsid w:val="0071528E"/>
    <w:rsid w:val="0071529C"/>
    <w:rsid w:val="00716D57"/>
    <w:rsid w:val="007170DA"/>
    <w:rsid w:val="007172AD"/>
    <w:rsid w:val="00720208"/>
    <w:rsid w:val="00720801"/>
    <w:rsid w:val="007216C5"/>
    <w:rsid w:val="00722B1B"/>
    <w:rsid w:val="00723423"/>
    <w:rsid w:val="00723C84"/>
    <w:rsid w:val="0072416F"/>
    <w:rsid w:val="00724312"/>
    <w:rsid w:val="00724C81"/>
    <w:rsid w:val="00725651"/>
    <w:rsid w:val="00726C66"/>
    <w:rsid w:val="007272E4"/>
    <w:rsid w:val="00727C94"/>
    <w:rsid w:val="00730C3D"/>
    <w:rsid w:val="00730E3B"/>
    <w:rsid w:val="00730F30"/>
    <w:rsid w:val="00731B0A"/>
    <w:rsid w:val="00731EAE"/>
    <w:rsid w:val="00733073"/>
    <w:rsid w:val="00733372"/>
    <w:rsid w:val="00734E75"/>
    <w:rsid w:val="00735033"/>
    <w:rsid w:val="00735328"/>
    <w:rsid w:val="0073685B"/>
    <w:rsid w:val="00736E6A"/>
    <w:rsid w:val="00740B1E"/>
    <w:rsid w:val="00741413"/>
    <w:rsid w:val="007425A4"/>
    <w:rsid w:val="007426FD"/>
    <w:rsid w:val="00742BA4"/>
    <w:rsid w:val="007449BF"/>
    <w:rsid w:val="007451BF"/>
    <w:rsid w:val="00746BC0"/>
    <w:rsid w:val="0074777E"/>
    <w:rsid w:val="007510B4"/>
    <w:rsid w:val="00752142"/>
    <w:rsid w:val="007523F9"/>
    <w:rsid w:val="0075254B"/>
    <w:rsid w:val="0075357E"/>
    <w:rsid w:val="00753E70"/>
    <w:rsid w:val="00756A9E"/>
    <w:rsid w:val="007573E8"/>
    <w:rsid w:val="00760C4E"/>
    <w:rsid w:val="00760F9E"/>
    <w:rsid w:val="007619BE"/>
    <w:rsid w:val="007627BE"/>
    <w:rsid w:val="007639A6"/>
    <w:rsid w:val="007648F2"/>
    <w:rsid w:val="00764E9A"/>
    <w:rsid w:val="00764F03"/>
    <w:rsid w:val="00765B1A"/>
    <w:rsid w:val="00772A9A"/>
    <w:rsid w:val="00775C5E"/>
    <w:rsid w:val="0077718E"/>
    <w:rsid w:val="00777335"/>
    <w:rsid w:val="0078102C"/>
    <w:rsid w:val="00781058"/>
    <w:rsid w:val="007823BA"/>
    <w:rsid w:val="00783E67"/>
    <w:rsid w:val="007843F2"/>
    <w:rsid w:val="00785A9F"/>
    <w:rsid w:val="00790055"/>
    <w:rsid w:val="00790A4D"/>
    <w:rsid w:val="007925DF"/>
    <w:rsid w:val="00794948"/>
    <w:rsid w:val="00796058"/>
    <w:rsid w:val="007A08AA"/>
    <w:rsid w:val="007A0A12"/>
    <w:rsid w:val="007A0A1F"/>
    <w:rsid w:val="007A132D"/>
    <w:rsid w:val="007A1345"/>
    <w:rsid w:val="007A2883"/>
    <w:rsid w:val="007A2DDB"/>
    <w:rsid w:val="007A3AD7"/>
    <w:rsid w:val="007A70BA"/>
    <w:rsid w:val="007A7A5E"/>
    <w:rsid w:val="007B0D68"/>
    <w:rsid w:val="007B15DD"/>
    <w:rsid w:val="007B2364"/>
    <w:rsid w:val="007B24D9"/>
    <w:rsid w:val="007B251D"/>
    <w:rsid w:val="007B392F"/>
    <w:rsid w:val="007B495D"/>
    <w:rsid w:val="007B4F58"/>
    <w:rsid w:val="007B528D"/>
    <w:rsid w:val="007B5FFB"/>
    <w:rsid w:val="007B63CA"/>
    <w:rsid w:val="007B77D1"/>
    <w:rsid w:val="007B7A29"/>
    <w:rsid w:val="007C07C7"/>
    <w:rsid w:val="007C1CD9"/>
    <w:rsid w:val="007C3271"/>
    <w:rsid w:val="007C32EF"/>
    <w:rsid w:val="007C361D"/>
    <w:rsid w:val="007C3F61"/>
    <w:rsid w:val="007C4B84"/>
    <w:rsid w:val="007C4D78"/>
    <w:rsid w:val="007C62D6"/>
    <w:rsid w:val="007C70FF"/>
    <w:rsid w:val="007C7C25"/>
    <w:rsid w:val="007C7E01"/>
    <w:rsid w:val="007C7E20"/>
    <w:rsid w:val="007D004F"/>
    <w:rsid w:val="007D0B38"/>
    <w:rsid w:val="007D3585"/>
    <w:rsid w:val="007D3E21"/>
    <w:rsid w:val="007D4256"/>
    <w:rsid w:val="007D4AAF"/>
    <w:rsid w:val="007D4C26"/>
    <w:rsid w:val="007D5440"/>
    <w:rsid w:val="007D54DE"/>
    <w:rsid w:val="007D69EB"/>
    <w:rsid w:val="007E082A"/>
    <w:rsid w:val="007E0C5C"/>
    <w:rsid w:val="007E128F"/>
    <w:rsid w:val="007E381F"/>
    <w:rsid w:val="007E38CD"/>
    <w:rsid w:val="007E3AEA"/>
    <w:rsid w:val="007E47F5"/>
    <w:rsid w:val="007E5AC6"/>
    <w:rsid w:val="007F01A7"/>
    <w:rsid w:val="007F0D8E"/>
    <w:rsid w:val="007F1017"/>
    <w:rsid w:val="007F4A3F"/>
    <w:rsid w:val="007F4A61"/>
    <w:rsid w:val="007F5255"/>
    <w:rsid w:val="007F56CC"/>
    <w:rsid w:val="007F614A"/>
    <w:rsid w:val="007F61C2"/>
    <w:rsid w:val="007F655E"/>
    <w:rsid w:val="007F7721"/>
    <w:rsid w:val="007F790E"/>
    <w:rsid w:val="008021A0"/>
    <w:rsid w:val="00804489"/>
    <w:rsid w:val="00804A06"/>
    <w:rsid w:val="00805142"/>
    <w:rsid w:val="00805FCE"/>
    <w:rsid w:val="00806BBE"/>
    <w:rsid w:val="00806F7B"/>
    <w:rsid w:val="0080766C"/>
    <w:rsid w:val="00807A8B"/>
    <w:rsid w:val="00807E79"/>
    <w:rsid w:val="00811383"/>
    <w:rsid w:val="00811A94"/>
    <w:rsid w:val="00811E8D"/>
    <w:rsid w:val="00812149"/>
    <w:rsid w:val="00812CAC"/>
    <w:rsid w:val="008131A3"/>
    <w:rsid w:val="00814069"/>
    <w:rsid w:val="00815DA8"/>
    <w:rsid w:val="00816361"/>
    <w:rsid w:val="008166EF"/>
    <w:rsid w:val="00816FEF"/>
    <w:rsid w:val="00820A8C"/>
    <w:rsid w:val="00820EEC"/>
    <w:rsid w:val="008215FB"/>
    <w:rsid w:val="00822A1F"/>
    <w:rsid w:val="00823174"/>
    <w:rsid w:val="00823E15"/>
    <w:rsid w:val="0082550B"/>
    <w:rsid w:val="00825751"/>
    <w:rsid w:val="00825A56"/>
    <w:rsid w:val="00825AA5"/>
    <w:rsid w:val="008264EB"/>
    <w:rsid w:val="0082668D"/>
    <w:rsid w:val="00831A09"/>
    <w:rsid w:val="00832C71"/>
    <w:rsid w:val="00833B05"/>
    <w:rsid w:val="00834746"/>
    <w:rsid w:val="00834B93"/>
    <w:rsid w:val="008362B4"/>
    <w:rsid w:val="00840486"/>
    <w:rsid w:val="00840B27"/>
    <w:rsid w:val="00840CA2"/>
    <w:rsid w:val="008413FA"/>
    <w:rsid w:val="00841977"/>
    <w:rsid w:val="00841AB5"/>
    <w:rsid w:val="00841B21"/>
    <w:rsid w:val="0084223F"/>
    <w:rsid w:val="00843470"/>
    <w:rsid w:val="0084374F"/>
    <w:rsid w:val="008437A2"/>
    <w:rsid w:val="00843A85"/>
    <w:rsid w:val="00844A22"/>
    <w:rsid w:val="00845C87"/>
    <w:rsid w:val="00845CD7"/>
    <w:rsid w:val="00846B14"/>
    <w:rsid w:val="00846D21"/>
    <w:rsid w:val="00847516"/>
    <w:rsid w:val="00847703"/>
    <w:rsid w:val="00847DF5"/>
    <w:rsid w:val="0085309D"/>
    <w:rsid w:val="008537D7"/>
    <w:rsid w:val="00854972"/>
    <w:rsid w:val="00856897"/>
    <w:rsid w:val="008569B1"/>
    <w:rsid w:val="00856B88"/>
    <w:rsid w:val="00856E9A"/>
    <w:rsid w:val="008572A2"/>
    <w:rsid w:val="00860155"/>
    <w:rsid w:val="0086075D"/>
    <w:rsid w:val="00860BD4"/>
    <w:rsid w:val="00860FEE"/>
    <w:rsid w:val="008621F4"/>
    <w:rsid w:val="00862502"/>
    <w:rsid w:val="00862CC1"/>
    <w:rsid w:val="00864811"/>
    <w:rsid w:val="008660D4"/>
    <w:rsid w:val="008707A1"/>
    <w:rsid w:val="00871FA9"/>
    <w:rsid w:val="008728E9"/>
    <w:rsid w:val="00873361"/>
    <w:rsid w:val="00874724"/>
    <w:rsid w:val="00876991"/>
    <w:rsid w:val="008802DE"/>
    <w:rsid w:val="0088174A"/>
    <w:rsid w:val="00882874"/>
    <w:rsid w:val="00882E3C"/>
    <w:rsid w:val="00882ECA"/>
    <w:rsid w:val="00883787"/>
    <w:rsid w:val="008855E4"/>
    <w:rsid w:val="00885A0C"/>
    <w:rsid w:val="00885D68"/>
    <w:rsid w:val="00886CD2"/>
    <w:rsid w:val="00887181"/>
    <w:rsid w:val="00891847"/>
    <w:rsid w:val="00891E6F"/>
    <w:rsid w:val="00891FFF"/>
    <w:rsid w:val="0089275D"/>
    <w:rsid w:val="00892A36"/>
    <w:rsid w:val="00893239"/>
    <w:rsid w:val="008941E1"/>
    <w:rsid w:val="008942B6"/>
    <w:rsid w:val="00894489"/>
    <w:rsid w:val="008944DB"/>
    <w:rsid w:val="00895A33"/>
    <w:rsid w:val="00895B08"/>
    <w:rsid w:val="008963A5"/>
    <w:rsid w:val="00896D5D"/>
    <w:rsid w:val="008A1BB4"/>
    <w:rsid w:val="008A2953"/>
    <w:rsid w:val="008A3363"/>
    <w:rsid w:val="008A3371"/>
    <w:rsid w:val="008A3C3E"/>
    <w:rsid w:val="008A4B56"/>
    <w:rsid w:val="008A4F14"/>
    <w:rsid w:val="008A50B7"/>
    <w:rsid w:val="008A6351"/>
    <w:rsid w:val="008A6BCB"/>
    <w:rsid w:val="008A79DE"/>
    <w:rsid w:val="008B0291"/>
    <w:rsid w:val="008B1757"/>
    <w:rsid w:val="008B2311"/>
    <w:rsid w:val="008B3687"/>
    <w:rsid w:val="008B4C89"/>
    <w:rsid w:val="008B5A15"/>
    <w:rsid w:val="008B629C"/>
    <w:rsid w:val="008B7992"/>
    <w:rsid w:val="008B7D7E"/>
    <w:rsid w:val="008C2CF2"/>
    <w:rsid w:val="008C5610"/>
    <w:rsid w:val="008C5739"/>
    <w:rsid w:val="008C6B24"/>
    <w:rsid w:val="008C7ECB"/>
    <w:rsid w:val="008D3B86"/>
    <w:rsid w:val="008D4755"/>
    <w:rsid w:val="008D4C3D"/>
    <w:rsid w:val="008D68BA"/>
    <w:rsid w:val="008D743C"/>
    <w:rsid w:val="008E0193"/>
    <w:rsid w:val="008E0519"/>
    <w:rsid w:val="008E0732"/>
    <w:rsid w:val="008E0D3C"/>
    <w:rsid w:val="008E19B3"/>
    <w:rsid w:val="008E1B9E"/>
    <w:rsid w:val="008E2525"/>
    <w:rsid w:val="008E5093"/>
    <w:rsid w:val="008E55AB"/>
    <w:rsid w:val="008E5F84"/>
    <w:rsid w:val="008E6864"/>
    <w:rsid w:val="008E6E9C"/>
    <w:rsid w:val="008F06A2"/>
    <w:rsid w:val="008F120A"/>
    <w:rsid w:val="008F194C"/>
    <w:rsid w:val="008F1B6A"/>
    <w:rsid w:val="008F238A"/>
    <w:rsid w:val="008F27E0"/>
    <w:rsid w:val="008F3DAC"/>
    <w:rsid w:val="008F43A3"/>
    <w:rsid w:val="008F48EB"/>
    <w:rsid w:val="008F4AB6"/>
    <w:rsid w:val="008F4F0B"/>
    <w:rsid w:val="008F6F32"/>
    <w:rsid w:val="008F7D9F"/>
    <w:rsid w:val="009006D6"/>
    <w:rsid w:val="009008BB"/>
    <w:rsid w:val="00900D57"/>
    <w:rsid w:val="0090381F"/>
    <w:rsid w:val="009046C4"/>
    <w:rsid w:val="009062A5"/>
    <w:rsid w:val="00906300"/>
    <w:rsid w:val="00906B4E"/>
    <w:rsid w:val="00906E81"/>
    <w:rsid w:val="009102C5"/>
    <w:rsid w:val="00910AEF"/>
    <w:rsid w:val="00910FA7"/>
    <w:rsid w:val="00911272"/>
    <w:rsid w:val="009135D6"/>
    <w:rsid w:val="0091435F"/>
    <w:rsid w:val="009144F1"/>
    <w:rsid w:val="00914C77"/>
    <w:rsid w:val="00915432"/>
    <w:rsid w:val="00921ACB"/>
    <w:rsid w:val="0092369B"/>
    <w:rsid w:val="00923EAA"/>
    <w:rsid w:val="00925114"/>
    <w:rsid w:val="00930C4D"/>
    <w:rsid w:val="0093107F"/>
    <w:rsid w:val="0093109A"/>
    <w:rsid w:val="00931AB1"/>
    <w:rsid w:val="0093229C"/>
    <w:rsid w:val="00932A4F"/>
    <w:rsid w:val="00934988"/>
    <w:rsid w:val="009359C4"/>
    <w:rsid w:val="009363F9"/>
    <w:rsid w:val="00937089"/>
    <w:rsid w:val="00940D4C"/>
    <w:rsid w:val="009439A8"/>
    <w:rsid w:val="00944F8A"/>
    <w:rsid w:val="0094568B"/>
    <w:rsid w:val="00946951"/>
    <w:rsid w:val="00946F0D"/>
    <w:rsid w:val="009508BB"/>
    <w:rsid w:val="00950993"/>
    <w:rsid w:val="00950DF4"/>
    <w:rsid w:val="00950E43"/>
    <w:rsid w:val="009510A2"/>
    <w:rsid w:val="0095141D"/>
    <w:rsid w:val="00953257"/>
    <w:rsid w:val="00953E10"/>
    <w:rsid w:val="0095474C"/>
    <w:rsid w:val="00955AF5"/>
    <w:rsid w:val="00956789"/>
    <w:rsid w:val="00956949"/>
    <w:rsid w:val="0095769B"/>
    <w:rsid w:val="00960BF1"/>
    <w:rsid w:val="00961538"/>
    <w:rsid w:val="00962CB9"/>
    <w:rsid w:val="0096403A"/>
    <w:rsid w:val="00964312"/>
    <w:rsid w:val="00965B8A"/>
    <w:rsid w:val="0097069F"/>
    <w:rsid w:val="0097071F"/>
    <w:rsid w:val="009717AC"/>
    <w:rsid w:val="00971C6C"/>
    <w:rsid w:val="00974A92"/>
    <w:rsid w:val="009751C1"/>
    <w:rsid w:val="00975595"/>
    <w:rsid w:val="0097640C"/>
    <w:rsid w:val="009811F1"/>
    <w:rsid w:val="00981580"/>
    <w:rsid w:val="009815CB"/>
    <w:rsid w:val="00981917"/>
    <w:rsid w:val="00982528"/>
    <w:rsid w:val="009834A7"/>
    <w:rsid w:val="00983E57"/>
    <w:rsid w:val="00984FF9"/>
    <w:rsid w:val="00985DE2"/>
    <w:rsid w:val="0098675D"/>
    <w:rsid w:val="0098743C"/>
    <w:rsid w:val="00987D35"/>
    <w:rsid w:val="009926E0"/>
    <w:rsid w:val="0099451E"/>
    <w:rsid w:val="00996B1A"/>
    <w:rsid w:val="009974D9"/>
    <w:rsid w:val="009974E4"/>
    <w:rsid w:val="009A1DAA"/>
    <w:rsid w:val="009A2DCC"/>
    <w:rsid w:val="009A4180"/>
    <w:rsid w:val="009A5ABC"/>
    <w:rsid w:val="009A676F"/>
    <w:rsid w:val="009A7F10"/>
    <w:rsid w:val="009B14D8"/>
    <w:rsid w:val="009B1CDD"/>
    <w:rsid w:val="009B230C"/>
    <w:rsid w:val="009B3E26"/>
    <w:rsid w:val="009B3E5C"/>
    <w:rsid w:val="009B5001"/>
    <w:rsid w:val="009B5173"/>
    <w:rsid w:val="009B5EC8"/>
    <w:rsid w:val="009B6CFF"/>
    <w:rsid w:val="009C25E6"/>
    <w:rsid w:val="009C31FD"/>
    <w:rsid w:val="009C3706"/>
    <w:rsid w:val="009C3A3A"/>
    <w:rsid w:val="009C42A2"/>
    <w:rsid w:val="009C6BFC"/>
    <w:rsid w:val="009C6CEA"/>
    <w:rsid w:val="009C7453"/>
    <w:rsid w:val="009C777E"/>
    <w:rsid w:val="009C7B62"/>
    <w:rsid w:val="009C7B85"/>
    <w:rsid w:val="009D0254"/>
    <w:rsid w:val="009D10D1"/>
    <w:rsid w:val="009D14A5"/>
    <w:rsid w:val="009D1522"/>
    <w:rsid w:val="009D1A64"/>
    <w:rsid w:val="009D39FC"/>
    <w:rsid w:val="009D3B1A"/>
    <w:rsid w:val="009D5B91"/>
    <w:rsid w:val="009D773C"/>
    <w:rsid w:val="009D792E"/>
    <w:rsid w:val="009E0DFE"/>
    <w:rsid w:val="009E31F6"/>
    <w:rsid w:val="009E321F"/>
    <w:rsid w:val="009E42CD"/>
    <w:rsid w:val="009E4ACB"/>
    <w:rsid w:val="009E4C07"/>
    <w:rsid w:val="009E6BD1"/>
    <w:rsid w:val="009E7B93"/>
    <w:rsid w:val="009F010C"/>
    <w:rsid w:val="009F3B61"/>
    <w:rsid w:val="009F436B"/>
    <w:rsid w:val="009F53BC"/>
    <w:rsid w:val="009F6218"/>
    <w:rsid w:val="00A006AD"/>
    <w:rsid w:val="00A01184"/>
    <w:rsid w:val="00A01E48"/>
    <w:rsid w:val="00A02893"/>
    <w:rsid w:val="00A02AA0"/>
    <w:rsid w:val="00A035B9"/>
    <w:rsid w:val="00A037C2"/>
    <w:rsid w:val="00A038FE"/>
    <w:rsid w:val="00A03D43"/>
    <w:rsid w:val="00A04380"/>
    <w:rsid w:val="00A05472"/>
    <w:rsid w:val="00A05C32"/>
    <w:rsid w:val="00A05F5A"/>
    <w:rsid w:val="00A06366"/>
    <w:rsid w:val="00A0653F"/>
    <w:rsid w:val="00A071BF"/>
    <w:rsid w:val="00A11041"/>
    <w:rsid w:val="00A11CD0"/>
    <w:rsid w:val="00A13948"/>
    <w:rsid w:val="00A1555B"/>
    <w:rsid w:val="00A155C5"/>
    <w:rsid w:val="00A16AD8"/>
    <w:rsid w:val="00A16B8A"/>
    <w:rsid w:val="00A20219"/>
    <w:rsid w:val="00A20594"/>
    <w:rsid w:val="00A21C95"/>
    <w:rsid w:val="00A21CF3"/>
    <w:rsid w:val="00A2391D"/>
    <w:rsid w:val="00A23A5C"/>
    <w:rsid w:val="00A24813"/>
    <w:rsid w:val="00A25360"/>
    <w:rsid w:val="00A25D8F"/>
    <w:rsid w:val="00A25EA1"/>
    <w:rsid w:val="00A2752E"/>
    <w:rsid w:val="00A27AEC"/>
    <w:rsid w:val="00A31915"/>
    <w:rsid w:val="00A31ECC"/>
    <w:rsid w:val="00A32005"/>
    <w:rsid w:val="00A320DB"/>
    <w:rsid w:val="00A329E8"/>
    <w:rsid w:val="00A33CF5"/>
    <w:rsid w:val="00A33F31"/>
    <w:rsid w:val="00A35961"/>
    <w:rsid w:val="00A35D16"/>
    <w:rsid w:val="00A37BCD"/>
    <w:rsid w:val="00A41689"/>
    <w:rsid w:val="00A42592"/>
    <w:rsid w:val="00A43C59"/>
    <w:rsid w:val="00A44035"/>
    <w:rsid w:val="00A441B4"/>
    <w:rsid w:val="00A45C3B"/>
    <w:rsid w:val="00A47132"/>
    <w:rsid w:val="00A505AE"/>
    <w:rsid w:val="00A507FA"/>
    <w:rsid w:val="00A50ECD"/>
    <w:rsid w:val="00A51505"/>
    <w:rsid w:val="00A518F3"/>
    <w:rsid w:val="00A52729"/>
    <w:rsid w:val="00A53675"/>
    <w:rsid w:val="00A53A38"/>
    <w:rsid w:val="00A55590"/>
    <w:rsid w:val="00A56443"/>
    <w:rsid w:val="00A56449"/>
    <w:rsid w:val="00A564D7"/>
    <w:rsid w:val="00A56B6A"/>
    <w:rsid w:val="00A56F53"/>
    <w:rsid w:val="00A578DC"/>
    <w:rsid w:val="00A60C9F"/>
    <w:rsid w:val="00A61CE7"/>
    <w:rsid w:val="00A630A5"/>
    <w:rsid w:val="00A640E2"/>
    <w:rsid w:val="00A64D65"/>
    <w:rsid w:val="00A64EDC"/>
    <w:rsid w:val="00A64F0D"/>
    <w:rsid w:val="00A65758"/>
    <w:rsid w:val="00A65BFA"/>
    <w:rsid w:val="00A66515"/>
    <w:rsid w:val="00A67187"/>
    <w:rsid w:val="00A6725B"/>
    <w:rsid w:val="00A70605"/>
    <w:rsid w:val="00A726BA"/>
    <w:rsid w:val="00A73134"/>
    <w:rsid w:val="00A73773"/>
    <w:rsid w:val="00A7394F"/>
    <w:rsid w:val="00A745F8"/>
    <w:rsid w:val="00A75476"/>
    <w:rsid w:val="00A76001"/>
    <w:rsid w:val="00A7613E"/>
    <w:rsid w:val="00A777B2"/>
    <w:rsid w:val="00A77FED"/>
    <w:rsid w:val="00A81A13"/>
    <w:rsid w:val="00A82521"/>
    <w:rsid w:val="00A825D4"/>
    <w:rsid w:val="00A82671"/>
    <w:rsid w:val="00A828F6"/>
    <w:rsid w:val="00A82B73"/>
    <w:rsid w:val="00A85211"/>
    <w:rsid w:val="00A86E8B"/>
    <w:rsid w:val="00A87164"/>
    <w:rsid w:val="00A87313"/>
    <w:rsid w:val="00A87DE7"/>
    <w:rsid w:val="00A90833"/>
    <w:rsid w:val="00A91D6F"/>
    <w:rsid w:val="00A92AC8"/>
    <w:rsid w:val="00A93072"/>
    <w:rsid w:val="00A938BD"/>
    <w:rsid w:val="00A93953"/>
    <w:rsid w:val="00A9475E"/>
    <w:rsid w:val="00A959AC"/>
    <w:rsid w:val="00A959D8"/>
    <w:rsid w:val="00AA113D"/>
    <w:rsid w:val="00AA1B8B"/>
    <w:rsid w:val="00AA2330"/>
    <w:rsid w:val="00AA6BD5"/>
    <w:rsid w:val="00AA6BD8"/>
    <w:rsid w:val="00AA6C7D"/>
    <w:rsid w:val="00AA7FD6"/>
    <w:rsid w:val="00AB042A"/>
    <w:rsid w:val="00AB0A75"/>
    <w:rsid w:val="00AB19EF"/>
    <w:rsid w:val="00AB2D34"/>
    <w:rsid w:val="00AB3430"/>
    <w:rsid w:val="00AB37B9"/>
    <w:rsid w:val="00AB414F"/>
    <w:rsid w:val="00AB4AD1"/>
    <w:rsid w:val="00AB5BC7"/>
    <w:rsid w:val="00AB5E07"/>
    <w:rsid w:val="00AB5F7B"/>
    <w:rsid w:val="00AB6ADA"/>
    <w:rsid w:val="00AB6FA0"/>
    <w:rsid w:val="00AB7161"/>
    <w:rsid w:val="00AB7CFA"/>
    <w:rsid w:val="00AC11CA"/>
    <w:rsid w:val="00AC13C2"/>
    <w:rsid w:val="00AC1AD3"/>
    <w:rsid w:val="00AC218C"/>
    <w:rsid w:val="00AC2970"/>
    <w:rsid w:val="00AC3E47"/>
    <w:rsid w:val="00AC535C"/>
    <w:rsid w:val="00AC5B48"/>
    <w:rsid w:val="00AC618C"/>
    <w:rsid w:val="00AC64FE"/>
    <w:rsid w:val="00AC710F"/>
    <w:rsid w:val="00AD09AC"/>
    <w:rsid w:val="00AD1450"/>
    <w:rsid w:val="00AD43C2"/>
    <w:rsid w:val="00AD4D8B"/>
    <w:rsid w:val="00AD5A58"/>
    <w:rsid w:val="00AD6502"/>
    <w:rsid w:val="00AE0695"/>
    <w:rsid w:val="00AE0954"/>
    <w:rsid w:val="00AE1E9A"/>
    <w:rsid w:val="00AE3896"/>
    <w:rsid w:val="00AE3E7E"/>
    <w:rsid w:val="00AE5976"/>
    <w:rsid w:val="00AF0112"/>
    <w:rsid w:val="00AF1315"/>
    <w:rsid w:val="00AF19BF"/>
    <w:rsid w:val="00AF22C8"/>
    <w:rsid w:val="00AF2DC3"/>
    <w:rsid w:val="00AF2DDD"/>
    <w:rsid w:val="00AF517B"/>
    <w:rsid w:val="00AF55A2"/>
    <w:rsid w:val="00AF6C54"/>
    <w:rsid w:val="00AF7663"/>
    <w:rsid w:val="00AF779F"/>
    <w:rsid w:val="00AF7B27"/>
    <w:rsid w:val="00B00CA1"/>
    <w:rsid w:val="00B01619"/>
    <w:rsid w:val="00B01DFE"/>
    <w:rsid w:val="00B033E5"/>
    <w:rsid w:val="00B03A63"/>
    <w:rsid w:val="00B03F24"/>
    <w:rsid w:val="00B05156"/>
    <w:rsid w:val="00B05E1A"/>
    <w:rsid w:val="00B064F7"/>
    <w:rsid w:val="00B06BCE"/>
    <w:rsid w:val="00B07DD9"/>
    <w:rsid w:val="00B1087E"/>
    <w:rsid w:val="00B10E17"/>
    <w:rsid w:val="00B11010"/>
    <w:rsid w:val="00B11BD3"/>
    <w:rsid w:val="00B11D25"/>
    <w:rsid w:val="00B1363D"/>
    <w:rsid w:val="00B145AE"/>
    <w:rsid w:val="00B1791A"/>
    <w:rsid w:val="00B17D2E"/>
    <w:rsid w:val="00B201A4"/>
    <w:rsid w:val="00B201D1"/>
    <w:rsid w:val="00B213A6"/>
    <w:rsid w:val="00B2191D"/>
    <w:rsid w:val="00B22EE6"/>
    <w:rsid w:val="00B235B0"/>
    <w:rsid w:val="00B2364F"/>
    <w:rsid w:val="00B24766"/>
    <w:rsid w:val="00B24B79"/>
    <w:rsid w:val="00B24B9A"/>
    <w:rsid w:val="00B24DF6"/>
    <w:rsid w:val="00B25C4F"/>
    <w:rsid w:val="00B27DDB"/>
    <w:rsid w:val="00B30217"/>
    <w:rsid w:val="00B33F8B"/>
    <w:rsid w:val="00B3462F"/>
    <w:rsid w:val="00B34D8D"/>
    <w:rsid w:val="00B34FE2"/>
    <w:rsid w:val="00B35166"/>
    <w:rsid w:val="00B351D3"/>
    <w:rsid w:val="00B357D8"/>
    <w:rsid w:val="00B360F4"/>
    <w:rsid w:val="00B363C2"/>
    <w:rsid w:val="00B36A00"/>
    <w:rsid w:val="00B37BFC"/>
    <w:rsid w:val="00B4029A"/>
    <w:rsid w:val="00B40358"/>
    <w:rsid w:val="00B41614"/>
    <w:rsid w:val="00B41D76"/>
    <w:rsid w:val="00B42851"/>
    <w:rsid w:val="00B42DF9"/>
    <w:rsid w:val="00B42F80"/>
    <w:rsid w:val="00B435CB"/>
    <w:rsid w:val="00B44143"/>
    <w:rsid w:val="00B44502"/>
    <w:rsid w:val="00B4684B"/>
    <w:rsid w:val="00B50123"/>
    <w:rsid w:val="00B5015C"/>
    <w:rsid w:val="00B505C8"/>
    <w:rsid w:val="00B5096C"/>
    <w:rsid w:val="00B50DB8"/>
    <w:rsid w:val="00B51470"/>
    <w:rsid w:val="00B53654"/>
    <w:rsid w:val="00B53905"/>
    <w:rsid w:val="00B53CA2"/>
    <w:rsid w:val="00B5477A"/>
    <w:rsid w:val="00B54B5B"/>
    <w:rsid w:val="00B5562E"/>
    <w:rsid w:val="00B55D65"/>
    <w:rsid w:val="00B56545"/>
    <w:rsid w:val="00B57000"/>
    <w:rsid w:val="00B60939"/>
    <w:rsid w:val="00B60A7F"/>
    <w:rsid w:val="00B60AFD"/>
    <w:rsid w:val="00B613F2"/>
    <w:rsid w:val="00B61FC3"/>
    <w:rsid w:val="00B62159"/>
    <w:rsid w:val="00B62715"/>
    <w:rsid w:val="00B65611"/>
    <w:rsid w:val="00B678BB"/>
    <w:rsid w:val="00B7012E"/>
    <w:rsid w:val="00B70275"/>
    <w:rsid w:val="00B70D9E"/>
    <w:rsid w:val="00B70E8E"/>
    <w:rsid w:val="00B71A9F"/>
    <w:rsid w:val="00B73182"/>
    <w:rsid w:val="00B74A12"/>
    <w:rsid w:val="00B74C64"/>
    <w:rsid w:val="00B755E7"/>
    <w:rsid w:val="00B760B9"/>
    <w:rsid w:val="00B76C92"/>
    <w:rsid w:val="00B8003B"/>
    <w:rsid w:val="00B812E5"/>
    <w:rsid w:val="00B818A4"/>
    <w:rsid w:val="00B820BD"/>
    <w:rsid w:val="00B8216A"/>
    <w:rsid w:val="00B84117"/>
    <w:rsid w:val="00B858F0"/>
    <w:rsid w:val="00B85928"/>
    <w:rsid w:val="00B85AA2"/>
    <w:rsid w:val="00B85B62"/>
    <w:rsid w:val="00B8649C"/>
    <w:rsid w:val="00B8695D"/>
    <w:rsid w:val="00B87F0A"/>
    <w:rsid w:val="00B91553"/>
    <w:rsid w:val="00B91586"/>
    <w:rsid w:val="00B92C8C"/>
    <w:rsid w:val="00B92D0B"/>
    <w:rsid w:val="00B94945"/>
    <w:rsid w:val="00B94DD6"/>
    <w:rsid w:val="00B95695"/>
    <w:rsid w:val="00B95EAD"/>
    <w:rsid w:val="00B972BB"/>
    <w:rsid w:val="00BA1552"/>
    <w:rsid w:val="00BA322D"/>
    <w:rsid w:val="00BA4BE8"/>
    <w:rsid w:val="00BA58EA"/>
    <w:rsid w:val="00BA5D23"/>
    <w:rsid w:val="00BA63FA"/>
    <w:rsid w:val="00BB00B3"/>
    <w:rsid w:val="00BB0BDD"/>
    <w:rsid w:val="00BB13DC"/>
    <w:rsid w:val="00BB176C"/>
    <w:rsid w:val="00BB1D7E"/>
    <w:rsid w:val="00BB29D9"/>
    <w:rsid w:val="00BB2A73"/>
    <w:rsid w:val="00BB374A"/>
    <w:rsid w:val="00BB3A45"/>
    <w:rsid w:val="00BB4A62"/>
    <w:rsid w:val="00BB4ACC"/>
    <w:rsid w:val="00BB6B86"/>
    <w:rsid w:val="00BB703E"/>
    <w:rsid w:val="00BB732D"/>
    <w:rsid w:val="00BB7405"/>
    <w:rsid w:val="00BC27A6"/>
    <w:rsid w:val="00BC2B80"/>
    <w:rsid w:val="00BC3183"/>
    <w:rsid w:val="00BC3631"/>
    <w:rsid w:val="00BC591F"/>
    <w:rsid w:val="00BC627C"/>
    <w:rsid w:val="00BC68EC"/>
    <w:rsid w:val="00BC79D9"/>
    <w:rsid w:val="00BC7D6D"/>
    <w:rsid w:val="00BD2108"/>
    <w:rsid w:val="00BD3020"/>
    <w:rsid w:val="00BD3AAA"/>
    <w:rsid w:val="00BD4185"/>
    <w:rsid w:val="00BD4B9F"/>
    <w:rsid w:val="00BD6782"/>
    <w:rsid w:val="00BD68A3"/>
    <w:rsid w:val="00BD6938"/>
    <w:rsid w:val="00BD6CF3"/>
    <w:rsid w:val="00BE0ECA"/>
    <w:rsid w:val="00BE13E2"/>
    <w:rsid w:val="00BE2180"/>
    <w:rsid w:val="00BE21F2"/>
    <w:rsid w:val="00BE3DEF"/>
    <w:rsid w:val="00BE4275"/>
    <w:rsid w:val="00BE4951"/>
    <w:rsid w:val="00BE5D07"/>
    <w:rsid w:val="00BE6CF3"/>
    <w:rsid w:val="00BE6FBB"/>
    <w:rsid w:val="00BE7405"/>
    <w:rsid w:val="00BF06AE"/>
    <w:rsid w:val="00BF0F95"/>
    <w:rsid w:val="00BF2035"/>
    <w:rsid w:val="00BF2433"/>
    <w:rsid w:val="00BF4E7E"/>
    <w:rsid w:val="00BF5068"/>
    <w:rsid w:val="00BF5E32"/>
    <w:rsid w:val="00BF610C"/>
    <w:rsid w:val="00BF61C9"/>
    <w:rsid w:val="00BF656A"/>
    <w:rsid w:val="00BF696D"/>
    <w:rsid w:val="00BF6C21"/>
    <w:rsid w:val="00BF6C94"/>
    <w:rsid w:val="00C00424"/>
    <w:rsid w:val="00C053F7"/>
    <w:rsid w:val="00C06613"/>
    <w:rsid w:val="00C0779D"/>
    <w:rsid w:val="00C11368"/>
    <w:rsid w:val="00C113F4"/>
    <w:rsid w:val="00C1179F"/>
    <w:rsid w:val="00C124CC"/>
    <w:rsid w:val="00C12C14"/>
    <w:rsid w:val="00C132AC"/>
    <w:rsid w:val="00C142C2"/>
    <w:rsid w:val="00C1562E"/>
    <w:rsid w:val="00C15688"/>
    <w:rsid w:val="00C15F04"/>
    <w:rsid w:val="00C170ED"/>
    <w:rsid w:val="00C179B3"/>
    <w:rsid w:val="00C17E3F"/>
    <w:rsid w:val="00C200AA"/>
    <w:rsid w:val="00C2143A"/>
    <w:rsid w:val="00C21638"/>
    <w:rsid w:val="00C2163E"/>
    <w:rsid w:val="00C23388"/>
    <w:rsid w:val="00C237ED"/>
    <w:rsid w:val="00C2381F"/>
    <w:rsid w:val="00C24632"/>
    <w:rsid w:val="00C253C4"/>
    <w:rsid w:val="00C25418"/>
    <w:rsid w:val="00C25D9C"/>
    <w:rsid w:val="00C2778B"/>
    <w:rsid w:val="00C31649"/>
    <w:rsid w:val="00C323BE"/>
    <w:rsid w:val="00C3434C"/>
    <w:rsid w:val="00C347CD"/>
    <w:rsid w:val="00C36B36"/>
    <w:rsid w:val="00C375D5"/>
    <w:rsid w:val="00C40385"/>
    <w:rsid w:val="00C41768"/>
    <w:rsid w:val="00C42C7D"/>
    <w:rsid w:val="00C459A7"/>
    <w:rsid w:val="00C46B16"/>
    <w:rsid w:val="00C46B31"/>
    <w:rsid w:val="00C47010"/>
    <w:rsid w:val="00C475AA"/>
    <w:rsid w:val="00C50430"/>
    <w:rsid w:val="00C50D23"/>
    <w:rsid w:val="00C510B7"/>
    <w:rsid w:val="00C513AB"/>
    <w:rsid w:val="00C53325"/>
    <w:rsid w:val="00C53C98"/>
    <w:rsid w:val="00C549D4"/>
    <w:rsid w:val="00C55BFC"/>
    <w:rsid w:val="00C56FCF"/>
    <w:rsid w:val="00C57B6C"/>
    <w:rsid w:val="00C60703"/>
    <w:rsid w:val="00C62010"/>
    <w:rsid w:val="00C628A6"/>
    <w:rsid w:val="00C63FDA"/>
    <w:rsid w:val="00C64344"/>
    <w:rsid w:val="00C65108"/>
    <w:rsid w:val="00C6513B"/>
    <w:rsid w:val="00C6542F"/>
    <w:rsid w:val="00C65576"/>
    <w:rsid w:val="00C65761"/>
    <w:rsid w:val="00C66165"/>
    <w:rsid w:val="00C67064"/>
    <w:rsid w:val="00C7060A"/>
    <w:rsid w:val="00C7151A"/>
    <w:rsid w:val="00C717E3"/>
    <w:rsid w:val="00C71F60"/>
    <w:rsid w:val="00C72241"/>
    <w:rsid w:val="00C750C8"/>
    <w:rsid w:val="00C7560F"/>
    <w:rsid w:val="00C7606A"/>
    <w:rsid w:val="00C80A0E"/>
    <w:rsid w:val="00C8213F"/>
    <w:rsid w:val="00C82C9A"/>
    <w:rsid w:val="00C84B9C"/>
    <w:rsid w:val="00C85154"/>
    <w:rsid w:val="00C8797A"/>
    <w:rsid w:val="00C900B8"/>
    <w:rsid w:val="00C90C71"/>
    <w:rsid w:val="00C91B1C"/>
    <w:rsid w:val="00C91C89"/>
    <w:rsid w:val="00C91FD1"/>
    <w:rsid w:val="00C92C9D"/>
    <w:rsid w:val="00C92DAE"/>
    <w:rsid w:val="00C931CF"/>
    <w:rsid w:val="00C938CF"/>
    <w:rsid w:val="00C94053"/>
    <w:rsid w:val="00C946D3"/>
    <w:rsid w:val="00C9624D"/>
    <w:rsid w:val="00C969DA"/>
    <w:rsid w:val="00CA153F"/>
    <w:rsid w:val="00CA2C77"/>
    <w:rsid w:val="00CA39C0"/>
    <w:rsid w:val="00CA444F"/>
    <w:rsid w:val="00CA4E40"/>
    <w:rsid w:val="00CA5245"/>
    <w:rsid w:val="00CA71F4"/>
    <w:rsid w:val="00CA7B09"/>
    <w:rsid w:val="00CB0798"/>
    <w:rsid w:val="00CB12A5"/>
    <w:rsid w:val="00CB1CAC"/>
    <w:rsid w:val="00CB1FDD"/>
    <w:rsid w:val="00CB2F2A"/>
    <w:rsid w:val="00CB34C9"/>
    <w:rsid w:val="00CB5B1A"/>
    <w:rsid w:val="00CB6B22"/>
    <w:rsid w:val="00CB76C2"/>
    <w:rsid w:val="00CB7F5F"/>
    <w:rsid w:val="00CC1B39"/>
    <w:rsid w:val="00CC21B2"/>
    <w:rsid w:val="00CC35EA"/>
    <w:rsid w:val="00CC3848"/>
    <w:rsid w:val="00CC392B"/>
    <w:rsid w:val="00CC3BBE"/>
    <w:rsid w:val="00CC4022"/>
    <w:rsid w:val="00CC4517"/>
    <w:rsid w:val="00CC7D48"/>
    <w:rsid w:val="00CC7D84"/>
    <w:rsid w:val="00CD08EB"/>
    <w:rsid w:val="00CD3F77"/>
    <w:rsid w:val="00CD4164"/>
    <w:rsid w:val="00CD4D36"/>
    <w:rsid w:val="00CD5931"/>
    <w:rsid w:val="00CD5D4E"/>
    <w:rsid w:val="00CD6ADC"/>
    <w:rsid w:val="00CD7193"/>
    <w:rsid w:val="00CD7B6C"/>
    <w:rsid w:val="00CE02D8"/>
    <w:rsid w:val="00CE38C8"/>
    <w:rsid w:val="00CE5727"/>
    <w:rsid w:val="00CE6274"/>
    <w:rsid w:val="00CE77B6"/>
    <w:rsid w:val="00CF0C94"/>
    <w:rsid w:val="00CF1B7C"/>
    <w:rsid w:val="00CF1BBD"/>
    <w:rsid w:val="00CF2B8D"/>
    <w:rsid w:val="00CF3629"/>
    <w:rsid w:val="00CF456B"/>
    <w:rsid w:val="00CF5A22"/>
    <w:rsid w:val="00CF641E"/>
    <w:rsid w:val="00CF6CDB"/>
    <w:rsid w:val="00CF745E"/>
    <w:rsid w:val="00D0262E"/>
    <w:rsid w:val="00D02D82"/>
    <w:rsid w:val="00D0425E"/>
    <w:rsid w:val="00D042BB"/>
    <w:rsid w:val="00D0557F"/>
    <w:rsid w:val="00D05E3D"/>
    <w:rsid w:val="00D05FCF"/>
    <w:rsid w:val="00D06139"/>
    <w:rsid w:val="00D06A63"/>
    <w:rsid w:val="00D06F9B"/>
    <w:rsid w:val="00D07DE3"/>
    <w:rsid w:val="00D110BD"/>
    <w:rsid w:val="00D11B53"/>
    <w:rsid w:val="00D124CF"/>
    <w:rsid w:val="00D13675"/>
    <w:rsid w:val="00D141E1"/>
    <w:rsid w:val="00D15314"/>
    <w:rsid w:val="00D170F7"/>
    <w:rsid w:val="00D1719F"/>
    <w:rsid w:val="00D17D6C"/>
    <w:rsid w:val="00D20318"/>
    <w:rsid w:val="00D2155B"/>
    <w:rsid w:val="00D2297F"/>
    <w:rsid w:val="00D22B47"/>
    <w:rsid w:val="00D235A0"/>
    <w:rsid w:val="00D23D11"/>
    <w:rsid w:val="00D244B6"/>
    <w:rsid w:val="00D24816"/>
    <w:rsid w:val="00D25684"/>
    <w:rsid w:val="00D25711"/>
    <w:rsid w:val="00D2615C"/>
    <w:rsid w:val="00D271E8"/>
    <w:rsid w:val="00D2754D"/>
    <w:rsid w:val="00D27B27"/>
    <w:rsid w:val="00D306DB"/>
    <w:rsid w:val="00D30741"/>
    <w:rsid w:val="00D31F51"/>
    <w:rsid w:val="00D32F81"/>
    <w:rsid w:val="00D33275"/>
    <w:rsid w:val="00D33670"/>
    <w:rsid w:val="00D33912"/>
    <w:rsid w:val="00D33BE9"/>
    <w:rsid w:val="00D33F93"/>
    <w:rsid w:val="00D357FF"/>
    <w:rsid w:val="00D37522"/>
    <w:rsid w:val="00D41D74"/>
    <w:rsid w:val="00D424C7"/>
    <w:rsid w:val="00D4385B"/>
    <w:rsid w:val="00D43B2A"/>
    <w:rsid w:val="00D43D83"/>
    <w:rsid w:val="00D4537F"/>
    <w:rsid w:val="00D45C0D"/>
    <w:rsid w:val="00D46A40"/>
    <w:rsid w:val="00D47079"/>
    <w:rsid w:val="00D4733F"/>
    <w:rsid w:val="00D47575"/>
    <w:rsid w:val="00D51FB5"/>
    <w:rsid w:val="00D5243B"/>
    <w:rsid w:val="00D5245A"/>
    <w:rsid w:val="00D533EC"/>
    <w:rsid w:val="00D54883"/>
    <w:rsid w:val="00D54978"/>
    <w:rsid w:val="00D55738"/>
    <w:rsid w:val="00D56A95"/>
    <w:rsid w:val="00D57022"/>
    <w:rsid w:val="00D6076D"/>
    <w:rsid w:val="00D609C6"/>
    <w:rsid w:val="00D618EF"/>
    <w:rsid w:val="00D61907"/>
    <w:rsid w:val="00D62689"/>
    <w:rsid w:val="00D62D18"/>
    <w:rsid w:val="00D63D83"/>
    <w:rsid w:val="00D65083"/>
    <w:rsid w:val="00D702F9"/>
    <w:rsid w:val="00D70791"/>
    <w:rsid w:val="00D70E96"/>
    <w:rsid w:val="00D70F16"/>
    <w:rsid w:val="00D7269C"/>
    <w:rsid w:val="00D72F57"/>
    <w:rsid w:val="00D74A65"/>
    <w:rsid w:val="00D760B7"/>
    <w:rsid w:val="00D76A44"/>
    <w:rsid w:val="00D76C22"/>
    <w:rsid w:val="00D77E8B"/>
    <w:rsid w:val="00D80FDD"/>
    <w:rsid w:val="00D815EF"/>
    <w:rsid w:val="00D81DC9"/>
    <w:rsid w:val="00D81F26"/>
    <w:rsid w:val="00D86231"/>
    <w:rsid w:val="00D869DD"/>
    <w:rsid w:val="00D87FC2"/>
    <w:rsid w:val="00D9036F"/>
    <w:rsid w:val="00D90B30"/>
    <w:rsid w:val="00D90CF7"/>
    <w:rsid w:val="00D91923"/>
    <w:rsid w:val="00D93753"/>
    <w:rsid w:val="00D95311"/>
    <w:rsid w:val="00D97870"/>
    <w:rsid w:val="00DA1273"/>
    <w:rsid w:val="00DA2CF2"/>
    <w:rsid w:val="00DA3167"/>
    <w:rsid w:val="00DA4DC3"/>
    <w:rsid w:val="00DA5666"/>
    <w:rsid w:val="00DA5C78"/>
    <w:rsid w:val="00DA77A5"/>
    <w:rsid w:val="00DA7CF3"/>
    <w:rsid w:val="00DB35D4"/>
    <w:rsid w:val="00DB3B7B"/>
    <w:rsid w:val="00DB3DBF"/>
    <w:rsid w:val="00DB4639"/>
    <w:rsid w:val="00DB484F"/>
    <w:rsid w:val="00DB5C33"/>
    <w:rsid w:val="00DB76D9"/>
    <w:rsid w:val="00DB7F27"/>
    <w:rsid w:val="00DC04F6"/>
    <w:rsid w:val="00DC0690"/>
    <w:rsid w:val="00DC08F1"/>
    <w:rsid w:val="00DC0AC0"/>
    <w:rsid w:val="00DC1D65"/>
    <w:rsid w:val="00DC3C57"/>
    <w:rsid w:val="00DC5501"/>
    <w:rsid w:val="00DC598E"/>
    <w:rsid w:val="00DC5DC6"/>
    <w:rsid w:val="00DC626E"/>
    <w:rsid w:val="00DC7154"/>
    <w:rsid w:val="00DC7E8A"/>
    <w:rsid w:val="00DD0765"/>
    <w:rsid w:val="00DD0AFC"/>
    <w:rsid w:val="00DD0F78"/>
    <w:rsid w:val="00DD13F6"/>
    <w:rsid w:val="00DD273C"/>
    <w:rsid w:val="00DD3F28"/>
    <w:rsid w:val="00DD4537"/>
    <w:rsid w:val="00DD4C37"/>
    <w:rsid w:val="00DD4E15"/>
    <w:rsid w:val="00DD4F9F"/>
    <w:rsid w:val="00DD55A8"/>
    <w:rsid w:val="00DD5A60"/>
    <w:rsid w:val="00DD6432"/>
    <w:rsid w:val="00DD6C92"/>
    <w:rsid w:val="00DD78A4"/>
    <w:rsid w:val="00DD7BBE"/>
    <w:rsid w:val="00DE0A68"/>
    <w:rsid w:val="00DE1308"/>
    <w:rsid w:val="00DE2304"/>
    <w:rsid w:val="00DE2DEC"/>
    <w:rsid w:val="00DE3138"/>
    <w:rsid w:val="00DE37F8"/>
    <w:rsid w:val="00DE4FCB"/>
    <w:rsid w:val="00DE59D8"/>
    <w:rsid w:val="00DE5D07"/>
    <w:rsid w:val="00DE6525"/>
    <w:rsid w:val="00DE72A7"/>
    <w:rsid w:val="00DE7832"/>
    <w:rsid w:val="00DF0D67"/>
    <w:rsid w:val="00DF18FC"/>
    <w:rsid w:val="00DF1A68"/>
    <w:rsid w:val="00DF2D9C"/>
    <w:rsid w:val="00DF2E9B"/>
    <w:rsid w:val="00DF4542"/>
    <w:rsid w:val="00DF5D2B"/>
    <w:rsid w:val="00DF6C2B"/>
    <w:rsid w:val="00DF6F23"/>
    <w:rsid w:val="00E0079B"/>
    <w:rsid w:val="00E00E8E"/>
    <w:rsid w:val="00E032CA"/>
    <w:rsid w:val="00E05037"/>
    <w:rsid w:val="00E05630"/>
    <w:rsid w:val="00E0637C"/>
    <w:rsid w:val="00E06DBB"/>
    <w:rsid w:val="00E10149"/>
    <w:rsid w:val="00E11340"/>
    <w:rsid w:val="00E122A1"/>
    <w:rsid w:val="00E126D1"/>
    <w:rsid w:val="00E13438"/>
    <w:rsid w:val="00E16372"/>
    <w:rsid w:val="00E17653"/>
    <w:rsid w:val="00E17815"/>
    <w:rsid w:val="00E2016B"/>
    <w:rsid w:val="00E207F6"/>
    <w:rsid w:val="00E20E4D"/>
    <w:rsid w:val="00E20ED6"/>
    <w:rsid w:val="00E21358"/>
    <w:rsid w:val="00E2249B"/>
    <w:rsid w:val="00E22A0D"/>
    <w:rsid w:val="00E244F6"/>
    <w:rsid w:val="00E26AB3"/>
    <w:rsid w:val="00E27108"/>
    <w:rsid w:val="00E2746F"/>
    <w:rsid w:val="00E2771E"/>
    <w:rsid w:val="00E311EF"/>
    <w:rsid w:val="00E316CD"/>
    <w:rsid w:val="00E31F22"/>
    <w:rsid w:val="00E32180"/>
    <w:rsid w:val="00E330D5"/>
    <w:rsid w:val="00E337FF"/>
    <w:rsid w:val="00E34146"/>
    <w:rsid w:val="00E34948"/>
    <w:rsid w:val="00E36B7A"/>
    <w:rsid w:val="00E37569"/>
    <w:rsid w:val="00E401B2"/>
    <w:rsid w:val="00E402D4"/>
    <w:rsid w:val="00E41E30"/>
    <w:rsid w:val="00E4276E"/>
    <w:rsid w:val="00E42DC3"/>
    <w:rsid w:val="00E42F73"/>
    <w:rsid w:val="00E43D70"/>
    <w:rsid w:val="00E4540A"/>
    <w:rsid w:val="00E466F3"/>
    <w:rsid w:val="00E47B2C"/>
    <w:rsid w:val="00E50384"/>
    <w:rsid w:val="00E504BF"/>
    <w:rsid w:val="00E51560"/>
    <w:rsid w:val="00E53CDD"/>
    <w:rsid w:val="00E53FC8"/>
    <w:rsid w:val="00E54347"/>
    <w:rsid w:val="00E55424"/>
    <w:rsid w:val="00E55915"/>
    <w:rsid w:val="00E55BB5"/>
    <w:rsid w:val="00E5658A"/>
    <w:rsid w:val="00E56669"/>
    <w:rsid w:val="00E57E06"/>
    <w:rsid w:val="00E65E79"/>
    <w:rsid w:val="00E6653C"/>
    <w:rsid w:val="00E66B82"/>
    <w:rsid w:val="00E66BA2"/>
    <w:rsid w:val="00E66E6B"/>
    <w:rsid w:val="00E67416"/>
    <w:rsid w:val="00E67892"/>
    <w:rsid w:val="00E7154A"/>
    <w:rsid w:val="00E718B6"/>
    <w:rsid w:val="00E723BA"/>
    <w:rsid w:val="00E73581"/>
    <w:rsid w:val="00E815DA"/>
    <w:rsid w:val="00E817C7"/>
    <w:rsid w:val="00E81E29"/>
    <w:rsid w:val="00E833F7"/>
    <w:rsid w:val="00E83988"/>
    <w:rsid w:val="00E83BDF"/>
    <w:rsid w:val="00E83BF4"/>
    <w:rsid w:val="00E84487"/>
    <w:rsid w:val="00E8491D"/>
    <w:rsid w:val="00E85298"/>
    <w:rsid w:val="00E876A3"/>
    <w:rsid w:val="00E87A1D"/>
    <w:rsid w:val="00E9094A"/>
    <w:rsid w:val="00E90ED8"/>
    <w:rsid w:val="00E91D35"/>
    <w:rsid w:val="00E926A5"/>
    <w:rsid w:val="00E9305F"/>
    <w:rsid w:val="00E965AF"/>
    <w:rsid w:val="00EA03E2"/>
    <w:rsid w:val="00EA0F39"/>
    <w:rsid w:val="00EA17C3"/>
    <w:rsid w:val="00EA1E47"/>
    <w:rsid w:val="00EA2262"/>
    <w:rsid w:val="00EA265F"/>
    <w:rsid w:val="00EA2CAA"/>
    <w:rsid w:val="00EA3864"/>
    <w:rsid w:val="00EA4637"/>
    <w:rsid w:val="00EA5313"/>
    <w:rsid w:val="00EA5C1D"/>
    <w:rsid w:val="00EA5F9C"/>
    <w:rsid w:val="00EA6C5E"/>
    <w:rsid w:val="00EA788B"/>
    <w:rsid w:val="00EA7F1C"/>
    <w:rsid w:val="00EB0C53"/>
    <w:rsid w:val="00EB15B6"/>
    <w:rsid w:val="00EB1F6A"/>
    <w:rsid w:val="00EB33D4"/>
    <w:rsid w:val="00EB3A0E"/>
    <w:rsid w:val="00EB3D06"/>
    <w:rsid w:val="00EB4916"/>
    <w:rsid w:val="00EB4B25"/>
    <w:rsid w:val="00EB6A22"/>
    <w:rsid w:val="00EC00C9"/>
    <w:rsid w:val="00EC07B3"/>
    <w:rsid w:val="00EC0DD9"/>
    <w:rsid w:val="00EC1AD9"/>
    <w:rsid w:val="00EC2649"/>
    <w:rsid w:val="00EC31ED"/>
    <w:rsid w:val="00EC321B"/>
    <w:rsid w:val="00EC4719"/>
    <w:rsid w:val="00EC5836"/>
    <w:rsid w:val="00EC5968"/>
    <w:rsid w:val="00EC688C"/>
    <w:rsid w:val="00ED0614"/>
    <w:rsid w:val="00ED57EA"/>
    <w:rsid w:val="00ED5BD4"/>
    <w:rsid w:val="00EE07D3"/>
    <w:rsid w:val="00EE1996"/>
    <w:rsid w:val="00EE1C01"/>
    <w:rsid w:val="00EE22AF"/>
    <w:rsid w:val="00EE3094"/>
    <w:rsid w:val="00EE57A9"/>
    <w:rsid w:val="00EE6BA6"/>
    <w:rsid w:val="00EE7157"/>
    <w:rsid w:val="00EF016C"/>
    <w:rsid w:val="00EF0171"/>
    <w:rsid w:val="00EF0927"/>
    <w:rsid w:val="00EF14A5"/>
    <w:rsid w:val="00EF1B25"/>
    <w:rsid w:val="00EF1DA0"/>
    <w:rsid w:val="00EF2584"/>
    <w:rsid w:val="00EF471F"/>
    <w:rsid w:val="00EF4747"/>
    <w:rsid w:val="00EF4BF8"/>
    <w:rsid w:val="00EF68BC"/>
    <w:rsid w:val="00EF7173"/>
    <w:rsid w:val="00EF7436"/>
    <w:rsid w:val="00EF78A5"/>
    <w:rsid w:val="00F00101"/>
    <w:rsid w:val="00F0119B"/>
    <w:rsid w:val="00F01D36"/>
    <w:rsid w:val="00F02253"/>
    <w:rsid w:val="00F03C2E"/>
    <w:rsid w:val="00F04049"/>
    <w:rsid w:val="00F04A66"/>
    <w:rsid w:val="00F04B4B"/>
    <w:rsid w:val="00F0516C"/>
    <w:rsid w:val="00F0644F"/>
    <w:rsid w:val="00F067A2"/>
    <w:rsid w:val="00F07B9E"/>
    <w:rsid w:val="00F1116F"/>
    <w:rsid w:val="00F11C2C"/>
    <w:rsid w:val="00F11E70"/>
    <w:rsid w:val="00F1263A"/>
    <w:rsid w:val="00F13E45"/>
    <w:rsid w:val="00F149A9"/>
    <w:rsid w:val="00F15B77"/>
    <w:rsid w:val="00F168C5"/>
    <w:rsid w:val="00F16B13"/>
    <w:rsid w:val="00F17289"/>
    <w:rsid w:val="00F174DD"/>
    <w:rsid w:val="00F17B87"/>
    <w:rsid w:val="00F20401"/>
    <w:rsid w:val="00F21090"/>
    <w:rsid w:val="00F2168A"/>
    <w:rsid w:val="00F22418"/>
    <w:rsid w:val="00F23978"/>
    <w:rsid w:val="00F24837"/>
    <w:rsid w:val="00F2575F"/>
    <w:rsid w:val="00F262C0"/>
    <w:rsid w:val="00F270A3"/>
    <w:rsid w:val="00F27565"/>
    <w:rsid w:val="00F27C9C"/>
    <w:rsid w:val="00F310D4"/>
    <w:rsid w:val="00F312E2"/>
    <w:rsid w:val="00F31D5A"/>
    <w:rsid w:val="00F32645"/>
    <w:rsid w:val="00F334E0"/>
    <w:rsid w:val="00F33943"/>
    <w:rsid w:val="00F33975"/>
    <w:rsid w:val="00F33DE9"/>
    <w:rsid w:val="00F35E6D"/>
    <w:rsid w:val="00F3619A"/>
    <w:rsid w:val="00F40324"/>
    <w:rsid w:val="00F409FE"/>
    <w:rsid w:val="00F40AAA"/>
    <w:rsid w:val="00F40BA7"/>
    <w:rsid w:val="00F40F9D"/>
    <w:rsid w:val="00F41ACD"/>
    <w:rsid w:val="00F42BA8"/>
    <w:rsid w:val="00F42F53"/>
    <w:rsid w:val="00F44E7B"/>
    <w:rsid w:val="00F4615B"/>
    <w:rsid w:val="00F46CB6"/>
    <w:rsid w:val="00F4756D"/>
    <w:rsid w:val="00F47DE8"/>
    <w:rsid w:val="00F52A5C"/>
    <w:rsid w:val="00F53357"/>
    <w:rsid w:val="00F542C1"/>
    <w:rsid w:val="00F550AF"/>
    <w:rsid w:val="00F55E73"/>
    <w:rsid w:val="00F55EDA"/>
    <w:rsid w:val="00F56C80"/>
    <w:rsid w:val="00F571EE"/>
    <w:rsid w:val="00F60092"/>
    <w:rsid w:val="00F6119C"/>
    <w:rsid w:val="00F61C18"/>
    <w:rsid w:val="00F61F78"/>
    <w:rsid w:val="00F65F4B"/>
    <w:rsid w:val="00F66D19"/>
    <w:rsid w:val="00F670BE"/>
    <w:rsid w:val="00F67246"/>
    <w:rsid w:val="00F67A69"/>
    <w:rsid w:val="00F70BFF"/>
    <w:rsid w:val="00F70C9D"/>
    <w:rsid w:val="00F72349"/>
    <w:rsid w:val="00F72B16"/>
    <w:rsid w:val="00F74CD9"/>
    <w:rsid w:val="00F76CBA"/>
    <w:rsid w:val="00F775F8"/>
    <w:rsid w:val="00F777A5"/>
    <w:rsid w:val="00F80A7B"/>
    <w:rsid w:val="00F80E5D"/>
    <w:rsid w:val="00F81162"/>
    <w:rsid w:val="00F81E78"/>
    <w:rsid w:val="00F823DB"/>
    <w:rsid w:val="00F8245D"/>
    <w:rsid w:val="00F82B31"/>
    <w:rsid w:val="00F84F53"/>
    <w:rsid w:val="00F851CE"/>
    <w:rsid w:val="00F85B02"/>
    <w:rsid w:val="00F861E2"/>
    <w:rsid w:val="00F8640F"/>
    <w:rsid w:val="00F86DB6"/>
    <w:rsid w:val="00F87109"/>
    <w:rsid w:val="00F87277"/>
    <w:rsid w:val="00F90C1A"/>
    <w:rsid w:val="00F91219"/>
    <w:rsid w:val="00F91798"/>
    <w:rsid w:val="00F92444"/>
    <w:rsid w:val="00F9393E"/>
    <w:rsid w:val="00F94E29"/>
    <w:rsid w:val="00F96FD0"/>
    <w:rsid w:val="00F97A78"/>
    <w:rsid w:val="00F97C59"/>
    <w:rsid w:val="00FA0B20"/>
    <w:rsid w:val="00FA24E7"/>
    <w:rsid w:val="00FA3F24"/>
    <w:rsid w:val="00FA5419"/>
    <w:rsid w:val="00FA5EE6"/>
    <w:rsid w:val="00FA655F"/>
    <w:rsid w:val="00FA7956"/>
    <w:rsid w:val="00FA7CDF"/>
    <w:rsid w:val="00FB077D"/>
    <w:rsid w:val="00FB0ECE"/>
    <w:rsid w:val="00FB2FCB"/>
    <w:rsid w:val="00FB32D0"/>
    <w:rsid w:val="00FB36A0"/>
    <w:rsid w:val="00FB3A5B"/>
    <w:rsid w:val="00FB3AA1"/>
    <w:rsid w:val="00FB4081"/>
    <w:rsid w:val="00FB52C4"/>
    <w:rsid w:val="00FB614E"/>
    <w:rsid w:val="00FB7808"/>
    <w:rsid w:val="00FB7C55"/>
    <w:rsid w:val="00FB7C75"/>
    <w:rsid w:val="00FC1074"/>
    <w:rsid w:val="00FC12DA"/>
    <w:rsid w:val="00FC1884"/>
    <w:rsid w:val="00FC371D"/>
    <w:rsid w:val="00FC499C"/>
    <w:rsid w:val="00FC5F0B"/>
    <w:rsid w:val="00FD0B5B"/>
    <w:rsid w:val="00FD1046"/>
    <w:rsid w:val="00FD18BC"/>
    <w:rsid w:val="00FD2100"/>
    <w:rsid w:val="00FD2D74"/>
    <w:rsid w:val="00FD3CDD"/>
    <w:rsid w:val="00FD436C"/>
    <w:rsid w:val="00FD446D"/>
    <w:rsid w:val="00FD4C32"/>
    <w:rsid w:val="00FD4F2C"/>
    <w:rsid w:val="00FD587F"/>
    <w:rsid w:val="00FD6394"/>
    <w:rsid w:val="00FD641D"/>
    <w:rsid w:val="00FD7ED0"/>
    <w:rsid w:val="00FE0E6C"/>
    <w:rsid w:val="00FE147E"/>
    <w:rsid w:val="00FE1779"/>
    <w:rsid w:val="00FE1BA6"/>
    <w:rsid w:val="00FE1CDC"/>
    <w:rsid w:val="00FE2472"/>
    <w:rsid w:val="00FE2D41"/>
    <w:rsid w:val="00FE4286"/>
    <w:rsid w:val="00FE4BD6"/>
    <w:rsid w:val="00FE5187"/>
    <w:rsid w:val="00FE5465"/>
    <w:rsid w:val="00FE55C9"/>
    <w:rsid w:val="00FE6748"/>
    <w:rsid w:val="00FE70C3"/>
    <w:rsid w:val="00FE7205"/>
    <w:rsid w:val="00FF13B1"/>
    <w:rsid w:val="00FF20D4"/>
    <w:rsid w:val="00FF2AD9"/>
    <w:rsid w:val="00FF2BAC"/>
    <w:rsid w:val="00FF359F"/>
    <w:rsid w:val="00FF35CA"/>
    <w:rsid w:val="00FF3DCF"/>
    <w:rsid w:val="00FF3E87"/>
    <w:rsid w:val="00FF4450"/>
    <w:rsid w:val="00FF492C"/>
    <w:rsid w:val="00FF4A21"/>
    <w:rsid w:val="00FF4CF6"/>
    <w:rsid w:val="00FF5AA3"/>
    <w:rsid w:val="00FF5AD8"/>
    <w:rsid w:val="00FF5F97"/>
    <w:rsid w:val="00FF661D"/>
    <w:rsid w:val="00FF75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94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8EF"/>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Lash Style Table,PBAC table,new sty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qFormat/>
    <w:rsid w:val="00200EF8"/>
    <w:p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CC7D48"/>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CC7D48"/>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8"/>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2"/>
      </w:numPr>
      <w:contextualSpacing/>
    </w:pPr>
  </w:style>
  <w:style w:type="paragraph" w:styleId="Header">
    <w:name w:val="header"/>
    <w:aliases w:val="Page Header,Header title,he=header,cntr/bld"/>
    <w:basedOn w:val="Normal"/>
    <w:link w:val="HeaderChar"/>
    <w:uiPriority w:val="99"/>
    <w:unhideWhenUsed/>
    <w:qFormat/>
    <w:rsid w:val="00B5477A"/>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5477A"/>
    <w:rPr>
      <w:rFonts w:ascii="Calibri" w:hAnsi="Calibri" w:cs="Arial"/>
      <w:sz w:val="24"/>
      <w:szCs w:val="24"/>
    </w:rPr>
  </w:style>
  <w:style w:type="paragraph" w:styleId="Footer">
    <w:name w:val="footer"/>
    <w:basedOn w:val="Normal"/>
    <w:link w:val="FooterChar"/>
    <w:uiPriority w:val="99"/>
    <w:unhideWhenUsed/>
    <w:rsid w:val="00B5477A"/>
    <w:pPr>
      <w:tabs>
        <w:tab w:val="center" w:pos="4513"/>
        <w:tab w:val="right" w:pos="9026"/>
      </w:tabs>
    </w:pPr>
  </w:style>
  <w:style w:type="character" w:customStyle="1" w:styleId="FooterChar">
    <w:name w:val="Footer Char"/>
    <w:basedOn w:val="DefaultParagraphFont"/>
    <w:link w:val="Footer"/>
    <w:uiPriority w:val="99"/>
    <w:rsid w:val="00B5477A"/>
    <w:rPr>
      <w:rFonts w:ascii="Calibri" w:hAnsi="Calibri" w:cs="Arial"/>
      <w:sz w:val="24"/>
      <w:szCs w:val="24"/>
    </w:rPr>
  </w:style>
  <w:style w:type="paragraph" w:styleId="ListParagraph">
    <w:name w:val="List Paragraph"/>
    <w:aliases w:val="Bullet List,Table Legend,Bullet1,Bullet 1,Section 5,Numbered para,BulletPoints,Styl moj,Akapit z listą11,List Paragraph1,Bullet point,List Paragraph11,Recommendation,L,Bullet Point,Bulletr List Paragraph,Content descriptions,FooterText"/>
    <w:basedOn w:val="Normal"/>
    <w:link w:val="ListParagraphChar"/>
    <w:uiPriority w:val="34"/>
    <w:qFormat/>
    <w:rsid w:val="002B239F"/>
    <w:pPr>
      <w:ind w:left="720"/>
      <w:contextualSpacing/>
    </w:pPr>
  </w:style>
  <w:style w:type="character" w:customStyle="1" w:styleId="ListParagraphChar">
    <w:name w:val="List Paragraph Char"/>
    <w:aliases w:val="Bullet List Char,Table Legend Char,Bullet1 Char,Bullet 1 Char,Section 5 Char,Numbered para Char,BulletPoints Char,Styl moj Char,Akapit z listą11 Char,List Paragraph1 Char,Bullet point Char,List Paragraph11 Char,Recommendation Char"/>
    <w:basedOn w:val="DefaultParagraphFont"/>
    <w:link w:val="ListParagraph"/>
    <w:uiPriority w:val="34"/>
    <w:qFormat/>
    <w:locked/>
    <w:rsid w:val="002B239F"/>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9D14A5"/>
    <w:rPr>
      <w:sz w:val="16"/>
      <w:szCs w:val="16"/>
    </w:rPr>
  </w:style>
  <w:style w:type="paragraph" w:styleId="CommentText">
    <w:name w:val="annotation text"/>
    <w:basedOn w:val="Normal"/>
    <w:link w:val="CommentTextChar"/>
    <w:unhideWhenUsed/>
    <w:rsid w:val="009D14A5"/>
    <w:rPr>
      <w:sz w:val="20"/>
      <w:szCs w:val="20"/>
    </w:rPr>
  </w:style>
  <w:style w:type="character" w:customStyle="1" w:styleId="CommentTextChar">
    <w:name w:val="Comment Text Char"/>
    <w:basedOn w:val="DefaultParagraphFont"/>
    <w:link w:val="CommentText"/>
    <w:rsid w:val="009D14A5"/>
    <w:rPr>
      <w:rFonts w:ascii="Calibri" w:hAnsi="Calibri" w:cs="Arial"/>
    </w:rPr>
  </w:style>
  <w:style w:type="paragraph" w:styleId="CommentSubject">
    <w:name w:val="annotation subject"/>
    <w:basedOn w:val="CommentText"/>
    <w:next w:val="CommentText"/>
    <w:link w:val="CommentSubjectChar"/>
    <w:semiHidden/>
    <w:unhideWhenUsed/>
    <w:rsid w:val="009D14A5"/>
    <w:rPr>
      <w:b/>
      <w:bCs/>
    </w:rPr>
  </w:style>
  <w:style w:type="character" w:customStyle="1" w:styleId="CommentSubjectChar">
    <w:name w:val="Comment Subject Char"/>
    <w:basedOn w:val="CommentTextChar"/>
    <w:link w:val="CommentSubject"/>
    <w:semiHidden/>
    <w:rsid w:val="009D14A5"/>
    <w:rPr>
      <w:rFonts w:ascii="Calibri" w:hAnsi="Calibri" w:cs="Arial"/>
      <w:b/>
      <w:bCs/>
    </w:rPr>
  </w:style>
  <w:style w:type="paragraph" w:customStyle="1" w:styleId="Default">
    <w:name w:val="Default"/>
    <w:rsid w:val="00B05156"/>
    <w:pPr>
      <w:autoSpaceDE w:val="0"/>
      <w:autoSpaceDN w:val="0"/>
      <w:adjustRightInd w:val="0"/>
    </w:pPr>
    <w:rPr>
      <w:rFonts w:ascii="Calibri" w:hAnsi="Calibri" w:cs="Calibri"/>
      <w:color w:val="000000"/>
      <w:sz w:val="24"/>
      <w:szCs w:val="24"/>
    </w:rPr>
  </w:style>
  <w:style w:type="paragraph" w:styleId="Caption">
    <w:name w:val="caption"/>
    <w:aliases w:val="Caption Char1,Caption Char Char,Figure heading,legend,Lengende,表タイトル,Caption PRIMA,Caption SYNEVi,Bayer Caption,IB Caption,Medical Caption,Bayer,Bayer Caption1,IB Caption1,Medical Caption1,Bayer Caption2,IB Caption2,Medical Caption2"/>
    <w:basedOn w:val="TableFigureCaption"/>
    <w:next w:val="Normal"/>
    <w:link w:val="CaptionChar"/>
    <w:uiPriority w:val="35"/>
    <w:qFormat/>
    <w:rsid w:val="00CC7D48"/>
  </w:style>
  <w:style w:type="character" w:customStyle="1" w:styleId="CaptionChar">
    <w:name w:val="Caption Char"/>
    <w:aliases w:val="Caption Char1 Char,Caption Char Char Char,Figure heading Char,legend Char,Lengende Char,表タイトル Char,Caption PRIMA Char,Caption SYNEVi Char,Bayer Caption Char,IB Caption Char,Medical Caption Char,Bayer Char,Bayer Caption1 Char"/>
    <w:link w:val="Caption"/>
    <w:uiPriority w:val="35"/>
    <w:rsid w:val="00CC7D48"/>
    <w:rPr>
      <w:rFonts w:ascii="Arial Narrow" w:eastAsiaTheme="majorEastAsia" w:hAnsi="Arial Narrow" w:cstheme="majorBidi"/>
      <w:b/>
      <w:bCs/>
      <w:szCs w:val="24"/>
    </w:rPr>
  </w:style>
  <w:style w:type="paragraph" w:customStyle="1" w:styleId="TableParagraph">
    <w:name w:val="Table Paragraph"/>
    <w:basedOn w:val="Normal"/>
    <w:uiPriority w:val="1"/>
    <w:qFormat/>
    <w:rsid w:val="0084223F"/>
    <w:pPr>
      <w:widowControl w:val="0"/>
      <w:jc w:val="left"/>
    </w:pPr>
    <w:rPr>
      <w:rFonts w:asciiTheme="minorHAnsi" w:eastAsiaTheme="minorHAnsi" w:hAnsiTheme="minorHAnsi" w:cstheme="minorBidi"/>
      <w:sz w:val="22"/>
      <w:szCs w:val="22"/>
      <w:lang w:val="en-US" w:eastAsia="en-US"/>
    </w:rPr>
  </w:style>
  <w:style w:type="paragraph" w:customStyle="1" w:styleId="TableHeading">
    <w:name w:val="Table Heading"/>
    <w:basedOn w:val="Normal"/>
    <w:link w:val="TableHeadingChar"/>
    <w:autoRedefine/>
    <w:qFormat/>
    <w:rsid w:val="00221DAD"/>
    <w:pPr>
      <w:keepNext/>
    </w:pPr>
    <w:rPr>
      <w:rFonts w:ascii="Arial Narrow" w:eastAsiaTheme="minorHAnsi" w:hAnsi="Arial Narrow" w:cstheme="minorBidi"/>
      <w:b/>
      <w:sz w:val="20"/>
      <w:szCs w:val="20"/>
      <w:lang w:eastAsia="en-US"/>
    </w:rPr>
  </w:style>
  <w:style w:type="character" w:customStyle="1" w:styleId="TableHeadingChar">
    <w:name w:val="Table Heading Char"/>
    <w:link w:val="TableHeading"/>
    <w:rsid w:val="00221DAD"/>
    <w:rPr>
      <w:rFonts w:ascii="Arial Narrow" w:eastAsiaTheme="minorHAnsi" w:hAnsi="Arial Narrow" w:cstheme="minorBidi"/>
      <w:b/>
      <w:lang w:eastAsia="en-US"/>
    </w:rPr>
  </w:style>
  <w:style w:type="paragraph" w:customStyle="1" w:styleId="TableText0">
    <w:name w:val="TableText"/>
    <w:link w:val="TableTextChar0"/>
    <w:uiPriority w:val="99"/>
    <w:qFormat/>
    <w:rsid w:val="004508B9"/>
    <w:pPr>
      <w:spacing w:before="60" w:after="60"/>
    </w:pPr>
    <w:rPr>
      <w:rFonts w:ascii="Arial Narrow" w:eastAsia="Arial" w:hAnsi="Arial Narrow" w:cs="Arial"/>
      <w:sz w:val="18"/>
      <w:szCs w:val="18"/>
      <w:lang w:val="en-US" w:eastAsia="en-US"/>
    </w:rPr>
  </w:style>
  <w:style w:type="character" w:customStyle="1" w:styleId="TableTextChar0">
    <w:name w:val="TableText Char"/>
    <w:link w:val="TableText0"/>
    <w:uiPriority w:val="99"/>
    <w:rsid w:val="004508B9"/>
    <w:rPr>
      <w:rFonts w:ascii="Arial Narrow" w:eastAsia="Arial" w:hAnsi="Arial Narrow" w:cs="Arial"/>
      <w:sz w:val="18"/>
      <w:szCs w:val="18"/>
      <w:lang w:val="en-US" w:eastAsia="en-US"/>
    </w:rPr>
  </w:style>
  <w:style w:type="paragraph" w:customStyle="1" w:styleId="Section">
    <w:name w:val="Section"/>
    <w:basedOn w:val="Normal"/>
    <w:rsid w:val="004508B9"/>
    <w:pPr>
      <w:keepNext/>
      <w:tabs>
        <w:tab w:val="right" w:pos="9000"/>
      </w:tabs>
      <w:spacing w:after="160" w:line="259" w:lineRule="auto"/>
      <w:jc w:val="left"/>
      <w:outlineLvl w:val="0"/>
    </w:pPr>
    <w:rPr>
      <w:rFonts w:ascii="Arial Bold" w:eastAsiaTheme="minorHAnsi" w:hAnsi="Arial Bold" w:cstheme="minorBidi"/>
      <w:b/>
      <w:caps/>
      <w:sz w:val="32"/>
      <w:szCs w:val="32"/>
      <w:lang w:eastAsia="en-US"/>
    </w:rPr>
  </w:style>
  <w:style w:type="paragraph" w:customStyle="1" w:styleId="headinganchor">
    <w:name w:val="headinganchor"/>
    <w:basedOn w:val="Normal"/>
    <w:rsid w:val="004508B9"/>
    <w:pPr>
      <w:spacing w:before="100" w:beforeAutospacing="1" w:after="100" w:afterAutospacing="1"/>
      <w:jc w:val="left"/>
    </w:pPr>
    <w:rPr>
      <w:rFonts w:ascii="Times New Roman" w:hAnsi="Times New Roman" w:cs="Times New Roman"/>
    </w:rPr>
  </w:style>
  <w:style w:type="character" w:customStyle="1" w:styleId="h2">
    <w:name w:val="h2"/>
    <w:basedOn w:val="DefaultParagraphFont"/>
    <w:rsid w:val="004508B9"/>
  </w:style>
  <w:style w:type="character" w:customStyle="1" w:styleId="headingendmark">
    <w:name w:val="headingendmark"/>
    <w:basedOn w:val="DefaultParagraphFont"/>
    <w:rsid w:val="004508B9"/>
  </w:style>
  <w:style w:type="paragraph" w:styleId="NormalWeb">
    <w:name w:val="Normal (Web)"/>
    <w:basedOn w:val="Normal"/>
    <w:uiPriority w:val="99"/>
    <w:unhideWhenUsed/>
    <w:rsid w:val="004508B9"/>
    <w:pPr>
      <w:spacing w:before="100" w:beforeAutospacing="1" w:after="100" w:afterAutospacing="1"/>
      <w:jc w:val="left"/>
    </w:pPr>
    <w:rPr>
      <w:rFonts w:ascii="Times New Roman" w:hAnsi="Times New Roman" w:cs="Times New Roman"/>
    </w:rPr>
  </w:style>
  <w:style w:type="paragraph" w:customStyle="1" w:styleId="TableFooter">
    <w:name w:val="Table Footer"/>
    <w:basedOn w:val="Normal"/>
    <w:link w:val="TableFooterChar"/>
    <w:qFormat/>
    <w:rsid w:val="004508B9"/>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4508B9"/>
    <w:rPr>
      <w:rFonts w:ascii="Arial Narrow" w:hAnsi="Arial Narrow" w:cs="Arial"/>
      <w:snapToGrid w:val="0"/>
      <w:sz w:val="18"/>
      <w:szCs w:val="22"/>
      <w:lang w:eastAsia="en-US"/>
    </w:rPr>
  </w:style>
  <w:style w:type="paragraph" w:styleId="BodyText">
    <w:name w:val="Body Text"/>
    <w:basedOn w:val="Normal"/>
    <w:link w:val="BodyTextChar"/>
    <w:uiPriority w:val="1"/>
    <w:qFormat/>
    <w:rsid w:val="004508B9"/>
    <w:pPr>
      <w:autoSpaceDE w:val="0"/>
      <w:autoSpaceDN w:val="0"/>
      <w:adjustRightInd w:val="0"/>
      <w:jc w:val="left"/>
    </w:pPr>
    <w:rPr>
      <w:rFonts w:ascii="Times New Roman" w:hAnsi="Times New Roman" w:cs="Times New Roman"/>
      <w:b/>
      <w:bCs/>
    </w:rPr>
  </w:style>
  <w:style w:type="character" w:customStyle="1" w:styleId="BodyTextChar">
    <w:name w:val="Body Text Char"/>
    <w:basedOn w:val="DefaultParagraphFont"/>
    <w:link w:val="BodyText"/>
    <w:uiPriority w:val="1"/>
    <w:rsid w:val="004508B9"/>
    <w:rPr>
      <w:b/>
      <w:bCs/>
      <w:sz w:val="24"/>
      <w:szCs w:val="24"/>
    </w:rPr>
  </w:style>
  <w:style w:type="paragraph" w:customStyle="1" w:styleId="MainBodyText">
    <w:name w:val="Main Body Text"/>
    <w:basedOn w:val="Normal"/>
    <w:link w:val="MainBodyTextChar"/>
    <w:rsid w:val="004508B9"/>
    <w:pPr>
      <w:spacing w:after="200" w:line="276" w:lineRule="auto"/>
    </w:pPr>
    <w:rPr>
      <w:rFonts w:ascii="Arial" w:eastAsia="TimesNewRoman" w:hAnsi="Arial" w:cs="Times New Roman"/>
      <w:sz w:val="22"/>
      <w:szCs w:val="22"/>
    </w:rPr>
  </w:style>
  <w:style w:type="character" w:customStyle="1" w:styleId="MainBodyTextChar">
    <w:name w:val="Main Body Text Char"/>
    <w:link w:val="MainBodyText"/>
    <w:rsid w:val="004508B9"/>
    <w:rPr>
      <w:rFonts w:ascii="Arial" w:eastAsia="TimesNewRoman" w:hAnsi="Arial"/>
      <w:sz w:val="22"/>
      <w:szCs w:val="22"/>
    </w:rPr>
  </w:style>
  <w:style w:type="character" w:styleId="Strong">
    <w:name w:val="Strong"/>
    <w:basedOn w:val="DefaultParagraphFont"/>
    <w:uiPriority w:val="22"/>
    <w:qFormat/>
    <w:rsid w:val="004508B9"/>
    <w:rPr>
      <w:b/>
      <w:bCs/>
    </w:rPr>
  </w:style>
  <w:style w:type="character" w:customStyle="1" w:styleId="a">
    <w:name w:val="_"/>
    <w:basedOn w:val="DefaultParagraphFont"/>
    <w:rsid w:val="004508B9"/>
  </w:style>
  <w:style w:type="paragraph" w:customStyle="1" w:styleId="Tabletext1">
    <w:name w:val="Table text"/>
    <w:basedOn w:val="Normal"/>
    <w:link w:val="TabletextChar1"/>
    <w:uiPriority w:val="99"/>
    <w:qFormat/>
    <w:rsid w:val="004508B9"/>
    <w:pPr>
      <w:jc w:val="left"/>
    </w:pPr>
    <w:rPr>
      <w:rFonts w:ascii="Arial Narrow" w:hAnsi="Arial Narrow" w:cs="Times New Roman"/>
      <w:sz w:val="20"/>
      <w:szCs w:val="22"/>
      <w:lang w:eastAsia="en-US"/>
    </w:rPr>
  </w:style>
  <w:style w:type="character" w:customStyle="1" w:styleId="TabletextChar1">
    <w:name w:val="Table text Char"/>
    <w:link w:val="Tabletext1"/>
    <w:uiPriority w:val="99"/>
    <w:rsid w:val="004508B9"/>
    <w:rPr>
      <w:rFonts w:ascii="Arial Narrow" w:hAnsi="Arial Narrow"/>
      <w:szCs w:val="22"/>
      <w:lang w:eastAsia="en-US"/>
    </w:rPr>
  </w:style>
  <w:style w:type="paragraph" w:customStyle="1" w:styleId="TableFootnotetext">
    <w:name w:val="Table Footnote text"/>
    <w:basedOn w:val="Normal"/>
    <w:autoRedefine/>
    <w:unhideWhenUsed/>
    <w:qFormat/>
    <w:rsid w:val="004508B9"/>
    <w:pPr>
      <w:spacing w:after="240"/>
      <w:contextualSpacing/>
      <w:jc w:val="left"/>
    </w:pPr>
    <w:rPr>
      <w:rFonts w:ascii="Arial Narrow" w:hAnsi="Arial Narrow" w:cstheme="minorHAnsi"/>
      <w:sz w:val="18"/>
      <w:szCs w:val="18"/>
      <w:lang w:eastAsia="en-US"/>
    </w:rPr>
  </w:style>
  <w:style w:type="character" w:customStyle="1" w:styleId="FootnoteTextChar">
    <w:name w:val="Footnote Text Char"/>
    <w:basedOn w:val="DefaultParagraphFont"/>
    <w:link w:val="FootnoteText"/>
    <w:uiPriority w:val="99"/>
    <w:semiHidden/>
    <w:rsid w:val="004508B9"/>
    <w:rPr>
      <w:rFonts w:eastAsiaTheme="minorHAnsi"/>
      <w:lang w:eastAsia="en-US"/>
    </w:rPr>
  </w:style>
  <w:style w:type="paragraph" w:styleId="FootnoteText">
    <w:name w:val="footnote text"/>
    <w:basedOn w:val="Normal"/>
    <w:link w:val="FootnoteTextChar"/>
    <w:uiPriority w:val="99"/>
    <w:semiHidden/>
    <w:unhideWhenUsed/>
    <w:rsid w:val="004508B9"/>
    <w:pPr>
      <w:jc w:val="left"/>
    </w:pPr>
    <w:rPr>
      <w:rFonts w:ascii="Times New Roman" w:eastAsiaTheme="minorHAnsi" w:hAnsi="Times New Roman" w:cs="Times New Roman"/>
      <w:sz w:val="20"/>
      <w:szCs w:val="20"/>
      <w:lang w:eastAsia="en-US"/>
    </w:rPr>
  </w:style>
  <w:style w:type="paragraph" w:customStyle="1" w:styleId="TableHeading0">
    <w:name w:val="TableHeading"/>
    <w:basedOn w:val="BodyText"/>
    <w:qFormat/>
    <w:rsid w:val="00CF745E"/>
    <w:pPr>
      <w:autoSpaceDE/>
      <w:autoSpaceDN/>
      <w:adjustRightInd/>
      <w:spacing w:before="60" w:after="60"/>
    </w:pPr>
    <w:rPr>
      <w:rFonts w:ascii="Arial" w:eastAsia="TimesNewRoman" w:hAnsi="Arial"/>
      <w:bCs w:val="0"/>
      <w:sz w:val="18"/>
      <w:szCs w:val="22"/>
    </w:rPr>
  </w:style>
  <w:style w:type="paragraph" w:customStyle="1" w:styleId="TableCaption">
    <w:name w:val="TableCaption"/>
    <w:basedOn w:val="Caption"/>
    <w:next w:val="MainBodyText"/>
    <w:qFormat/>
    <w:rsid w:val="00CF745E"/>
  </w:style>
  <w:style w:type="character" w:styleId="FootnoteReference">
    <w:name w:val="footnote reference"/>
    <w:basedOn w:val="DefaultParagraphFont"/>
    <w:uiPriority w:val="99"/>
    <w:semiHidden/>
    <w:unhideWhenUsed/>
    <w:rsid w:val="000311C5"/>
    <w:rPr>
      <w:vertAlign w:val="superscript"/>
    </w:rPr>
  </w:style>
  <w:style w:type="table" w:customStyle="1" w:styleId="TableGrid1">
    <w:name w:val="Table Grid1"/>
    <w:basedOn w:val="TableNormal"/>
    <w:next w:val="TableGrid"/>
    <w:uiPriority w:val="39"/>
    <w:rsid w:val="000311C5"/>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046F6F"/>
    <w:pPr>
      <w:autoSpaceDE w:val="0"/>
      <w:autoSpaceDN w:val="0"/>
      <w:adjustRightInd w:val="0"/>
      <w:spacing w:line="184" w:lineRule="exact"/>
      <w:ind w:left="99"/>
      <w:jc w:val="left"/>
    </w:pPr>
    <w:rPr>
      <w:rFonts w:ascii="Times New Roman" w:hAnsi="Times New Roman" w:cs="Times New Roman"/>
      <w:b/>
      <w:bCs/>
    </w:rPr>
  </w:style>
  <w:style w:type="character" w:customStyle="1" w:styleId="TitleChar">
    <w:name w:val="Title Char"/>
    <w:basedOn w:val="DefaultParagraphFont"/>
    <w:link w:val="Title"/>
    <w:uiPriority w:val="1"/>
    <w:rsid w:val="00046F6F"/>
    <w:rPr>
      <w:b/>
      <w:bCs/>
      <w:sz w:val="24"/>
      <w:szCs w:val="24"/>
    </w:rPr>
  </w:style>
  <w:style w:type="paragraph" w:customStyle="1" w:styleId="PBACHeading1">
    <w:name w:val="PBAC Heading 1"/>
    <w:qFormat/>
    <w:rsid w:val="004358EF"/>
    <w:pPr>
      <w:ind w:left="720" w:hanging="720"/>
      <w:outlineLvl w:val="0"/>
    </w:pPr>
    <w:rPr>
      <w:rFonts w:ascii="Calibri" w:hAnsi="Calibri" w:cs="Calibri"/>
      <w:b/>
      <w:snapToGrid w:val="0"/>
      <w:sz w:val="32"/>
      <w:szCs w:val="32"/>
      <w:lang w:eastAsia="en-US"/>
    </w:rPr>
  </w:style>
  <w:style w:type="paragraph" w:styleId="Subtitle">
    <w:name w:val="Subtitle"/>
    <w:basedOn w:val="Normal"/>
    <w:link w:val="SubtitleChar"/>
    <w:qFormat/>
    <w:rsid w:val="00D170F7"/>
    <w:rPr>
      <w:rFonts w:ascii="Times New Roman" w:hAnsi="Times New Roman" w:cs="Times New Roman"/>
      <w:b/>
      <w:szCs w:val="20"/>
    </w:rPr>
  </w:style>
  <w:style w:type="character" w:customStyle="1" w:styleId="SubtitleChar">
    <w:name w:val="Subtitle Char"/>
    <w:basedOn w:val="DefaultParagraphFont"/>
    <w:link w:val="Subtitle"/>
    <w:rsid w:val="00D170F7"/>
    <w:rPr>
      <w:b/>
      <w:sz w:val="24"/>
    </w:rPr>
  </w:style>
  <w:style w:type="paragraph" w:customStyle="1" w:styleId="1MainTitle">
    <w:name w:val="1. Main Title"/>
    <w:basedOn w:val="Title"/>
    <w:link w:val="1MainTitleChar"/>
    <w:qFormat/>
    <w:rsid w:val="00592FA5"/>
    <w:pPr>
      <w:autoSpaceDE/>
      <w:autoSpaceDN/>
      <w:adjustRightInd/>
      <w:spacing w:before="120" w:after="160" w:line="240" w:lineRule="auto"/>
      <w:ind w:left="720" w:hanging="720"/>
      <w:contextualSpacing/>
      <w:jc w:val="both"/>
      <w:outlineLvl w:val="0"/>
    </w:pPr>
    <w:rPr>
      <w:rFonts w:asciiTheme="minorHAnsi" w:eastAsiaTheme="majorEastAsia" w:hAnsiTheme="minorHAnsi" w:cstheme="majorBidi"/>
      <w:bCs w:val="0"/>
      <w:spacing w:val="5"/>
      <w:kern w:val="28"/>
      <w:sz w:val="36"/>
      <w:szCs w:val="36"/>
    </w:rPr>
  </w:style>
  <w:style w:type="character" w:customStyle="1" w:styleId="1MainTitleChar">
    <w:name w:val="1. Main Title Char"/>
    <w:basedOn w:val="TitleChar"/>
    <w:link w:val="1MainTitle"/>
    <w:rsid w:val="00592FA5"/>
    <w:rPr>
      <w:rFonts w:asciiTheme="minorHAnsi" w:eastAsiaTheme="majorEastAsia" w:hAnsiTheme="minorHAnsi" w:cstheme="majorBidi"/>
      <w:b/>
      <w:bCs w:val="0"/>
      <w:spacing w:val="5"/>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4822">
      <w:bodyDiv w:val="1"/>
      <w:marLeft w:val="0"/>
      <w:marRight w:val="0"/>
      <w:marTop w:val="0"/>
      <w:marBottom w:val="0"/>
      <w:divBdr>
        <w:top w:val="none" w:sz="0" w:space="0" w:color="auto"/>
        <w:left w:val="none" w:sz="0" w:space="0" w:color="auto"/>
        <w:bottom w:val="none" w:sz="0" w:space="0" w:color="auto"/>
        <w:right w:val="none" w:sz="0" w:space="0" w:color="auto"/>
      </w:divBdr>
    </w:div>
    <w:div w:id="9923070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705803">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7716956">
      <w:bodyDiv w:val="1"/>
      <w:marLeft w:val="0"/>
      <w:marRight w:val="0"/>
      <w:marTop w:val="0"/>
      <w:marBottom w:val="0"/>
      <w:divBdr>
        <w:top w:val="none" w:sz="0" w:space="0" w:color="auto"/>
        <w:left w:val="none" w:sz="0" w:space="0" w:color="auto"/>
        <w:bottom w:val="none" w:sz="0" w:space="0" w:color="auto"/>
        <w:right w:val="none" w:sz="0" w:space="0" w:color="auto"/>
      </w:divBdr>
    </w:div>
    <w:div w:id="2941466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84069864">
      <w:bodyDiv w:val="1"/>
      <w:marLeft w:val="0"/>
      <w:marRight w:val="0"/>
      <w:marTop w:val="0"/>
      <w:marBottom w:val="0"/>
      <w:divBdr>
        <w:top w:val="none" w:sz="0" w:space="0" w:color="auto"/>
        <w:left w:val="none" w:sz="0" w:space="0" w:color="auto"/>
        <w:bottom w:val="none" w:sz="0" w:space="0" w:color="auto"/>
        <w:right w:val="none" w:sz="0" w:space="0" w:color="auto"/>
      </w:divBdr>
    </w:div>
    <w:div w:id="610404781">
      <w:bodyDiv w:val="1"/>
      <w:marLeft w:val="0"/>
      <w:marRight w:val="0"/>
      <w:marTop w:val="0"/>
      <w:marBottom w:val="0"/>
      <w:divBdr>
        <w:top w:val="none" w:sz="0" w:space="0" w:color="auto"/>
        <w:left w:val="none" w:sz="0" w:space="0" w:color="auto"/>
        <w:bottom w:val="none" w:sz="0" w:space="0" w:color="auto"/>
        <w:right w:val="none" w:sz="0" w:space="0" w:color="auto"/>
      </w:divBdr>
      <w:divsChild>
        <w:div w:id="634602417">
          <w:marLeft w:val="-90"/>
          <w:marRight w:val="90"/>
          <w:marTop w:val="0"/>
          <w:marBottom w:val="0"/>
          <w:divBdr>
            <w:top w:val="none" w:sz="0" w:space="0" w:color="auto"/>
            <w:left w:val="none" w:sz="0" w:space="0" w:color="auto"/>
            <w:bottom w:val="none" w:sz="0" w:space="0" w:color="auto"/>
            <w:right w:val="none" w:sz="0" w:space="0" w:color="auto"/>
          </w:divBdr>
          <w:divsChild>
            <w:div w:id="630087874">
              <w:marLeft w:val="-60"/>
              <w:marRight w:val="-60"/>
              <w:marTop w:val="0"/>
              <w:marBottom w:val="0"/>
              <w:divBdr>
                <w:top w:val="none" w:sz="0" w:space="0" w:color="auto"/>
                <w:left w:val="none" w:sz="0" w:space="0" w:color="auto"/>
                <w:bottom w:val="none" w:sz="0" w:space="0" w:color="auto"/>
                <w:right w:val="none" w:sz="0" w:space="0" w:color="auto"/>
              </w:divBdr>
            </w:div>
          </w:divsChild>
        </w:div>
        <w:div w:id="645934574">
          <w:marLeft w:val="0"/>
          <w:marRight w:val="0"/>
          <w:marTop w:val="0"/>
          <w:marBottom w:val="0"/>
          <w:divBdr>
            <w:top w:val="none" w:sz="0" w:space="0" w:color="auto"/>
            <w:left w:val="none" w:sz="0" w:space="0" w:color="auto"/>
            <w:bottom w:val="none" w:sz="0" w:space="0" w:color="auto"/>
            <w:right w:val="none" w:sz="0" w:space="0" w:color="auto"/>
          </w:divBdr>
          <w:divsChild>
            <w:div w:id="250240768">
              <w:marLeft w:val="0"/>
              <w:marRight w:val="0"/>
              <w:marTop w:val="0"/>
              <w:marBottom w:val="0"/>
              <w:divBdr>
                <w:top w:val="none" w:sz="0" w:space="0" w:color="auto"/>
                <w:left w:val="none" w:sz="0" w:space="0" w:color="auto"/>
                <w:bottom w:val="none" w:sz="0" w:space="0" w:color="auto"/>
                <w:right w:val="none" w:sz="0" w:space="0" w:color="auto"/>
              </w:divBdr>
              <w:divsChild>
                <w:div w:id="21302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81191">
      <w:bodyDiv w:val="1"/>
      <w:marLeft w:val="0"/>
      <w:marRight w:val="0"/>
      <w:marTop w:val="0"/>
      <w:marBottom w:val="0"/>
      <w:divBdr>
        <w:top w:val="none" w:sz="0" w:space="0" w:color="auto"/>
        <w:left w:val="none" w:sz="0" w:space="0" w:color="auto"/>
        <w:bottom w:val="none" w:sz="0" w:space="0" w:color="auto"/>
        <w:right w:val="none" w:sz="0" w:space="0" w:color="auto"/>
      </w:divBdr>
    </w:div>
    <w:div w:id="730932827">
      <w:bodyDiv w:val="1"/>
      <w:marLeft w:val="0"/>
      <w:marRight w:val="0"/>
      <w:marTop w:val="0"/>
      <w:marBottom w:val="0"/>
      <w:divBdr>
        <w:top w:val="none" w:sz="0" w:space="0" w:color="auto"/>
        <w:left w:val="none" w:sz="0" w:space="0" w:color="auto"/>
        <w:bottom w:val="none" w:sz="0" w:space="0" w:color="auto"/>
        <w:right w:val="none" w:sz="0" w:space="0" w:color="auto"/>
      </w:divBdr>
      <w:divsChild>
        <w:div w:id="755129899">
          <w:marLeft w:val="360"/>
          <w:marRight w:val="0"/>
          <w:marTop w:val="200"/>
          <w:marBottom w:val="0"/>
          <w:divBdr>
            <w:top w:val="none" w:sz="0" w:space="0" w:color="auto"/>
            <w:left w:val="none" w:sz="0" w:space="0" w:color="auto"/>
            <w:bottom w:val="none" w:sz="0" w:space="0" w:color="auto"/>
            <w:right w:val="none" w:sz="0" w:space="0" w:color="auto"/>
          </w:divBdr>
        </w:div>
      </w:divsChild>
    </w:div>
    <w:div w:id="793327458">
      <w:bodyDiv w:val="1"/>
      <w:marLeft w:val="0"/>
      <w:marRight w:val="0"/>
      <w:marTop w:val="0"/>
      <w:marBottom w:val="0"/>
      <w:divBdr>
        <w:top w:val="none" w:sz="0" w:space="0" w:color="auto"/>
        <w:left w:val="none" w:sz="0" w:space="0" w:color="auto"/>
        <w:bottom w:val="none" w:sz="0" w:space="0" w:color="auto"/>
        <w:right w:val="none" w:sz="0" w:space="0" w:color="auto"/>
      </w:divBdr>
    </w:div>
    <w:div w:id="1004094570">
      <w:bodyDiv w:val="1"/>
      <w:marLeft w:val="0"/>
      <w:marRight w:val="0"/>
      <w:marTop w:val="0"/>
      <w:marBottom w:val="0"/>
      <w:divBdr>
        <w:top w:val="none" w:sz="0" w:space="0" w:color="auto"/>
        <w:left w:val="none" w:sz="0" w:space="0" w:color="auto"/>
        <w:bottom w:val="none" w:sz="0" w:space="0" w:color="auto"/>
        <w:right w:val="none" w:sz="0" w:space="0" w:color="auto"/>
      </w:divBdr>
      <w:divsChild>
        <w:div w:id="1172255295">
          <w:marLeft w:val="547"/>
          <w:marRight w:val="0"/>
          <w:marTop w:val="77"/>
          <w:marBottom w:val="0"/>
          <w:divBdr>
            <w:top w:val="none" w:sz="0" w:space="0" w:color="auto"/>
            <w:left w:val="none" w:sz="0" w:space="0" w:color="auto"/>
            <w:bottom w:val="none" w:sz="0" w:space="0" w:color="auto"/>
            <w:right w:val="none" w:sz="0" w:space="0" w:color="auto"/>
          </w:divBdr>
        </w:div>
      </w:divsChild>
    </w:div>
    <w:div w:id="1053236613">
      <w:bodyDiv w:val="1"/>
      <w:marLeft w:val="0"/>
      <w:marRight w:val="0"/>
      <w:marTop w:val="0"/>
      <w:marBottom w:val="0"/>
      <w:divBdr>
        <w:top w:val="none" w:sz="0" w:space="0" w:color="auto"/>
        <w:left w:val="none" w:sz="0" w:space="0" w:color="auto"/>
        <w:bottom w:val="none" w:sz="0" w:space="0" w:color="auto"/>
        <w:right w:val="none" w:sz="0" w:space="0" w:color="auto"/>
      </w:divBdr>
    </w:div>
    <w:div w:id="1172060633">
      <w:bodyDiv w:val="1"/>
      <w:marLeft w:val="0"/>
      <w:marRight w:val="0"/>
      <w:marTop w:val="0"/>
      <w:marBottom w:val="0"/>
      <w:divBdr>
        <w:top w:val="none" w:sz="0" w:space="0" w:color="auto"/>
        <w:left w:val="none" w:sz="0" w:space="0" w:color="auto"/>
        <w:bottom w:val="none" w:sz="0" w:space="0" w:color="auto"/>
        <w:right w:val="none" w:sz="0" w:space="0" w:color="auto"/>
      </w:divBdr>
      <w:divsChild>
        <w:div w:id="204831437">
          <w:marLeft w:val="1166"/>
          <w:marRight w:val="0"/>
          <w:marTop w:val="86"/>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40657">
      <w:bodyDiv w:val="1"/>
      <w:marLeft w:val="0"/>
      <w:marRight w:val="0"/>
      <w:marTop w:val="0"/>
      <w:marBottom w:val="0"/>
      <w:divBdr>
        <w:top w:val="none" w:sz="0" w:space="0" w:color="auto"/>
        <w:left w:val="none" w:sz="0" w:space="0" w:color="auto"/>
        <w:bottom w:val="none" w:sz="0" w:space="0" w:color="auto"/>
        <w:right w:val="none" w:sz="0" w:space="0" w:color="auto"/>
      </w:divBdr>
    </w:div>
    <w:div w:id="1421099850">
      <w:bodyDiv w:val="1"/>
      <w:marLeft w:val="0"/>
      <w:marRight w:val="0"/>
      <w:marTop w:val="0"/>
      <w:marBottom w:val="0"/>
      <w:divBdr>
        <w:top w:val="none" w:sz="0" w:space="0" w:color="auto"/>
        <w:left w:val="none" w:sz="0" w:space="0" w:color="auto"/>
        <w:bottom w:val="none" w:sz="0" w:space="0" w:color="auto"/>
        <w:right w:val="none" w:sz="0" w:space="0" w:color="auto"/>
      </w:divBdr>
    </w:div>
    <w:div w:id="1528712521">
      <w:bodyDiv w:val="1"/>
      <w:marLeft w:val="0"/>
      <w:marRight w:val="0"/>
      <w:marTop w:val="0"/>
      <w:marBottom w:val="0"/>
      <w:divBdr>
        <w:top w:val="none" w:sz="0" w:space="0" w:color="auto"/>
        <w:left w:val="none" w:sz="0" w:space="0" w:color="auto"/>
        <w:bottom w:val="none" w:sz="0" w:space="0" w:color="auto"/>
        <w:right w:val="none" w:sz="0" w:space="0" w:color="auto"/>
      </w:divBdr>
      <w:divsChild>
        <w:div w:id="920912618">
          <w:marLeft w:val="1166"/>
          <w:marRight w:val="0"/>
          <w:marTop w:val="86"/>
          <w:marBottom w:val="0"/>
          <w:divBdr>
            <w:top w:val="none" w:sz="0" w:space="0" w:color="auto"/>
            <w:left w:val="none" w:sz="0" w:space="0" w:color="auto"/>
            <w:bottom w:val="none" w:sz="0" w:space="0" w:color="auto"/>
            <w:right w:val="none" w:sz="0" w:space="0" w:color="auto"/>
          </w:divBdr>
        </w:div>
      </w:divsChild>
    </w:div>
    <w:div w:id="1721054270">
      <w:bodyDiv w:val="1"/>
      <w:marLeft w:val="0"/>
      <w:marRight w:val="0"/>
      <w:marTop w:val="0"/>
      <w:marBottom w:val="0"/>
      <w:divBdr>
        <w:top w:val="none" w:sz="0" w:space="0" w:color="auto"/>
        <w:left w:val="none" w:sz="0" w:space="0" w:color="auto"/>
        <w:bottom w:val="none" w:sz="0" w:space="0" w:color="auto"/>
        <w:right w:val="none" w:sz="0" w:space="0" w:color="auto"/>
      </w:divBdr>
      <w:divsChild>
        <w:div w:id="1075203790">
          <w:marLeft w:val="1166"/>
          <w:marRight w:val="0"/>
          <w:marTop w:val="96"/>
          <w:marBottom w:val="0"/>
          <w:divBdr>
            <w:top w:val="none" w:sz="0" w:space="0" w:color="auto"/>
            <w:left w:val="none" w:sz="0" w:space="0" w:color="auto"/>
            <w:bottom w:val="none" w:sz="0" w:space="0" w:color="auto"/>
            <w:right w:val="none" w:sz="0" w:space="0" w:color="auto"/>
          </w:divBdr>
        </w:div>
      </w:divsChild>
    </w:div>
    <w:div w:id="1726829020">
      <w:bodyDiv w:val="1"/>
      <w:marLeft w:val="0"/>
      <w:marRight w:val="0"/>
      <w:marTop w:val="0"/>
      <w:marBottom w:val="0"/>
      <w:divBdr>
        <w:top w:val="none" w:sz="0" w:space="0" w:color="auto"/>
        <w:left w:val="none" w:sz="0" w:space="0" w:color="auto"/>
        <w:bottom w:val="none" w:sz="0" w:space="0" w:color="auto"/>
        <w:right w:val="none" w:sz="0" w:space="0" w:color="auto"/>
      </w:divBdr>
    </w:div>
    <w:div w:id="1880316409">
      <w:bodyDiv w:val="1"/>
      <w:marLeft w:val="0"/>
      <w:marRight w:val="0"/>
      <w:marTop w:val="0"/>
      <w:marBottom w:val="0"/>
      <w:divBdr>
        <w:top w:val="none" w:sz="0" w:space="0" w:color="auto"/>
        <w:left w:val="none" w:sz="0" w:space="0" w:color="auto"/>
        <w:bottom w:val="none" w:sz="0" w:space="0" w:color="auto"/>
        <w:right w:val="none" w:sz="0" w:space="0" w:color="auto"/>
      </w:divBdr>
    </w:div>
    <w:div w:id="1887452559">
      <w:bodyDiv w:val="1"/>
      <w:marLeft w:val="0"/>
      <w:marRight w:val="0"/>
      <w:marTop w:val="0"/>
      <w:marBottom w:val="0"/>
      <w:divBdr>
        <w:top w:val="none" w:sz="0" w:space="0" w:color="auto"/>
        <w:left w:val="none" w:sz="0" w:space="0" w:color="auto"/>
        <w:bottom w:val="none" w:sz="0" w:space="0" w:color="auto"/>
        <w:right w:val="none" w:sz="0" w:space="0" w:color="auto"/>
      </w:divBdr>
    </w:div>
    <w:div w:id="195123609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1563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E1451-EC6E-43AD-AAE0-2B1C9A35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17996</Words>
  <Characters>103580</Characters>
  <Application>Microsoft Office Word</Application>
  <DocSecurity>0</DocSecurity>
  <Lines>863</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2021-12-16T05:02:00Z</dcterms:created>
  <dcterms:modified xsi:type="dcterms:W3CDTF">2021-12-16T05:02:00Z</dcterms:modified>
</cp:coreProperties>
</file>