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D7" w:rsidRPr="007F33F1" w:rsidRDefault="00C745D4" w:rsidP="0047221E">
      <w:pPr>
        <w:pStyle w:val="1-MainHeading"/>
        <w:spacing w:before="0" w:after="0"/>
      </w:pPr>
      <w:bookmarkStart w:id="0" w:name="_Toc71450273"/>
      <w:bookmarkStart w:id="1" w:name="_Toc72421778"/>
      <w:r w:rsidRPr="007F33F1">
        <w:t>5.12</w:t>
      </w:r>
      <w:r w:rsidR="00205FD7" w:rsidRPr="007F33F1">
        <w:tab/>
        <w:t>ZANUBRUTINIB,</w:t>
      </w:r>
      <w:r w:rsidR="00205FD7" w:rsidRPr="007F33F1">
        <w:br/>
      </w:r>
      <w:r w:rsidR="00416B27" w:rsidRPr="007F33F1">
        <w:t>C</w:t>
      </w:r>
      <w:r w:rsidR="00205FD7" w:rsidRPr="007F33F1">
        <w:t>apsule</w:t>
      </w:r>
      <w:r w:rsidR="00416B27" w:rsidRPr="007F33F1">
        <w:t xml:space="preserve"> 80 mg</w:t>
      </w:r>
      <w:r w:rsidR="00205FD7" w:rsidRPr="007F33F1">
        <w:t>,</w:t>
      </w:r>
      <w:r w:rsidR="00205FD7" w:rsidRPr="007F33F1">
        <w:br/>
        <w:t>Brukinsa</w:t>
      </w:r>
      <w:r w:rsidR="00205FD7" w:rsidRPr="007F33F1">
        <w:rPr>
          <w:vertAlign w:val="superscript"/>
        </w:rPr>
        <w:t>®</w:t>
      </w:r>
      <w:r w:rsidR="00205FD7" w:rsidRPr="007F33F1">
        <w:t>,</w:t>
      </w:r>
      <w:r w:rsidR="00205FD7" w:rsidRPr="007F33F1">
        <w:br/>
        <w:t>Bei</w:t>
      </w:r>
      <w:r w:rsidR="00416B27" w:rsidRPr="007F33F1">
        <w:t>G</w:t>
      </w:r>
      <w:r w:rsidR="00205FD7" w:rsidRPr="007F33F1">
        <w:t>ene Aus Pty Ltd.</w:t>
      </w:r>
      <w:bookmarkEnd w:id="0"/>
      <w:bookmarkEnd w:id="1"/>
      <w:r w:rsidR="00711C7C" w:rsidRPr="007F33F1">
        <w:t xml:space="preserve"> </w:t>
      </w:r>
    </w:p>
    <w:p w:rsidR="00205FD7" w:rsidRPr="007F33F1" w:rsidRDefault="00205FD7" w:rsidP="0047221E">
      <w:pPr>
        <w:pStyle w:val="2-SectionHeading"/>
      </w:pPr>
      <w:bookmarkStart w:id="2" w:name="_Toc71450275"/>
      <w:bookmarkStart w:id="3" w:name="_Toc72421780"/>
      <w:r w:rsidRPr="007F33F1">
        <w:t>Purpose of submission</w:t>
      </w:r>
      <w:bookmarkEnd w:id="2"/>
      <w:bookmarkEnd w:id="3"/>
    </w:p>
    <w:p w:rsidR="00205FD7" w:rsidRPr="007F33F1" w:rsidRDefault="00205FD7" w:rsidP="0047221E">
      <w:pPr>
        <w:pStyle w:val="3-BodyText"/>
      </w:pPr>
      <w:r w:rsidRPr="007F33F1">
        <w:t xml:space="preserve">The </w:t>
      </w:r>
      <w:r w:rsidR="00697C9F" w:rsidRPr="007F33F1">
        <w:t xml:space="preserve">Category 2 </w:t>
      </w:r>
      <w:r w:rsidRPr="007F33F1">
        <w:t xml:space="preserve">submission requested </w:t>
      </w:r>
      <w:r w:rsidR="00697C9F" w:rsidRPr="007F33F1">
        <w:t xml:space="preserve">an </w:t>
      </w:r>
      <w:r w:rsidR="00D529DB">
        <w:t xml:space="preserve">Authority Required listing for </w:t>
      </w:r>
      <w:r w:rsidRPr="007F33F1">
        <w:t>the treatment of Waldenstr</w:t>
      </w:r>
      <w:bookmarkStart w:id="4" w:name="_Hlk78804649"/>
      <w:r w:rsidRPr="007F33F1">
        <w:t>ö</w:t>
      </w:r>
      <w:bookmarkEnd w:id="4"/>
      <w:r w:rsidRPr="007F33F1">
        <w:t xml:space="preserve">m macroglobulinaemia (WM) in two patient subpopulations: </w:t>
      </w:r>
      <w:r w:rsidR="00697C9F" w:rsidRPr="007F33F1">
        <w:t xml:space="preserve">(i) </w:t>
      </w:r>
      <w:r w:rsidRPr="007F33F1">
        <w:t>treatment-naïve (TN)</w:t>
      </w:r>
      <w:r w:rsidR="00421EBF" w:rsidRPr="007F33F1">
        <w:t xml:space="preserve"> patients who are</w:t>
      </w:r>
      <w:r w:rsidRPr="007F33F1">
        <w:t xml:space="preserve"> </w:t>
      </w:r>
      <w:r w:rsidR="0012397C" w:rsidRPr="007F33F1">
        <w:t>‘</w:t>
      </w:r>
      <w:r w:rsidRPr="007F33F1">
        <w:t>unsuitable</w:t>
      </w:r>
      <w:r w:rsidR="0012397C" w:rsidRPr="007F33F1">
        <w:t>’</w:t>
      </w:r>
      <w:r w:rsidRPr="007F33F1">
        <w:t xml:space="preserve"> for </w:t>
      </w:r>
      <w:r w:rsidR="00916B6C" w:rsidRPr="007F33F1">
        <w:t>chemo-immunotherapy</w:t>
      </w:r>
      <w:r w:rsidRPr="007F33F1">
        <w:t xml:space="preserve"> and</w:t>
      </w:r>
      <w:r w:rsidR="00697C9F" w:rsidRPr="007F33F1">
        <w:t xml:space="preserve"> (ii)</w:t>
      </w:r>
      <w:r w:rsidRPr="007F33F1">
        <w:t xml:space="preserve"> relapse</w:t>
      </w:r>
      <w:r w:rsidR="00B22F31" w:rsidRPr="007F33F1">
        <w:t>d</w:t>
      </w:r>
      <w:r w:rsidRPr="007F33F1">
        <w:t>/refractory (R/R)</w:t>
      </w:r>
      <w:r w:rsidR="00421EBF" w:rsidRPr="007F33F1">
        <w:t xml:space="preserve"> patients</w:t>
      </w:r>
      <w:r w:rsidRPr="007F33F1">
        <w:t xml:space="preserve"> who have received at least one prior therapy.</w:t>
      </w:r>
    </w:p>
    <w:p w:rsidR="00205FD7" w:rsidRPr="007F33F1" w:rsidRDefault="00205FD7" w:rsidP="0047221E">
      <w:pPr>
        <w:pStyle w:val="3-BodyText"/>
      </w:pPr>
      <w:r w:rsidRPr="007F33F1">
        <w:t xml:space="preserve">Listing was requested on the basis of cost-effectiveness analyses versus rituximab monotherapy (Rm) in </w:t>
      </w:r>
      <w:r w:rsidR="00421EBF" w:rsidRPr="007F33F1">
        <w:t xml:space="preserve">the </w:t>
      </w:r>
      <w:r w:rsidRPr="007F33F1">
        <w:t xml:space="preserve">TN unsuitable for </w:t>
      </w:r>
      <w:r w:rsidR="00916B6C" w:rsidRPr="007F33F1">
        <w:t>chemo-immunotherapy</w:t>
      </w:r>
      <w:r w:rsidR="00086DDD" w:rsidRPr="007F33F1">
        <w:t xml:space="preserve"> population</w:t>
      </w:r>
      <w:r w:rsidR="00387C51" w:rsidRPr="007F33F1">
        <w:t>,</w:t>
      </w:r>
      <w:r w:rsidRPr="007F33F1">
        <w:t xml:space="preserve"> and </w:t>
      </w:r>
      <w:r w:rsidR="00387C51" w:rsidRPr="007F33F1">
        <w:t xml:space="preserve">versus </w:t>
      </w:r>
      <w:r w:rsidRPr="007F33F1">
        <w:t xml:space="preserve">bendamustine </w:t>
      </w:r>
      <w:r w:rsidR="00ED73F1" w:rsidRPr="007F33F1">
        <w:t xml:space="preserve">+ </w:t>
      </w:r>
      <w:r w:rsidRPr="007F33F1">
        <w:t xml:space="preserve">rituximab (BR) in the R/R population. </w:t>
      </w:r>
    </w:p>
    <w:p w:rsidR="00205FD7" w:rsidRPr="007F33F1" w:rsidRDefault="00205FD7" w:rsidP="0047221E">
      <w:pPr>
        <w:pStyle w:val="TableFigureHeading"/>
        <w:rPr>
          <w:rStyle w:val="CommentReference"/>
          <w:b/>
          <w:szCs w:val="24"/>
        </w:rPr>
      </w:pPr>
      <w:bookmarkStart w:id="5" w:name="_Ref71561121"/>
      <w:r w:rsidRPr="007F33F1">
        <w:rPr>
          <w:rStyle w:val="CommentReference"/>
          <w:b/>
          <w:szCs w:val="24"/>
        </w:rPr>
        <w:t xml:space="preserve">Table </w:t>
      </w:r>
      <w:r w:rsidR="00015997">
        <w:rPr>
          <w:rStyle w:val="CommentReference"/>
          <w:b/>
          <w:noProof/>
          <w:szCs w:val="24"/>
        </w:rPr>
        <w:t>1</w:t>
      </w:r>
      <w:bookmarkEnd w:id="5"/>
      <w:r w:rsidRPr="007F33F1">
        <w:rPr>
          <w:rStyle w:val="CommentReference"/>
          <w:b/>
          <w:szCs w:val="24"/>
        </w:rPr>
        <w:t>: Key components of the clinical issue addressed by the submission (as stated in the submission)</w:t>
      </w:r>
    </w:p>
    <w:tbl>
      <w:tblPr>
        <w:tblStyle w:val="TableTheme"/>
        <w:tblW w:w="5000" w:type="pct"/>
        <w:tblLook w:val="04A0" w:firstRow="1" w:lastRow="0" w:firstColumn="1" w:lastColumn="0" w:noHBand="0" w:noVBand="1"/>
        <w:tblCaption w:val="Table 1: Key components of the clinical issue addressed by the submission (as stated in the submission)"/>
      </w:tblPr>
      <w:tblGrid>
        <w:gridCol w:w="1275"/>
        <w:gridCol w:w="7765"/>
      </w:tblGrid>
      <w:tr w:rsidR="00205FD7" w:rsidRPr="007F33F1" w:rsidTr="002F7BC5">
        <w:trPr>
          <w:tblHeader/>
        </w:trPr>
        <w:tc>
          <w:tcPr>
            <w:tcW w:w="705" w:type="pct"/>
          </w:tcPr>
          <w:p w:rsidR="00205FD7" w:rsidRPr="007F33F1" w:rsidRDefault="00205FD7" w:rsidP="0047221E">
            <w:pPr>
              <w:pStyle w:val="TableText0"/>
              <w:rPr>
                <w:b/>
              </w:rPr>
            </w:pPr>
            <w:r w:rsidRPr="007F33F1">
              <w:rPr>
                <w:b/>
              </w:rPr>
              <w:t>Component</w:t>
            </w:r>
          </w:p>
        </w:tc>
        <w:tc>
          <w:tcPr>
            <w:tcW w:w="4295" w:type="pct"/>
          </w:tcPr>
          <w:p w:rsidR="00205FD7" w:rsidRPr="007F33F1" w:rsidRDefault="00205FD7" w:rsidP="0047221E">
            <w:pPr>
              <w:pStyle w:val="TableText0"/>
              <w:rPr>
                <w:b/>
              </w:rPr>
            </w:pPr>
            <w:r w:rsidRPr="007F33F1">
              <w:rPr>
                <w:b/>
              </w:rPr>
              <w:t>Description</w:t>
            </w:r>
          </w:p>
        </w:tc>
      </w:tr>
      <w:tr w:rsidR="00205FD7" w:rsidRPr="007F33F1" w:rsidTr="008008FC">
        <w:tc>
          <w:tcPr>
            <w:tcW w:w="705" w:type="pct"/>
          </w:tcPr>
          <w:p w:rsidR="00205FD7" w:rsidRPr="007F33F1" w:rsidRDefault="00205FD7" w:rsidP="0047221E">
            <w:pPr>
              <w:pStyle w:val="TableText0"/>
            </w:pPr>
            <w:r w:rsidRPr="007F33F1">
              <w:t xml:space="preserve">Population </w:t>
            </w:r>
          </w:p>
        </w:tc>
        <w:tc>
          <w:tcPr>
            <w:tcW w:w="4295" w:type="pct"/>
          </w:tcPr>
          <w:p w:rsidR="00205FD7" w:rsidRPr="007F33F1" w:rsidRDefault="00205FD7" w:rsidP="0047221E">
            <w:pPr>
              <w:pStyle w:val="TableText0"/>
            </w:pPr>
            <w:r w:rsidRPr="007F33F1">
              <w:t xml:space="preserve">Patients with WM who have received at least one prior therapy or </w:t>
            </w:r>
            <w:r w:rsidR="00421EBF" w:rsidRPr="007F33F1">
              <w:t xml:space="preserve">who </w:t>
            </w:r>
            <w:r w:rsidRPr="007F33F1">
              <w:t xml:space="preserve">are unsuitable for </w:t>
            </w:r>
            <w:r w:rsidR="00916B6C" w:rsidRPr="007F33F1">
              <w:t>chemo-immunotherapy</w:t>
            </w:r>
            <w:r w:rsidRPr="007F33F1">
              <w:t xml:space="preserve"> as 1L treatment</w:t>
            </w:r>
            <w:r w:rsidR="00416B27" w:rsidRPr="007F33F1">
              <w:t>.</w:t>
            </w:r>
          </w:p>
        </w:tc>
      </w:tr>
      <w:tr w:rsidR="00205FD7" w:rsidRPr="007F33F1" w:rsidTr="008008FC">
        <w:tc>
          <w:tcPr>
            <w:tcW w:w="705" w:type="pct"/>
          </w:tcPr>
          <w:p w:rsidR="00205FD7" w:rsidRPr="007F33F1" w:rsidRDefault="00205FD7" w:rsidP="0047221E">
            <w:pPr>
              <w:pStyle w:val="TableText0"/>
            </w:pPr>
            <w:r w:rsidRPr="007F33F1">
              <w:t xml:space="preserve">Intervention </w:t>
            </w:r>
          </w:p>
        </w:tc>
        <w:tc>
          <w:tcPr>
            <w:tcW w:w="4295" w:type="pct"/>
          </w:tcPr>
          <w:p w:rsidR="00205FD7" w:rsidRPr="007F33F1" w:rsidRDefault="00BE77FA" w:rsidP="0047221E">
            <w:pPr>
              <w:pStyle w:val="TableText0"/>
              <w:rPr>
                <w:i/>
              </w:rPr>
            </w:pPr>
            <w:r w:rsidRPr="007F33F1">
              <w:t xml:space="preserve">Zanubrutinib </w:t>
            </w:r>
            <w:r w:rsidR="00205FD7" w:rsidRPr="007F33F1">
              <w:t>160</w:t>
            </w:r>
            <w:r w:rsidR="00416B27" w:rsidRPr="007F33F1">
              <w:t xml:space="preserve"> </w:t>
            </w:r>
            <w:r w:rsidR="00205FD7" w:rsidRPr="007F33F1">
              <w:t>mg</w:t>
            </w:r>
            <w:r w:rsidR="00416B27" w:rsidRPr="007F33F1">
              <w:t xml:space="preserve"> orally twice daily</w:t>
            </w:r>
            <w:r w:rsidR="00205FD7" w:rsidRPr="007F33F1">
              <w:t xml:space="preserve"> (80</w:t>
            </w:r>
            <w:r w:rsidR="00416B27" w:rsidRPr="007F33F1">
              <w:t xml:space="preserve"> </w:t>
            </w:r>
            <w:r w:rsidR="00205FD7" w:rsidRPr="007F33F1">
              <w:t>mg</w:t>
            </w:r>
            <w:r w:rsidR="00416B27" w:rsidRPr="007F33F1">
              <w:t xml:space="preserve"> </w:t>
            </w:r>
            <w:r w:rsidR="00205FD7" w:rsidRPr="007F33F1">
              <w:t>x2 capsules)</w:t>
            </w:r>
            <w:r w:rsidR="008170A0" w:rsidRPr="007F33F1">
              <w:t xml:space="preserve"> </w:t>
            </w:r>
            <w:r w:rsidR="00416B27" w:rsidRPr="007F33F1">
              <w:t>or 320 mg once daily (80 mg x4 capsules).</w:t>
            </w:r>
          </w:p>
        </w:tc>
      </w:tr>
      <w:tr w:rsidR="00205FD7" w:rsidRPr="007F33F1" w:rsidTr="008008FC">
        <w:tc>
          <w:tcPr>
            <w:tcW w:w="705" w:type="pct"/>
          </w:tcPr>
          <w:p w:rsidR="00205FD7" w:rsidRPr="007F33F1" w:rsidRDefault="00205FD7" w:rsidP="0047221E">
            <w:pPr>
              <w:pStyle w:val="TableText0"/>
            </w:pPr>
            <w:bookmarkStart w:id="6" w:name="_Hlk71380729"/>
            <w:r w:rsidRPr="007F33F1">
              <w:t>Comparator</w:t>
            </w:r>
          </w:p>
        </w:tc>
        <w:tc>
          <w:tcPr>
            <w:tcW w:w="4295" w:type="pct"/>
          </w:tcPr>
          <w:p w:rsidR="00205FD7" w:rsidRPr="007F33F1" w:rsidRDefault="00205FD7" w:rsidP="0047221E">
            <w:pPr>
              <w:pStyle w:val="TableText0"/>
            </w:pPr>
            <w:r w:rsidRPr="007F33F1">
              <w:rPr>
                <w:b/>
              </w:rPr>
              <w:t xml:space="preserve">TN patients unsuitable for </w:t>
            </w:r>
            <w:r w:rsidR="00916B6C" w:rsidRPr="007F33F1">
              <w:rPr>
                <w:b/>
              </w:rPr>
              <w:t>chemo-immunotherapy</w:t>
            </w:r>
            <w:r w:rsidRPr="007F33F1">
              <w:rPr>
                <w:b/>
              </w:rPr>
              <w:t>:</w:t>
            </w:r>
            <w:r w:rsidR="00416B27" w:rsidRPr="007F33F1">
              <w:rPr>
                <w:b/>
              </w:rPr>
              <w:t xml:space="preserve"> </w:t>
            </w:r>
            <w:r w:rsidRPr="007F33F1">
              <w:t>Rituximab monotherapy (Rm) as main comparator.</w:t>
            </w:r>
          </w:p>
          <w:p w:rsidR="00205FD7" w:rsidRPr="007F33F1" w:rsidRDefault="00205FD7" w:rsidP="0047221E">
            <w:pPr>
              <w:pStyle w:val="TableText0"/>
              <w:rPr>
                <w:rFonts w:eastAsiaTheme="minorEastAsia" w:cstheme="minorBidi"/>
              </w:rPr>
            </w:pPr>
            <w:r w:rsidRPr="007F33F1">
              <w:rPr>
                <w:b/>
              </w:rPr>
              <w:t>R/R patients who have received at least one prior therapy:</w:t>
            </w:r>
            <w:r w:rsidR="00416B27" w:rsidRPr="007F33F1">
              <w:rPr>
                <w:b/>
              </w:rPr>
              <w:t xml:space="preserve"> </w:t>
            </w:r>
            <w:r w:rsidRPr="007F33F1">
              <w:t>Bendamustine in combination with rituximab (BR) as main comparator</w:t>
            </w:r>
            <w:r w:rsidR="00416B27" w:rsidRPr="007F33F1">
              <w:t xml:space="preserve">, </w:t>
            </w:r>
            <w:r w:rsidRPr="007F33F1">
              <w:t>as a proxy for any treatment in the R/R setting.</w:t>
            </w:r>
            <w:r w:rsidRPr="007F33F1" w:rsidDel="00BA7536">
              <w:t xml:space="preserve"> </w:t>
            </w:r>
          </w:p>
        </w:tc>
      </w:tr>
      <w:bookmarkEnd w:id="6"/>
      <w:tr w:rsidR="00205FD7" w:rsidRPr="007F33F1" w:rsidTr="008008FC">
        <w:tc>
          <w:tcPr>
            <w:tcW w:w="705" w:type="pct"/>
          </w:tcPr>
          <w:p w:rsidR="00205FD7" w:rsidRPr="007F33F1" w:rsidRDefault="00205FD7" w:rsidP="0047221E">
            <w:pPr>
              <w:pStyle w:val="TableText0"/>
            </w:pPr>
            <w:r w:rsidRPr="007F33F1">
              <w:t>Outcomes</w:t>
            </w:r>
          </w:p>
        </w:tc>
        <w:tc>
          <w:tcPr>
            <w:tcW w:w="4295" w:type="pct"/>
          </w:tcPr>
          <w:p w:rsidR="00205FD7" w:rsidRPr="007F33F1" w:rsidRDefault="00205FD7" w:rsidP="0047221E">
            <w:pPr>
              <w:pStyle w:val="TableText0"/>
              <w:rPr>
                <w:szCs w:val="18"/>
              </w:rPr>
            </w:pPr>
            <w:r w:rsidRPr="007F33F1">
              <w:rPr>
                <w:szCs w:val="18"/>
              </w:rPr>
              <w:t>Response rates, duration of response, progression-free survival, overall survival, frequency of adverse events</w:t>
            </w:r>
            <w:r w:rsidR="00416B27" w:rsidRPr="007F33F1">
              <w:rPr>
                <w:szCs w:val="18"/>
              </w:rPr>
              <w:t>.</w:t>
            </w:r>
          </w:p>
        </w:tc>
      </w:tr>
      <w:tr w:rsidR="00205FD7" w:rsidRPr="007F33F1" w:rsidTr="008008FC">
        <w:tc>
          <w:tcPr>
            <w:tcW w:w="705" w:type="pct"/>
          </w:tcPr>
          <w:p w:rsidR="00205FD7" w:rsidRPr="007F33F1" w:rsidRDefault="00205FD7" w:rsidP="0047221E">
            <w:pPr>
              <w:pStyle w:val="TableText0"/>
            </w:pPr>
            <w:r w:rsidRPr="007F33F1">
              <w:t xml:space="preserve">Clinical claim </w:t>
            </w:r>
          </w:p>
        </w:tc>
        <w:tc>
          <w:tcPr>
            <w:tcW w:w="4295" w:type="pct"/>
          </w:tcPr>
          <w:p w:rsidR="00205FD7" w:rsidRPr="007F33F1" w:rsidRDefault="00205FD7" w:rsidP="0047221E">
            <w:pPr>
              <w:pStyle w:val="TableText0"/>
              <w:rPr>
                <w:b/>
              </w:rPr>
            </w:pPr>
            <w:r w:rsidRPr="007F33F1">
              <w:rPr>
                <w:b/>
              </w:rPr>
              <w:t>T</w:t>
            </w:r>
            <w:r w:rsidR="00916B6C" w:rsidRPr="007F33F1">
              <w:rPr>
                <w:b/>
              </w:rPr>
              <w:t>N patients unsuitable for chemo-immunotherapy</w:t>
            </w:r>
            <w:r w:rsidRPr="007F33F1">
              <w:rPr>
                <w:b/>
              </w:rPr>
              <w:t>:</w:t>
            </w:r>
          </w:p>
          <w:p w:rsidR="00205FD7" w:rsidRPr="007F33F1" w:rsidRDefault="00BE77FA" w:rsidP="0047221E">
            <w:pPr>
              <w:pStyle w:val="TableText0"/>
            </w:pPr>
            <w:r w:rsidRPr="007F33F1">
              <w:t xml:space="preserve">Zanubrutinib </w:t>
            </w:r>
            <w:r w:rsidR="00205FD7" w:rsidRPr="007F33F1">
              <w:t>is superior in terms of effectiveness and safety compared with Rm</w:t>
            </w:r>
            <w:r w:rsidR="00416B27" w:rsidRPr="007F33F1">
              <w:t>.</w:t>
            </w:r>
          </w:p>
          <w:p w:rsidR="00205FD7" w:rsidRPr="007F33F1" w:rsidRDefault="00205FD7" w:rsidP="0047221E">
            <w:pPr>
              <w:pStyle w:val="TableText0"/>
              <w:rPr>
                <w:b/>
                <w:szCs w:val="18"/>
              </w:rPr>
            </w:pPr>
            <w:r w:rsidRPr="007F33F1">
              <w:rPr>
                <w:b/>
                <w:szCs w:val="18"/>
              </w:rPr>
              <w:t>R/R patients who have received at least one prior therapy:</w:t>
            </w:r>
          </w:p>
          <w:p w:rsidR="00205FD7" w:rsidRPr="007F33F1" w:rsidRDefault="00BE77FA" w:rsidP="0047221E">
            <w:pPr>
              <w:pStyle w:val="TableText0"/>
              <w:rPr>
                <w:szCs w:val="18"/>
              </w:rPr>
            </w:pPr>
            <w:r w:rsidRPr="007F33F1">
              <w:rPr>
                <w:szCs w:val="18"/>
              </w:rPr>
              <w:t xml:space="preserve">Zanubrutinib </w:t>
            </w:r>
            <w:r w:rsidR="00205FD7" w:rsidRPr="007F33F1">
              <w:rPr>
                <w:szCs w:val="18"/>
              </w:rPr>
              <w:t>is superior in terms of effectiveness and safety compared with BR.</w:t>
            </w:r>
          </w:p>
        </w:tc>
      </w:tr>
    </w:tbl>
    <w:p w:rsidR="00205FD7" w:rsidRPr="007F33F1" w:rsidRDefault="00205FD7" w:rsidP="0047221E">
      <w:pPr>
        <w:pStyle w:val="TableFigureFooter"/>
      </w:pPr>
      <w:r w:rsidRPr="007F33F1">
        <w:t>Source: Table 1.1, p19 of the submission.</w:t>
      </w:r>
    </w:p>
    <w:p w:rsidR="00205FD7" w:rsidRPr="00785E78" w:rsidRDefault="00205FD7" w:rsidP="0047221E">
      <w:pPr>
        <w:pStyle w:val="TableFigureFooter"/>
      </w:pPr>
      <w:r w:rsidRPr="007F33F1">
        <w:t>1L=first line, BR=bendamustine-rituximab, Rm=rituximab monotherapy, R/R=relapsed/refractory, TN=treatment naïve, WM=</w:t>
      </w:r>
      <w:bookmarkStart w:id="7" w:name="_Hlk71380775"/>
      <w:r w:rsidR="005F343C" w:rsidRPr="007F33F1">
        <w:t>Waldenström</w:t>
      </w:r>
      <w:r w:rsidRPr="007F33F1">
        <w:t xml:space="preserve"> macroglobulinaemia</w:t>
      </w:r>
      <w:bookmarkEnd w:id="7"/>
      <w:r w:rsidR="00651C59" w:rsidRPr="007F33F1">
        <w:t>.</w:t>
      </w:r>
    </w:p>
    <w:p w:rsidR="00205FD7" w:rsidRPr="007F33F1" w:rsidRDefault="00205FD7" w:rsidP="0047221E">
      <w:pPr>
        <w:pStyle w:val="2-SectionHeading"/>
      </w:pPr>
      <w:bookmarkStart w:id="8" w:name="_Toc71450276"/>
      <w:bookmarkStart w:id="9" w:name="_Toc72421781"/>
      <w:r w:rsidRPr="007F33F1">
        <w:t>Background</w:t>
      </w:r>
      <w:bookmarkEnd w:id="8"/>
      <w:bookmarkEnd w:id="9"/>
    </w:p>
    <w:p w:rsidR="00205FD7" w:rsidRPr="007F33F1" w:rsidRDefault="00205FD7" w:rsidP="0047221E">
      <w:pPr>
        <w:pStyle w:val="4-SubsectionHeading"/>
      </w:pPr>
      <w:bookmarkStart w:id="10" w:name="_Toc22897638"/>
      <w:bookmarkStart w:id="11" w:name="_Toc71450277"/>
      <w:bookmarkStart w:id="12" w:name="_Toc72421782"/>
      <w:r w:rsidRPr="007F33F1">
        <w:t>Registration status</w:t>
      </w:r>
      <w:bookmarkEnd w:id="10"/>
      <w:bookmarkEnd w:id="11"/>
      <w:bookmarkEnd w:id="12"/>
    </w:p>
    <w:p w:rsidR="00205FD7" w:rsidRPr="007F33F1" w:rsidRDefault="00B22F31" w:rsidP="0047221E">
      <w:pPr>
        <w:pStyle w:val="3-BodyText"/>
      </w:pPr>
      <w:r w:rsidRPr="007F33F1">
        <w:rPr>
          <w:b/>
        </w:rPr>
        <w:t>TGA status at time of PBAC consideration:</w:t>
      </w:r>
      <w:r w:rsidRPr="007F33F1">
        <w:rPr>
          <w:bCs/>
        </w:rPr>
        <w:t xml:space="preserve"> </w:t>
      </w:r>
      <w:r w:rsidR="007D1505" w:rsidRPr="007F33F1">
        <w:rPr>
          <w:bCs/>
        </w:rPr>
        <w:t>T</w:t>
      </w:r>
      <w:r w:rsidR="00205FD7" w:rsidRPr="007F33F1">
        <w:rPr>
          <w:bCs/>
        </w:rPr>
        <w:t>he submission</w:t>
      </w:r>
      <w:r w:rsidR="00205FD7" w:rsidRPr="007F33F1">
        <w:t xml:space="preserve"> was made under the TGA/PBAC Parallel Process. At the time of PBAC consideration, the TGA clinical evaluator’s report (CER, 1st round)</w:t>
      </w:r>
      <w:r w:rsidR="00BF518E" w:rsidRPr="007F33F1">
        <w:t xml:space="preserve"> and TGA </w:t>
      </w:r>
      <w:r w:rsidR="001226F7" w:rsidRPr="007F33F1">
        <w:t>D</w:t>
      </w:r>
      <w:r w:rsidR="00BF518E" w:rsidRPr="007F33F1">
        <w:t xml:space="preserve">elegate’s </w:t>
      </w:r>
      <w:r w:rsidR="00F5455C" w:rsidRPr="007F33F1">
        <w:t>O</w:t>
      </w:r>
      <w:r w:rsidR="00BF518E" w:rsidRPr="007F33F1">
        <w:t>verview</w:t>
      </w:r>
      <w:r w:rsidR="00205FD7" w:rsidRPr="007F33F1">
        <w:t xml:space="preserve"> w</w:t>
      </w:r>
      <w:r w:rsidR="00BF518E" w:rsidRPr="007F33F1">
        <w:t>ere</w:t>
      </w:r>
      <w:r w:rsidR="00205FD7" w:rsidRPr="007F33F1">
        <w:t xml:space="preserve"> available.</w:t>
      </w:r>
      <w:r w:rsidR="006A4F76" w:rsidRPr="007F33F1">
        <w:t xml:space="preserve"> The TGA Delegate was yet to </w:t>
      </w:r>
      <w:r w:rsidR="00F5455C" w:rsidRPr="007F33F1">
        <w:t xml:space="preserve">indicate a proposed </w:t>
      </w:r>
      <w:r w:rsidR="006A4F76" w:rsidRPr="007F33F1">
        <w:t xml:space="preserve">decision on the registration of </w:t>
      </w:r>
      <w:r w:rsidR="00BE77FA" w:rsidRPr="007F33F1">
        <w:t>zanubrutinib</w:t>
      </w:r>
      <w:r w:rsidR="006A4F76" w:rsidRPr="007F33F1">
        <w:t>.</w:t>
      </w:r>
      <w:r w:rsidR="00205FD7" w:rsidRPr="007F33F1">
        <w:t xml:space="preserve"> </w:t>
      </w:r>
      <w:bookmarkStart w:id="13" w:name="_Hlk78475954"/>
      <w:r w:rsidR="001226F7" w:rsidRPr="007F33F1">
        <w:t xml:space="preserve">The TGA Delegate </w:t>
      </w:r>
      <w:r w:rsidR="00575226" w:rsidRPr="007F33F1">
        <w:t xml:space="preserve">noted that the pivotal study (ASPEN) did not meet its primary endpoint of superiority over ibrutinib for </w:t>
      </w:r>
      <w:r w:rsidR="00434A83" w:rsidRPr="007F33F1">
        <w:t>very good partial response (VGPR)</w:t>
      </w:r>
      <w:r w:rsidR="00575226" w:rsidRPr="007F33F1">
        <w:t>/</w:t>
      </w:r>
      <w:r w:rsidR="00434A83" w:rsidRPr="007F33F1">
        <w:t>complete response (</w:t>
      </w:r>
      <w:r w:rsidR="00575226" w:rsidRPr="007F33F1">
        <w:t>CR</w:t>
      </w:r>
      <w:r w:rsidR="00434A83" w:rsidRPr="007F33F1">
        <w:t xml:space="preserve">) </w:t>
      </w:r>
      <w:r w:rsidR="00575226" w:rsidRPr="007F33F1">
        <w:t>though the results for key and secondary endpoints were numerically similar</w:t>
      </w:r>
      <w:r w:rsidR="00434A83" w:rsidRPr="007F33F1">
        <w:t>,</w:t>
      </w:r>
      <w:r w:rsidR="00575226" w:rsidRPr="007F33F1">
        <w:t xml:space="preserve"> and considered this raised uncertainty</w:t>
      </w:r>
      <w:r w:rsidR="00434A83" w:rsidRPr="007F33F1">
        <w:t xml:space="preserve"> around the</w:t>
      </w:r>
      <w:r w:rsidR="00575226" w:rsidRPr="007F33F1">
        <w:t xml:space="preserve"> interpretation of results, in particular, whether they have met the threshold for </w:t>
      </w:r>
      <w:r w:rsidR="00575226" w:rsidRPr="007F33F1">
        <w:lastRenderedPageBreak/>
        <w:t xml:space="preserve">supporting full registration in the setting of a rare disease (TGA Delegate’s Overview). </w:t>
      </w:r>
      <w:r w:rsidR="001226F7" w:rsidRPr="007F33F1">
        <w:t xml:space="preserve">However, the TGA Delegate considered if the results for </w:t>
      </w:r>
      <w:r w:rsidR="00BE77FA" w:rsidRPr="007F33F1">
        <w:t>zanubrutinib</w:t>
      </w:r>
      <w:r w:rsidR="001226F7" w:rsidRPr="007F33F1">
        <w:t xml:space="preserve"> were considered in isolation of the comparator arm of ASPEN, taking into account the rarity of the condition and the clinical value of alternatives to ibrutinib, there may be a place for zanubrutinib in the landscape of WM treatment (TGA Delegate’s Overview).</w:t>
      </w:r>
      <w:r w:rsidR="00434A83" w:rsidRPr="007F33F1">
        <w:t xml:space="preserve"> </w:t>
      </w:r>
      <w:bookmarkEnd w:id="13"/>
    </w:p>
    <w:p w:rsidR="00021E45" w:rsidRPr="007F33F1" w:rsidRDefault="00021E45" w:rsidP="0047221E">
      <w:pPr>
        <w:pStyle w:val="3-BodyText"/>
      </w:pPr>
      <w:r w:rsidRPr="007F33F1">
        <w:t>The proposed TGA indication is: “for the treatment of adult patients with WM who have received at least one prior therapy, or in first line treatment for patients unsuitable for chemo-immunotherapy”.</w:t>
      </w:r>
    </w:p>
    <w:p w:rsidR="008D56E5" w:rsidRPr="007F33F1" w:rsidRDefault="00BE77FA" w:rsidP="0047221E">
      <w:pPr>
        <w:pStyle w:val="3-BodyText"/>
      </w:pPr>
      <w:r w:rsidRPr="007F33F1">
        <w:t>Zanubrutinib</w:t>
      </w:r>
      <w:r w:rsidR="00205FD7" w:rsidRPr="007F33F1">
        <w:t xml:space="preserve"> has been submitted for approval in WM to the European Medicines Agency (EMA) and Food and Drug Administration (FDA), and was approved for the treatment of WM by Health Canada on 1 March 2021.</w:t>
      </w:r>
      <w:r w:rsidR="00021E45" w:rsidRPr="007F33F1">
        <w:t xml:space="preserve"> </w:t>
      </w:r>
    </w:p>
    <w:p w:rsidR="00AB43C8" w:rsidRPr="007F33F1" w:rsidRDefault="00021E45" w:rsidP="0047221E">
      <w:pPr>
        <w:pStyle w:val="3-BodyText"/>
      </w:pPr>
      <w:r w:rsidRPr="007F33F1">
        <w:t>TGA registration for use in Mantel Cell Lymphoma (MCL)</w:t>
      </w:r>
      <w:r w:rsidR="00902A91" w:rsidRPr="007F33F1">
        <w:t xml:space="preserve"> </w:t>
      </w:r>
      <w:r w:rsidR="00B22F31" w:rsidRPr="007F33F1">
        <w:t xml:space="preserve">was </w:t>
      </w:r>
      <w:r w:rsidR="00902A91" w:rsidRPr="007F33F1">
        <w:t xml:space="preserve">also requested for </w:t>
      </w:r>
      <w:r w:rsidR="00BE77FA" w:rsidRPr="007F33F1">
        <w:t>zanubrutinib</w:t>
      </w:r>
      <w:r w:rsidR="00A501FF" w:rsidRPr="007F33F1">
        <w:t>,</w:t>
      </w:r>
      <w:r w:rsidRPr="007F33F1">
        <w:t xml:space="preserve"> with a submission to the July 2021 PBAC meeting (item 5.13</w:t>
      </w:r>
      <w:r w:rsidR="008330E0" w:rsidRPr="007F33F1">
        <w:t xml:space="preserve"> refers</w:t>
      </w:r>
      <w:r w:rsidRPr="007F33F1">
        <w:t>).</w:t>
      </w:r>
    </w:p>
    <w:p w:rsidR="00205FD7" w:rsidRPr="007F33F1" w:rsidRDefault="00205FD7" w:rsidP="0047221E">
      <w:pPr>
        <w:pStyle w:val="2-SectionHeading"/>
      </w:pPr>
      <w:bookmarkStart w:id="14" w:name="_Toc71450278"/>
      <w:bookmarkStart w:id="15" w:name="_Toc72421783"/>
      <w:r w:rsidRPr="007F33F1">
        <w:t>Requested listing</w:t>
      </w:r>
      <w:bookmarkEnd w:id="14"/>
      <w:bookmarkEnd w:id="15"/>
    </w:p>
    <w:tbl>
      <w:tblPr>
        <w:tblW w:w="9021" w:type="dxa"/>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502"/>
        <w:gridCol w:w="1080"/>
        <w:gridCol w:w="1032"/>
        <w:gridCol w:w="843"/>
        <w:gridCol w:w="1801"/>
        <w:gridCol w:w="1924"/>
      </w:tblGrid>
      <w:tr w:rsidR="00205FD7" w:rsidRPr="007F33F1" w:rsidTr="008330E0">
        <w:tc>
          <w:tcPr>
            <w:tcW w:w="2341" w:type="dxa"/>
            <w:gridSpan w:val="2"/>
          </w:tcPr>
          <w:p w:rsidR="00205FD7" w:rsidRPr="007F33F1" w:rsidRDefault="00205FD7" w:rsidP="0047221E">
            <w:pPr>
              <w:pStyle w:val="Tabletext"/>
              <w:keepNext/>
              <w:rPr>
                <w:b/>
                <w:bCs/>
              </w:rPr>
            </w:pPr>
            <w:r w:rsidRPr="007F33F1">
              <w:rPr>
                <w:b/>
              </w:rPr>
              <w:t>Name, restriction, manner of administration, form</w:t>
            </w:r>
          </w:p>
        </w:tc>
        <w:tc>
          <w:tcPr>
            <w:tcW w:w="1080" w:type="dxa"/>
          </w:tcPr>
          <w:p w:rsidR="00205FD7" w:rsidRPr="007F33F1" w:rsidRDefault="00205FD7" w:rsidP="0047221E">
            <w:pPr>
              <w:pStyle w:val="Tabletext"/>
              <w:keepNext/>
              <w:jc w:val="center"/>
              <w:rPr>
                <w:b/>
                <w:bCs/>
              </w:rPr>
            </w:pPr>
            <w:r w:rsidRPr="007F33F1">
              <w:rPr>
                <w:b/>
              </w:rPr>
              <w:t>Maximum quantity (packs)</w:t>
            </w:r>
          </w:p>
        </w:tc>
        <w:tc>
          <w:tcPr>
            <w:tcW w:w="1032" w:type="dxa"/>
          </w:tcPr>
          <w:p w:rsidR="00205FD7" w:rsidRPr="007F33F1" w:rsidRDefault="00205FD7" w:rsidP="0047221E">
            <w:pPr>
              <w:pStyle w:val="Tabletext"/>
              <w:keepNext/>
              <w:jc w:val="center"/>
              <w:rPr>
                <w:b/>
                <w:bCs/>
              </w:rPr>
            </w:pPr>
            <w:r w:rsidRPr="007F33F1">
              <w:rPr>
                <w:b/>
              </w:rPr>
              <w:t>Maximum quantity (units)</w:t>
            </w:r>
          </w:p>
        </w:tc>
        <w:tc>
          <w:tcPr>
            <w:tcW w:w="843" w:type="dxa"/>
          </w:tcPr>
          <w:p w:rsidR="00205FD7" w:rsidRPr="007F33F1" w:rsidRDefault="00205FD7" w:rsidP="0047221E">
            <w:pPr>
              <w:pStyle w:val="Tabletext"/>
              <w:keepNext/>
              <w:jc w:val="center"/>
              <w:rPr>
                <w:b/>
                <w:bCs/>
              </w:rPr>
            </w:pPr>
            <w:r w:rsidRPr="007F33F1">
              <w:rPr>
                <w:b/>
              </w:rPr>
              <w:t>No. of repeats</w:t>
            </w:r>
          </w:p>
        </w:tc>
        <w:tc>
          <w:tcPr>
            <w:tcW w:w="1801" w:type="dxa"/>
          </w:tcPr>
          <w:p w:rsidR="00205FD7" w:rsidRPr="007F33F1" w:rsidRDefault="00205FD7" w:rsidP="0047221E">
            <w:pPr>
              <w:pStyle w:val="Tabletext"/>
              <w:keepNext/>
              <w:jc w:val="center"/>
              <w:rPr>
                <w:b/>
                <w:bCs/>
              </w:rPr>
            </w:pPr>
            <w:r w:rsidRPr="007F33F1">
              <w:rPr>
                <w:b/>
              </w:rPr>
              <w:t>Dispensed price for maximum quantity</w:t>
            </w:r>
          </w:p>
        </w:tc>
        <w:tc>
          <w:tcPr>
            <w:tcW w:w="1924" w:type="dxa"/>
          </w:tcPr>
          <w:p w:rsidR="00205FD7" w:rsidRPr="007F33F1" w:rsidRDefault="00205FD7" w:rsidP="0047221E">
            <w:pPr>
              <w:pStyle w:val="Tabletext"/>
              <w:keepNext/>
              <w:rPr>
                <w:b/>
                <w:bCs/>
              </w:rPr>
            </w:pPr>
            <w:r w:rsidRPr="007F33F1">
              <w:rPr>
                <w:b/>
              </w:rPr>
              <w:t>Proprietary name and manufacturer</w:t>
            </w:r>
          </w:p>
        </w:tc>
      </w:tr>
      <w:tr w:rsidR="00205FD7" w:rsidRPr="007F33F1" w:rsidTr="008330E0">
        <w:tc>
          <w:tcPr>
            <w:tcW w:w="2341" w:type="dxa"/>
            <w:gridSpan w:val="2"/>
            <w:vAlign w:val="center"/>
          </w:tcPr>
          <w:p w:rsidR="00205FD7" w:rsidRPr="007F33F1" w:rsidRDefault="00416B27" w:rsidP="0047221E">
            <w:pPr>
              <w:pStyle w:val="Tabletext"/>
              <w:keepNext/>
            </w:pPr>
            <w:r w:rsidRPr="007F33F1">
              <w:t>ZANUBRUTINIB</w:t>
            </w:r>
          </w:p>
          <w:p w:rsidR="00205FD7" w:rsidRPr="007F33F1" w:rsidRDefault="00205FD7" w:rsidP="0047221E">
            <w:pPr>
              <w:pStyle w:val="Tabletext"/>
              <w:keepNext/>
              <w:rPr>
                <w:b/>
                <w:bCs/>
              </w:rPr>
            </w:pPr>
            <w:r w:rsidRPr="007F33F1">
              <w:t>80</w:t>
            </w:r>
            <w:r w:rsidR="00416B27" w:rsidRPr="007F33F1">
              <w:t> </w:t>
            </w:r>
            <w:r w:rsidRPr="007F33F1">
              <w:t>mg capsule</w:t>
            </w:r>
          </w:p>
        </w:tc>
        <w:tc>
          <w:tcPr>
            <w:tcW w:w="1080" w:type="dxa"/>
            <w:vAlign w:val="center"/>
          </w:tcPr>
          <w:p w:rsidR="00205FD7" w:rsidRPr="007F33F1" w:rsidRDefault="00205FD7" w:rsidP="0047221E">
            <w:pPr>
              <w:pStyle w:val="Tabletext"/>
              <w:keepNext/>
              <w:jc w:val="center"/>
              <w:rPr>
                <w:rFonts w:ascii="Times" w:hAnsi="Times"/>
              </w:rPr>
            </w:pPr>
            <w:r w:rsidRPr="007F33F1">
              <w:t>1</w:t>
            </w:r>
          </w:p>
        </w:tc>
        <w:tc>
          <w:tcPr>
            <w:tcW w:w="1032" w:type="dxa"/>
            <w:vAlign w:val="center"/>
          </w:tcPr>
          <w:p w:rsidR="00205FD7" w:rsidRPr="007F33F1" w:rsidRDefault="00205FD7" w:rsidP="0047221E">
            <w:pPr>
              <w:pStyle w:val="Tabletext"/>
              <w:keepNext/>
              <w:jc w:val="center"/>
              <w:rPr>
                <w:rFonts w:ascii="Times" w:hAnsi="Times"/>
              </w:rPr>
            </w:pPr>
            <w:r w:rsidRPr="007F33F1">
              <w:t>120</w:t>
            </w:r>
          </w:p>
        </w:tc>
        <w:tc>
          <w:tcPr>
            <w:tcW w:w="843" w:type="dxa"/>
            <w:vAlign w:val="center"/>
          </w:tcPr>
          <w:p w:rsidR="00205FD7" w:rsidRPr="007F33F1" w:rsidRDefault="00205FD7" w:rsidP="0047221E">
            <w:pPr>
              <w:pStyle w:val="Tabletext"/>
              <w:keepNext/>
              <w:jc w:val="center"/>
              <w:rPr>
                <w:rFonts w:ascii="Times" w:hAnsi="Times"/>
              </w:rPr>
            </w:pPr>
            <w:r w:rsidRPr="007F33F1">
              <w:t>5</w:t>
            </w:r>
          </w:p>
        </w:tc>
        <w:tc>
          <w:tcPr>
            <w:tcW w:w="1801" w:type="dxa"/>
            <w:vAlign w:val="center"/>
          </w:tcPr>
          <w:p w:rsidR="00205FD7" w:rsidRPr="007F33F1" w:rsidRDefault="00205FD7" w:rsidP="0047221E">
            <w:pPr>
              <w:pStyle w:val="Tabletext"/>
              <w:keepNext/>
              <w:jc w:val="center"/>
            </w:pPr>
            <w:r w:rsidRPr="007F33F1">
              <w:t>$</w:t>
            </w:r>
            <w:r w:rsidRPr="007B11F4">
              <w:t xml:space="preserve">11,672.21 </w:t>
            </w:r>
            <w:r w:rsidRPr="007F33F1">
              <w:t xml:space="preserve">published </w:t>
            </w:r>
          </w:p>
          <w:p w:rsidR="00205FD7" w:rsidRPr="007F33F1" w:rsidRDefault="00205FD7" w:rsidP="0047221E">
            <w:pPr>
              <w:pStyle w:val="Tabletext"/>
              <w:keepNext/>
              <w:jc w:val="center"/>
              <w:rPr>
                <w:rFonts w:ascii="Times" w:hAnsi="Times"/>
              </w:rPr>
            </w:pPr>
            <w:r w:rsidRPr="007F33F1">
              <w:t>$</w:t>
            </w:r>
            <w:r w:rsidR="00785E78">
              <w:rPr>
                <w:noProof/>
                <w:color w:val="000000"/>
                <w:highlight w:val="black"/>
              </w:rPr>
              <w:t>''''''''''''''''''''''</w:t>
            </w:r>
            <w:r w:rsidRPr="007F33F1">
              <w:t xml:space="preserve"> effective </w:t>
            </w:r>
          </w:p>
        </w:tc>
        <w:tc>
          <w:tcPr>
            <w:tcW w:w="1924" w:type="dxa"/>
            <w:vAlign w:val="center"/>
          </w:tcPr>
          <w:p w:rsidR="00205FD7" w:rsidRPr="007F33F1" w:rsidRDefault="00416B27" w:rsidP="0047221E">
            <w:pPr>
              <w:pStyle w:val="Tabletext"/>
              <w:keepNext/>
              <w:jc w:val="center"/>
            </w:pPr>
            <w:r w:rsidRPr="007F33F1">
              <w:t>Brukinsa</w:t>
            </w:r>
            <w:r w:rsidR="00205FD7" w:rsidRPr="007F33F1">
              <w:t>®</w:t>
            </w:r>
          </w:p>
          <w:p w:rsidR="00205FD7" w:rsidRPr="007F33F1" w:rsidRDefault="00205FD7" w:rsidP="0047221E">
            <w:pPr>
              <w:pStyle w:val="Tabletext"/>
              <w:keepNext/>
              <w:jc w:val="center"/>
              <w:rPr>
                <w:rFonts w:ascii="Times" w:hAnsi="Times"/>
              </w:rPr>
            </w:pPr>
            <w:r w:rsidRPr="007F33F1">
              <w:t>Bei</w:t>
            </w:r>
            <w:r w:rsidR="00416B27" w:rsidRPr="007F33F1">
              <w:t>G</w:t>
            </w:r>
            <w:r w:rsidRPr="007F33F1">
              <w:t>ene Aus Pty Ltd</w:t>
            </w:r>
          </w:p>
        </w:tc>
      </w:tr>
      <w:tr w:rsidR="008330E0" w:rsidRPr="007F33F1" w:rsidTr="003F7EEA">
        <w:tc>
          <w:tcPr>
            <w:tcW w:w="9021" w:type="dxa"/>
            <w:gridSpan w:val="7"/>
            <w:vAlign w:val="center"/>
          </w:tcPr>
          <w:p w:rsidR="008330E0" w:rsidRPr="007F33F1" w:rsidRDefault="008330E0" w:rsidP="0047221E">
            <w:pPr>
              <w:pStyle w:val="Tabletext"/>
              <w:keepNext/>
              <w:jc w:val="center"/>
            </w:pP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Category / Program:</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t>GENERAL – General Schedule (Code GE)</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Prescriber type:</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fldChar w:fldCharType="begin">
                <w:ffData>
                  <w:name w:val="Check1"/>
                  <w:enabled/>
                  <w:calcOnExit w:val="0"/>
                  <w:checkBox>
                    <w:sizeAuto/>
                    <w:default w:val="1"/>
                  </w:checkBox>
                </w:ffData>
              </w:fldChar>
            </w:r>
            <w:r w:rsidRPr="007F33F1">
              <w:instrText xml:space="preserve"> FORMCHECKBOX </w:instrText>
            </w:r>
            <w:r w:rsidR="00D529DB">
              <w:fldChar w:fldCharType="separate"/>
            </w:r>
            <w:r w:rsidRPr="007F33F1">
              <w:fldChar w:fldCharType="end"/>
            </w:r>
            <w:r w:rsidRPr="007F33F1">
              <w:t>Medical Practitioners</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PBS Indication:</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t>Waldenström’s macroglobulinaemia</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i/>
              </w:rPr>
            </w:pPr>
            <w:r w:rsidRPr="007F33F1">
              <w:rPr>
                <w:b/>
              </w:rPr>
              <w:t>Restriction:</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fldChar w:fldCharType="begin">
                <w:ffData>
                  <w:name w:val="Check3"/>
                  <w:enabled/>
                  <w:calcOnExit w:val="0"/>
                  <w:checkBox>
                    <w:sizeAuto/>
                    <w:default w:val="1"/>
                  </w:checkBox>
                </w:ffData>
              </w:fldChar>
            </w:r>
            <w:r w:rsidRPr="007F33F1">
              <w:instrText xml:space="preserve"> FORMCHECKBOX </w:instrText>
            </w:r>
            <w:r w:rsidR="00D529DB">
              <w:fldChar w:fldCharType="separate"/>
            </w:r>
            <w:r w:rsidRPr="007F33F1">
              <w:fldChar w:fldCharType="end"/>
            </w:r>
            <w:r w:rsidRPr="007F33F1">
              <w:t xml:space="preserve">Authority Required – Telephone </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Administrative Advice:</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t>Special Pricing Arrangements apply</w:t>
            </w:r>
            <w:r w:rsidR="004567B4" w:rsidRPr="007F33F1">
              <w:t>.</w:t>
            </w:r>
          </w:p>
          <w:p w:rsidR="00416B27" w:rsidRPr="007F33F1" w:rsidRDefault="00416B27" w:rsidP="0047221E">
            <w:pPr>
              <w:pStyle w:val="TableText0"/>
            </w:pPr>
            <w:r w:rsidRPr="007F33F1">
              <w:t>No increase in the maximum quantity or number of units may be authorised.</w:t>
            </w:r>
          </w:p>
          <w:p w:rsidR="00416B27" w:rsidRPr="007F33F1" w:rsidRDefault="00416B27" w:rsidP="0047221E">
            <w:pPr>
              <w:pStyle w:val="TableText0"/>
            </w:pPr>
            <w:r w:rsidRPr="007F33F1">
              <w:t>No increase in the maximum number of repeats may be authorised.</w:t>
            </w:r>
          </w:p>
        </w:tc>
      </w:tr>
      <w:tr w:rsidR="008330E0"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bottom w:val="single" w:sz="4" w:space="0" w:color="auto"/>
            </w:tcBorders>
          </w:tcPr>
          <w:p w:rsidR="008330E0" w:rsidRPr="007F33F1" w:rsidRDefault="008330E0" w:rsidP="0047221E">
            <w:pPr>
              <w:pStyle w:val="TableText0"/>
              <w:rPr>
                <w:b/>
              </w:rPr>
            </w:pPr>
          </w:p>
        </w:tc>
        <w:tc>
          <w:tcPr>
            <w:tcW w:w="7182" w:type="dxa"/>
            <w:gridSpan w:val="6"/>
            <w:tcBorders>
              <w:top w:val="single" w:sz="4" w:space="0" w:color="auto"/>
              <w:bottom w:val="single" w:sz="4" w:space="0" w:color="auto"/>
            </w:tcBorders>
          </w:tcPr>
          <w:p w:rsidR="008330E0" w:rsidRPr="007F33F1" w:rsidRDefault="008330E0" w:rsidP="0047221E">
            <w:pPr>
              <w:pStyle w:val="TableText0"/>
            </w:pP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Treatment phase:</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t>Initial</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Treatment criteria:</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t>The treatment must be the sole PBS-subsidised therapy for this condition</w:t>
            </w:r>
            <w:r w:rsidR="008330E0" w:rsidRPr="007F33F1">
              <w:t>.</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Clinical criteria:</w:t>
            </w:r>
          </w:p>
          <w:p w:rsidR="00416B27" w:rsidRPr="007F33F1" w:rsidRDefault="00416B27" w:rsidP="0047221E">
            <w:pPr>
              <w:pStyle w:val="TableText0"/>
              <w:rPr>
                <w:i/>
              </w:rPr>
            </w:pP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rFonts w:cs="Arial"/>
              </w:rPr>
            </w:pPr>
            <w:r w:rsidRPr="007F33F1">
              <w:rPr>
                <w:rFonts w:cs="Arial"/>
              </w:rPr>
              <w:t>Patient must have relapsed/refractory disease despite prior treatment</w:t>
            </w:r>
            <w:r w:rsidR="008330E0" w:rsidRPr="007F33F1">
              <w:rPr>
                <w:rFonts w:cs="Arial"/>
              </w:rPr>
              <w:t>,</w:t>
            </w:r>
            <w:r w:rsidR="00697C9F" w:rsidRPr="007F33F1">
              <w:rPr>
                <w:rFonts w:cs="Arial"/>
              </w:rPr>
              <w:t xml:space="preserve"> or</w:t>
            </w:r>
          </w:p>
          <w:p w:rsidR="00416B27" w:rsidRPr="007F33F1" w:rsidRDefault="00416B27" w:rsidP="0047221E">
            <w:pPr>
              <w:pStyle w:val="TableText0"/>
              <w:rPr>
                <w:rFonts w:cs="Arial"/>
              </w:rPr>
            </w:pPr>
            <w:r w:rsidRPr="007F33F1">
              <w:rPr>
                <w:rFonts w:cs="Arial"/>
              </w:rPr>
              <w:t>Patient must be unsuitable for treatment with chemo-immunotherapy if untreated (i.e., treatment-naïve) for this condition</w:t>
            </w:r>
            <w:r w:rsidR="008330E0" w:rsidRPr="007F33F1">
              <w:rPr>
                <w:rFonts w:cs="Arial"/>
              </w:rPr>
              <w:t>.</w:t>
            </w:r>
          </w:p>
        </w:tc>
      </w:tr>
      <w:tr w:rsidR="008330E0"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bottom w:val="single" w:sz="4" w:space="0" w:color="auto"/>
            </w:tcBorders>
          </w:tcPr>
          <w:p w:rsidR="008330E0" w:rsidRPr="007F33F1" w:rsidRDefault="008330E0" w:rsidP="0047221E">
            <w:pPr>
              <w:pStyle w:val="TableText0"/>
              <w:rPr>
                <w:b/>
              </w:rPr>
            </w:pPr>
          </w:p>
        </w:tc>
        <w:tc>
          <w:tcPr>
            <w:tcW w:w="7182" w:type="dxa"/>
            <w:gridSpan w:val="6"/>
            <w:tcBorders>
              <w:top w:val="single" w:sz="4" w:space="0" w:color="auto"/>
              <w:bottom w:val="single" w:sz="4" w:space="0" w:color="auto"/>
            </w:tcBorders>
          </w:tcPr>
          <w:p w:rsidR="008330E0" w:rsidRPr="007F33F1" w:rsidRDefault="008330E0" w:rsidP="0047221E">
            <w:pPr>
              <w:pStyle w:val="TableText0"/>
            </w:pP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Treatment phase:</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t>Continuing</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Treatment criteria:</w:t>
            </w: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rPr>
                <w:szCs w:val="20"/>
              </w:rPr>
              <w:t>Patient must</w:t>
            </w:r>
            <w:r w:rsidRPr="007F33F1">
              <w:t xml:space="preserve"> have previously received PBS-subsidised treatment with this drug for this condition</w:t>
            </w:r>
            <w:r w:rsidR="008330E0" w:rsidRPr="007F33F1">
              <w:t>.</w:t>
            </w:r>
          </w:p>
        </w:tc>
      </w:tr>
      <w:tr w:rsidR="00416B27" w:rsidRPr="007F33F1" w:rsidTr="008330E0">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39" w:type="dxa"/>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rPr>
                <w:b/>
              </w:rPr>
            </w:pPr>
            <w:r w:rsidRPr="007F33F1">
              <w:rPr>
                <w:b/>
              </w:rPr>
              <w:t>Clinical criteria:</w:t>
            </w:r>
          </w:p>
          <w:p w:rsidR="00416B27" w:rsidRPr="007F33F1" w:rsidRDefault="00416B27" w:rsidP="0047221E">
            <w:pPr>
              <w:pStyle w:val="TableText0"/>
              <w:rPr>
                <w:b/>
              </w:rPr>
            </w:pPr>
          </w:p>
        </w:tc>
        <w:tc>
          <w:tcPr>
            <w:tcW w:w="7182" w:type="dxa"/>
            <w:gridSpan w:val="6"/>
            <w:tcBorders>
              <w:top w:val="single" w:sz="4" w:space="0" w:color="auto"/>
              <w:left w:val="single" w:sz="4" w:space="0" w:color="auto"/>
              <w:bottom w:val="single" w:sz="4" w:space="0" w:color="auto"/>
              <w:right w:val="single" w:sz="4" w:space="0" w:color="auto"/>
            </w:tcBorders>
          </w:tcPr>
          <w:p w:rsidR="00416B27" w:rsidRPr="007F33F1" w:rsidRDefault="00416B27" w:rsidP="0047221E">
            <w:pPr>
              <w:pStyle w:val="TableText0"/>
            </w:pPr>
            <w:r w:rsidRPr="007F33F1">
              <w:t>The treatment must be the sole PBS-subsidised therapy for this condition</w:t>
            </w:r>
            <w:r w:rsidR="008330E0" w:rsidRPr="007F33F1">
              <w:t>,</w:t>
            </w:r>
          </w:p>
          <w:p w:rsidR="00416B27" w:rsidRPr="007F33F1" w:rsidRDefault="00416B27" w:rsidP="0047221E">
            <w:pPr>
              <w:pStyle w:val="TableText0"/>
            </w:pPr>
            <w:r w:rsidRPr="007F33F1">
              <w:t>AND</w:t>
            </w:r>
          </w:p>
          <w:p w:rsidR="00416B27" w:rsidRPr="007F33F1" w:rsidRDefault="00416B27" w:rsidP="0047221E">
            <w:pPr>
              <w:pStyle w:val="TableText0"/>
            </w:pPr>
            <w:r w:rsidRPr="007F33F1">
              <w:t>Patient must not have developed disease progression while receiving PBS-subsidised treatment with this drug for this condition</w:t>
            </w:r>
            <w:r w:rsidR="008330E0" w:rsidRPr="007F33F1">
              <w:t>.</w:t>
            </w:r>
          </w:p>
        </w:tc>
      </w:tr>
    </w:tbl>
    <w:p w:rsidR="00416B27" w:rsidRPr="007F33F1" w:rsidRDefault="00416B27" w:rsidP="0047221E">
      <w:pPr>
        <w:pStyle w:val="TableFooter"/>
      </w:pPr>
      <w:r w:rsidRPr="007F33F1">
        <w:t>Source: Table 1.7, p36; Table 1.8 and 1.10, pp37-38 of the submission</w:t>
      </w:r>
      <w:r w:rsidR="008330E0" w:rsidRPr="007F33F1">
        <w:t>.</w:t>
      </w:r>
    </w:p>
    <w:p w:rsidR="00416B27" w:rsidRPr="007F33F1" w:rsidRDefault="00416B27" w:rsidP="0047221E"/>
    <w:p w:rsidR="00205FD7" w:rsidRPr="007F33F1" w:rsidRDefault="00205FD7" w:rsidP="0047221E">
      <w:pPr>
        <w:pStyle w:val="3-BodyText"/>
      </w:pPr>
      <w:r w:rsidRPr="007F33F1">
        <w:t>The submission also</w:t>
      </w:r>
      <w:r w:rsidR="00AB44F0">
        <w:t xml:space="preserve"> </w:t>
      </w:r>
      <w:r w:rsidR="00697C9F" w:rsidRPr="007F33F1">
        <w:t>sought transitioning arrangements (</w:t>
      </w:r>
      <w:r w:rsidR="00211FA7" w:rsidRPr="007F33F1">
        <w:t xml:space="preserve">i.e. </w:t>
      </w:r>
      <w:r w:rsidR="00697C9F" w:rsidRPr="007F33F1">
        <w:t>a ‘Grandfather’ listing)</w:t>
      </w:r>
      <w:r w:rsidR="008330E0" w:rsidRPr="007F33F1">
        <w:t>, as</w:t>
      </w:r>
      <w:r w:rsidRPr="007F33F1">
        <w:t xml:space="preserve"> </w:t>
      </w:r>
      <w:r w:rsidR="008330E0" w:rsidRPr="007F33F1">
        <w:t>t</w:t>
      </w:r>
      <w:r w:rsidRPr="007F33F1">
        <w:t xml:space="preserve">he </w:t>
      </w:r>
      <w:r w:rsidR="00416B27" w:rsidRPr="007F33F1">
        <w:t>s</w:t>
      </w:r>
      <w:r w:rsidRPr="007F33F1">
        <w:t>ponsor anticipate</w:t>
      </w:r>
      <w:r w:rsidR="00416B27" w:rsidRPr="007F33F1">
        <w:t>d</w:t>
      </w:r>
      <w:r w:rsidRPr="007F33F1">
        <w:t xml:space="preserve"> establishing a</w:t>
      </w:r>
      <w:r w:rsidR="00697C9F" w:rsidRPr="007F33F1">
        <w:t>n</w:t>
      </w:r>
      <w:r w:rsidRPr="007F33F1">
        <w:t xml:space="preserve"> </w:t>
      </w:r>
      <w:r w:rsidR="00697C9F" w:rsidRPr="007F33F1">
        <w:t xml:space="preserve">early </w:t>
      </w:r>
      <w:r w:rsidRPr="007F33F1">
        <w:t xml:space="preserve">access program following TGA approval. </w:t>
      </w:r>
    </w:p>
    <w:p w:rsidR="00205FD7" w:rsidRPr="007F33F1" w:rsidRDefault="00205FD7" w:rsidP="0047221E">
      <w:pPr>
        <w:pStyle w:val="3-BodyText"/>
      </w:pPr>
      <w:r w:rsidRPr="007F33F1">
        <w:lastRenderedPageBreak/>
        <w:t xml:space="preserve">The requested restrictions </w:t>
      </w:r>
      <w:r w:rsidR="0066149C" w:rsidRPr="007F33F1">
        <w:t xml:space="preserve">would allow </w:t>
      </w:r>
      <w:r w:rsidRPr="007F33F1">
        <w:t>Bruton’s tyrosine kinase inhibitor</w:t>
      </w:r>
      <w:r w:rsidR="00697C9F" w:rsidRPr="007F33F1">
        <w:t xml:space="preserve"> (BTKi)-treated patients</w:t>
      </w:r>
      <w:r w:rsidRPr="007F33F1">
        <w:t xml:space="preserve"> (</w:t>
      </w:r>
      <w:r w:rsidR="00021E45" w:rsidRPr="007F33F1">
        <w:t xml:space="preserve">e.g. </w:t>
      </w:r>
      <w:r w:rsidR="00387C51" w:rsidRPr="007F33F1">
        <w:t>ibrutinib</w:t>
      </w:r>
      <w:r w:rsidR="00697C9F" w:rsidRPr="007F33F1">
        <w:t xml:space="preserve"> treated patients</w:t>
      </w:r>
      <w:r w:rsidRPr="007F33F1">
        <w:t xml:space="preserve">) to receive </w:t>
      </w:r>
      <w:r w:rsidR="00BE77FA" w:rsidRPr="007F33F1">
        <w:t>zanubrutinib</w:t>
      </w:r>
      <w:r w:rsidRPr="007F33F1">
        <w:t xml:space="preserve">. </w:t>
      </w:r>
      <w:r w:rsidR="00FE7902" w:rsidRPr="007F33F1">
        <w:t xml:space="preserve">The </w:t>
      </w:r>
      <w:r w:rsidR="00BE77FA" w:rsidRPr="007F33F1">
        <w:t>zanubrutinib</w:t>
      </w:r>
      <w:r w:rsidRPr="007F33F1">
        <w:t xml:space="preserve"> trials excluded BTKi</w:t>
      </w:r>
      <w:r w:rsidR="00697C9F" w:rsidRPr="007F33F1">
        <w:t>-treated patients</w:t>
      </w:r>
      <w:r w:rsidRPr="007F33F1">
        <w:t xml:space="preserve"> and in the </w:t>
      </w:r>
      <w:r w:rsidR="00387C51" w:rsidRPr="007F33F1">
        <w:t>f</w:t>
      </w:r>
      <w:r w:rsidRPr="007F33F1">
        <w:t xml:space="preserve">inancial </w:t>
      </w:r>
      <w:r w:rsidR="00387C51" w:rsidRPr="007F33F1">
        <w:t>e</w:t>
      </w:r>
      <w:r w:rsidRPr="007F33F1">
        <w:t xml:space="preserve">stimates, only patients who have not had </w:t>
      </w:r>
      <w:r w:rsidR="00BE77FA" w:rsidRPr="007F33F1">
        <w:t>ibrutinib</w:t>
      </w:r>
      <w:r w:rsidRPr="007F33F1">
        <w:t xml:space="preserve"> </w:t>
      </w:r>
      <w:r w:rsidR="004B1AD8" w:rsidRPr="007F33F1">
        <w:t xml:space="preserve">were </w:t>
      </w:r>
      <w:r w:rsidRPr="007F33F1">
        <w:t xml:space="preserve">assumed to </w:t>
      </w:r>
      <w:r w:rsidR="00697C9F" w:rsidRPr="007F33F1">
        <w:t xml:space="preserve">receive </w:t>
      </w:r>
      <w:r w:rsidR="00BE77FA" w:rsidRPr="007F33F1">
        <w:t>zanubrutinib</w:t>
      </w:r>
      <w:r w:rsidRPr="007F33F1">
        <w:t>.</w:t>
      </w:r>
      <w:r w:rsidR="00FE7902" w:rsidRPr="007F33F1">
        <w:t xml:space="preserve"> </w:t>
      </w:r>
      <w:bookmarkStart w:id="16" w:name="_Hlk78903176"/>
      <w:r w:rsidR="00FE7902" w:rsidRPr="007F33F1">
        <w:t xml:space="preserve">The ESC considered that use of </w:t>
      </w:r>
      <w:r w:rsidR="00BE77FA" w:rsidRPr="007F33F1">
        <w:t>zanubrutinib</w:t>
      </w:r>
      <w:r w:rsidR="00FE7902" w:rsidRPr="007F33F1">
        <w:t xml:space="preserve"> should be restricted to patients</w:t>
      </w:r>
      <w:r w:rsidR="00F629B3" w:rsidRPr="007F33F1">
        <w:t xml:space="preserve"> </w:t>
      </w:r>
      <w:r w:rsidR="00697C9F" w:rsidRPr="007F33F1">
        <w:t>un</w:t>
      </w:r>
      <w:r w:rsidR="00F629B3" w:rsidRPr="007F33F1">
        <w:t xml:space="preserve">treated with a BTKi given the lack of evidence </w:t>
      </w:r>
      <w:r w:rsidR="00387C51" w:rsidRPr="007F33F1">
        <w:t>for</w:t>
      </w:r>
      <w:r w:rsidR="00F629B3" w:rsidRPr="007F33F1">
        <w:t xml:space="preserve"> </w:t>
      </w:r>
      <w:r w:rsidR="00BE77FA" w:rsidRPr="007F33F1">
        <w:t>zanubrutinib</w:t>
      </w:r>
      <w:r w:rsidR="00F629B3" w:rsidRPr="007F33F1">
        <w:t xml:space="preserve"> in BTKi</w:t>
      </w:r>
      <w:r w:rsidR="00697C9F" w:rsidRPr="007F33F1">
        <w:t>-treated patients</w:t>
      </w:r>
      <w:r w:rsidR="00F629B3" w:rsidRPr="007F33F1">
        <w:t>.</w:t>
      </w:r>
      <w:bookmarkEnd w:id="16"/>
    </w:p>
    <w:p w:rsidR="00205FD7" w:rsidRPr="007F33F1" w:rsidRDefault="00205FD7" w:rsidP="0047221E">
      <w:pPr>
        <w:pStyle w:val="3-BodyText"/>
      </w:pPr>
      <w:bookmarkStart w:id="17" w:name="_Ref75018318"/>
      <w:r w:rsidRPr="007F33F1">
        <w:t xml:space="preserve">The requested </w:t>
      </w:r>
      <w:r w:rsidR="00697C9F" w:rsidRPr="007F33F1">
        <w:t xml:space="preserve">PBS indication was </w:t>
      </w:r>
      <w:r w:rsidRPr="007F33F1">
        <w:t>consistent with the proposed</w:t>
      </w:r>
      <w:r w:rsidR="004B1AD8" w:rsidRPr="007F33F1">
        <w:t xml:space="preserve"> TGA</w:t>
      </w:r>
      <w:r w:rsidRPr="007F33F1">
        <w:t xml:space="preserve"> indication. </w:t>
      </w:r>
      <w:r w:rsidR="008D56E5" w:rsidRPr="007F33F1">
        <w:t>However, neither of these define</w:t>
      </w:r>
      <w:r w:rsidR="004567B4" w:rsidRPr="007F33F1">
        <w:t>d</w:t>
      </w:r>
      <w:r w:rsidR="008D56E5" w:rsidRPr="007F33F1">
        <w:t xml:space="preserve"> which patients may be ‘unsuitable’ for </w:t>
      </w:r>
      <w:r w:rsidR="00916B6C" w:rsidRPr="007F33F1">
        <w:t>chemo-immunotherapy</w:t>
      </w:r>
      <w:r w:rsidR="008D56E5" w:rsidRPr="007F33F1">
        <w:t xml:space="preserve"> in order to use </w:t>
      </w:r>
      <w:r w:rsidR="00BE77FA" w:rsidRPr="007F33F1">
        <w:t>zanubrutinib</w:t>
      </w:r>
      <w:r w:rsidR="008D56E5" w:rsidRPr="007F33F1">
        <w:t xml:space="preserve"> as a first-line (1L) treatment. The submission’s intended TN population was patients who are unsuitable due to frailty, risk factors, or contraindications. </w:t>
      </w:r>
      <w:r w:rsidRPr="007F33F1">
        <w:t xml:space="preserve">The ASPEN trial for </w:t>
      </w:r>
      <w:r w:rsidR="00BE77FA" w:rsidRPr="007F33F1">
        <w:t>zanubrutinib</w:t>
      </w:r>
      <w:r w:rsidRPr="007F33F1">
        <w:t xml:space="preserve"> defined unsuitability as the presence of documented comorbidities or risk factors</w:t>
      </w:r>
      <w:r w:rsidR="00265A36" w:rsidRPr="007F33F1">
        <w:t>,</w:t>
      </w:r>
      <w:r w:rsidRPr="007F33F1">
        <w:t xml:space="preserve"> and the </w:t>
      </w:r>
      <w:r w:rsidR="00A673DF" w:rsidRPr="007F33F1">
        <w:t>s</w:t>
      </w:r>
      <w:r w:rsidRPr="007F33F1">
        <w:t xml:space="preserve">ponsor’s clinician survey based unsuitability on a total </w:t>
      </w:r>
      <w:bookmarkStart w:id="18" w:name="_Hlk78821284"/>
      <w:r w:rsidRPr="007F33F1">
        <w:t xml:space="preserve">cumulative illness rating scale </w:t>
      </w:r>
      <w:bookmarkEnd w:id="18"/>
      <w:r w:rsidRPr="007F33F1">
        <w:t xml:space="preserve">(CIRS) score of greater than 6, similar to the scoring system used to characterise patients unsuitable for </w:t>
      </w:r>
      <w:r w:rsidR="00916B6C" w:rsidRPr="007F33F1">
        <w:t>chemo-immunotherapy</w:t>
      </w:r>
      <w:r w:rsidRPr="007F33F1">
        <w:t xml:space="preserve"> in chronic lymphocytic leukaemia (CLL) for idelalisib or obinutuzumab on PBS.</w:t>
      </w:r>
      <w:r w:rsidR="00EA7C3C" w:rsidRPr="007F33F1">
        <w:t xml:space="preserve"> </w:t>
      </w:r>
      <w:r w:rsidR="00826545" w:rsidRPr="007F33F1">
        <w:t>The ESC considered that unsuitability based on a CIRS score could be used to define the eligible TN patient population, noting that there would be very few patients not able to receive some form of chemo-immunotherapy as there are mild, well tolerated therapies (e.g. chlorambucil + rituximab) for frailer patients.</w:t>
      </w:r>
      <w:bookmarkEnd w:id="17"/>
      <w:r w:rsidR="0005377C" w:rsidRPr="007F33F1">
        <w:t xml:space="preserve"> The pre-PBAC response</w:t>
      </w:r>
      <w:r w:rsidR="00E8443D" w:rsidRPr="007F33F1">
        <w:t xml:space="preserve"> </w:t>
      </w:r>
      <w:r w:rsidR="00CE7CCF" w:rsidRPr="007F33F1">
        <w:t>agreed with this approach</w:t>
      </w:r>
      <w:r w:rsidR="00E8443D" w:rsidRPr="007F33F1">
        <w:t xml:space="preserve">. </w:t>
      </w:r>
    </w:p>
    <w:p w:rsidR="008A248A" w:rsidRPr="007F33F1" w:rsidRDefault="008A248A" w:rsidP="0047221E">
      <w:pPr>
        <w:pStyle w:val="3-BodyText"/>
        <w:numPr>
          <w:ilvl w:val="0"/>
          <w:numId w:val="0"/>
        </w:numPr>
        <w:ind w:left="720"/>
      </w:pPr>
      <w:r w:rsidRPr="007F33F1">
        <w:rPr>
          <w:i/>
        </w:rPr>
        <w:t>For more detail on the PBAC’s view, see section 7 PBAC outcome.</w:t>
      </w:r>
    </w:p>
    <w:p w:rsidR="00205FD7" w:rsidRPr="007F33F1" w:rsidRDefault="00205FD7" w:rsidP="0047221E">
      <w:pPr>
        <w:pStyle w:val="2-SectionHeading"/>
      </w:pPr>
      <w:bookmarkStart w:id="19" w:name="_Toc71450279"/>
      <w:bookmarkStart w:id="20" w:name="_Toc72421784"/>
      <w:r w:rsidRPr="007F33F1">
        <w:t>Population and disease</w:t>
      </w:r>
      <w:bookmarkEnd w:id="19"/>
      <w:bookmarkEnd w:id="20"/>
    </w:p>
    <w:p w:rsidR="00205FD7" w:rsidRPr="007F33F1" w:rsidRDefault="00205FD7" w:rsidP="0047221E">
      <w:pPr>
        <w:pStyle w:val="3-BodyText"/>
      </w:pPr>
      <w:r w:rsidRPr="007F33F1">
        <w:t>WM is a rare type of indolent non-Hodgkin’s lymphoma</w:t>
      </w:r>
      <w:r w:rsidR="00B22F31" w:rsidRPr="007F33F1">
        <w:t xml:space="preserve"> (iNHL)</w:t>
      </w:r>
      <w:r w:rsidRPr="007F33F1">
        <w:t xml:space="preserve">, with a distinct clinicopathology including both infiltration of the bone marrow by clonal small B-lymphocytes, plasmacytoid lymphocytes and plasma cells in the bone marrow (i.e., lymphoplasmacytic lymphoma, LPL), as well as IgM monoclonal gammopathy in blood (macroglobulinaemia). The diagnosis of WM is based on the histopathological confirmation of bone marrow infiltration by LPL and the detection of any amount of monoclonal IgM protein. </w:t>
      </w:r>
    </w:p>
    <w:p w:rsidR="00205FD7" w:rsidRPr="007F33F1" w:rsidRDefault="00205FD7" w:rsidP="0047221E">
      <w:pPr>
        <w:pStyle w:val="3-BodyText"/>
      </w:pPr>
      <w:r w:rsidRPr="007F33F1">
        <w:t>The pathogenic gene variant MYD88</w:t>
      </w:r>
      <w:r w:rsidRPr="007F33F1">
        <w:rPr>
          <w:vertAlign w:val="superscript"/>
        </w:rPr>
        <w:t>L265P</w:t>
      </w:r>
      <w:r w:rsidRPr="007F33F1">
        <w:t xml:space="preserve"> is present in &gt;90% of cases of WM</w:t>
      </w:r>
      <w:r w:rsidR="00796F5A" w:rsidRPr="007F33F1">
        <w:t xml:space="preserve"> (Treon et al 2012, Varettoni et al 2017)</w:t>
      </w:r>
      <w:r w:rsidRPr="007F33F1">
        <w:t>. A second set of pathogenic gene variants with prognostic significance, found at chemokine receptor 4 (CXCR4</w:t>
      </w:r>
      <w:r w:rsidRPr="007F33F1">
        <w:rPr>
          <w:vertAlign w:val="superscript"/>
        </w:rPr>
        <w:t>WHIM</w:t>
      </w:r>
      <w:r w:rsidRPr="007F33F1">
        <w:t>) are seen in approximately 30% to 40% of cases</w:t>
      </w:r>
      <w:r w:rsidR="00796F5A" w:rsidRPr="007F33F1">
        <w:t xml:space="preserve"> (Hunter et al 2014, Xu et al 2016)</w:t>
      </w:r>
      <w:r w:rsidRPr="007F33F1">
        <w:t xml:space="preserve">. </w:t>
      </w:r>
      <w:r w:rsidR="00E55291" w:rsidRPr="007F33F1">
        <w:t xml:space="preserve">These </w:t>
      </w:r>
      <w:r w:rsidRPr="007F33F1">
        <w:t>genetic alterations are intricately linked, but have opposing effects on the efficacy of BTK-targeting agents; MYD88</w:t>
      </w:r>
      <w:r w:rsidRPr="007F33F1">
        <w:rPr>
          <w:vertAlign w:val="superscript"/>
        </w:rPr>
        <w:t>L265P</w:t>
      </w:r>
      <w:r w:rsidRPr="007F33F1">
        <w:t xml:space="preserve"> improves response to BTKi</w:t>
      </w:r>
      <w:r w:rsidR="00670B4E" w:rsidRPr="007F33F1">
        <w:t>s</w:t>
      </w:r>
      <w:r w:rsidRPr="007F33F1">
        <w:t>, whereas CXCR4</w:t>
      </w:r>
      <w:r w:rsidRPr="007F33F1">
        <w:rPr>
          <w:vertAlign w:val="superscript"/>
        </w:rPr>
        <w:t>WHIM</w:t>
      </w:r>
      <w:r w:rsidRPr="007F33F1">
        <w:t xml:space="preserve"> confers resistance. However, neither of these tests are conducted routinely in Australian clinical practice.</w:t>
      </w:r>
    </w:p>
    <w:p w:rsidR="00205FD7" w:rsidRPr="007F33F1" w:rsidRDefault="00205FD7" w:rsidP="0047221E">
      <w:pPr>
        <w:pStyle w:val="3-BodyText"/>
      </w:pPr>
      <w:r w:rsidRPr="007F33F1">
        <w:t xml:space="preserve">Approximately one quarter of patients will not have symptoms at </w:t>
      </w:r>
      <w:r w:rsidR="005B16B5" w:rsidRPr="007F33F1">
        <w:t xml:space="preserve">diagnosis </w:t>
      </w:r>
      <w:r w:rsidRPr="007F33F1">
        <w:t>(smouldering</w:t>
      </w:r>
      <w:r w:rsidR="00E55291" w:rsidRPr="007F33F1">
        <w:t>/</w:t>
      </w:r>
      <w:r w:rsidRPr="007F33F1">
        <w:t>asymptomatic WM). For those with symptoms, the most common are weakness, severe fatigue, bleeding from the nose or gums, weight loss, and bruises or other skin lesions. High levels of IgM can lead to hyperviscosity syndrome (approx. 15% of patients), in which the blood becomes abnormally thick (Talaulikar and Tam 2016). Symptoms of this syndrome include visual problems (e.g., blurring or loss of vision) and neurological problems (e.g., headache, dizziness, vertigo). Bone marrow infiltration can lead to anaemia and thrombocytopenia, and some patients may present with fever, nights sweats and/or unexplained weight loss.</w:t>
      </w:r>
    </w:p>
    <w:p w:rsidR="00205FD7" w:rsidRPr="007F33F1" w:rsidRDefault="00205FD7" w:rsidP="0047221E">
      <w:pPr>
        <w:pStyle w:val="3-BodyText"/>
      </w:pPr>
      <w:r w:rsidRPr="007F33F1">
        <w:t>Given a lack of evidence that treatment of asymptomatic patients provides a survival benefit when compared with treatment at the time symptoms develop, patients are only treated once symptomatic, or if they present severe cytopenia or macroglobulinaemia. WM is not yet curable, but with modern therapies it has become an indolent disease with</w:t>
      </w:r>
      <w:r w:rsidR="005B16B5" w:rsidRPr="007F33F1">
        <w:t xml:space="preserve"> a</w:t>
      </w:r>
      <w:r w:rsidRPr="007F33F1">
        <w:t xml:space="preserve"> median survival over 10 years</w:t>
      </w:r>
      <w:r w:rsidR="00796F5A" w:rsidRPr="007F33F1">
        <w:t xml:space="preserve"> (Buske et al 2018, Brandefors et al 2018)</w:t>
      </w:r>
      <w:r w:rsidRPr="007F33F1">
        <w:t>. Many patients will die of causes other than WM, especially those diagnosed in older age. However, this is a heterogeneous group and outcomes are variable.</w:t>
      </w:r>
    </w:p>
    <w:p w:rsidR="00205FD7" w:rsidRPr="007F33F1" w:rsidRDefault="00BE77FA" w:rsidP="0047221E">
      <w:pPr>
        <w:pStyle w:val="3-BodyText"/>
      </w:pPr>
      <w:r w:rsidRPr="007F33F1">
        <w:t>Zanubrutinib</w:t>
      </w:r>
      <w:r w:rsidR="00205FD7" w:rsidRPr="007F33F1">
        <w:t xml:space="preserve"> is a highly selective small-molecule inhibitor of BTK, which is part of the B-cell receptor signalling pathway and plays a central role in B-cell proliferation and survival. </w:t>
      </w:r>
      <w:r w:rsidRPr="007F33F1">
        <w:t>Zanubrutinib</w:t>
      </w:r>
      <w:r w:rsidR="00205FD7" w:rsidRPr="007F33F1">
        <w:t xml:space="preserve"> is equipotent against BTK compared to </w:t>
      </w:r>
      <w:r w:rsidRPr="007F33F1">
        <w:t>ibrutinib</w:t>
      </w:r>
      <w:r w:rsidR="00205FD7" w:rsidRPr="007F33F1">
        <w:t xml:space="preserve"> but has shown greater selectivity for BTK and fewer off-target effects in multiple in vitro enzymatic and cell-based assays (Tam et al 2019).</w:t>
      </w:r>
    </w:p>
    <w:p w:rsidR="00205FD7" w:rsidRPr="007F33F1" w:rsidRDefault="00205FD7" w:rsidP="0047221E">
      <w:pPr>
        <w:pStyle w:val="3-BodyText"/>
      </w:pPr>
      <w:r w:rsidRPr="007F33F1">
        <w:t xml:space="preserve">The </w:t>
      </w:r>
      <w:r w:rsidR="004B1AD8" w:rsidRPr="007F33F1">
        <w:t xml:space="preserve">proposed </w:t>
      </w:r>
      <w:r w:rsidRPr="007F33F1">
        <w:t xml:space="preserve">total daily dose of </w:t>
      </w:r>
      <w:r w:rsidR="00BE77FA" w:rsidRPr="007F33F1">
        <w:t>zanubrutinib</w:t>
      </w:r>
      <w:r w:rsidRPr="007F33F1">
        <w:t xml:space="preserve"> is 320 mg (four 80 mg capsules) taken orally once daily, or 160 mg (two 80 mg capsules) taken orally twice daily until disease progression or unacceptable toxicity. This indefinite treatment durat</w:t>
      </w:r>
      <w:r w:rsidR="00ED73F1" w:rsidRPr="007F33F1">
        <w:t>ion is an important difference from</w:t>
      </w:r>
      <w:r w:rsidRPr="007F33F1">
        <w:t xml:space="preserve"> </w:t>
      </w:r>
      <w:r w:rsidR="00916B6C" w:rsidRPr="007F33F1">
        <w:t>chemo-immunotherapy</w:t>
      </w:r>
      <w:r w:rsidRPr="007F33F1">
        <w:t xml:space="preserve"> regimens, which are given as initial treatment with a fixed duration. </w:t>
      </w:r>
    </w:p>
    <w:p w:rsidR="00D93AFA" w:rsidRPr="007F33F1" w:rsidRDefault="00D93AFA" w:rsidP="0047221E">
      <w:pPr>
        <w:pStyle w:val="3-BodyText"/>
      </w:pPr>
      <w:r w:rsidRPr="007F33F1">
        <w:t>The submission suggested that patients in Australia receive either Rm (if unfit)</w:t>
      </w:r>
      <w:r w:rsidR="006A01AA" w:rsidRPr="007F33F1">
        <w:t>,</w:t>
      </w:r>
      <w:r w:rsidRPr="007F33F1">
        <w:t xml:space="preserve"> or a </w:t>
      </w:r>
      <w:r w:rsidR="00916B6C" w:rsidRPr="007F33F1">
        <w:t>chemo-immunotherapy</w:t>
      </w:r>
      <w:r w:rsidRPr="007F33F1">
        <w:t xml:space="preserve"> regimen (DRC (</w:t>
      </w:r>
      <w:bookmarkStart w:id="21" w:name="_Hlk78816312"/>
      <w:r w:rsidRPr="007F33F1">
        <w:t>dexamethasone+rituximab+cyclophosphamide</w:t>
      </w:r>
      <w:bookmarkEnd w:id="21"/>
      <w:r w:rsidRPr="007F33F1">
        <w:t>), BR (bendamustine+ rituximab) for transplant eligible patients, fludarabine+rituximab (FR), fludarabine+ cyclophosphamide+rituximab (FRC) or chlorambucil (for the frail and/or elderly)).</w:t>
      </w:r>
      <w:r w:rsidR="00776C03">
        <w:t xml:space="preserve"> </w:t>
      </w:r>
      <w:r w:rsidR="00DD24ED" w:rsidRPr="007F33F1">
        <w:t>F</w:t>
      </w:r>
      <w:r w:rsidRPr="007F33F1">
        <w:t xml:space="preserve">ludarabine should be avoided or used with caution in frontline treatment </w:t>
      </w:r>
      <w:r w:rsidR="008330E0" w:rsidRPr="007F33F1">
        <w:t>in transplant-</w:t>
      </w:r>
      <w:r w:rsidRPr="007F33F1">
        <w:t xml:space="preserve">eligible patients due to stem cell toxicity. In the R/R setting, </w:t>
      </w:r>
      <w:r w:rsidR="0089668B" w:rsidRPr="007F33F1">
        <w:t xml:space="preserve">the </w:t>
      </w:r>
      <w:r w:rsidRPr="007F33F1">
        <w:t>choice of subsequent treatment depends on prior success to previous rituximab-based regimen, with either a repeat or alternate rituximab-based regimen (if &gt;3 years since last rituximab based treatment), or alternate rituximab-based treatment (if between 1-3 years), or clinical trial (if &lt;12 months)</w:t>
      </w:r>
      <w:r w:rsidR="000146F9" w:rsidRPr="007F33F1">
        <w:t xml:space="preserve">. </w:t>
      </w:r>
      <w:r w:rsidRPr="007F33F1">
        <w:t xml:space="preserve">The submission positioned </w:t>
      </w:r>
      <w:r w:rsidR="00BE77FA" w:rsidRPr="007F33F1">
        <w:t>zanubrutinib</w:t>
      </w:r>
      <w:r w:rsidRPr="007F33F1">
        <w:t xml:space="preserve"> as an option for patients in 1L treatment if they are unfit for </w:t>
      </w:r>
      <w:r w:rsidR="00916B6C" w:rsidRPr="007F33F1">
        <w:t>chemo-immunotherapy</w:t>
      </w:r>
      <w:r w:rsidRPr="007F33F1">
        <w:t xml:space="preserve"> or as an alternative agent in the R/R setting.</w:t>
      </w:r>
    </w:p>
    <w:p w:rsidR="00D93AFA" w:rsidRPr="007F33F1" w:rsidRDefault="00D93AFA" w:rsidP="0047221E">
      <w:pPr>
        <w:pStyle w:val="3-BodyText"/>
      </w:pPr>
      <w:r w:rsidRPr="007F33F1">
        <w:t>The proposed clinical management algorithms were based on the</w:t>
      </w:r>
      <w:r w:rsidR="003C7086" w:rsidRPr="007F33F1">
        <w:t xml:space="preserve"> submission’s combination of</w:t>
      </w:r>
      <w:r w:rsidRPr="007F33F1">
        <w:t xml:space="preserve"> Australian (Talaulikar and Tam 2016) and international treatment guidelines (ESMO</w:t>
      </w:r>
      <w:r w:rsidR="00796F5A" w:rsidRPr="007F33F1">
        <w:t xml:space="preserve"> 2018</w:t>
      </w:r>
      <w:r w:rsidRPr="007F33F1">
        <w:t>, NCCN</w:t>
      </w:r>
      <w:r w:rsidR="00796F5A" w:rsidRPr="007F33F1">
        <w:t xml:space="preserve"> V1.</w:t>
      </w:r>
      <w:r w:rsidR="00CF637A" w:rsidRPr="007F33F1">
        <w:t>2017</w:t>
      </w:r>
      <w:r w:rsidR="00AD6CA7" w:rsidRPr="007F33F1">
        <w:t>, IWWM-8</w:t>
      </w:r>
      <w:r w:rsidR="00796F5A" w:rsidRPr="007F33F1">
        <w:t xml:space="preserve"> 2016</w:t>
      </w:r>
      <w:r w:rsidRPr="007F33F1">
        <w:t>) for WM, and are shown in the figures below.</w:t>
      </w:r>
    </w:p>
    <w:p w:rsidR="00D93AFA" w:rsidRPr="007F33F1" w:rsidRDefault="00D93AFA" w:rsidP="0047221E">
      <w:pPr>
        <w:pStyle w:val="TableFigureHeading"/>
      </w:pPr>
      <w:r w:rsidRPr="007F33F1">
        <w:t xml:space="preserve">Figure </w:t>
      </w:r>
      <w:r w:rsidR="00015997">
        <w:rPr>
          <w:noProof/>
        </w:rPr>
        <w:t>1</w:t>
      </w:r>
      <w:r w:rsidRPr="007F33F1">
        <w:t>: Proposed algorithm for first-line treatment of WM in Australia</w:t>
      </w:r>
    </w:p>
    <w:p w:rsidR="00D93AFA" w:rsidRPr="007F33F1" w:rsidRDefault="00D93AFA" w:rsidP="0047221E">
      <w:pPr>
        <w:pStyle w:val="TableFigureFooter"/>
      </w:pPr>
      <w:r w:rsidRPr="007F33F1">
        <w:rPr>
          <w:rFonts w:asciiTheme="minorHAnsi" w:hAnsiTheme="minorHAnsi"/>
          <w:b/>
          <w:noProof/>
          <w:szCs w:val="20"/>
        </w:rPr>
        <w:drawing>
          <wp:inline distT="0" distB="0" distL="0" distR="0" wp14:anchorId="661D07CD" wp14:editId="02C1385D">
            <wp:extent cx="4780230" cy="2418678"/>
            <wp:effectExtent l="0" t="0" r="1905" b="1270"/>
            <wp:docPr id="92" name="Picture 9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4827011" cy="2442348"/>
                    </a:xfrm>
                    <a:prstGeom prst="rect">
                      <a:avLst/>
                    </a:prstGeom>
                    <a:ln>
                      <a:noFill/>
                    </a:ln>
                    <a:extLst>
                      <a:ext uri="{53640926-AAD7-44D8-BBD7-CCE9431645EC}">
                        <a14:shadowObscured xmlns:a14="http://schemas.microsoft.com/office/drawing/2010/main"/>
                      </a:ext>
                    </a:extLst>
                  </pic:spPr>
                </pic:pic>
              </a:graphicData>
            </a:graphic>
          </wp:inline>
        </w:drawing>
      </w:r>
    </w:p>
    <w:p w:rsidR="00D93AFA" w:rsidRPr="007F33F1" w:rsidRDefault="00D93AFA" w:rsidP="0047221E">
      <w:pPr>
        <w:pStyle w:val="TableFigureFooter"/>
      </w:pPr>
      <w:r w:rsidRPr="007F33F1">
        <w:t>Source: Figure 1.4, p33 of the submission</w:t>
      </w:r>
      <w:r w:rsidR="00456ADE" w:rsidRPr="007F33F1">
        <w:t>.</w:t>
      </w:r>
    </w:p>
    <w:p w:rsidR="00D93AFA" w:rsidRPr="007F33F1" w:rsidRDefault="00D93AFA" w:rsidP="0047221E">
      <w:pPr>
        <w:pStyle w:val="TableFigureFooter"/>
      </w:pPr>
      <w:r w:rsidRPr="007F33F1">
        <w:t xml:space="preserve">* Fludarabine should be avoided or used with caution </w:t>
      </w:r>
    </w:p>
    <w:p w:rsidR="00D93AFA" w:rsidRPr="007F33F1" w:rsidRDefault="00D93AFA" w:rsidP="0047221E">
      <w:pPr>
        <w:pStyle w:val="TableFigureFooter"/>
      </w:pPr>
      <w:r w:rsidRPr="007F33F1">
        <w:t>BR=bendamustine+rituximab, DRC=dexamethasone, rituximab and cyclophosphamide</w:t>
      </w:r>
      <w:r w:rsidR="003F1CF6" w:rsidRPr="007F33F1">
        <w:t>,</w:t>
      </w:r>
      <w:r w:rsidRPr="007F33F1">
        <w:t xml:space="preserve"> FR=</w:t>
      </w:r>
      <w:r w:rsidRPr="007F33F1">
        <w:rPr>
          <w:szCs w:val="18"/>
        </w:rPr>
        <w:t xml:space="preserve"> fludarabine+rituximab, </w:t>
      </w:r>
      <w:r w:rsidRPr="007F33F1">
        <w:t>FCR=</w:t>
      </w:r>
      <w:r w:rsidRPr="007F33F1">
        <w:rPr>
          <w:szCs w:val="18"/>
        </w:rPr>
        <w:t xml:space="preserve"> fludarabine</w:t>
      </w:r>
      <w:r w:rsidRPr="007F33F1">
        <w:t xml:space="preserve">, </w:t>
      </w:r>
      <w:r w:rsidRPr="007F33F1">
        <w:rPr>
          <w:szCs w:val="18"/>
        </w:rPr>
        <w:t>cyclophosphamide and rituximab,</w:t>
      </w:r>
      <w:r w:rsidRPr="007F33F1">
        <w:t xml:space="preserve"> WM=</w:t>
      </w:r>
      <w:r w:rsidR="00796F5A" w:rsidRPr="007F33F1">
        <w:t>Waldenström</w:t>
      </w:r>
      <w:r w:rsidR="00456ADE" w:rsidRPr="007F33F1">
        <w:t xml:space="preserve"> macroglobulinaemia.</w:t>
      </w:r>
    </w:p>
    <w:p w:rsidR="00D93AFA" w:rsidRPr="007F33F1" w:rsidRDefault="00D93AFA" w:rsidP="0047221E">
      <w:pPr>
        <w:pStyle w:val="TableFigureHeading"/>
      </w:pPr>
      <w:r w:rsidRPr="007F33F1">
        <w:t xml:space="preserve">Figure </w:t>
      </w:r>
      <w:r w:rsidR="00015997">
        <w:rPr>
          <w:noProof/>
        </w:rPr>
        <w:t>2</w:t>
      </w:r>
      <w:r w:rsidRPr="007F33F1">
        <w:t xml:space="preserve">: Proposed algorithm for </w:t>
      </w:r>
      <w:r w:rsidR="00B22F31" w:rsidRPr="007F33F1">
        <w:t>relapsed/refractory</w:t>
      </w:r>
      <w:r w:rsidRPr="007F33F1">
        <w:t xml:space="preserve"> WM in Australia</w:t>
      </w:r>
    </w:p>
    <w:p w:rsidR="00D93AFA" w:rsidRPr="007F33F1" w:rsidRDefault="00D93AFA" w:rsidP="0047221E">
      <w:pPr>
        <w:pStyle w:val="In-tableHeading"/>
        <w:rPr>
          <w:lang w:val="en-AU"/>
        </w:rPr>
      </w:pPr>
      <w:r w:rsidRPr="007F33F1">
        <w:rPr>
          <w:rFonts w:asciiTheme="minorHAnsi" w:hAnsiTheme="minorHAnsi"/>
          <w:b w:val="0"/>
          <w:bCs/>
          <w:noProof/>
          <w:szCs w:val="20"/>
          <w:lang w:val="en-AU"/>
        </w:rPr>
        <w:drawing>
          <wp:inline distT="0" distB="0" distL="0" distR="0" wp14:anchorId="499C090C" wp14:editId="0213F339">
            <wp:extent cx="5142368" cy="2411995"/>
            <wp:effectExtent l="0" t="0" r="1270" b="7620"/>
            <wp:docPr id="91" name="Picture 9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timeline&#10;&#10;Description automatically generated"/>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161579" cy="2421006"/>
                    </a:xfrm>
                    <a:prstGeom prst="rect">
                      <a:avLst/>
                    </a:prstGeom>
                    <a:ln>
                      <a:noFill/>
                    </a:ln>
                    <a:extLst>
                      <a:ext uri="{53640926-AAD7-44D8-BBD7-CCE9431645EC}">
                        <a14:shadowObscured xmlns:a14="http://schemas.microsoft.com/office/drawing/2010/main"/>
                      </a:ext>
                    </a:extLst>
                  </pic:spPr>
                </pic:pic>
              </a:graphicData>
            </a:graphic>
          </wp:inline>
        </w:drawing>
      </w:r>
    </w:p>
    <w:p w:rsidR="00D93AFA" w:rsidRPr="007F33F1" w:rsidRDefault="00D93AFA" w:rsidP="0047221E">
      <w:pPr>
        <w:pStyle w:val="TableFigureFooter"/>
      </w:pPr>
      <w:r w:rsidRPr="007F33F1">
        <w:t>Source: Figure 1.6, p34 of the submission</w:t>
      </w:r>
      <w:r w:rsidR="00456ADE" w:rsidRPr="007F33F1">
        <w:t>.</w:t>
      </w:r>
    </w:p>
    <w:p w:rsidR="00D93AFA" w:rsidRPr="007F33F1" w:rsidRDefault="00D93AFA" w:rsidP="0047221E">
      <w:pPr>
        <w:pStyle w:val="TableFigureFooter"/>
      </w:pPr>
      <w:r w:rsidRPr="007F33F1">
        <w:t>R=rituximab, WM=</w:t>
      </w:r>
      <w:r w:rsidR="00B816F4" w:rsidRPr="007F33F1">
        <w:t>Waldenström</w:t>
      </w:r>
      <w:r w:rsidRPr="007F33F1">
        <w:t xml:space="preserve"> macroglobulinaemia</w:t>
      </w:r>
      <w:r w:rsidR="00456ADE" w:rsidRPr="007F33F1">
        <w:t>.</w:t>
      </w:r>
    </w:p>
    <w:p w:rsidR="00205FD7" w:rsidRPr="007F33F1" w:rsidRDefault="00205FD7" w:rsidP="0047221E">
      <w:pPr>
        <w:pStyle w:val="3-BodyText"/>
        <w:rPr>
          <w:i/>
          <w:iCs/>
        </w:rPr>
      </w:pPr>
      <w:bookmarkStart w:id="22" w:name="_Ref79605858"/>
      <w:r w:rsidRPr="007F33F1">
        <w:rPr>
          <w:iCs/>
        </w:rPr>
        <w:t xml:space="preserve">All the therapy combinations in the </w:t>
      </w:r>
      <w:r w:rsidR="00B22F31" w:rsidRPr="007F33F1">
        <w:rPr>
          <w:iCs/>
        </w:rPr>
        <w:t xml:space="preserve">R/R </w:t>
      </w:r>
      <w:r w:rsidRPr="007F33F1">
        <w:rPr>
          <w:iCs/>
        </w:rPr>
        <w:t>clinical management algorithm included rituximab</w:t>
      </w:r>
      <w:r w:rsidR="005C0C84" w:rsidRPr="007F33F1">
        <w:rPr>
          <w:iCs/>
        </w:rPr>
        <w:t>, as</w:t>
      </w:r>
      <w:r w:rsidR="00E16705" w:rsidRPr="007F33F1">
        <w:rPr>
          <w:iCs/>
        </w:rPr>
        <w:t xml:space="preserve"> it is the chemotherapy backbone which confers resistance not the rituximab. </w:t>
      </w:r>
      <w:r w:rsidR="000146F9" w:rsidRPr="007F33F1">
        <w:rPr>
          <w:iCs/>
        </w:rPr>
        <w:t xml:space="preserve">In R/R patients, high dose chemotherapy followed by autologous stem cell transplant (ASCT) is another option in </w:t>
      </w:r>
      <w:r w:rsidR="00E16705" w:rsidRPr="007F33F1">
        <w:rPr>
          <w:iCs/>
        </w:rPr>
        <w:t xml:space="preserve">a small proportion of </w:t>
      </w:r>
      <w:r w:rsidR="000146F9" w:rsidRPr="007F33F1">
        <w:rPr>
          <w:iCs/>
        </w:rPr>
        <w:t>patients with good fitness, but this was not depicted in the submission’s algorithms.</w:t>
      </w:r>
      <w:r w:rsidR="00E140B7" w:rsidRPr="007F33F1">
        <w:rPr>
          <w:iCs/>
        </w:rPr>
        <w:t xml:space="preserve"> </w:t>
      </w:r>
      <w:r w:rsidRPr="007F33F1">
        <w:rPr>
          <w:iCs/>
        </w:rPr>
        <w:t>Chemotherapy alone is also recommended as an option in the R/R population by the ESMO guidelines</w:t>
      </w:r>
      <w:r w:rsidR="00E16705" w:rsidRPr="007F33F1">
        <w:rPr>
          <w:iCs/>
        </w:rPr>
        <w:t xml:space="preserve"> but is rarely used in practice in Australia</w:t>
      </w:r>
      <w:r w:rsidR="003373C7" w:rsidRPr="007F33F1">
        <w:rPr>
          <w:iCs/>
        </w:rPr>
        <w:t xml:space="preserve">. Bortezomib is suggested as an option </w:t>
      </w:r>
      <w:r w:rsidR="002C6427" w:rsidRPr="007F33F1">
        <w:rPr>
          <w:iCs/>
        </w:rPr>
        <w:t>by</w:t>
      </w:r>
      <w:r w:rsidR="003373C7" w:rsidRPr="007F33F1">
        <w:rPr>
          <w:iCs/>
        </w:rPr>
        <w:t xml:space="preserve"> the Australian guidelines for TN patients with high IgM, although it </w:t>
      </w:r>
      <w:r w:rsidR="002C6427" w:rsidRPr="007F33F1">
        <w:rPr>
          <w:iCs/>
        </w:rPr>
        <w:t>is</w:t>
      </w:r>
      <w:r w:rsidR="003373C7" w:rsidRPr="007F33F1">
        <w:rPr>
          <w:iCs/>
        </w:rPr>
        <w:t xml:space="preserve"> contraindicated for patients with unresolved neuropathy</w:t>
      </w:r>
      <w:r w:rsidRPr="007F33F1">
        <w:rPr>
          <w:iCs/>
        </w:rPr>
        <w:t xml:space="preserve">. </w:t>
      </w:r>
      <w:r w:rsidR="002C6427" w:rsidRPr="007F33F1">
        <w:rPr>
          <w:iCs/>
        </w:rPr>
        <w:t>Australian guidelines recommend patients with indolent relapse of WM can be observed without active therapy.</w:t>
      </w:r>
      <w:r w:rsidR="00E16705" w:rsidRPr="007F33F1">
        <w:rPr>
          <w:iCs/>
        </w:rPr>
        <w:t xml:space="preserve"> Currently patients who meet criteria for treatment at relapse will be treated with chemo-rituximab with consideration of change of chemo</w:t>
      </w:r>
      <w:r w:rsidR="00B22F31" w:rsidRPr="007F33F1">
        <w:rPr>
          <w:iCs/>
        </w:rPr>
        <w:t>therapy</w:t>
      </w:r>
      <w:r w:rsidR="00E16705" w:rsidRPr="007F33F1">
        <w:rPr>
          <w:iCs/>
        </w:rPr>
        <w:t xml:space="preserve"> backbone if time in first remission is short or toxicity is a consideration.</w:t>
      </w:r>
      <w:r w:rsidR="00EF2438" w:rsidRPr="007F33F1">
        <w:rPr>
          <w:iCs/>
        </w:rPr>
        <w:t xml:space="preserve"> </w:t>
      </w:r>
      <w:bookmarkEnd w:id="22"/>
    </w:p>
    <w:p w:rsidR="00CE7CCF" w:rsidRPr="007F33F1" w:rsidRDefault="00CE7CCF" w:rsidP="0047221E">
      <w:pPr>
        <w:pStyle w:val="3-BodyText"/>
        <w:rPr>
          <w:i/>
          <w:iCs/>
        </w:rPr>
      </w:pPr>
      <w:r w:rsidRPr="007F33F1">
        <w:t xml:space="preserve">The PBAC noted that NCCN Guidelines Version 1.2022 WM/Lymphoplasmacytic Lymphoma (LPL) were recently updated to include zanubrutinib as a preferred regimen for the primary therapy of WM/LPL along with </w:t>
      </w:r>
      <w:r w:rsidR="00B66918" w:rsidRPr="007F33F1">
        <w:t>BR</w:t>
      </w:r>
      <w:r w:rsidRPr="007F33F1">
        <w:t xml:space="preserve">, bortezomib/dexamethasone/rituximab, ibrutinib ± rituximab, and </w:t>
      </w:r>
      <w:r w:rsidR="00B66918" w:rsidRPr="007F33F1">
        <w:t>DRC. Zanubrutinib was also added as a preferred regimen for previously treated WM/LPL.</w:t>
      </w:r>
    </w:p>
    <w:p w:rsidR="00205FD7" w:rsidRPr="007F33F1" w:rsidRDefault="00205FD7" w:rsidP="0047221E">
      <w:pPr>
        <w:pStyle w:val="2-SectionHeading"/>
      </w:pPr>
      <w:bookmarkStart w:id="23" w:name="_Toc71450280"/>
      <w:bookmarkStart w:id="24" w:name="_Toc72421785"/>
      <w:r w:rsidRPr="007F33F1">
        <w:t>Comparator</w:t>
      </w:r>
      <w:bookmarkEnd w:id="23"/>
      <w:bookmarkEnd w:id="24"/>
    </w:p>
    <w:p w:rsidR="00205FD7" w:rsidRPr="007F33F1" w:rsidRDefault="00205FD7" w:rsidP="0047221E">
      <w:pPr>
        <w:pStyle w:val="3-BodyText"/>
        <w:rPr>
          <w:snapToGrid/>
        </w:rPr>
      </w:pPr>
      <w:r w:rsidRPr="007F33F1">
        <w:rPr>
          <w:snapToGrid/>
        </w:rPr>
        <w:t xml:space="preserve">The submission nominated separate comparators for each requested population: Rm for TN patients unsuitable for </w:t>
      </w:r>
      <w:r w:rsidR="00916B6C" w:rsidRPr="007F33F1">
        <w:rPr>
          <w:snapToGrid/>
        </w:rPr>
        <w:t>chemo-immunotherapy</w:t>
      </w:r>
      <w:r w:rsidRPr="007F33F1">
        <w:rPr>
          <w:snapToGrid/>
        </w:rPr>
        <w:t xml:space="preserve"> and BR for the R/R population. </w:t>
      </w:r>
    </w:p>
    <w:p w:rsidR="00F47597" w:rsidRPr="007F33F1" w:rsidRDefault="00F47597" w:rsidP="0047221E">
      <w:pPr>
        <w:pStyle w:val="3-BodyText"/>
        <w:rPr>
          <w:snapToGrid/>
        </w:rPr>
      </w:pPr>
      <w:r w:rsidRPr="007F33F1">
        <w:rPr>
          <w:snapToGrid/>
        </w:rPr>
        <w:t>For the TN population, the submission argued that Rm was the most appropriate comparator because it was:</w:t>
      </w:r>
    </w:p>
    <w:p w:rsidR="00F47597" w:rsidRPr="007F33F1" w:rsidRDefault="00F47597" w:rsidP="0047221E">
      <w:pPr>
        <w:pStyle w:val="ListParagraph"/>
        <w:ind w:left="1077" w:hanging="357"/>
      </w:pPr>
      <w:r w:rsidRPr="007F33F1">
        <w:t xml:space="preserve">Listed in the Australian Clinical Practice Guidelines for WM as a </w:t>
      </w:r>
      <w:r w:rsidR="00F25B93" w:rsidRPr="007F33F1">
        <w:t>1L</w:t>
      </w:r>
      <w:r w:rsidRPr="007F33F1">
        <w:t xml:space="preserve"> therapy suitable in patients unable to tolerate </w:t>
      </w:r>
      <w:r w:rsidR="00916B6C" w:rsidRPr="007F33F1">
        <w:t>chemo-immunotherapy</w:t>
      </w:r>
      <w:r w:rsidRPr="007F33F1">
        <w:t xml:space="preserve"> (Talaulikar and Tam 2016);</w:t>
      </w:r>
    </w:p>
    <w:p w:rsidR="00F47597" w:rsidRPr="007F33F1" w:rsidRDefault="00F47597" w:rsidP="0047221E">
      <w:pPr>
        <w:pStyle w:val="ListParagraph"/>
        <w:ind w:left="1077" w:hanging="357"/>
      </w:pPr>
      <w:r w:rsidRPr="007F33F1">
        <w:t xml:space="preserve">Prescribed by Australian haematologists in clinical practice at the highest rates compared to other </w:t>
      </w:r>
      <w:r w:rsidR="00F25B93" w:rsidRPr="007F33F1">
        <w:t>1L</w:t>
      </w:r>
      <w:r w:rsidRPr="007F33F1">
        <w:t xml:space="preserve"> therapies in </w:t>
      </w:r>
      <w:r w:rsidR="00EC28C2" w:rsidRPr="007F33F1">
        <w:t>patients</w:t>
      </w:r>
      <w:r w:rsidR="00601195" w:rsidRPr="007F33F1">
        <w:t xml:space="preserve"> who are</w:t>
      </w:r>
      <w:r w:rsidR="00EC28C2" w:rsidRPr="007F33F1">
        <w:t xml:space="preserve"> ineligible/</w:t>
      </w:r>
      <w:r w:rsidR="00601195" w:rsidRPr="007F33F1">
        <w:t xml:space="preserve"> who would not be appropriately treated with </w:t>
      </w:r>
      <w:r w:rsidR="00EC28C2" w:rsidRPr="007F33F1">
        <w:t xml:space="preserve">standard PBS-listed </w:t>
      </w:r>
      <w:r w:rsidR="00916B6C" w:rsidRPr="007F33F1">
        <w:t>chemo-immunotherapy</w:t>
      </w:r>
      <w:r w:rsidR="00FE4A04" w:rsidRPr="007F33F1">
        <w:t>,</w:t>
      </w:r>
      <w:r w:rsidRPr="007F33F1">
        <w:t xml:space="preserve"> based on the sponsor’s </w:t>
      </w:r>
      <w:r w:rsidR="007C43BC" w:rsidRPr="007F33F1">
        <w:t>clinician</w:t>
      </w:r>
      <w:r w:rsidRPr="007F33F1">
        <w:t xml:space="preserve"> survey performed in Australia (n=26);</w:t>
      </w:r>
      <w:r w:rsidR="00681665">
        <w:t xml:space="preserve"> and</w:t>
      </w:r>
    </w:p>
    <w:p w:rsidR="00F47597" w:rsidRPr="007F33F1" w:rsidRDefault="00F47597" w:rsidP="0047221E">
      <w:pPr>
        <w:pStyle w:val="ListParagraph"/>
        <w:ind w:left="1077" w:hanging="357"/>
      </w:pPr>
      <w:r w:rsidRPr="007F33F1">
        <w:t xml:space="preserve">The second most used front-line therapy after BR </w:t>
      </w:r>
      <w:r w:rsidR="002523C9" w:rsidRPr="007F33F1">
        <w:t>in the</w:t>
      </w:r>
      <w:r w:rsidRPr="007F33F1">
        <w:t xml:space="preserve"> international WhiMSICAL registry data.</w:t>
      </w:r>
    </w:p>
    <w:p w:rsidR="00A464E1" w:rsidRPr="007F33F1" w:rsidRDefault="00A464E1" w:rsidP="0047221E">
      <w:pPr>
        <w:pStyle w:val="3-BodyText"/>
      </w:pPr>
      <w:r w:rsidRPr="007F33F1">
        <w:t xml:space="preserve">The </w:t>
      </w:r>
      <w:r w:rsidR="00CC7270" w:rsidRPr="007F33F1">
        <w:t>s</w:t>
      </w:r>
      <w:r w:rsidR="00CC768C" w:rsidRPr="007F33F1">
        <w:t xml:space="preserve">ponsor’s </w:t>
      </w:r>
      <w:r w:rsidRPr="007F33F1">
        <w:t>clinician survey indicated that other therapies used in this setting were: obinutuzumab monotherapy, chlorambucil monotherapy, rituximab+chlorambucil, and</w:t>
      </w:r>
      <w:r w:rsidR="00D80FF3" w:rsidRPr="007F33F1">
        <w:t xml:space="preserve"> </w:t>
      </w:r>
      <w:r w:rsidR="00BE77FA" w:rsidRPr="007F33F1">
        <w:t>ibrutinib</w:t>
      </w:r>
      <w:r w:rsidRPr="007F33F1">
        <w:t>.</w:t>
      </w:r>
      <w:r w:rsidR="00DB3460" w:rsidRPr="007F33F1">
        <w:t xml:space="preserve"> </w:t>
      </w:r>
      <w:r w:rsidR="00C2545A" w:rsidRPr="007F33F1">
        <w:t>Rm</w:t>
      </w:r>
      <w:r w:rsidR="00AF21E6" w:rsidRPr="007F33F1">
        <w:t xml:space="preserve"> </w:t>
      </w:r>
      <w:r w:rsidR="00916A9E" w:rsidRPr="007F33F1">
        <w:t>is not PBS-</w:t>
      </w:r>
      <w:r w:rsidR="00AF21E6" w:rsidRPr="007F33F1">
        <w:t>subsidised for use</w:t>
      </w:r>
      <w:r w:rsidR="00916A9E" w:rsidRPr="007F33F1">
        <w:t xml:space="preserve"> in patients with WM (only in combination with chemotherapy, for previously untreated or R/R</w:t>
      </w:r>
      <w:r w:rsidR="006A233A" w:rsidRPr="007F33F1">
        <w:t xml:space="preserve"> CD20 positive lymphoid cancer), neither is obinutuzumab monotherapy or</w:t>
      </w:r>
      <w:r w:rsidR="00D80FF3" w:rsidRPr="007F33F1">
        <w:t xml:space="preserve"> </w:t>
      </w:r>
      <w:r w:rsidR="00BE77FA" w:rsidRPr="007F33F1">
        <w:t>ibrutinib</w:t>
      </w:r>
      <w:r w:rsidR="006A233A" w:rsidRPr="007F33F1">
        <w:t>.</w:t>
      </w:r>
      <w:r w:rsidR="00916A9E" w:rsidRPr="007F33F1">
        <w:t xml:space="preserve"> </w:t>
      </w:r>
      <w:r w:rsidR="00D80FF3" w:rsidRPr="007F33F1">
        <w:t>C</w:t>
      </w:r>
      <w:r w:rsidR="00DB3460" w:rsidRPr="007F33F1">
        <w:t>hlorambucil</w:t>
      </w:r>
      <w:r w:rsidR="006A233A" w:rsidRPr="007F33F1">
        <w:t xml:space="preserve"> </w:t>
      </w:r>
      <w:r w:rsidR="00D80FF3" w:rsidRPr="007F33F1">
        <w:t>is a chemotherapy</w:t>
      </w:r>
      <w:r w:rsidR="00C2545A" w:rsidRPr="007F33F1">
        <w:t>,</w:t>
      </w:r>
      <w:r w:rsidR="00D80FF3" w:rsidRPr="007F33F1">
        <w:t xml:space="preserve"> so does</w:t>
      </w:r>
      <w:r w:rsidR="00C2545A" w:rsidRPr="007F33F1">
        <w:t xml:space="preserve"> not</w:t>
      </w:r>
      <w:r w:rsidR="00D80FF3" w:rsidRPr="007F33F1">
        <w:t xml:space="preserve"> fit the </w:t>
      </w:r>
      <w:r w:rsidR="00C2545A" w:rsidRPr="007F33F1">
        <w:t>indication</w:t>
      </w:r>
      <w:r w:rsidR="000146F9" w:rsidRPr="007F33F1">
        <w:t xml:space="preserve"> of use in</w:t>
      </w:r>
      <w:r w:rsidR="00D80FF3" w:rsidRPr="007F33F1">
        <w:t xml:space="preserve"> patients who are </w:t>
      </w:r>
      <w:r w:rsidR="00916B6C" w:rsidRPr="007F33F1">
        <w:t>chemo-immunotherapy</w:t>
      </w:r>
      <w:r w:rsidR="00D80FF3" w:rsidRPr="007F33F1">
        <w:t xml:space="preserve"> ‘unsuitable’</w:t>
      </w:r>
      <w:r w:rsidR="00DE0286" w:rsidRPr="007F33F1">
        <w:t xml:space="preserve">. </w:t>
      </w:r>
      <w:r w:rsidRPr="007F33F1">
        <w:t xml:space="preserve">In </w:t>
      </w:r>
      <w:r w:rsidR="002D1BE8" w:rsidRPr="007F33F1">
        <w:t xml:space="preserve">the </w:t>
      </w:r>
      <w:r w:rsidR="00FE4A04" w:rsidRPr="007F33F1">
        <w:t>f</w:t>
      </w:r>
      <w:r w:rsidR="002D1BE8" w:rsidRPr="007F33F1">
        <w:t xml:space="preserve">inancial </w:t>
      </w:r>
      <w:r w:rsidR="00FE4A04" w:rsidRPr="007F33F1">
        <w:t>e</w:t>
      </w:r>
      <w:r w:rsidR="002D1BE8" w:rsidRPr="007F33F1">
        <w:t>stimates</w:t>
      </w:r>
      <w:r w:rsidRPr="007F33F1">
        <w:t xml:space="preserve">, based on results from the clinician survey for the TN population, </w:t>
      </w:r>
      <w:r w:rsidR="00BE77FA" w:rsidRPr="007F33F1">
        <w:t>zanubrutinib</w:t>
      </w:r>
      <w:r w:rsidR="0087437D" w:rsidRPr="007F33F1">
        <w:t xml:space="preserve"> was</w:t>
      </w:r>
      <w:r w:rsidRPr="007F33F1">
        <w:t xml:space="preserve"> assumed to substitute for PBS items related to</w:t>
      </w:r>
      <w:r w:rsidR="007953C2" w:rsidRPr="007F33F1">
        <w:t xml:space="preserve"> Rm</w:t>
      </w:r>
      <w:r w:rsidRPr="007F33F1">
        <w:t>, chlorambucil monotherapy, and rituximab+chlorambucil</w:t>
      </w:r>
      <w:r w:rsidR="000146F9" w:rsidRPr="007F33F1">
        <w:t>.</w:t>
      </w:r>
      <w:r w:rsidR="00250A84" w:rsidRPr="007F33F1">
        <w:t xml:space="preserve"> </w:t>
      </w:r>
    </w:p>
    <w:p w:rsidR="00916A9E" w:rsidRPr="007F33F1" w:rsidRDefault="00916A9E" w:rsidP="0047221E">
      <w:pPr>
        <w:pStyle w:val="3-BodyText"/>
        <w:rPr>
          <w:iCs/>
        </w:rPr>
      </w:pPr>
      <w:r w:rsidRPr="007F33F1">
        <w:t xml:space="preserve">The </w:t>
      </w:r>
      <w:r w:rsidR="00145220" w:rsidRPr="007F33F1">
        <w:t>only therapy recommended for use</w:t>
      </w:r>
      <w:r w:rsidRPr="007F33F1">
        <w:t xml:space="preserve"> in </w:t>
      </w:r>
      <w:r w:rsidR="00E61645" w:rsidRPr="007F33F1">
        <w:t xml:space="preserve">TN patients unable to tolerate </w:t>
      </w:r>
      <w:r w:rsidR="00916B6C" w:rsidRPr="007F33F1">
        <w:t>chemo-immunotherapy</w:t>
      </w:r>
      <w:r w:rsidR="00145220" w:rsidRPr="007F33F1">
        <w:t xml:space="preserve"> in the Australian guidelines is Rm</w:t>
      </w:r>
      <w:r w:rsidR="00E61645" w:rsidRPr="007F33F1">
        <w:t xml:space="preserve">. The European guidelines (ESMO) also recommend single-agent chemotherapy (e.g. chlorambucil or fludarabine) </w:t>
      </w:r>
      <w:r w:rsidR="00145220" w:rsidRPr="007F33F1">
        <w:t>as well as</w:t>
      </w:r>
      <w:r w:rsidR="00E61645" w:rsidRPr="007F33F1">
        <w:t xml:space="preserve"> bortezomib+rituximab for patients considered “medically non-fit”, although these patients are not described as “unsuitable to </w:t>
      </w:r>
      <w:r w:rsidR="00916B6C" w:rsidRPr="007F33F1">
        <w:t>chemo-immunotherapy</w:t>
      </w:r>
      <w:r w:rsidR="00E61645" w:rsidRPr="007F33F1">
        <w:t>”</w:t>
      </w:r>
      <w:r w:rsidR="002764C5" w:rsidRPr="007F33F1">
        <w:t xml:space="preserve">. </w:t>
      </w:r>
      <w:r w:rsidRPr="007F33F1">
        <w:t xml:space="preserve">In addition, </w:t>
      </w:r>
      <w:r w:rsidR="0021542A" w:rsidRPr="007F33F1">
        <w:t xml:space="preserve">Australian </w:t>
      </w:r>
      <w:r w:rsidR="002764C5" w:rsidRPr="007F33F1">
        <w:t xml:space="preserve">and IWWM-8 </w:t>
      </w:r>
      <w:r w:rsidR="0021542A" w:rsidRPr="007F33F1">
        <w:t xml:space="preserve">guidelines recommend </w:t>
      </w:r>
      <w:r w:rsidRPr="007F33F1">
        <w:t xml:space="preserve">Rm </w:t>
      </w:r>
      <w:r w:rsidR="0021542A" w:rsidRPr="007F33F1">
        <w:t>should be avoided</w:t>
      </w:r>
      <w:r w:rsidRPr="007F33F1">
        <w:t xml:space="preserve"> for </w:t>
      </w:r>
      <w:r w:rsidR="004B045D" w:rsidRPr="007F33F1">
        <w:t>the subset</w:t>
      </w:r>
      <w:r w:rsidR="004B045D" w:rsidRPr="007F33F1">
        <w:rPr>
          <w:iCs/>
        </w:rPr>
        <w:t xml:space="preserve"> of patients with high IgM </w:t>
      </w:r>
      <w:r w:rsidRPr="007F33F1">
        <w:rPr>
          <w:iCs/>
        </w:rPr>
        <w:t>due to the risk of “IgM flare</w:t>
      </w:r>
      <w:r w:rsidR="00681665" w:rsidRPr="007F33F1">
        <w:rPr>
          <w:iCs/>
        </w:rPr>
        <w:t>” and</w:t>
      </w:r>
      <w:r w:rsidR="0021542A" w:rsidRPr="007F33F1">
        <w:rPr>
          <w:iCs/>
        </w:rPr>
        <w:t xml:space="preserve"> recommend plasmapheresis in patients with IgM &gt;4</w:t>
      </w:r>
      <w:r w:rsidR="00DA745C" w:rsidRPr="007F33F1">
        <w:rPr>
          <w:iCs/>
        </w:rPr>
        <w:t> </w:t>
      </w:r>
      <w:r w:rsidR="0021542A" w:rsidRPr="007F33F1">
        <w:rPr>
          <w:iCs/>
        </w:rPr>
        <w:t>g/L before planned rituximab therapy.</w:t>
      </w:r>
      <w:r w:rsidR="00250A84" w:rsidRPr="007F33F1">
        <w:rPr>
          <w:iCs/>
        </w:rPr>
        <w:t xml:space="preserve"> </w:t>
      </w:r>
      <w:r w:rsidR="00D336DA" w:rsidRPr="007F33F1">
        <w:rPr>
          <w:iCs/>
        </w:rPr>
        <w:t>The ESC considered that Rm was an appropriate comparato</w:t>
      </w:r>
      <w:r w:rsidR="009B7FC8" w:rsidRPr="007F33F1">
        <w:rPr>
          <w:iCs/>
        </w:rPr>
        <w:t xml:space="preserve">r for this patient population. </w:t>
      </w:r>
      <w:r w:rsidR="00E52967" w:rsidRPr="007F33F1">
        <w:rPr>
          <w:iCs/>
        </w:rPr>
        <w:t>The ESC considered that although not PBS listed for use in WM, Rm was likely still used in clinical practice in TN patients who may not tolerate standard chemo-immunotherapy</w:t>
      </w:r>
      <w:r w:rsidR="00D336DA" w:rsidRPr="007F33F1">
        <w:rPr>
          <w:iCs/>
        </w:rPr>
        <w:t xml:space="preserve">. </w:t>
      </w:r>
      <w:r w:rsidR="009B7FC8" w:rsidRPr="007F33F1">
        <w:rPr>
          <w:iCs/>
        </w:rPr>
        <w:t xml:space="preserve">The ESC also considered that </w:t>
      </w:r>
      <w:r w:rsidR="00135A85" w:rsidRPr="007F33F1">
        <w:rPr>
          <w:iCs/>
        </w:rPr>
        <w:t xml:space="preserve">rituximab and bendamustine, </w:t>
      </w:r>
      <w:r w:rsidR="009B7FC8" w:rsidRPr="007F33F1">
        <w:rPr>
          <w:iCs/>
        </w:rPr>
        <w:t>rituximab,</w:t>
      </w:r>
      <w:r w:rsidR="00135A85" w:rsidRPr="007F33F1">
        <w:rPr>
          <w:iCs/>
        </w:rPr>
        <w:t xml:space="preserve"> </w:t>
      </w:r>
      <w:r w:rsidR="009B7FC8" w:rsidRPr="007F33F1">
        <w:rPr>
          <w:iCs/>
        </w:rPr>
        <w:t>cyclophosphamide and prednisolone (R-CP)</w:t>
      </w:r>
      <w:r w:rsidR="00A06BDA" w:rsidRPr="007F33F1">
        <w:rPr>
          <w:iCs/>
        </w:rPr>
        <w:t xml:space="preserve"> and rituximab, cyclophosphamide, vincristine and prednisolone (R-CVP) were appropriate comparators</w:t>
      </w:r>
      <w:r w:rsidR="00135A85" w:rsidRPr="007F33F1">
        <w:rPr>
          <w:iCs/>
        </w:rPr>
        <w:t>,</w:t>
      </w:r>
      <w:r w:rsidR="00A06BDA" w:rsidRPr="007F33F1">
        <w:rPr>
          <w:iCs/>
        </w:rPr>
        <w:t xml:space="preserve"> noting these therapies are often given with</w:t>
      </w:r>
      <w:r w:rsidR="00B34AFB" w:rsidRPr="007F33F1">
        <w:rPr>
          <w:iCs/>
        </w:rPr>
        <w:t xml:space="preserve"> dose reductions in this patient population. </w:t>
      </w:r>
    </w:p>
    <w:p w:rsidR="00624869" w:rsidRPr="007F33F1" w:rsidRDefault="00624869" w:rsidP="0047221E">
      <w:pPr>
        <w:pStyle w:val="3-BodyText"/>
        <w:rPr>
          <w:iCs/>
        </w:rPr>
      </w:pPr>
      <w:r w:rsidRPr="007F33F1">
        <w:rPr>
          <w:iCs/>
        </w:rPr>
        <w:t>The submission nominated BR combination therapy as the main comparator for the R/R population, using it as proxy for any treatment in this setting, arguing that:</w:t>
      </w:r>
    </w:p>
    <w:p w:rsidR="00624869" w:rsidRPr="007F33F1" w:rsidRDefault="00624869" w:rsidP="0047221E">
      <w:pPr>
        <w:pStyle w:val="ListParagraph"/>
        <w:ind w:left="1134"/>
        <w:rPr>
          <w:iCs/>
        </w:rPr>
      </w:pPr>
      <w:r w:rsidRPr="007F33F1">
        <w:rPr>
          <w:iCs/>
        </w:rPr>
        <w:t xml:space="preserve">Current evidence suggests that BR is the most common treatment used (aside from the non-PBS listed </w:t>
      </w:r>
      <w:r w:rsidR="00BE77FA" w:rsidRPr="007F33F1">
        <w:rPr>
          <w:iCs/>
        </w:rPr>
        <w:t>ibrutinib</w:t>
      </w:r>
      <w:r w:rsidRPr="007F33F1">
        <w:rPr>
          <w:iCs/>
        </w:rPr>
        <w:t xml:space="preserve">). </w:t>
      </w:r>
      <w:r w:rsidR="00312B4A" w:rsidRPr="007F33F1">
        <w:rPr>
          <w:iCs/>
        </w:rPr>
        <w:t xml:space="preserve">The submission stated that the </w:t>
      </w:r>
      <w:r w:rsidR="000146F9" w:rsidRPr="007F33F1">
        <w:rPr>
          <w:iCs/>
        </w:rPr>
        <w:t>s</w:t>
      </w:r>
      <w:r w:rsidR="00312B4A" w:rsidRPr="007F33F1">
        <w:rPr>
          <w:iCs/>
        </w:rPr>
        <w:t>ponsor’s</w:t>
      </w:r>
      <w:r w:rsidRPr="007F33F1">
        <w:rPr>
          <w:iCs/>
        </w:rPr>
        <w:t xml:space="preserve"> clinician survey</w:t>
      </w:r>
      <w:r w:rsidR="00312B4A" w:rsidRPr="007F33F1">
        <w:rPr>
          <w:iCs/>
        </w:rPr>
        <w:t xml:space="preserve"> indicated that</w:t>
      </w:r>
      <w:r w:rsidRPr="007F33F1">
        <w:rPr>
          <w:iCs/>
        </w:rPr>
        <w:t xml:space="preserve"> </w:t>
      </w:r>
      <w:r w:rsidR="00BE77FA" w:rsidRPr="007F33F1">
        <w:rPr>
          <w:iCs/>
        </w:rPr>
        <w:t>ibrutinib</w:t>
      </w:r>
      <w:r w:rsidRPr="007F33F1">
        <w:rPr>
          <w:iCs/>
        </w:rPr>
        <w:t xml:space="preserve"> monotherapy was received by 32% of patients, followed by BR at 25%, DRC at 14%, and FCR </w:t>
      </w:r>
      <w:r w:rsidR="00D204FA" w:rsidRPr="007F33F1">
        <w:rPr>
          <w:iCs/>
        </w:rPr>
        <w:t xml:space="preserve">(fludarabine+ cyclophosphamide +rituximab) </w:t>
      </w:r>
      <w:r w:rsidRPr="007F33F1">
        <w:rPr>
          <w:iCs/>
        </w:rPr>
        <w:t>at 5%</w:t>
      </w:r>
      <w:r w:rsidR="00312B4A" w:rsidRPr="007F33F1">
        <w:rPr>
          <w:iCs/>
        </w:rPr>
        <w:t xml:space="preserve">, although these percentages could not be </w:t>
      </w:r>
      <w:r w:rsidR="00050B93" w:rsidRPr="007F33F1">
        <w:rPr>
          <w:iCs/>
        </w:rPr>
        <w:t xml:space="preserve">verified </w:t>
      </w:r>
      <w:r w:rsidR="00312B4A" w:rsidRPr="007F33F1">
        <w:rPr>
          <w:iCs/>
        </w:rPr>
        <w:t>from the survey results presented.</w:t>
      </w:r>
      <w:r w:rsidR="00BE3059" w:rsidRPr="007F33F1">
        <w:rPr>
          <w:iCs/>
        </w:rPr>
        <w:t xml:space="preserve"> </w:t>
      </w:r>
      <w:r w:rsidR="00EB50A2" w:rsidRPr="007F33F1">
        <w:rPr>
          <w:iCs/>
        </w:rPr>
        <w:t>The ESC noted that DRC is the recommended treatment in Australian treatment guidelines and generally has a more tolerable safety profile than BR, and hence considered it would be widely used in clinical practice.</w:t>
      </w:r>
    </w:p>
    <w:p w:rsidR="00624869" w:rsidRPr="007F33F1" w:rsidRDefault="00624869" w:rsidP="0047221E">
      <w:pPr>
        <w:pStyle w:val="ListParagraph"/>
        <w:ind w:left="1077" w:hanging="357"/>
        <w:rPr>
          <w:iCs/>
        </w:rPr>
      </w:pPr>
      <w:r w:rsidRPr="007F33F1">
        <w:rPr>
          <w:iCs/>
        </w:rPr>
        <w:t>BR is considered relatively effective and safe compared to other second-line options that</w:t>
      </w:r>
      <w:r w:rsidR="001C6F4D" w:rsidRPr="007F33F1">
        <w:rPr>
          <w:iCs/>
        </w:rPr>
        <w:t xml:space="preserve"> are available through the PBS.</w:t>
      </w:r>
    </w:p>
    <w:p w:rsidR="00205FD7" w:rsidRPr="007F33F1" w:rsidRDefault="00205FD7" w:rsidP="0047221E">
      <w:pPr>
        <w:pStyle w:val="3-BodyText"/>
        <w:rPr>
          <w:iCs/>
          <w:snapToGrid/>
        </w:rPr>
      </w:pPr>
      <w:bookmarkStart w:id="25" w:name="_Ref75017244"/>
      <w:r w:rsidRPr="007F33F1">
        <w:rPr>
          <w:iCs/>
          <w:snapToGrid/>
        </w:rPr>
        <w:t xml:space="preserve">The choice of BR as the main comparator in the R/R setting </w:t>
      </w:r>
      <w:r w:rsidR="00F1049B" w:rsidRPr="007F33F1">
        <w:rPr>
          <w:iCs/>
          <w:snapToGrid/>
        </w:rPr>
        <w:t xml:space="preserve">may be </w:t>
      </w:r>
      <w:r w:rsidRPr="007F33F1">
        <w:rPr>
          <w:iCs/>
          <w:snapToGrid/>
        </w:rPr>
        <w:t xml:space="preserve">reasonable; however, </w:t>
      </w:r>
      <w:r w:rsidR="00126587" w:rsidRPr="007F33F1">
        <w:rPr>
          <w:iCs/>
          <w:snapToGrid/>
        </w:rPr>
        <w:t xml:space="preserve">the evaluator and ESC raised </w:t>
      </w:r>
      <w:r w:rsidR="00F5455C" w:rsidRPr="007F33F1">
        <w:rPr>
          <w:iCs/>
          <w:snapToGrid/>
        </w:rPr>
        <w:t>several</w:t>
      </w:r>
      <w:r w:rsidRPr="007F33F1">
        <w:rPr>
          <w:iCs/>
          <w:snapToGrid/>
        </w:rPr>
        <w:t xml:space="preserve"> issues:</w:t>
      </w:r>
      <w:bookmarkEnd w:id="25"/>
    </w:p>
    <w:p w:rsidR="00205FD7" w:rsidRPr="007F33F1" w:rsidRDefault="00C734C5" w:rsidP="0047221E">
      <w:pPr>
        <w:pStyle w:val="ListParagraph"/>
        <w:ind w:left="1077" w:hanging="357"/>
        <w:rPr>
          <w:iCs/>
          <w:snapToGrid/>
        </w:rPr>
      </w:pPr>
      <w:r w:rsidRPr="007F33F1">
        <w:rPr>
          <w:iCs/>
        </w:rPr>
        <w:t>T</w:t>
      </w:r>
      <w:r w:rsidR="00205FD7" w:rsidRPr="007F33F1">
        <w:rPr>
          <w:iCs/>
        </w:rPr>
        <w:t xml:space="preserve">he international WhIMSICAL WM patient registry demonstrated a large variety of treatments in WM with considerable variation persisting despite comprehensive treatment guidelines. Therefore, any </w:t>
      </w:r>
      <w:r w:rsidR="00205FD7" w:rsidRPr="007F33F1">
        <w:rPr>
          <w:iCs/>
          <w:snapToGrid/>
        </w:rPr>
        <w:t>of the</w:t>
      </w:r>
      <w:r w:rsidR="006A233A" w:rsidRPr="007F33F1">
        <w:rPr>
          <w:iCs/>
          <w:snapToGrid/>
        </w:rPr>
        <w:t xml:space="preserve"> TGA-</w:t>
      </w:r>
      <w:r w:rsidR="00205FD7" w:rsidRPr="007F33F1">
        <w:rPr>
          <w:iCs/>
          <w:snapToGrid/>
        </w:rPr>
        <w:t xml:space="preserve">approved treatments for WM could be used in the R/R setting. </w:t>
      </w:r>
      <w:r w:rsidR="00205FD7" w:rsidRPr="007F33F1">
        <w:rPr>
          <w:iCs/>
        </w:rPr>
        <w:t xml:space="preserve">While BR, Rm and </w:t>
      </w:r>
      <w:r w:rsidR="00BE77FA" w:rsidRPr="007F33F1">
        <w:rPr>
          <w:iCs/>
        </w:rPr>
        <w:t>ibrutinib</w:t>
      </w:r>
      <w:r w:rsidR="00205FD7" w:rsidRPr="007F33F1">
        <w:rPr>
          <w:iCs/>
        </w:rPr>
        <w:t xml:space="preserve"> </w:t>
      </w:r>
      <w:r w:rsidR="006A233A" w:rsidRPr="007F33F1">
        <w:rPr>
          <w:iCs/>
        </w:rPr>
        <w:t xml:space="preserve">were </w:t>
      </w:r>
      <w:r w:rsidR="00205FD7" w:rsidRPr="007F33F1">
        <w:rPr>
          <w:iCs/>
        </w:rPr>
        <w:t>the most commonly used 2L treatments</w:t>
      </w:r>
      <w:r w:rsidR="006A233A" w:rsidRPr="007F33F1">
        <w:rPr>
          <w:iCs/>
        </w:rPr>
        <w:t xml:space="preserve"> in WhIMSICAL</w:t>
      </w:r>
      <w:r w:rsidR="00205FD7" w:rsidRPr="007F33F1">
        <w:rPr>
          <w:iCs/>
        </w:rPr>
        <w:t xml:space="preserve">, the frequency of use </w:t>
      </w:r>
      <w:r w:rsidR="006A233A" w:rsidRPr="007F33F1">
        <w:rPr>
          <w:iCs/>
        </w:rPr>
        <w:t xml:space="preserve">depended </w:t>
      </w:r>
      <w:r w:rsidR="00205FD7" w:rsidRPr="007F33F1">
        <w:rPr>
          <w:iCs/>
        </w:rPr>
        <w:t xml:space="preserve">on the 1L treatment used, with a much lower likelihood of retreatment if BR was used in 1L. If a patient received BR in 1L, the most common 2L treatments were either </w:t>
      </w:r>
      <w:r w:rsidR="00BE77FA" w:rsidRPr="007F33F1">
        <w:rPr>
          <w:iCs/>
        </w:rPr>
        <w:t>ibrutinib</w:t>
      </w:r>
      <w:r w:rsidR="00205FD7" w:rsidRPr="007F33F1">
        <w:rPr>
          <w:iCs/>
        </w:rPr>
        <w:t xml:space="preserve"> or DRC. The sponsor’s clinician survey also indicated that 44% of patients who progress on a non-BTKi are prescribed a BTKi (i.e., </w:t>
      </w:r>
      <w:r w:rsidR="00BE77FA" w:rsidRPr="007F33F1">
        <w:rPr>
          <w:iCs/>
        </w:rPr>
        <w:t>ibrutinib</w:t>
      </w:r>
      <w:r w:rsidR="00205FD7" w:rsidRPr="007F33F1">
        <w:rPr>
          <w:iCs/>
        </w:rPr>
        <w:t>) in 2L.</w:t>
      </w:r>
      <w:r w:rsidR="00ED3A34" w:rsidRPr="007F33F1">
        <w:rPr>
          <w:iCs/>
        </w:rPr>
        <w:t xml:space="preserve"> </w:t>
      </w:r>
    </w:p>
    <w:p w:rsidR="00205FD7" w:rsidRPr="007F33F1" w:rsidRDefault="00205FD7" w:rsidP="0047221E">
      <w:pPr>
        <w:pStyle w:val="ListParagraph"/>
        <w:ind w:left="1077" w:hanging="357"/>
        <w:rPr>
          <w:snapToGrid/>
        </w:rPr>
      </w:pPr>
      <w:r w:rsidRPr="007F33F1">
        <w:rPr>
          <w:iCs/>
          <w:snapToGrid/>
        </w:rPr>
        <w:t xml:space="preserve">The Australian WM treatment guidelines state that any of the front-line regimens can be used for re-treatment provided the patient has maintained a response for &gt;2 years. </w:t>
      </w:r>
      <w:r w:rsidR="00EB4CB9" w:rsidRPr="007F33F1">
        <w:rPr>
          <w:iCs/>
          <w:snapToGrid/>
        </w:rPr>
        <w:t>The</w:t>
      </w:r>
      <w:r w:rsidR="00AB4389" w:rsidRPr="007F33F1">
        <w:rPr>
          <w:iCs/>
          <w:snapToGrid/>
        </w:rPr>
        <w:t>se</w:t>
      </w:r>
      <w:r w:rsidR="00EB4CB9" w:rsidRPr="007F33F1">
        <w:rPr>
          <w:iCs/>
          <w:snapToGrid/>
        </w:rPr>
        <w:t xml:space="preserve"> guidelines also note that i</w:t>
      </w:r>
      <w:r w:rsidRPr="007F33F1">
        <w:rPr>
          <w:iCs/>
          <w:snapToGrid/>
        </w:rPr>
        <w:t>n clinical trials</w:t>
      </w:r>
      <w:r w:rsidR="00964509" w:rsidRPr="007F33F1">
        <w:rPr>
          <w:iCs/>
          <w:snapToGrid/>
        </w:rPr>
        <w:t xml:space="preserve">, </w:t>
      </w:r>
      <w:r w:rsidRPr="007F33F1">
        <w:rPr>
          <w:iCs/>
          <w:snapToGrid/>
        </w:rPr>
        <w:t>BR was found to be superior to R-CHOP, with reduced toxicity and faster onset of action compared to DRC as initial therapy (Talaulikar and Tam 2016).</w:t>
      </w:r>
      <w:r w:rsidR="0001666F" w:rsidRPr="007F33F1">
        <w:rPr>
          <w:iCs/>
        </w:rPr>
        <w:t xml:space="preserve"> The ESC considered that patients</w:t>
      </w:r>
      <w:r w:rsidR="0001666F" w:rsidRPr="007F33F1">
        <w:rPr>
          <w:i/>
          <w:iCs/>
        </w:rPr>
        <w:t xml:space="preserve"> </w:t>
      </w:r>
      <w:r w:rsidR="0001666F" w:rsidRPr="007F33F1">
        <w:t>and clinicians would likely use an oral BTKi over standard chemotherapy in the R/R setting even if a good prior response was achieved with standard chemotherapy.</w:t>
      </w:r>
    </w:p>
    <w:p w:rsidR="00205FD7" w:rsidRPr="007F33F1" w:rsidRDefault="00205FD7" w:rsidP="0047221E">
      <w:pPr>
        <w:pStyle w:val="ListParagraph"/>
        <w:ind w:left="1077" w:hanging="357"/>
      </w:pPr>
      <w:r w:rsidRPr="007F33F1">
        <w:t xml:space="preserve">Given all patients with WM will ultimately relapse after an initial response to therapy, it may be more appropriate to expect that all patients will eventually cycle through all of the available treatments, so </w:t>
      </w:r>
      <w:r w:rsidR="00BE77FA" w:rsidRPr="007F33F1">
        <w:t>zanubrutinib</w:t>
      </w:r>
      <w:r w:rsidRPr="007F33F1">
        <w:t xml:space="preserve"> would delay rather than substitute for other therapies.</w:t>
      </w:r>
      <w:r w:rsidR="0015567B" w:rsidRPr="007F33F1">
        <w:t xml:space="preserve"> </w:t>
      </w:r>
      <w:r w:rsidR="0007704E" w:rsidRPr="007F33F1">
        <w:t>The ESC</w:t>
      </w:r>
      <w:r w:rsidR="0045708C" w:rsidRPr="007F33F1">
        <w:t xml:space="preserve"> agreed with the evaluation</w:t>
      </w:r>
      <w:r w:rsidR="0007704E" w:rsidRPr="007F33F1">
        <w:t xml:space="preserve"> that </w:t>
      </w:r>
      <w:r w:rsidR="00BE77FA" w:rsidRPr="007F33F1">
        <w:t>zanubrutinib</w:t>
      </w:r>
      <w:r w:rsidR="0007704E" w:rsidRPr="007F33F1">
        <w:t xml:space="preserve"> would likely displace rather than replace alternative therapies for most patients given the chronic nature of WM. </w:t>
      </w:r>
    </w:p>
    <w:p w:rsidR="00E00E84" w:rsidRPr="007F33F1" w:rsidRDefault="00205FD7" w:rsidP="0047221E">
      <w:pPr>
        <w:pStyle w:val="ListParagraph"/>
        <w:ind w:left="1077" w:hanging="357"/>
      </w:pPr>
      <w:r w:rsidRPr="007F33F1">
        <w:t xml:space="preserve">While BR is PBS listed for treatment of iNHL, </w:t>
      </w:r>
      <w:r w:rsidR="00ED2CE1" w:rsidRPr="007F33F1">
        <w:t>combination</w:t>
      </w:r>
      <w:r w:rsidR="00B272D1" w:rsidRPr="007F33F1">
        <w:t xml:space="preserve"> treatment</w:t>
      </w:r>
      <w:r w:rsidR="00ED2CE1" w:rsidRPr="007F33F1">
        <w:t xml:space="preserve">, specifically </w:t>
      </w:r>
      <w:r w:rsidR="00B272D1" w:rsidRPr="007F33F1">
        <w:t xml:space="preserve">with </w:t>
      </w:r>
      <w:r w:rsidR="00ED2CE1" w:rsidRPr="007F33F1">
        <w:t xml:space="preserve">bendamustine </w:t>
      </w:r>
      <w:r w:rsidRPr="007F33F1">
        <w:t>is not listed for use in the R/R setting. For this reason, the Australian-based consensus-driven cancer treatment protocols and information (eviQ) recommends DRC for symptomatic R/R WM</w:t>
      </w:r>
      <w:r w:rsidR="00A56201" w:rsidRPr="007F33F1">
        <w:t xml:space="preserve"> (</w:t>
      </w:r>
      <w:r w:rsidR="00ED2CE1" w:rsidRPr="007F33F1">
        <w:t>although d</w:t>
      </w:r>
      <w:r w:rsidR="00A56201" w:rsidRPr="007F33F1">
        <w:t xml:space="preserve">examethasone IV is also not listed on the PBS). </w:t>
      </w:r>
      <w:r w:rsidR="00ED2CE1" w:rsidRPr="007F33F1">
        <w:t>N</w:t>
      </w:r>
      <w:r w:rsidRPr="007F33F1">
        <w:t xml:space="preserve">o randomised studies have compared DRC with BR, </w:t>
      </w:r>
      <w:r w:rsidR="00ED2CE1" w:rsidRPr="007F33F1">
        <w:t xml:space="preserve">however </w:t>
      </w:r>
      <w:r w:rsidRPr="007F33F1">
        <w:t>two retrospective studies suggest similar overall response rates with a non-significant trend towards more rapid achievement of best response with BR. Progression free survival (PFS) and overall survival (OS) were not statistically significantly different between BR and DRC; however, for PFS, there was a trend favouring BR in both studies (log rank p= 0.10 in Castillo et al 2018 and p=0.08 in Paludo et al 2018</w:t>
      </w:r>
      <w:r w:rsidR="002B062C" w:rsidRPr="007F33F1">
        <w:t>,</w:t>
      </w:r>
      <w:r w:rsidRPr="007F33F1">
        <w:t xml:space="preserve"> respectively). DRC is less costly compared to BR.</w:t>
      </w:r>
      <w:r w:rsidR="00F664CC" w:rsidRPr="007F33F1">
        <w:t xml:space="preserve"> The </w:t>
      </w:r>
      <w:r w:rsidR="00C267AA" w:rsidRPr="007F33F1">
        <w:t>ESC considered DRC was also a relevant comparator</w:t>
      </w:r>
      <w:r w:rsidR="001902AE" w:rsidRPr="007F33F1">
        <w:t xml:space="preserve">. </w:t>
      </w:r>
    </w:p>
    <w:p w:rsidR="003706E5" w:rsidRPr="007F33F1" w:rsidRDefault="003706E5" w:rsidP="0047221E">
      <w:pPr>
        <w:pStyle w:val="ListParagraph"/>
        <w:ind w:left="1077" w:hanging="357"/>
      </w:pPr>
      <w:r w:rsidRPr="007F33F1">
        <w:t xml:space="preserve">The </w:t>
      </w:r>
      <w:r w:rsidR="006A3CE1" w:rsidRPr="007F33F1">
        <w:t>f</w:t>
      </w:r>
      <w:r w:rsidR="0045708C" w:rsidRPr="007F33F1">
        <w:t xml:space="preserve">inancial </w:t>
      </w:r>
      <w:r w:rsidR="006A3CE1" w:rsidRPr="007F33F1">
        <w:t>e</w:t>
      </w:r>
      <w:r w:rsidR="0045708C" w:rsidRPr="007F33F1">
        <w:t>stimates</w:t>
      </w:r>
      <w:r w:rsidRPr="007F33F1">
        <w:t xml:space="preserve"> assumed substitution of </w:t>
      </w:r>
      <w:r w:rsidR="00BE77FA" w:rsidRPr="007F33F1">
        <w:t>zanubrutinib</w:t>
      </w:r>
      <w:r w:rsidRPr="007F33F1">
        <w:t xml:space="preserve"> for PBS </w:t>
      </w:r>
      <w:r w:rsidR="00B94F96" w:rsidRPr="007F33F1">
        <w:t xml:space="preserve">items for </w:t>
      </w:r>
      <w:r w:rsidRPr="007F33F1">
        <w:t>BR, DRC</w:t>
      </w:r>
      <w:r w:rsidR="00D204FA" w:rsidRPr="007F33F1">
        <w:t xml:space="preserve"> (rituximab and cyclophosphamide components) </w:t>
      </w:r>
      <w:r w:rsidRPr="007F33F1">
        <w:t xml:space="preserve">and FRC in the R/R </w:t>
      </w:r>
      <w:r w:rsidR="00D204FA" w:rsidRPr="007F33F1">
        <w:t>setting. G</w:t>
      </w:r>
      <w:r w:rsidR="00ED2CE1" w:rsidRPr="007F33F1">
        <w:t xml:space="preserve">iven bendamustine </w:t>
      </w:r>
      <w:r w:rsidR="00D204FA" w:rsidRPr="007F33F1">
        <w:t xml:space="preserve">is not </w:t>
      </w:r>
      <w:r w:rsidRPr="007F33F1">
        <w:t>PBS listed</w:t>
      </w:r>
      <w:r w:rsidR="00D204FA" w:rsidRPr="007F33F1">
        <w:t xml:space="preserve"> for use in the R/R setting,</w:t>
      </w:r>
      <w:r w:rsidR="00ED2CE1" w:rsidRPr="007F33F1">
        <w:t xml:space="preserve"> application of a cost offset would</w:t>
      </w:r>
      <w:r w:rsidR="004940CB" w:rsidRPr="007F33F1">
        <w:t xml:space="preserve"> </w:t>
      </w:r>
      <w:r w:rsidR="00ED2CE1" w:rsidRPr="007F33F1">
        <w:t>be inappropriate</w:t>
      </w:r>
      <w:r w:rsidR="00404911" w:rsidRPr="007F33F1">
        <w:t xml:space="preserve"> when estimating the net PBS cost</w:t>
      </w:r>
      <w:r w:rsidR="00D204FA" w:rsidRPr="007F33F1">
        <w:t>.</w:t>
      </w:r>
    </w:p>
    <w:p w:rsidR="00205FD7" w:rsidRPr="007F33F1" w:rsidRDefault="00205FD7" w:rsidP="0047221E">
      <w:pPr>
        <w:pStyle w:val="3-BodyText"/>
      </w:pPr>
      <w:r w:rsidRPr="007F33F1">
        <w:rPr>
          <w:snapToGrid/>
        </w:rPr>
        <w:t xml:space="preserve">The submission appropriately identified </w:t>
      </w:r>
      <w:r w:rsidR="00BE77FA" w:rsidRPr="007F33F1">
        <w:rPr>
          <w:snapToGrid/>
        </w:rPr>
        <w:t>ibrutinib</w:t>
      </w:r>
      <w:r w:rsidRPr="007F33F1">
        <w:rPr>
          <w:snapToGrid/>
        </w:rPr>
        <w:t xml:space="preserve"> as a near market comparator. The submission stated that </w:t>
      </w:r>
      <w:r w:rsidR="00BE77FA" w:rsidRPr="007F33F1">
        <w:rPr>
          <w:snapToGrid/>
        </w:rPr>
        <w:t>ibrutinib</w:t>
      </w:r>
      <w:r w:rsidRPr="007F33F1">
        <w:rPr>
          <w:snapToGrid/>
        </w:rPr>
        <w:t xml:space="preserve"> has become standard management for WM overseas, but can only be obtained via compassionate access in Australia for WM. </w:t>
      </w:r>
      <w:r w:rsidR="009B29F1" w:rsidRPr="007F33F1">
        <w:rPr>
          <w:snapToGrid/>
        </w:rPr>
        <w:t>T</w:t>
      </w:r>
      <w:r w:rsidRPr="007F33F1">
        <w:rPr>
          <w:snapToGrid/>
        </w:rPr>
        <w:t xml:space="preserve">here has not been an application to the PBAC for this indication. The submission presented the ASPEN study, a Phase 3 trial comparing </w:t>
      </w:r>
      <w:r w:rsidR="00BE77FA" w:rsidRPr="007F33F1">
        <w:rPr>
          <w:snapToGrid/>
        </w:rPr>
        <w:t>zanubrutinib</w:t>
      </w:r>
      <w:r w:rsidRPr="007F33F1">
        <w:rPr>
          <w:snapToGrid/>
        </w:rPr>
        <w:t xml:space="preserve"> and </w:t>
      </w:r>
      <w:r w:rsidR="00BE77FA" w:rsidRPr="007F33F1">
        <w:rPr>
          <w:snapToGrid/>
        </w:rPr>
        <w:t>ibrutinib</w:t>
      </w:r>
      <w:r w:rsidRPr="007F33F1">
        <w:rPr>
          <w:snapToGrid/>
        </w:rPr>
        <w:t>.</w:t>
      </w:r>
    </w:p>
    <w:p w:rsidR="008A248A" w:rsidRPr="007F33F1" w:rsidRDefault="008A248A" w:rsidP="0047221E">
      <w:pPr>
        <w:pStyle w:val="3-BodyText"/>
        <w:numPr>
          <w:ilvl w:val="0"/>
          <w:numId w:val="0"/>
        </w:numPr>
        <w:ind w:left="720"/>
      </w:pPr>
      <w:r w:rsidRPr="007F33F1">
        <w:rPr>
          <w:i/>
        </w:rPr>
        <w:t>For more detail on the PBAC’s view, see section 7 PBAC outcome.</w:t>
      </w:r>
    </w:p>
    <w:p w:rsidR="00205FD7" w:rsidRPr="007F33F1" w:rsidRDefault="00205FD7" w:rsidP="0047221E">
      <w:pPr>
        <w:pStyle w:val="2-SectionHeading"/>
      </w:pPr>
      <w:bookmarkStart w:id="26" w:name="_Toc72309929"/>
      <w:bookmarkStart w:id="27" w:name="_Toc72310669"/>
      <w:bookmarkStart w:id="28" w:name="_Toc71450281"/>
      <w:bookmarkStart w:id="29" w:name="_Toc72421786"/>
      <w:bookmarkStart w:id="30" w:name="_Hlk76225761"/>
      <w:bookmarkStart w:id="31" w:name="_Toc22897640"/>
      <w:bookmarkEnd w:id="26"/>
      <w:bookmarkEnd w:id="27"/>
      <w:r w:rsidRPr="007F33F1">
        <w:t>Consideration of the evidence</w:t>
      </w:r>
      <w:bookmarkEnd w:id="28"/>
      <w:bookmarkEnd w:id="29"/>
    </w:p>
    <w:p w:rsidR="00FA40C5" w:rsidRPr="007F33F1" w:rsidRDefault="00FA40C5" w:rsidP="0047221E">
      <w:pPr>
        <w:pStyle w:val="4-SubsectionHeading"/>
      </w:pPr>
      <w:bookmarkStart w:id="32" w:name="_Toc71450282"/>
      <w:bookmarkStart w:id="33" w:name="_Toc72421787"/>
      <w:bookmarkEnd w:id="30"/>
      <w:r w:rsidRPr="007F33F1">
        <w:t>Sponsor hearing</w:t>
      </w:r>
    </w:p>
    <w:p w:rsidR="00203D06" w:rsidRPr="007F33F1" w:rsidRDefault="00203D06" w:rsidP="0047221E">
      <w:pPr>
        <w:numPr>
          <w:ilvl w:val="1"/>
          <w:numId w:val="1"/>
        </w:numPr>
        <w:spacing w:after="120"/>
        <w:rPr>
          <w:rFonts w:asciiTheme="minorHAnsi" w:hAnsiTheme="minorHAnsi"/>
          <w:bCs/>
          <w:snapToGrid w:val="0"/>
        </w:rPr>
      </w:pPr>
      <w:r w:rsidRPr="007F33F1">
        <w:rPr>
          <w:rFonts w:asciiTheme="minorHAnsi" w:hAnsiTheme="minorHAnsi"/>
          <w:bCs/>
          <w:snapToGrid w:val="0"/>
        </w:rPr>
        <w:t xml:space="preserve">The sponsor requested a hearing for this item. </w:t>
      </w:r>
      <w:r w:rsidR="00F15FA7" w:rsidRPr="007F33F1">
        <w:rPr>
          <w:rFonts w:asciiTheme="minorHAnsi" w:hAnsiTheme="minorHAnsi"/>
          <w:bCs/>
          <w:snapToGrid w:val="0"/>
        </w:rPr>
        <w:t xml:space="preserve">The clinician noted that as WM progresses, there is an increased risk of infections, systemic </w:t>
      </w:r>
      <w:r w:rsidR="00681665" w:rsidRPr="007F33F1">
        <w:rPr>
          <w:rFonts w:asciiTheme="minorHAnsi" w:hAnsiTheme="minorHAnsi"/>
          <w:bCs/>
          <w:snapToGrid w:val="0"/>
        </w:rPr>
        <w:t>symptoms,</w:t>
      </w:r>
      <w:r w:rsidR="00F15FA7" w:rsidRPr="007F33F1">
        <w:rPr>
          <w:rFonts w:asciiTheme="minorHAnsi" w:hAnsiTheme="minorHAnsi"/>
          <w:bCs/>
          <w:snapToGrid w:val="0"/>
        </w:rPr>
        <w:t xml:space="preserve"> and bone marrow failure</w:t>
      </w:r>
      <w:r w:rsidR="00035862" w:rsidRPr="007F33F1">
        <w:rPr>
          <w:rFonts w:asciiTheme="minorHAnsi" w:hAnsiTheme="minorHAnsi"/>
          <w:bCs/>
          <w:snapToGrid w:val="0"/>
        </w:rPr>
        <w:t>,</w:t>
      </w:r>
      <w:r w:rsidR="00F15FA7" w:rsidRPr="007F33F1">
        <w:rPr>
          <w:rFonts w:asciiTheme="minorHAnsi" w:hAnsiTheme="minorHAnsi"/>
          <w:bCs/>
          <w:snapToGrid w:val="0"/>
        </w:rPr>
        <w:t xml:space="preserve"> which can have a substantial impact on quality of life. </w:t>
      </w:r>
      <w:r w:rsidR="00EB6FCB" w:rsidRPr="007F33F1">
        <w:rPr>
          <w:rFonts w:asciiTheme="minorHAnsi" w:hAnsiTheme="minorHAnsi"/>
          <w:bCs/>
          <w:snapToGrid w:val="0"/>
        </w:rPr>
        <w:t>The clinician noted the two main chem</w:t>
      </w:r>
      <w:r w:rsidR="004E6BC5" w:rsidRPr="007F33F1">
        <w:rPr>
          <w:rFonts w:asciiTheme="minorHAnsi" w:hAnsiTheme="minorHAnsi"/>
          <w:bCs/>
          <w:snapToGrid w:val="0"/>
        </w:rPr>
        <w:t xml:space="preserve">o-immunotherapy </w:t>
      </w:r>
      <w:r w:rsidR="00EB6FCB" w:rsidRPr="007F33F1">
        <w:rPr>
          <w:rFonts w:asciiTheme="minorHAnsi" w:hAnsiTheme="minorHAnsi"/>
          <w:bCs/>
          <w:snapToGrid w:val="0"/>
        </w:rPr>
        <w:t xml:space="preserve">regimens used in Australia </w:t>
      </w:r>
      <w:r w:rsidR="00427200" w:rsidRPr="007F33F1">
        <w:rPr>
          <w:rFonts w:asciiTheme="minorHAnsi" w:hAnsiTheme="minorHAnsi"/>
          <w:bCs/>
          <w:snapToGrid w:val="0"/>
        </w:rPr>
        <w:t>are bendamustine+rituximab and dexamethasone+rituximab+cyclophosphamide</w:t>
      </w:r>
      <w:r w:rsidR="004E6BC5" w:rsidRPr="007F33F1">
        <w:rPr>
          <w:rFonts w:asciiTheme="minorHAnsi" w:hAnsiTheme="minorHAnsi"/>
          <w:bCs/>
          <w:snapToGrid w:val="0"/>
        </w:rPr>
        <w:t xml:space="preserve"> and that many patients will initially respond to </w:t>
      </w:r>
      <w:r w:rsidR="0025625F" w:rsidRPr="007F33F1">
        <w:rPr>
          <w:rFonts w:asciiTheme="minorHAnsi" w:hAnsiTheme="minorHAnsi"/>
          <w:bCs/>
          <w:snapToGrid w:val="0"/>
        </w:rPr>
        <w:t>treatment</w:t>
      </w:r>
      <w:r w:rsidR="00035862" w:rsidRPr="007F33F1">
        <w:rPr>
          <w:rFonts w:asciiTheme="minorHAnsi" w:hAnsiTheme="minorHAnsi"/>
          <w:bCs/>
          <w:snapToGrid w:val="0"/>
        </w:rPr>
        <w:t>, but</w:t>
      </w:r>
      <w:r w:rsidR="0025625F" w:rsidRPr="007F33F1">
        <w:rPr>
          <w:rFonts w:asciiTheme="minorHAnsi" w:hAnsiTheme="minorHAnsi"/>
          <w:bCs/>
          <w:snapToGrid w:val="0"/>
        </w:rPr>
        <w:t xml:space="preserve"> would ultimately relapse given there is currently no cure for WM. The clinician highlighted </w:t>
      </w:r>
      <w:r w:rsidR="00322229" w:rsidRPr="007F33F1">
        <w:rPr>
          <w:rFonts w:asciiTheme="minorHAnsi" w:hAnsiTheme="minorHAnsi"/>
          <w:bCs/>
          <w:snapToGrid w:val="0"/>
        </w:rPr>
        <w:t xml:space="preserve">the increased risk of adverse effects associated with repeated chemotherapy treatment </w:t>
      </w:r>
      <w:r w:rsidR="00DB6FC0" w:rsidRPr="007F33F1">
        <w:rPr>
          <w:rFonts w:asciiTheme="minorHAnsi" w:hAnsiTheme="minorHAnsi"/>
          <w:bCs/>
          <w:snapToGrid w:val="0"/>
        </w:rPr>
        <w:t xml:space="preserve">such as myelodysplasia, myelosuppression and infections </w:t>
      </w:r>
      <w:r w:rsidR="00322229" w:rsidRPr="007F33F1">
        <w:rPr>
          <w:rFonts w:asciiTheme="minorHAnsi" w:hAnsiTheme="minorHAnsi"/>
          <w:bCs/>
          <w:snapToGrid w:val="0"/>
        </w:rPr>
        <w:t xml:space="preserve">and indicated that most clinicians would prefer to limit treat chemotherapy treatment to </w:t>
      </w:r>
      <w:r w:rsidR="00F25B93" w:rsidRPr="007F33F1">
        <w:rPr>
          <w:rFonts w:asciiTheme="minorHAnsi" w:hAnsiTheme="minorHAnsi"/>
          <w:bCs/>
          <w:snapToGrid w:val="0"/>
        </w:rPr>
        <w:t>1L</w:t>
      </w:r>
      <w:r w:rsidR="00322229" w:rsidRPr="007F33F1">
        <w:rPr>
          <w:rFonts w:asciiTheme="minorHAnsi" w:hAnsiTheme="minorHAnsi"/>
          <w:bCs/>
          <w:snapToGrid w:val="0"/>
        </w:rPr>
        <w:t xml:space="preserve"> due to these effects. </w:t>
      </w:r>
      <w:r w:rsidR="00A370C3" w:rsidRPr="007F33F1">
        <w:rPr>
          <w:rFonts w:asciiTheme="minorHAnsi" w:hAnsiTheme="minorHAnsi"/>
          <w:bCs/>
          <w:snapToGrid w:val="0"/>
        </w:rPr>
        <w:t xml:space="preserve">The clinician noted that while </w:t>
      </w:r>
      <w:r w:rsidR="00BE77FA" w:rsidRPr="007F33F1">
        <w:rPr>
          <w:rFonts w:asciiTheme="minorHAnsi" w:hAnsiTheme="minorHAnsi"/>
          <w:bCs/>
          <w:snapToGrid w:val="0"/>
        </w:rPr>
        <w:t>ibrutinib</w:t>
      </w:r>
      <w:r w:rsidR="00A370C3" w:rsidRPr="007F33F1">
        <w:rPr>
          <w:rFonts w:asciiTheme="minorHAnsi" w:hAnsiTheme="minorHAnsi"/>
          <w:bCs/>
          <w:snapToGrid w:val="0"/>
        </w:rPr>
        <w:t xml:space="preserve"> has a better toxicity profile compared to chemotherapy, it is associated with important adverse effects such as atrial fibrillation and </w:t>
      </w:r>
      <w:r w:rsidR="003A5531" w:rsidRPr="007F33F1">
        <w:rPr>
          <w:rFonts w:asciiTheme="minorHAnsi" w:hAnsiTheme="minorHAnsi"/>
          <w:bCs/>
          <w:snapToGrid w:val="0"/>
        </w:rPr>
        <w:t>bleeding,</w:t>
      </w:r>
      <w:r w:rsidR="00A370C3" w:rsidRPr="007F33F1">
        <w:rPr>
          <w:rFonts w:asciiTheme="minorHAnsi" w:hAnsiTheme="minorHAnsi"/>
          <w:bCs/>
          <w:snapToGrid w:val="0"/>
        </w:rPr>
        <w:t xml:space="preserve"> which are thought to be due to off-target binding to other tyrosine kinases.</w:t>
      </w:r>
      <w:r w:rsidR="003A5531" w:rsidRPr="007F33F1">
        <w:rPr>
          <w:rFonts w:asciiTheme="minorHAnsi" w:hAnsiTheme="minorHAnsi"/>
          <w:bCs/>
          <w:snapToGrid w:val="0"/>
        </w:rPr>
        <w:t xml:space="preserve"> The clinician noted that </w:t>
      </w:r>
      <w:r w:rsidR="00BE77FA" w:rsidRPr="007F33F1">
        <w:rPr>
          <w:rFonts w:asciiTheme="minorHAnsi" w:hAnsiTheme="minorHAnsi"/>
          <w:bCs/>
          <w:snapToGrid w:val="0"/>
        </w:rPr>
        <w:t>zanubrutinib</w:t>
      </w:r>
      <w:r w:rsidR="003A5531" w:rsidRPr="007F33F1">
        <w:rPr>
          <w:rFonts w:asciiTheme="minorHAnsi" w:hAnsiTheme="minorHAnsi"/>
          <w:bCs/>
          <w:snapToGrid w:val="0"/>
        </w:rPr>
        <w:t xml:space="preserve"> has high selectivity for BTK and exhibits less off-target inhibition than </w:t>
      </w:r>
      <w:r w:rsidR="00BE77FA" w:rsidRPr="007F33F1">
        <w:rPr>
          <w:rFonts w:asciiTheme="minorHAnsi" w:hAnsiTheme="minorHAnsi"/>
          <w:bCs/>
          <w:snapToGrid w:val="0"/>
        </w:rPr>
        <w:t>ibrutinib</w:t>
      </w:r>
      <w:r w:rsidR="00C2166C" w:rsidRPr="007F33F1">
        <w:rPr>
          <w:rFonts w:asciiTheme="minorHAnsi" w:hAnsiTheme="minorHAnsi"/>
          <w:bCs/>
          <w:snapToGrid w:val="0"/>
        </w:rPr>
        <w:t xml:space="preserve"> </w:t>
      </w:r>
      <w:r w:rsidR="003A5531" w:rsidRPr="007F33F1">
        <w:rPr>
          <w:rFonts w:asciiTheme="minorHAnsi" w:hAnsiTheme="minorHAnsi"/>
          <w:bCs/>
          <w:snapToGrid w:val="0"/>
        </w:rPr>
        <w:t xml:space="preserve">and considered the results from ASPEN </w:t>
      </w:r>
      <w:r w:rsidR="00C2166C" w:rsidRPr="007F33F1">
        <w:rPr>
          <w:rFonts w:asciiTheme="minorHAnsi" w:hAnsiTheme="minorHAnsi"/>
          <w:bCs/>
          <w:snapToGrid w:val="0"/>
        </w:rPr>
        <w:t xml:space="preserve">indicated that </w:t>
      </w:r>
      <w:r w:rsidR="00BE77FA" w:rsidRPr="007F33F1">
        <w:rPr>
          <w:rFonts w:asciiTheme="minorHAnsi" w:hAnsiTheme="minorHAnsi"/>
          <w:bCs/>
          <w:snapToGrid w:val="0"/>
        </w:rPr>
        <w:t>zanubrutinib</w:t>
      </w:r>
      <w:r w:rsidR="00C2166C" w:rsidRPr="007F33F1">
        <w:rPr>
          <w:rFonts w:asciiTheme="minorHAnsi" w:hAnsiTheme="minorHAnsi"/>
          <w:bCs/>
          <w:snapToGrid w:val="0"/>
        </w:rPr>
        <w:t xml:space="preserve"> had a better safety profile compared to </w:t>
      </w:r>
      <w:r w:rsidR="00BE77FA" w:rsidRPr="007F33F1">
        <w:rPr>
          <w:rFonts w:asciiTheme="minorHAnsi" w:hAnsiTheme="minorHAnsi"/>
          <w:bCs/>
          <w:snapToGrid w:val="0"/>
        </w:rPr>
        <w:t>ibrutinib</w:t>
      </w:r>
      <w:r w:rsidR="00C2166C" w:rsidRPr="007F33F1">
        <w:rPr>
          <w:rFonts w:asciiTheme="minorHAnsi" w:hAnsiTheme="minorHAnsi"/>
          <w:bCs/>
          <w:snapToGrid w:val="0"/>
        </w:rPr>
        <w:t xml:space="preserve">. The clinician indicated the most suitable treatment for a patient was largely determined based on clinical judgement. However, the clinician considered </w:t>
      </w:r>
      <w:r w:rsidR="00D61334" w:rsidRPr="007F33F1">
        <w:rPr>
          <w:rFonts w:asciiTheme="minorHAnsi" w:hAnsiTheme="minorHAnsi"/>
          <w:bCs/>
          <w:snapToGrid w:val="0"/>
        </w:rPr>
        <w:t xml:space="preserve">the </w:t>
      </w:r>
      <w:r w:rsidR="00630964" w:rsidRPr="007F33F1">
        <w:rPr>
          <w:rFonts w:asciiTheme="minorHAnsi" w:hAnsiTheme="minorHAnsi"/>
          <w:bCs/>
          <w:snapToGrid w:val="0"/>
        </w:rPr>
        <w:t>CIRS</w:t>
      </w:r>
      <w:r w:rsidR="00D61334" w:rsidRPr="007F33F1">
        <w:rPr>
          <w:rFonts w:asciiTheme="minorHAnsi" w:hAnsiTheme="minorHAnsi"/>
          <w:bCs/>
          <w:snapToGrid w:val="0"/>
        </w:rPr>
        <w:t xml:space="preserve"> score could be used to identify patients unsuitable for chemo-immunotherapy.</w:t>
      </w:r>
      <w:r w:rsidR="00CA5BC5" w:rsidRPr="007F33F1">
        <w:rPr>
          <w:rFonts w:asciiTheme="minorHAnsi" w:hAnsiTheme="minorHAnsi"/>
          <w:bCs/>
          <w:snapToGrid w:val="0"/>
        </w:rPr>
        <w:t xml:space="preserve"> The clinician considered that if </w:t>
      </w:r>
      <w:r w:rsidR="00BE77FA" w:rsidRPr="007F33F1">
        <w:rPr>
          <w:rFonts w:asciiTheme="minorHAnsi" w:hAnsiTheme="minorHAnsi"/>
          <w:bCs/>
          <w:snapToGrid w:val="0"/>
        </w:rPr>
        <w:t>zanubrutinib</w:t>
      </w:r>
      <w:r w:rsidR="00CA5BC5" w:rsidRPr="007F33F1">
        <w:rPr>
          <w:rFonts w:asciiTheme="minorHAnsi" w:hAnsiTheme="minorHAnsi"/>
          <w:bCs/>
          <w:snapToGrid w:val="0"/>
        </w:rPr>
        <w:t xml:space="preserve"> was PBS-listed, it would be commonly used in the </w:t>
      </w:r>
      <w:r w:rsidR="00630964" w:rsidRPr="007F33F1">
        <w:rPr>
          <w:rFonts w:asciiTheme="minorHAnsi" w:hAnsiTheme="minorHAnsi"/>
          <w:bCs/>
          <w:snapToGrid w:val="0"/>
        </w:rPr>
        <w:t>R/R</w:t>
      </w:r>
      <w:r w:rsidR="00CA5BC5" w:rsidRPr="007F33F1">
        <w:rPr>
          <w:rFonts w:asciiTheme="minorHAnsi" w:hAnsiTheme="minorHAnsi"/>
          <w:bCs/>
          <w:snapToGrid w:val="0"/>
        </w:rPr>
        <w:t xml:space="preserve"> setting</w:t>
      </w:r>
      <w:r w:rsidR="00630964" w:rsidRPr="007F33F1">
        <w:rPr>
          <w:rFonts w:asciiTheme="minorHAnsi" w:hAnsiTheme="minorHAnsi"/>
          <w:bCs/>
          <w:snapToGrid w:val="0"/>
        </w:rPr>
        <w:t>, but</w:t>
      </w:r>
      <w:r w:rsidR="00D61334" w:rsidRPr="007F33F1">
        <w:rPr>
          <w:rFonts w:asciiTheme="minorHAnsi" w:hAnsiTheme="minorHAnsi"/>
          <w:bCs/>
          <w:snapToGrid w:val="0"/>
        </w:rPr>
        <w:t xml:space="preserve"> there would be limited use in </w:t>
      </w:r>
      <w:r w:rsidR="00630964" w:rsidRPr="007F33F1">
        <w:rPr>
          <w:rFonts w:asciiTheme="minorHAnsi" w:hAnsiTheme="minorHAnsi"/>
          <w:bCs/>
          <w:snapToGrid w:val="0"/>
        </w:rPr>
        <w:t>TN</w:t>
      </w:r>
      <w:r w:rsidR="00D61334" w:rsidRPr="007F33F1">
        <w:rPr>
          <w:rFonts w:asciiTheme="minorHAnsi" w:hAnsiTheme="minorHAnsi"/>
          <w:bCs/>
          <w:snapToGrid w:val="0"/>
        </w:rPr>
        <w:t xml:space="preserve"> patients who are fit</w:t>
      </w:r>
      <w:r w:rsidR="00CA5BC5" w:rsidRPr="007F33F1">
        <w:rPr>
          <w:rFonts w:asciiTheme="minorHAnsi" w:hAnsiTheme="minorHAnsi"/>
          <w:bCs/>
          <w:snapToGrid w:val="0"/>
        </w:rPr>
        <w:t>,</w:t>
      </w:r>
      <w:r w:rsidR="00D61334" w:rsidRPr="007F33F1">
        <w:rPr>
          <w:rFonts w:asciiTheme="minorHAnsi" w:hAnsiTheme="minorHAnsi"/>
          <w:bCs/>
          <w:snapToGrid w:val="0"/>
        </w:rPr>
        <w:t xml:space="preserve"> as these patients generally respond well to chemo-immunotherapy. </w:t>
      </w:r>
    </w:p>
    <w:p w:rsidR="00FA40C5" w:rsidRPr="007F33F1" w:rsidRDefault="00FA40C5" w:rsidP="0047221E">
      <w:pPr>
        <w:pStyle w:val="4-SubsectionHeading"/>
      </w:pPr>
      <w:r w:rsidRPr="007F33F1">
        <w:t>Consumer comments</w:t>
      </w:r>
    </w:p>
    <w:p w:rsidR="002436C7" w:rsidRPr="007F33F1" w:rsidRDefault="002436C7" w:rsidP="0047221E">
      <w:pPr>
        <w:pStyle w:val="3-BodyText"/>
        <w:rPr>
          <w:i/>
          <w:iCs/>
        </w:rPr>
      </w:pPr>
      <w:r w:rsidRPr="007F33F1">
        <w:t>The PBAC noted and welcomed the input from individuals (15), health care professionals (</w:t>
      </w:r>
      <w:r w:rsidR="00035862" w:rsidRPr="007F33F1">
        <w:t>4</w:t>
      </w:r>
      <w:r w:rsidRPr="007F33F1">
        <w:t>) and organisations (</w:t>
      </w:r>
      <w:r w:rsidR="00B22F31" w:rsidRPr="007F33F1">
        <w:t>4</w:t>
      </w:r>
      <w:r w:rsidRPr="007F33F1">
        <w:t>) via the Consumer Comments facility on the PBS website.</w:t>
      </w:r>
      <w:r w:rsidR="007E3BCD" w:rsidRPr="007F33F1">
        <w:t xml:space="preserve"> The comments highlighted the</w:t>
      </w:r>
      <w:r w:rsidR="000D78EE" w:rsidRPr="007F33F1">
        <w:t xml:space="preserve"> significant</w:t>
      </w:r>
      <w:r w:rsidR="007E3BCD" w:rsidRPr="007F33F1">
        <w:t xml:space="preserve"> impact</w:t>
      </w:r>
      <w:r w:rsidR="000D78EE" w:rsidRPr="007F33F1">
        <w:t xml:space="preserve"> of the disease on daily life.</w:t>
      </w:r>
      <w:r w:rsidR="00337080" w:rsidRPr="007F33F1">
        <w:t xml:space="preserve"> Many of the comments were from patients who had received </w:t>
      </w:r>
      <w:r w:rsidR="00BE77FA" w:rsidRPr="007F33F1">
        <w:t>zanubrutinib</w:t>
      </w:r>
      <w:r w:rsidR="00337080" w:rsidRPr="007F33F1">
        <w:t xml:space="preserve"> through compassionate access or</w:t>
      </w:r>
      <w:r w:rsidR="00A7580C" w:rsidRPr="007F33F1">
        <w:t xml:space="preserve"> a clinical trial. The</w:t>
      </w:r>
      <w:r w:rsidR="00D2714D" w:rsidRPr="007F33F1">
        <w:t xml:space="preserve"> </w:t>
      </w:r>
      <w:r w:rsidR="00A7580C" w:rsidRPr="007F33F1">
        <w:t xml:space="preserve">comments from patients who </w:t>
      </w:r>
      <w:r w:rsidR="00B22F31" w:rsidRPr="007F33F1">
        <w:t xml:space="preserve">had </w:t>
      </w:r>
      <w:r w:rsidR="00A7580C" w:rsidRPr="007F33F1">
        <w:t xml:space="preserve">received </w:t>
      </w:r>
      <w:r w:rsidR="00BE77FA" w:rsidRPr="007F33F1">
        <w:t>zanubrutinib</w:t>
      </w:r>
      <w:r w:rsidR="00A7580C" w:rsidRPr="007F33F1">
        <w:t xml:space="preserve"> described a range of benefits </w:t>
      </w:r>
      <w:r w:rsidR="00B2683C" w:rsidRPr="007F33F1">
        <w:t>including improved quality of life, the ability to work and live an active lifestyle and manageable side effects.</w:t>
      </w:r>
      <w:r w:rsidR="007E3BCD" w:rsidRPr="007F33F1">
        <w:t xml:space="preserve"> </w:t>
      </w:r>
    </w:p>
    <w:p w:rsidR="00D2714D" w:rsidRPr="007F33F1" w:rsidRDefault="003D56AC" w:rsidP="0047221E">
      <w:pPr>
        <w:pStyle w:val="3-BodyText"/>
        <w:rPr>
          <w:i/>
          <w:iCs/>
        </w:rPr>
      </w:pPr>
      <w:r w:rsidRPr="007F33F1">
        <w:t xml:space="preserve">The </w:t>
      </w:r>
      <w:bookmarkStart w:id="34" w:name="_Hlk79592584"/>
      <w:r w:rsidRPr="007F33F1">
        <w:t>Australian patient support group for Waldenstr</w:t>
      </w:r>
      <w:r w:rsidR="00F02455" w:rsidRPr="007F33F1">
        <w:t>ö</w:t>
      </w:r>
      <w:r w:rsidRPr="007F33F1">
        <w:t xml:space="preserve">m’s Macroglobulinemia (WMozzies), </w:t>
      </w:r>
      <w:bookmarkEnd w:id="34"/>
      <w:r w:rsidRPr="007F33F1">
        <w:t>Lymphoma Foundation,</w:t>
      </w:r>
      <w:r w:rsidR="00AF385A" w:rsidRPr="007F33F1">
        <w:t xml:space="preserve"> </w:t>
      </w:r>
      <w:r w:rsidRPr="007F33F1">
        <w:t>Leukaemia Foundation</w:t>
      </w:r>
      <w:r w:rsidR="00AF385A" w:rsidRPr="007F33F1">
        <w:t xml:space="preserve"> and</w:t>
      </w:r>
      <w:r w:rsidRPr="007F33F1">
        <w:t xml:space="preserve"> Rare Cancers Australia </w:t>
      </w:r>
      <w:r w:rsidR="00AF385A" w:rsidRPr="007F33F1">
        <w:t>supported</w:t>
      </w:r>
      <w:r w:rsidR="00F02455" w:rsidRPr="007F33F1">
        <w:t xml:space="preserve"> </w:t>
      </w:r>
      <w:r w:rsidR="007E37AB" w:rsidRPr="007F33F1">
        <w:t xml:space="preserve">listing </w:t>
      </w:r>
      <w:r w:rsidR="00BE77FA" w:rsidRPr="007F33F1">
        <w:t>zanubrutinib</w:t>
      </w:r>
      <w:r w:rsidR="007E37AB" w:rsidRPr="007F33F1">
        <w:t xml:space="preserve"> for the treatment of WM. The organisations noted the</w:t>
      </w:r>
      <w:r w:rsidR="009A254F" w:rsidRPr="007F33F1">
        <w:t xml:space="preserve"> high unmet need for treatments for WM</w:t>
      </w:r>
      <w:r w:rsidR="0071383E" w:rsidRPr="007F33F1">
        <w:t>, particularly for older patients who are not able to tolerate aggressive chemotherapy regimens. The organisations</w:t>
      </w:r>
      <w:r w:rsidR="00CF486D" w:rsidRPr="007F33F1">
        <w:t xml:space="preserve"> </w:t>
      </w:r>
      <w:r w:rsidR="0071383E" w:rsidRPr="007F33F1">
        <w:t>highlighted th</w:t>
      </w:r>
      <w:r w:rsidR="00CF486D" w:rsidRPr="007F33F1">
        <w:t xml:space="preserve">e tolerable safety profile of </w:t>
      </w:r>
      <w:r w:rsidR="00BE77FA" w:rsidRPr="007F33F1">
        <w:t>zanubrutinib</w:t>
      </w:r>
      <w:r w:rsidR="00CF486D" w:rsidRPr="007F33F1">
        <w:t xml:space="preserve"> </w:t>
      </w:r>
      <w:r w:rsidR="00035844" w:rsidRPr="007F33F1">
        <w:t xml:space="preserve">noting that patients treated with </w:t>
      </w:r>
      <w:r w:rsidR="00BE77FA" w:rsidRPr="007F33F1">
        <w:t>zanubrutinib</w:t>
      </w:r>
      <w:r w:rsidR="00035844" w:rsidRPr="007F33F1">
        <w:t xml:space="preserve"> experienced few side effects. </w:t>
      </w:r>
    </w:p>
    <w:p w:rsidR="00035844" w:rsidRPr="007F33F1" w:rsidRDefault="00035844" w:rsidP="0047221E">
      <w:pPr>
        <w:pStyle w:val="3-BodyText"/>
        <w:rPr>
          <w:i/>
          <w:iCs/>
        </w:rPr>
      </w:pPr>
      <w:r w:rsidRPr="007F33F1">
        <w:t>The PBAC noted the advice received from</w:t>
      </w:r>
      <w:r w:rsidR="002C24DA" w:rsidRPr="007F33F1">
        <w:t xml:space="preserve"> three</w:t>
      </w:r>
      <w:r w:rsidRPr="007F33F1">
        <w:t xml:space="preserve"> haematologists</w:t>
      </w:r>
      <w:r w:rsidR="002C24DA" w:rsidRPr="007F33F1">
        <w:t xml:space="preserve"> from research centres and hospitals across Australia</w:t>
      </w:r>
      <w:r w:rsidRPr="007F33F1">
        <w:t xml:space="preserve"> </w:t>
      </w:r>
      <w:r w:rsidR="00B91DDD" w:rsidRPr="007F33F1">
        <w:t xml:space="preserve">that </w:t>
      </w:r>
      <w:r w:rsidR="00BE77FA" w:rsidRPr="007F33F1">
        <w:t>zanubrutinib</w:t>
      </w:r>
      <w:r w:rsidR="00B91DDD" w:rsidRPr="007F33F1">
        <w:t xml:space="preserve"> has a favourable safety profile compared to ibrutinib, particularly in terms of cardiovascular toxicity, </w:t>
      </w:r>
      <w:r w:rsidR="00681665" w:rsidRPr="007F33F1">
        <w:t>bleeding,</w:t>
      </w:r>
      <w:r w:rsidR="00B91DDD" w:rsidRPr="007F33F1">
        <w:t xml:space="preserve"> and diarrhoea.</w:t>
      </w:r>
      <w:r w:rsidR="002C24DA" w:rsidRPr="007F33F1">
        <w:t xml:space="preserve"> The </w:t>
      </w:r>
      <w:r w:rsidR="0097304B" w:rsidRPr="007F33F1">
        <w:t>haematologists also noted</w:t>
      </w:r>
      <w:r w:rsidR="00203D06" w:rsidRPr="007F33F1">
        <w:t xml:space="preserve"> </w:t>
      </w:r>
      <w:r w:rsidR="0097304B" w:rsidRPr="007F33F1">
        <w:t xml:space="preserve">the Australian-led international </w:t>
      </w:r>
      <w:r w:rsidR="00AA2C1F" w:rsidRPr="007F33F1">
        <w:t>WhiMSICAL study which capture</w:t>
      </w:r>
      <w:r w:rsidR="006022B8" w:rsidRPr="007F33F1">
        <w:t>d</w:t>
      </w:r>
      <w:r w:rsidR="00AA2C1F" w:rsidRPr="007F33F1">
        <w:t xml:space="preserve"> patient-derived quality of life scores reported superior QoL scores of patients receiving a BTKi compared to those who had received conventional chemotherapy.</w:t>
      </w:r>
    </w:p>
    <w:p w:rsidR="00F5455C" w:rsidRPr="007F33F1" w:rsidRDefault="00BF4DB8" w:rsidP="0047221E">
      <w:pPr>
        <w:pStyle w:val="3-BodyText"/>
      </w:pPr>
      <w:r w:rsidRPr="007F33F1">
        <w:t>A form of consumer hearing was also held with representatives from the Australian patient support group for WM (WMozzies), prior to the PBAC meeting. This was informed by a Rapid Consumer Evidence Brief prepared by the Consumer Evidence and Engagement Unit of the Department of Health,</w:t>
      </w:r>
      <w:r w:rsidRPr="007F33F1">
        <w:rPr>
          <w:i/>
          <w:iCs/>
        </w:rPr>
        <w:t xml:space="preserve"> </w:t>
      </w:r>
      <w:r w:rsidR="00F5455C" w:rsidRPr="007F33F1">
        <w:t xml:space="preserve">drawing on discussions held with WMozzies representatives concerning </w:t>
      </w:r>
      <w:r w:rsidR="000C3AAF" w:rsidRPr="007F33F1">
        <w:t>the population to have access to treatment, current challenges with existing therapies and experience of zanubrutinib</w:t>
      </w:r>
      <w:r w:rsidR="007F33F1">
        <w:t xml:space="preserve">. </w:t>
      </w:r>
    </w:p>
    <w:p w:rsidR="00D96219" w:rsidRPr="007F33F1" w:rsidRDefault="00D96219" w:rsidP="0047221E">
      <w:pPr>
        <w:pStyle w:val="3-BodyText"/>
      </w:pPr>
      <w:r w:rsidRPr="007F33F1">
        <w:t xml:space="preserve">The following is a summary of the perspectives presented to PBAC representatives: </w:t>
      </w:r>
    </w:p>
    <w:p w:rsidR="00E17D74" w:rsidRPr="007F33F1" w:rsidRDefault="00E17D74" w:rsidP="0047221E">
      <w:pPr>
        <w:pStyle w:val="ListParagraph"/>
        <w:ind w:left="1134"/>
        <w:rPr>
          <w:i/>
          <w:iCs/>
        </w:rPr>
      </w:pPr>
      <w:r w:rsidRPr="007F33F1">
        <w:t xml:space="preserve">There are currently limited treatment options for patients with WM, and available treatment options have high toxicity. </w:t>
      </w:r>
      <w:r w:rsidR="00FA1C89" w:rsidRPr="007F33F1">
        <w:t>The side effects of zanubrutinib were considered relatively minor (e.g. bruising), and there was some suggestion of reduced side effects compared with ibrutinib (in terms of diarrhoea and atrial fibrillation, which were noted in international patient forums).</w:t>
      </w:r>
    </w:p>
    <w:p w:rsidR="00E17D74" w:rsidRPr="007F33F1" w:rsidRDefault="00E17D74" w:rsidP="0047221E">
      <w:pPr>
        <w:pStyle w:val="ListParagraph"/>
        <w:ind w:left="1134"/>
        <w:rPr>
          <w:i/>
          <w:iCs/>
        </w:rPr>
      </w:pPr>
      <w:r w:rsidRPr="007F33F1">
        <w:t>Given that WM is a rare condition, the PBS restriction should ideally allow the broadest access possible, including those previously treated with a BTKi. It was considered likely that BTKi options such as zanubrutinib would be preferred to chemotherapy</w:t>
      </w:r>
      <w:r w:rsidR="00FA1C89" w:rsidRPr="007F33F1">
        <w:t xml:space="preserve"> for both tolerability and oral form</w:t>
      </w:r>
      <w:r w:rsidR="009276D8" w:rsidRPr="007F33F1">
        <w:t>ulation</w:t>
      </w:r>
      <w:r w:rsidR="00FA1C89" w:rsidRPr="007F33F1">
        <w:t>. Uptake was expected to be high.</w:t>
      </w:r>
    </w:p>
    <w:p w:rsidR="00100300" w:rsidRPr="007F33F1" w:rsidRDefault="00E17D74" w:rsidP="0047221E">
      <w:pPr>
        <w:pStyle w:val="ListParagraph"/>
        <w:ind w:left="1134"/>
      </w:pPr>
      <w:r w:rsidRPr="007F33F1">
        <w:t>Although WM has a relapsing nature, it is the quality of life between relapsing periods that is greatly valued by those with the disease.</w:t>
      </w:r>
      <w:r w:rsidR="00100300" w:rsidRPr="007F33F1">
        <w:t xml:space="preserve"> WM makes people feel extremely tired and fatigued and the representatives noted that zanubrutinib had given individuals back their energy, allowed them to feel like themselves again and to participate in activities. It was noted that chemotherapy does not have the same benefits around quality of life and individuals continue to feel tired and unwell.</w:t>
      </w:r>
    </w:p>
    <w:p w:rsidR="00D96219" w:rsidRPr="007F33F1" w:rsidRDefault="00FA1C89" w:rsidP="0047221E">
      <w:pPr>
        <w:pStyle w:val="ListParagraph"/>
        <w:ind w:left="1134"/>
      </w:pPr>
      <w:r w:rsidRPr="007F33F1">
        <w:t xml:space="preserve">In terms of long-term outcomes, representatives noted that the submission did not include long-term data, but explained that several </w:t>
      </w:r>
      <w:r w:rsidR="00681665" w:rsidRPr="007F33F1">
        <w:t>WMozzies</w:t>
      </w:r>
      <w:r w:rsidRPr="007F33F1">
        <w:t xml:space="preserve"> members had been treated with zanubrutinib for </w:t>
      </w:r>
      <w:r w:rsidR="009276D8" w:rsidRPr="007F33F1">
        <w:t xml:space="preserve">three to six </w:t>
      </w:r>
      <w:r w:rsidRPr="007F33F1">
        <w:t xml:space="preserve">years and remained stable, with similar experiences reported overseas. </w:t>
      </w:r>
    </w:p>
    <w:p w:rsidR="00205FD7" w:rsidRPr="007F33F1" w:rsidRDefault="00205FD7" w:rsidP="0047221E">
      <w:pPr>
        <w:pStyle w:val="4-SubsectionHeading"/>
      </w:pPr>
      <w:r w:rsidRPr="007F33F1">
        <w:t xml:space="preserve">Clinical </w:t>
      </w:r>
      <w:bookmarkEnd w:id="31"/>
      <w:bookmarkEnd w:id="32"/>
      <w:r w:rsidR="00DA745C" w:rsidRPr="007F33F1">
        <w:t>studies</w:t>
      </w:r>
      <w:bookmarkEnd w:id="33"/>
    </w:p>
    <w:p w:rsidR="005C06F0" w:rsidRPr="007F33F1" w:rsidRDefault="005C06F0" w:rsidP="0047221E">
      <w:pPr>
        <w:pStyle w:val="3-BodyText"/>
      </w:pPr>
      <w:r w:rsidRPr="007F33F1">
        <w:t xml:space="preserve">The submission presented comparisons between </w:t>
      </w:r>
      <w:r w:rsidR="00BE77FA" w:rsidRPr="007F33F1">
        <w:t>zanubrutinib</w:t>
      </w:r>
      <w:r w:rsidRPr="007F33F1">
        <w:t xml:space="preserve"> versus each of the two nominated comparators, Rm and BR: </w:t>
      </w:r>
    </w:p>
    <w:p w:rsidR="005C06F0" w:rsidRPr="007F33F1" w:rsidRDefault="005C06F0" w:rsidP="0047221E">
      <w:pPr>
        <w:pStyle w:val="ListParagraph"/>
        <w:ind w:left="1134"/>
      </w:pPr>
      <w:r w:rsidRPr="007F33F1">
        <w:t>An indirect treatment comparison (ITC) of response and safety outcomes for</w:t>
      </w:r>
      <w:r w:rsidR="00D7190A" w:rsidRPr="007F33F1">
        <w:t xml:space="preserve"> </w:t>
      </w:r>
      <w:r w:rsidR="00BE77FA" w:rsidRPr="007F33F1">
        <w:t>zanubrutinib</w:t>
      </w:r>
      <w:r w:rsidRPr="007F33F1">
        <w:t xml:space="preserve"> (ASPEN-Cohort 1) versus Rm (iNNOVATE), with </w:t>
      </w:r>
      <w:r w:rsidR="00BE77FA" w:rsidRPr="007F33F1">
        <w:t>ibrutinib</w:t>
      </w:r>
      <w:r w:rsidRPr="007F33F1">
        <w:t xml:space="preserve"> (ASPEN-Cohort 1)/ </w:t>
      </w:r>
      <w:r w:rsidR="00BE77FA" w:rsidRPr="007F33F1">
        <w:t>ibrutinib</w:t>
      </w:r>
      <w:r w:rsidRPr="007F33F1">
        <w:t>+R (iNNOVATE) as</w:t>
      </w:r>
      <w:r w:rsidR="0013135C" w:rsidRPr="007F33F1">
        <w:t xml:space="preserve"> the</w:t>
      </w:r>
      <w:r w:rsidRPr="007F33F1">
        <w:t xml:space="preserve"> ‘common’ reference;</w:t>
      </w:r>
      <w:r w:rsidR="00E140B7" w:rsidRPr="007F33F1">
        <w:t xml:space="preserve"> </w:t>
      </w:r>
    </w:p>
    <w:p w:rsidR="005C06F0" w:rsidRPr="007F33F1" w:rsidRDefault="005C06F0" w:rsidP="0047221E">
      <w:pPr>
        <w:pStyle w:val="ListParagraph"/>
        <w:ind w:left="1134"/>
      </w:pPr>
      <w:r w:rsidRPr="007F33F1">
        <w:t xml:space="preserve">A naïve pooled ITC of response outcomes, for </w:t>
      </w:r>
      <w:r w:rsidR="00BE77FA" w:rsidRPr="007F33F1">
        <w:t>zanubrutinib</w:t>
      </w:r>
      <w:r w:rsidRPr="007F33F1">
        <w:t xml:space="preserve"> (ASPEN-Cohort 1 and Study AU-003) versus Rm (iNNOVATE and </w:t>
      </w:r>
      <w:r w:rsidR="00916B6C" w:rsidRPr="007F33F1">
        <w:t>Dimopoulos</w:t>
      </w:r>
      <w:r w:rsidRPr="007F33F1">
        <w:t xml:space="preserve"> 2002);</w:t>
      </w:r>
    </w:p>
    <w:p w:rsidR="005C06F0" w:rsidRPr="007F33F1" w:rsidRDefault="00A33437" w:rsidP="0047221E">
      <w:pPr>
        <w:pStyle w:val="ListParagraph"/>
        <w:ind w:left="1134"/>
      </w:pPr>
      <w:r w:rsidRPr="007F33F1">
        <w:t>Matching-</w:t>
      </w:r>
      <w:r w:rsidR="005C06F0" w:rsidRPr="007F33F1">
        <w:t xml:space="preserve">adjusted indirect treatment comparisons (MAICs) of PFS, OS and safety, for </w:t>
      </w:r>
      <w:r w:rsidR="00BE77FA" w:rsidRPr="007F33F1">
        <w:t>zanubrutinib</w:t>
      </w:r>
      <w:r w:rsidR="005C06F0" w:rsidRPr="007F33F1">
        <w:t xml:space="preserve"> (ASPEN-Cohort 1) versus BR (Tedeschi 2015); and </w:t>
      </w:r>
    </w:p>
    <w:p w:rsidR="005C06F0" w:rsidRPr="007F33F1" w:rsidRDefault="005C06F0" w:rsidP="0047221E">
      <w:pPr>
        <w:pStyle w:val="ListParagraph"/>
        <w:ind w:left="1134"/>
      </w:pPr>
      <w:r w:rsidRPr="007F33F1">
        <w:t xml:space="preserve">A naïve pooled ITC of response outcomes, for </w:t>
      </w:r>
      <w:r w:rsidR="00BE77FA" w:rsidRPr="007F33F1">
        <w:t>zanubrutinib</w:t>
      </w:r>
      <w:r w:rsidRPr="007F33F1">
        <w:t xml:space="preserve"> (ASPEN-Cohort 1 and Study AU-003) versus BR (Tedes</w:t>
      </w:r>
      <w:r w:rsidR="002B062C" w:rsidRPr="007F33F1">
        <w:t>c</w:t>
      </w:r>
      <w:r w:rsidRPr="007F33F1">
        <w:t>hi 2015 and Treon 2011)</w:t>
      </w:r>
      <w:r w:rsidR="000C6F40" w:rsidRPr="007F33F1">
        <w:t>.</w:t>
      </w:r>
    </w:p>
    <w:p w:rsidR="00205FD7" w:rsidRPr="007F33F1" w:rsidRDefault="00205FD7" w:rsidP="0047221E">
      <w:pPr>
        <w:pStyle w:val="3-BodyText"/>
      </w:pPr>
      <w:r w:rsidRPr="007F33F1">
        <w:rPr>
          <w:snapToGrid/>
        </w:rPr>
        <w:t>Details of the studies presented in the submission are provided in the table below.</w:t>
      </w:r>
    </w:p>
    <w:p w:rsidR="00205FD7" w:rsidRPr="007F33F1" w:rsidRDefault="00205FD7" w:rsidP="0047221E">
      <w:pPr>
        <w:pStyle w:val="TableFigureHeading"/>
        <w:keepLines/>
        <w:rPr>
          <w:rStyle w:val="CommentReference"/>
          <w:b/>
          <w:szCs w:val="24"/>
        </w:rPr>
      </w:pPr>
      <w:r w:rsidRPr="007F33F1">
        <w:rPr>
          <w:rStyle w:val="CommentReference"/>
          <w:b/>
          <w:szCs w:val="24"/>
        </w:rPr>
        <w:t>T</w:t>
      </w:r>
      <w:r w:rsidRPr="007F33F1">
        <w:t xml:space="preserve">able </w:t>
      </w:r>
      <w:r w:rsidR="00015997">
        <w:rPr>
          <w:noProof/>
        </w:rPr>
        <w:t>2</w:t>
      </w:r>
      <w:r w:rsidRPr="007F33F1">
        <w:rPr>
          <w:rStyle w:val="CommentReference"/>
          <w:b/>
          <w:szCs w:val="24"/>
        </w:rPr>
        <w:t>: Studies and associated reports presented in the submission</w:t>
      </w:r>
    </w:p>
    <w:tbl>
      <w:tblPr>
        <w:tblStyle w:val="TableGrid13"/>
        <w:tblW w:w="5000" w:type="pct"/>
        <w:tblCellMar>
          <w:left w:w="28" w:type="dxa"/>
          <w:right w:w="28" w:type="dxa"/>
        </w:tblCellMar>
        <w:tblLook w:val="0020" w:firstRow="1" w:lastRow="0" w:firstColumn="0" w:lastColumn="0" w:noHBand="0" w:noVBand="0"/>
        <w:tblCaption w:val="Table 2: Studies and associated reports presented in the submission"/>
      </w:tblPr>
      <w:tblGrid>
        <w:gridCol w:w="1699"/>
        <w:gridCol w:w="5086"/>
        <w:gridCol w:w="2255"/>
      </w:tblGrid>
      <w:tr w:rsidR="00205FD7" w:rsidRPr="007F33F1" w:rsidTr="008008FC">
        <w:trPr>
          <w:tblHeader/>
        </w:trPr>
        <w:tc>
          <w:tcPr>
            <w:tcW w:w="940" w:type="pct"/>
          </w:tcPr>
          <w:p w:rsidR="00205FD7" w:rsidRPr="007F33F1" w:rsidRDefault="00205FD7" w:rsidP="0047221E">
            <w:pPr>
              <w:pStyle w:val="TableText0"/>
              <w:keepLines/>
              <w:rPr>
                <w:b/>
                <w:bCs w:val="0"/>
                <w:lang w:val="en-AU"/>
              </w:rPr>
            </w:pPr>
            <w:r w:rsidRPr="007F33F1">
              <w:rPr>
                <w:b/>
                <w:bCs w:val="0"/>
                <w:lang w:val="en-AU"/>
              </w:rPr>
              <w:t>Trial ID</w:t>
            </w:r>
          </w:p>
        </w:tc>
        <w:tc>
          <w:tcPr>
            <w:tcW w:w="2813" w:type="pct"/>
          </w:tcPr>
          <w:p w:rsidR="00205FD7" w:rsidRPr="007F33F1" w:rsidRDefault="00205FD7" w:rsidP="0047221E">
            <w:pPr>
              <w:pStyle w:val="TableText0"/>
              <w:keepLines/>
              <w:rPr>
                <w:b/>
                <w:bCs w:val="0"/>
                <w:lang w:val="en-AU"/>
              </w:rPr>
            </w:pPr>
            <w:r w:rsidRPr="007F33F1">
              <w:rPr>
                <w:b/>
                <w:bCs w:val="0"/>
                <w:lang w:val="en-AU"/>
              </w:rPr>
              <w:t>Protocol title / Publication title</w:t>
            </w:r>
          </w:p>
        </w:tc>
        <w:tc>
          <w:tcPr>
            <w:tcW w:w="1247" w:type="pct"/>
          </w:tcPr>
          <w:p w:rsidR="00205FD7" w:rsidRPr="007F33F1" w:rsidRDefault="00205FD7" w:rsidP="0047221E">
            <w:pPr>
              <w:pStyle w:val="TableText0"/>
              <w:keepLines/>
              <w:rPr>
                <w:b/>
                <w:bCs w:val="0"/>
                <w:lang w:val="en-AU"/>
              </w:rPr>
            </w:pPr>
            <w:r w:rsidRPr="007F33F1">
              <w:rPr>
                <w:b/>
                <w:bCs w:val="0"/>
                <w:lang w:val="en-AU"/>
              </w:rPr>
              <w:t>Publication date</w:t>
            </w:r>
          </w:p>
        </w:tc>
      </w:tr>
      <w:tr w:rsidR="00205FD7" w:rsidRPr="007F33F1" w:rsidTr="008008FC">
        <w:trPr>
          <w:trHeight w:val="135"/>
        </w:trPr>
        <w:tc>
          <w:tcPr>
            <w:tcW w:w="5000" w:type="pct"/>
            <w:gridSpan w:val="3"/>
            <w:shd w:val="clear" w:color="auto" w:fill="auto"/>
          </w:tcPr>
          <w:p w:rsidR="00205FD7" w:rsidRPr="007F33F1" w:rsidRDefault="00205FD7" w:rsidP="0047221E">
            <w:pPr>
              <w:pStyle w:val="TableText0"/>
              <w:keepLines/>
              <w:rPr>
                <w:lang w:val="en-AU"/>
              </w:rPr>
            </w:pPr>
            <w:r w:rsidRPr="007F33F1">
              <w:rPr>
                <w:b/>
                <w:bCs w:val="0"/>
                <w:lang w:val="en-AU"/>
              </w:rPr>
              <w:t>Zanubrutinib</w:t>
            </w:r>
          </w:p>
        </w:tc>
      </w:tr>
      <w:tr w:rsidR="00205FD7" w:rsidRPr="007F33F1" w:rsidTr="008008FC">
        <w:tc>
          <w:tcPr>
            <w:tcW w:w="940" w:type="pct"/>
            <w:vMerge w:val="restart"/>
          </w:tcPr>
          <w:p w:rsidR="00205FD7" w:rsidRPr="007F33F1" w:rsidRDefault="00205FD7" w:rsidP="0047221E">
            <w:pPr>
              <w:pStyle w:val="TableText0"/>
              <w:keepLines/>
              <w:rPr>
                <w:lang w:val="en-AU"/>
              </w:rPr>
            </w:pPr>
            <w:r w:rsidRPr="007F33F1">
              <w:rPr>
                <w:lang w:val="en-AU"/>
              </w:rPr>
              <w:t>ASPEN</w:t>
            </w:r>
          </w:p>
        </w:tc>
        <w:tc>
          <w:tcPr>
            <w:tcW w:w="2813" w:type="pct"/>
          </w:tcPr>
          <w:p w:rsidR="00205FD7" w:rsidRPr="007F33F1" w:rsidRDefault="00205FD7" w:rsidP="0047221E">
            <w:pPr>
              <w:pStyle w:val="TableText0"/>
              <w:keepLines/>
              <w:rPr>
                <w:lang w:val="en-AU"/>
              </w:rPr>
            </w:pPr>
            <w:r w:rsidRPr="007F33F1">
              <w:rPr>
                <w:lang w:val="en-AU"/>
              </w:rPr>
              <w:t>A Phase 3, Randomized, Open-Label, Multicenter Study Comparing the Efficacy and Safety of the Bruton’s Tyrosine Kinase (BTK) Inhibitors BGB-3111 and Ibrutinib in Subjects with Waldenström’s Macroglobulinemia (WM). Clinical Study Report BGB-3111-302</w:t>
            </w:r>
          </w:p>
          <w:p w:rsidR="00205FD7" w:rsidRPr="007F33F1" w:rsidRDefault="00205FD7" w:rsidP="0047221E">
            <w:pPr>
              <w:pStyle w:val="TableText0"/>
              <w:keepLines/>
              <w:rPr>
                <w:lang w:val="en-AU"/>
              </w:rPr>
            </w:pPr>
            <w:r w:rsidRPr="007F33F1">
              <w:rPr>
                <w:lang w:val="en-AU"/>
              </w:rPr>
              <w:t xml:space="preserve">Tam CS, Opat S, D’Sa S, et. al. A randomized phase 3 trial of zanubrutinib vs ibrutinib in symptomatic Waldenström’s macroglobulinemia: the ASPEN study. </w:t>
            </w:r>
          </w:p>
        </w:tc>
        <w:tc>
          <w:tcPr>
            <w:tcW w:w="1247" w:type="pct"/>
          </w:tcPr>
          <w:p w:rsidR="00205FD7" w:rsidRPr="007F33F1" w:rsidRDefault="00205FD7" w:rsidP="0047221E">
            <w:pPr>
              <w:pStyle w:val="TableText0"/>
              <w:keepLines/>
              <w:rPr>
                <w:lang w:val="en-AU"/>
              </w:rPr>
            </w:pPr>
            <w:r w:rsidRPr="007F33F1">
              <w:rPr>
                <w:lang w:val="en-AU"/>
              </w:rPr>
              <w:t>18 May 2020</w:t>
            </w: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r w:rsidRPr="007F33F1">
              <w:rPr>
                <w:i/>
                <w:lang w:val="en-AU"/>
              </w:rPr>
              <w:t>Blood</w:t>
            </w:r>
            <w:r w:rsidR="00480FA2" w:rsidRPr="007F33F1">
              <w:rPr>
                <w:lang w:val="en-AU"/>
              </w:rPr>
              <w:t xml:space="preserve"> 2020, 136: 2038-50</w:t>
            </w:r>
          </w:p>
        </w:tc>
      </w:tr>
      <w:tr w:rsidR="00205FD7" w:rsidRPr="007F33F1" w:rsidTr="008008FC">
        <w:tc>
          <w:tcPr>
            <w:tcW w:w="940" w:type="pct"/>
            <w:vMerge/>
          </w:tcPr>
          <w:p w:rsidR="00205FD7" w:rsidRPr="007F33F1" w:rsidRDefault="00205FD7" w:rsidP="0047221E">
            <w:pPr>
              <w:pStyle w:val="TableText0"/>
              <w:keepLines/>
              <w:rPr>
                <w:lang w:val="en-AU"/>
              </w:rPr>
            </w:pPr>
          </w:p>
        </w:tc>
        <w:tc>
          <w:tcPr>
            <w:tcW w:w="2813" w:type="pct"/>
          </w:tcPr>
          <w:p w:rsidR="00205FD7" w:rsidRPr="007F33F1" w:rsidRDefault="00205FD7" w:rsidP="0047221E">
            <w:pPr>
              <w:pStyle w:val="TableText0"/>
              <w:keepLines/>
              <w:rPr>
                <w:lang w:val="en-AU"/>
              </w:rPr>
            </w:pPr>
            <w:r w:rsidRPr="007F33F1">
              <w:rPr>
                <w:lang w:val="en-AU"/>
              </w:rPr>
              <w:t>Major responses in MYD88 wildtype (MYD88WT) Waldenström’s macroglobulinemia (WM) patients treated with bruton tyrosine kinase (BTK) inhibitor zanubrutinib (BGB-3111).</w:t>
            </w:r>
          </w:p>
        </w:tc>
        <w:tc>
          <w:tcPr>
            <w:tcW w:w="1247" w:type="pct"/>
          </w:tcPr>
          <w:p w:rsidR="00205FD7" w:rsidRPr="007F33F1" w:rsidRDefault="00205FD7" w:rsidP="0047221E">
            <w:pPr>
              <w:pStyle w:val="TableText0"/>
              <w:keepLines/>
              <w:rPr>
                <w:lang w:val="en-AU"/>
              </w:rPr>
            </w:pPr>
            <w:r w:rsidRPr="007F33F1">
              <w:rPr>
                <w:lang w:val="en-AU"/>
              </w:rPr>
              <w:t xml:space="preserve">June 2019. </w:t>
            </w:r>
          </w:p>
          <w:p w:rsidR="00205FD7" w:rsidRPr="007F33F1" w:rsidRDefault="00205FD7" w:rsidP="0047221E">
            <w:pPr>
              <w:pStyle w:val="TableText0"/>
              <w:keepLines/>
              <w:rPr>
                <w:lang w:val="en-AU"/>
              </w:rPr>
            </w:pPr>
            <w:r w:rsidRPr="007F33F1">
              <w:rPr>
                <w:lang w:val="en-AU"/>
              </w:rPr>
              <w:t xml:space="preserve">HemaSphere. Conference: 24th Congress of the </w:t>
            </w:r>
            <w:r w:rsidR="00480FA2" w:rsidRPr="007F33F1">
              <w:rPr>
                <w:lang w:val="en-AU"/>
              </w:rPr>
              <w:t>EHA. Netherlands. 3 (Supplement </w:t>
            </w:r>
            <w:r w:rsidRPr="007F33F1">
              <w:rPr>
                <w:lang w:val="en-AU"/>
              </w:rPr>
              <w:t xml:space="preserve">1) (pp 196), 2019. </w:t>
            </w:r>
          </w:p>
        </w:tc>
      </w:tr>
      <w:tr w:rsidR="00205FD7" w:rsidRPr="007F33F1" w:rsidTr="008008FC">
        <w:tc>
          <w:tcPr>
            <w:tcW w:w="940" w:type="pct"/>
            <w:vMerge/>
          </w:tcPr>
          <w:p w:rsidR="00205FD7" w:rsidRPr="007F33F1" w:rsidRDefault="00205FD7" w:rsidP="0047221E">
            <w:pPr>
              <w:pStyle w:val="TableText0"/>
              <w:keepLines/>
              <w:rPr>
                <w:lang w:val="en-AU"/>
              </w:rPr>
            </w:pPr>
          </w:p>
        </w:tc>
        <w:tc>
          <w:tcPr>
            <w:tcW w:w="2813" w:type="pct"/>
          </w:tcPr>
          <w:p w:rsidR="00205FD7" w:rsidRPr="007F33F1" w:rsidRDefault="00205FD7" w:rsidP="0047221E">
            <w:pPr>
              <w:pStyle w:val="TableText0"/>
              <w:keepLines/>
              <w:rPr>
                <w:lang w:val="en-AU"/>
              </w:rPr>
            </w:pPr>
            <w:r w:rsidRPr="007F33F1">
              <w:rPr>
                <w:lang w:val="en-AU"/>
              </w:rPr>
              <w:t>Updated results of the ASPEN study from a cohort of patients with MYD88 wild-type Waldenström’s macroglobulinemia.</w:t>
            </w:r>
          </w:p>
        </w:tc>
        <w:tc>
          <w:tcPr>
            <w:tcW w:w="1247" w:type="pct"/>
          </w:tcPr>
          <w:p w:rsidR="00205FD7" w:rsidRPr="007F33F1" w:rsidRDefault="00205FD7" w:rsidP="0047221E">
            <w:pPr>
              <w:pStyle w:val="TableText0"/>
              <w:keepLines/>
              <w:rPr>
                <w:lang w:val="en-AU"/>
              </w:rPr>
            </w:pPr>
            <w:r w:rsidRPr="007F33F1">
              <w:rPr>
                <w:lang w:val="en-AU"/>
              </w:rPr>
              <w:t xml:space="preserve">June 2020. </w:t>
            </w:r>
          </w:p>
          <w:p w:rsidR="00205FD7" w:rsidRPr="007F33F1" w:rsidRDefault="00205FD7" w:rsidP="0047221E">
            <w:pPr>
              <w:pStyle w:val="TableText0"/>
              <w:keepLines/>
              <w:rPr>
                <w:lang w:val="en-AU"/>
              </w:rPr>
            </w:pPr>
            <w:r w:rsidRPr="007F33F1">
              <w:rPr>
                <w:lang w:val="en-AU"/>
              </w:rPr>
              <w:t>HemaSphere. Conference: 25th Congress of the EHA. 4 (Supplement 1) (pp 550), 2020.</w:t>
            </w:r>
          </w:p>
        </w:tc>
      </w:tr>
      <w:tr w:rsidR="00205FD7" w:rsidRPr="007F33F1" w:rsidTr="008008FC">
        <w:tc>
          <w:tcPr>
            <w:tcW w:w="940" w:type="pct"/>
          </w:tcPr>
          <w:p w:rsidR="00205FD7" w:rsidRPr="007F33F1" w:rsidRDefault="00205FD7" w:rsidP="0047221E">
            <w:pPr>
              <w:pStyle w:val="TableText0"/>
              <w:keepLines/>
              <w:rPr>
                <w:lang w:val="en-AU"/>
              </w:rPr>
            </w:pPr>
            <w:r w:rsidRPr="007F33F1">
              <w:rPr>
                <w:lang w:val="en-AU"/>
              </w:rPr>
              <w:t>Study AU-003</w:t>
            </w:r>
          </w:p>
        </w:tc>
        <w:tc>
          <w:tcPr>
            <w:tcW w:w="2813" w:type="pct"/>
          </w:tcPr>
          <w:p w:rsidR="00205FD7" w:rsidRPr="007F33F1" w:rsidRDefault="00205FD7" w:rsidP="0047221E">
            <w:pPr>
              <w:pStyle w:val="TableText0"/>
              <w:keepLines/>
              <w:rPr>
                <w:lang w:val="en-AU"/>
              </w:rPr>
            </w:pPr>
            <w:r w:rsidRPr="007F33F1">
              <w:rPr>
                <w:lang w:val="en-AU"/>
              </w:rPr>
              <w:t>A Phase 1, Open-Label, Multiple-Dose, Dose Escalation and Expansion Study to Investigate the Safety and Pharmacokinetics of the BTK Inhibitor BGB-3111 in Patients with B-Cell Lymphoid Malignancies. Clinical Study Report BGB-3111-AU-003.</w:t>
            </w:r>
          </w:p>
          <w:p w:rsidR="00205FD7" w:rsidRPr="007F33F1" w:rsidRDefault="00205FD7" w:rsidP="0047221E">
            <w:pPr>
              <w:pStyle w:val="TableText0"/>
              <w:keepLines/>
              <w:rPr>
                <w:lang w:val="en-AU"/>
              </w:rPr>
            </w:pPr>
            <w:r w:rsidRPr="007F33F1">
              <w:rPr>
                <w:lang w:val="en-AU"/>
              </w:rPr>
              <w:t xml:space="preserve">Tam C.S., Wang M., Simpson D. et al. Updated safety and efficacy data in the phase 1 trial of patients with mantle cell lymphoma (MCL) treated with bruton tyrosine kinase (BTK) inhibitor zanubrutinib (BGB-3111). </w:t>
            </w:r>
          </w:p>
        </w:tc>
        <w:tc>
          <w:tcPr>
            <w:tcW w:w="1247" w:type="pct"/>
          </w:tcPr>
          <w:p w:rsidR="00205FD7" w:rsidRPr="007F33F1" w:rsidRDefault="00205FD7" w:rsidP="0047221E">
            <w:pPr>
              <w:pStyle w:val="TableText0"/>
              <w:keepLines/>
              <w:rPr>
                <w:lang w:val="en-AU"/>
              </w:rPr>
            </w:pPr>
            <w:r w:rsidRPr="007F33F1">
              <w:rPr>
                <w:lang w:val="en-AU"/>
              </w:rPr>
              <w:t>15 June 2020</w:t>
            </w: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r w:rsidRPr="007F33F1">
              <w:rPr>
                <w:i/>
                <w:lang w:val="en-AU"/>
              </w:rPr>
              <w:t>Hematological Oncology</w:t>
            </w:r>
            <w:r w:rsidRPr="007F33F1">
              <w:rPr>
                <w:lang w:val="en-AU"/>
              </w:rPr>
              <w:t xml:space="preserve"> 2019</w:t>
            </w:r>
            <w:r w:rsidR="00480FA2" w:rsidRPr="007F33F1">
              <w:rPr>
                <w:lang w:val="en-AU"/>
              </w:rPr>
              <w:t>,</w:t>
            </w:r>
            <w:r w:rsidRPr="007F33F1">
              <w:rPr>
                <w:lang w:val="en-AU"/>
              </w:rPr>
              <w:t xml:space="preserve"> 37(S2): 245-247</w:t>
            </w:r>
          </w:p>
        </w:tc>
      </w:tr>
      <w:tr w:rsidR="008C492F" w:rsidRPr="007F33F1" w:rsidTr="008008FC">
        <w:trPr>
          <w:trHeight w:val="135"/>
        </w:trPr>
        <w:tc>
          <w:tcPr>
            <w:tcW w:w="5000" w:type="pct"/>
            <w:gridSpan w:val="3"/>
            <w:shd w:val="clear" w:color="auto" w:fill="auto"/>
          </w:tcPr>
          <w:p w:rsidR="008C492F" w:rsidRPr="007F33F1" w:rsidRDefault="008C492F" w:rsidP="0047221E">
            <w:pPr>
              <w:pStyle w:val="TableText0"/>
              <w:keepLines/>
              <w:rPr>
                <w:b/>
                <w:bCs w:val="0"/>
                <w:lang w:val="en-AU"/>
              </w:rPr>
            </w:pPr>
            <w:r w:rsidRPr="007F33F1">
              <w:rPr>
                <w:b/>
                <w:bCs w:val="0"/>
                <w:lang w:val="en-AU"/>
              </w:rPr>
              <w:t>Rituximab-monotherapy</w:t>
            </w:r>
          </w:p>
        </w:tc>
      </w:tr>
      <w:tr w:rsidR="00205FD7" w:rsidRPr="007F33F1" w:rsidTr="008008FC">
        <w:tc>
          <w:tcPr>
            <w:tcW w:w="940" w:type="pct"/>
          </w:tcPr>
          <w:p w:rsidR="00205FD7" w:rsidRPr="007F33F1" w:rsidRDefault="00205FD7" w:rsidP="0047221E">
            <w:pPr>
              <w:pStyle w:val="TableText0"/>
              <w:keepLines/>
              <w:rPr>
                <w:lang w:val="en-AU"/>
              </w:rPr>
            </w:pPr>
            <w:r w:rsidRPr="007F33F1">
              <w:rPr>
                <w:lang w:val="en-AU"/>
              </w:rPr>
              <w:t>iNNOVATE</w:t>
            </w:r>
          </w:p>
        </w:tc>
        <w:tc>
          <w:tcPr>
            <w:tcW w:w="2813" w:type="pct"/>
          </w:tcPr>
          <w:p w:rsidR="00205FD7" w:rsidRPr="007F33F1" w:rsidRDefault="00205FD7" w:rsidP="0047221E">
            <w:pPr>
              <w:pStyle w:val="TableText0"/>
              <w:keepLines/>
              <w:rPr>
                <w:lang w:val="en-AU"/>
              </w:rPr>
            </w:pPr>
            <w:r w:rsidRPr="007F33F1">
              <w:rPr>
                <w:lang w:val="en-AU"/>
              </w:rPr>
              <w:t xml:space="preserve">A Randomized, Double-Blind, Placebo- Controlled, Phase 3 Study of Ibrutinib or Placebo in Combination with Rituximab in Subjects with Waldenström's Macroglobulinemia. </w:t>
            </w:r>
          </w:p>
          <w:p w:rsidR="00205FD7" w:rsidRPr="007F33F1" w:rsidRDefault="00205FD7" w:rsidP="0047221E">
            <w:pPr>
              <w:pStyle w:val="TableText0"/>
              <w:keepLines/>
              <w:rPr>
                <w:lang w:val="en-AU"/>
              </w:rPr>
            </w:pPr>
            <w:r w:rsidRPr="007F33F1">
              <w:rPr>
                <w:lang w:val="en-AU"/>
              </w:rPr>
              <w:t xml:space="preserve">Dimopoulos M.A, Tedeschi A, Trotman J, et al. Phase 3 Trial of Ibrutinib plus Rituximab in Waldenström’s Macroglobulinemia. </w:t>
            </w:r>
          </w:p>
        </w:tc>
        <w:tc>
          <w:tcPr>
            <w:tcW w:w="1247" w:type="pct"/>
          </w:tcPr>
          <w:p w:rsidR="00205FD7" w:rsidRPr="007F33F1" w:rsidRDefault="00205FD7" w:rsidP="0047221E">
            <w:pPr>
              <w:pStyle w:val="TableText0"/>
              <w:keepLines/>
              <w:rPr>
                <w:lang w:val="en-AU"/>
              </w:rPr>
            </w:pPr>
            <w:r w:rsidRPr="007F33F1">
              <w:rPr>
                <w:lang w:val="en-AU"/>
              </w:rPr>
              <w:t>21 June 2018</w:t>
            </w: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r w:rsidRPr="007F33F1">
              <w:rPr>
                <w:i/>
                <w:lang w:val="en-AU"/>
              </w:rPr>
              <w:t xml:space="preserve">N Engl J Med </w:t>
            </w:r>
            <w:r w:rsidRPr="007F33F1">
              <w:rPr>
                <w:lang w:val="en-AU"/>
              </w:rPr>
              <w:t>2018</w:t>
            </w:r>
            <w:r w:rsidR="00480FA2" w:rsidRPr="007F33F1">
              <w:rPr>
                <w:lang w:val="en-AU"/>
              </w:rPr>
              <w:t>,</w:t>
            </w:r>
            <w:r w:rsidRPr="007F33F1">
              <w:rPr>
                <w:lang w:val="en-AU"/>
              </w:rPr>
              <w:t xml:space="preserve"> 378:</w:t>
            </w:r>
            <w:r w:rsidR="00480FA2" w:rsidRPr="007F33F1">
              <w:rPr>
                <w:lang w:val="en-AU"/>
              </w:rPr>
              <w:t xml:space="preserve"> </w:t>
            </w:r>
            <w:r w:rsidRPr="007F33F1">
              <w:rPr>
                <w:lang w:val="en-AU"/>
              </w:rPr>
              <w:t>2399-2410</w:t>
            </w:r>
          </w:p>
        </w:tc>
      </w:tr>
      <w:tr w:rsidR="00205FD7" w:rsidRPr="007F33F1" w:rsidTr="008008FC">
        <w:tc>
          <w:tcPr>
            <w:tcW w:w="940" w:type="pct"/>
          </w:tcPr>
          <w:p w:rsidR="00205FD7" w:rsidRPr="007F33F1" w:rsidRDefault="00205FD7" w:rsidP="0047221E">
            <w:pPr>
              <w:pStyle w:val="TableText0"/>
              <w:keepLines/>
              <w:rPr>
                <w:lang w:val="en-AU"/>
              </w:rPr>
            </w:pPr>
            <w:r w:rsidRPr="007F33F1">
              <w:rPr>
                <w:lang w:val="en-AU"/>
              </w:rPr>
              <w:t>Dimopoulos 2002</w:t>
            </w:r>
          </w:p>
        </w:tc>
        <w:tc>
          <w:tcPr>
            <w:tcW w:w="2813" w:type="pct"/>
          </w:tcPr>
          <w:p w:rsidR="00205FD7" w:rsidRPr="007F33F1" w:rsidRDefault="00205FD7" w:rsidP="0047221E">
            <w:pPr>
              <w:pStyle w:val="TableText0"/>
              <w:keepLines/>
              <w:rPr>
                <w:lang w:val="en-AU"/>
              </w:rPr>
            </w:pPr>
            <w:r w:rsidRPr="007F33F1">
              <w:rPr>
                <w:lang w:val="en-AU"/>
              </w:rPr>
              <w:t xml:space="preserve">A single-arm, prospective Phase 2 Study defining the activity of rituximab in patients with Waldenström's Macroglobulinemia. </w:t>
            </w:r>
          </w:p>
          <w:p w:rsidR="00205FD7" w:rsidRPr="007F33F1" w:rsidRDefault="00205FD7" w:rsidP="0047221E">
            <w:pPr>
              <w:pStyle w:val="TableText0"/>
              <w:keepLines/>
              <w:rPr>
                <w:lang w:val="en-AU"/>
              </w:rPr>
            </w:pPr>
            <w:r w:rsidRPr="007F33F1">
              <w:rPr>
                <w:lang w:val="en-AU"/>
              </w:rPr>
              <w:t>Dimopoulos MA, Zervas C, Zomas A, et al. Treatment of Waldenström's macroglobulinemia with rituximab.</w:t>
            </w:r>
          </w:p>
        </w:tc>
        <w:tc>
          <w:tcPr>
            <w:tcW w:w="1247" w:type="pct"/>
          </w:tcPr>
          <w:p w:rsidR="00205FD7" w:rsidRPr="007F33F1" w:rsidRDefault="00205FD7" w:rsidP="0047221E">
            <w:pPr>
              <w:pStyle w:val="TableText0"/>
              <w:keepLines/>
              <w:rPr>
                <w:lang w:val="en-AU"/>
              </w:rPr>
            </w:pPr>
            <w:r w:rsidRPr="007F33F1">
              <w:rPr>
                <w:lang w:val="en-AU"/>
              </w:rPr>
              <w:t xml:space="preserve">01 May 2002 </w:t>
            </w: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r w:rsidRPr="007F33F1">
              <w:rPr>
                <w:i/>
                <w:lang w:val="en-AU"/>
              </w:rPr>
              <w:t>Journal of Clinical Oncology</w:t>
            </w:r>
            <w:r w:rsidR="00480FA2" w:rsidRPr="007F33F1">
              <w:rPr>
                <w:lang w:val="en-AU"/>
              </w:rPr>
              <w:t xml:space="preserve"> 2002,</w:t>
            </w:r>
            <w:r w:rsidRPr="007F33F1">
              <w:rPr>
                <w:lang w:val="en-AU"/>
              </w:rPr>
              <w:t xml:space="preserve"> 20(9)</w:t>
            </w:r>
            <w:r w:rsidR="00480FA2" w:rsidRPr="007F33F1">
              <w:rPr>
                <w:lang w:val="en-AU"/>
              </w:rPr>
              <w:t xml:space="preserve">: </w:t>
            </w:r>
            <w:r w:rsidRPr="007F33F1">
              <w:rPr>
                <w:lang w:val="en-AU"/>
              </w:rPr>
              <w:t>2327-2333</w:t>
            </w:r>
          </w:p>
        </w:tc>
      </w:tr>
      <w:tr w:rsidR="008C492F" w:rsidRPr="007F33F1" w:rsidTr="008008FC">
        <w:trPr>
          <w:trHeight w:val="135"/>
        </w:trPr>
        <w:tc>
          <w:tcPr>
            <w:tcW w:w="5000" w:type="pct"/>
            <w:gridSpan w:val="3"/>
            <w:shd w:val="clear" w:color="auto" w:fill="auto"/>
          </w:tcPr>
          <w:p w:rsidR="008C492F" w:rsidRPr="007F33F1" w:rsidRDefault="008C492F" w:rsidP="0047221E">
            <w:pPr>
              <w:pStyle w:val="TableText0"/>
              <w:keepLines/>
              <w:rPr>
                <w:b/>
                <w:bCs w:val="0"/>
                <w:lang w:val="en-AU"/>
              </w:rPr>
            </w:pPr>
            <w:r w:rsidRPr="007F33F1">
              <w:rPr>
                <w:b/>
                <w:bCs w:val="0"/>
                <w:lang w:val="en-AU"/>
              </w:rPr>
              <w:t>Bendamustine-rituximab combination therapy</w:t>
            </w:r>
          </w:p>
        </w:tc>
      </w:tr>
      <w:tr w:rsidR="00205FD7" w:rsidRPr="007F33F1" w:rsidTr="008008FC">
        <w:tc>
          <w:tcPr>
            <w:tcW w:w="940" w:type="pct"/>
          </w:tcPr>
          <w:p w:rsidR="00205FD7" w:rsidRPr="007F33F1" w:rsidRDefault="00205FD7" w:rsidP="0047221E">
            <w:pPr>
              <w:pStyle w:val="TableText0"/>
              <w:keepLines/>
              <w:rPr>
                <w:lang w:val="en-AU"/>
              </w:rPr>
            </w:pPr>
            <w:r w:rsidRPr="007F33F1">
              <w:rPr>
                <w:lang w:val="en-AU"/>
              </w:rPr>
              <w:t>Tedeschi 2015</w:t>
            </w:r>
          </w:p>
        </w:tc>
        <w:tc>
          <w:tcPr>
            <w:tcW w:w="2813" w:type="pct"/>
          </w:tcPr>
          <w:p w:rsidR="00205FD7" w:rsidRPr="007F33F1" w:rsidRDefault="00205FD7" w:rsidP="0047221E">
            <w:pPr>
              <w:pStyle w:val="TableText0"/>
              <w:keepLines/>
              <w:rPr>
                <w:lang w:val="en-AU"/>
              </w:rPr>
            </w:pPr>
            <w:r w:rsidRPr="007F33F1">
              <w:rPr>
                <w:lang w:val="en-AU"/>
              </w:rPr>
              <w:t>A single-arm retrospective study of patients with R/R WM who received BR combination as salvage therapy.</w:t>
            </w:r>
          </w:p>
          <w:p w:rsidR="00205FD7" w:rsidRPr="007F33F1" w:rsidRDefault="00205FD7" w:rsidP="0047221E">
            <w:pPr>
              <w:pStyle w:val="TableText0"/>
              <w:keepLines/>
              <w:rPr>
                <w:lang w:val="en-AU"/>
              </w:rPr>
            </w:pPr>
            <w:r w:rsidRPr="007F33F1">
              <w:rPr>
                <w:lang w:val="en-AU"/>
              </w:rPr>
              <w:t xml:space="preserve">Tedeschi A, Picardi P, Ferrero S, et al. Bendamustine and rituximab combination is safe and effective as salvage regimen in Waldenström’s </w:t>
            </w:r>
            <w:r w:rsidR="00A27587" w:rsidRPr="007F33F1">
              <w:rPr>
                <w:lang w:val="en-AU"/>
              </w:rPr>
              <w:t>macroglobulinaemia.</w:t>
            </w:r>
          </w:p>
        </w:tc>
        <w:tc>
          <w:tcPr>
            <w:tcW w:w="1247" w:type="pct"/>
          </w:tcPr>
          <w:p w:rsidR="00205FD7" w:rsidRPr="007F33F1" w:rsidRDefault="00205FD7" w:rsidP="0047221E">
            <w:pPr>
              <w:pStyle w:val="TableText0"/>
              <w:keepLines/>
              <w:rPr>
                <w:lang w:val="en-AU"/>
              </w:rPr>
            </w:pPr>
            <w:r w:rsidRPr="007F33F1">
              <w:rPr>
                <w:lang w:val="en-AU"/>
              </w:rPr>
              <w:t>14 March 2015</w:t>
            </w:r>
          </w:p>
          <w:p w:rsidR="00205FD7" w:rsidRPr="007F33F1" w:rsidRDefault="00205FD7" w:rsidP="0047221E">
            <w:pPr>
              <w:pStyle w:val="TableText0"/>
              <w:keepLines/>
              <w:rPr>
                <w:lang w:val="en-AU"/>
              </w:rPr>
            </w:pPr>
          </w:p>
          <w:p w:rsidR="00205FD7" w:rsidRPr="007F33F1" w:rsidRDefault="00A27587" w:rsidP="0047221E">
            <w:pPr>
              <w:pStyle w:val="TableText0"/>
              <w:keepLines/>
              <w:rPr>
                <w:lang w:val="en-AU"/>
              </w:rPr>
            </w:pPr>
            <w:r w:rsidRPr="007F33F1">
              <w:rPr>
                <w:i/>
                <w:lang w:val="en-AU"/>
              </w:rPr>
              <w:t xml:space="preserve">Leuk Lymphoma </w:t>
            </w:r>
            <w:r w:rsidR="00205FD7" w:rsidRPr="007F33F1">
              <w:rPr>
                <w:lang w:val="en-AU"/>
              </w:rPr>
              <w:t>2015</w:t>
            </w:r>
            <w:r w:rsidRPr="007F33F1">
              <w:rPr>
                <w:lang w:val="en-AU"/>
              </w:rPr>
              <w:t xml:space="preserve">, </w:t>
            </w:r>
            <w:r w:rsidR="00205FD7" w:rsidRPr="007F33F1">
              <w:rPr>
                <w:lang w:val="en-AU"/>
              </w:rPr>
              <w:t>56(9):</w:t>
            </w:r>
            <w:r w:rsidRPr="007F33F1">
              <w:rPr>
                <w:lang w:val="en-AU"/>
              </w:rPr>
              <w:t xml:space="preserve"> </w:t>
            </w:r>
            <w:r w:rsidR="00456ADE" w:rsidRPr="007F33F1">
              <w:rPr>
                <w:lang w:val="en-AU"/>
              </w:rPr>
              <w:t>2637-42</w:t>
            </w:r>
          </w:p>
        </w:tc>
      </w:tr>
      <w:tr w:rsidR="00205FD7" w:rsidRPr="007F33F1" w:rsidTr="008008FC">
        <w:tc>
          <w:tcPr>
            <w:tcW w:w="940" w:type="pct"/>
          </w:tcPr>
          <w:p w:rsidR="00205FD7" w:rsidRPr="007F33F1" w:rsidRDefault="00205FD7" w:rsidP="0047221E">
            <w:pPr>
              <w:pStyle w:val="TableText0"/>
              <w:keepLines/>
              <w:rPr>
                <w:lang w:val="en-AU"/>
              </w:rPr>
            </w:pPr>
            <w:r w:rsidRPr="007F33F1">
              <w:rPr>
                <w:lang w:val="en-AU"/>
              </w:rPr>
              <w:t>Treon 2011</w:t>
            </w:r>
          </w:p>
        </w:tc>
        <w:tc>
          <w:tcPr>
            <w:tcW w:w="2813" w:type="pct"/>
          </w:tcPr>
          <w:p w:rsidR="00205FD7" w:rsidRPr="007F33F1" w:rsidRDefault="00205FD7" w:rsidP="0047221E">
            <w:pPr>
              <w:pStyle w:val="TableText0"/>
              <w:keepLines/>
              <w:rPr>
                <w:lang w:val="en-AU"/>
              </w:rPr>
            </w:pPr>
            <w:r w:rsidRPr="007F33F1">
              <w:rPr>
                <w:lang w:val="en-AU"/>
              </w:rPr>
              <w:t xml:space="preserve">A single arm study of patients with R/R WM who received bendamustine-containing therapy. </w:t>
            </w:r>
          </w:p>
          <w:p w:rsidR="00205FD7" w:rsidRPr="007F33F1" w:rsidRDefault="00205FD7" w:rsidP="0047221E">
            <w:pPr>
              <w:pStyle w:val="TableText0"/>
              <w:keepLines/>
              <w:rPr>
                <w:lang w:val="en-AU"/>
              </w:rPr>
            </w:pPr>
            <w:r w:rsidRPr="007F33F1">
              <w:rPr>
                <w:lang w:val="en-AU"/>
              </w:rPr>
              <w:t>Treon SP, Hanzis C, Tripsas C, et al. Bendamustine Therapy in Patients with Relapsed or Refractory Waldenström’s Macroglobulinemia</w:t>
            </w:r>
            <w:r w:rsidR="00A27587" w:rsidRPr="007F33F1">
              <w:rPr>
                <w:lang w:val="en-AU"/>
              </w:rPr>
              <w:t>.</w:t>
            </w:r>
          </w:p>
        </w:tc>
        <w:tc>
          <w:tcPr>
            <w:tcW w:w="1247" w:type="pct"/>
          </w:tcPr>
          <w:p w:rsidR="00205FD7" w:rsidRPr="007F33F1" w:rsidRDefault="00205FD7" w:rsidP="0047221E">
            <w:pPr>
              <w:pStyle w:val="TableText0"/>
              <w:keepLines/>
              <w:rPr>
                <w:lang w:val="en-AU"/>
              </w:rPr>
            </w:pPr>
            <w:r w:rsidRPr="007F33F1">
              <w:rPr>
                <w:lang w:val="en-AU"/>
              </w:rPr>
              <w:t>01 Feb 2011</w:t>
            </w:r>
          </w:p>
          <w:p w:rsidR="00205FD7" w:rsidRPr="007F33F1" w:rsidRDefault="00205FD7" w:rsidP="0047221E">
            <w:pPr>
              <w:pStyle w:val="TableText0"/>
              <w:keepLines/>
              <w:rPr>
                <w:lang w:val="en-AU"/>
              </w:rPr>
            </w:pPr>
          </w:p>
          <w:p w:rsidR="00205FD7" w:rsidRPr="007F33F1" w:rsidRDefault="00205FD7" w:rsidP="0047221E">
            <w:pPr>
              <w:pStyle w:val="TableText0"/>
              <w:keepLines/>
              <w:rPr>
                <w:lang w:val="en-AU"/>
              </w:rPr>
            </w:pPr>
            <w:r w:rsidRPr="007F33F1">
              <w:rPr>
                <w:i/>
                <w:lang w:val="en-AU"/>
              </w:rPr>
              <w:t>Clinical Lymphoma, Myeloma &amp; Leukemia</w:t>
            </w:r>
            <w:r w:rsidR="00A27587" w:rsidRPr="007F33F1">
              <w:rPr>
                <w:i/>
                <w:lang w:val="en-AU"/>
              </w:rPr>
              <w:t xml:space="preserve"> </w:t>
            </w:r>
            <w:r w:rsidR="00A27587" w:rsidRPr="007F33F1">
              <w:rPr>
                <w:lang w:val="en-AU"/>
              </w:rPr>
              <w:t xml:space="preserve">2011, </w:t>
            </w:r>
            <w:r w:rsidRPr="007F33F1">
              <w:rPr>
                <w:lang w:val="en-AU"/>
              </w:rPr>
              <w:t>11</w:t>
            </w:r>
            <w:r w:rsidR="00A27587" w:rsidRPr="007F33F1">
              <w:rPr>
                <w:lang w:val="en-AU"/>
              </w:rPr>
              <w:t>(</w:t>
            </w:r>
            <w:r w:rsidRPr="007F33F1">
              <w:rPr>
                <w:lang w:val="en-AU"/>
              </w:rPr>
              <w:t>1</w:t>
            </w:r>
            <w:r w:rsidR="00A27587" w:rsidRPr="007F33F1">
              <w:rPr>
                <w:lang w:val="en-AU"/>
              </w:rPr>
              <w:t>): 133-135</w:t>
            </w:r>
          </w:p>
        </w:tc>
      </w:tr>
    </w:tbl>
    <w:p w:rsidR="00205FD7" w:rsidRPr="007F33F1" w:rsidRDefault="00205FD7" w:rsidP="0047221E">
      <w:pPr>
        <w:pStyle w:val="TableFigureFooter"/>
      </w:pPr>
      <w:r w:rsidRPr="007F33F1">
        <w:t>Source: Table 2.6</w:t>
      </w:r>
      <w:r w:rsidR="000C6F40" w:rsidRPr="007F33F1">
        <w:t>,</w:t>
      </w:r>
      <w:r w:rsidRPr="007F33F1">
        <w:t xml:space="preserve"> pp51-52 of the submission.</w:t>
      </w:r>
    </w:p>
    <w:p w:rsidR="00205FD7" w:rsidRPr="007F33F1" w:rsidRDefault="00205FD7" w:rsidP="0047221E">
      <w:pPr>
        <w:pStyle w:val="3-BodyText"/>
        <w:keepNext/>
        <w:keepLines/>
      </w:pPr>
      <w:r w:rsidRPr="007F33F1">
        <w:t xml:space="preserve">The key features of the studies are summarised in the table below. </w:t>
      </w:r>
    </w:p>
    <w:p w:rsidR="00205FD7" w:rsidRPr="007F33F1" w:rsidRDefault="00205FD7" w:rsidP="0047221E">
      <w:pPr>
        <w:pStyle w:val="TableFigureHeading"/>
        <w:keepLines/>
        <w:rPr>
          <w:rStyle w:val="CommentReference"/>
          <w:b/>
          <w:szCs w:val="24"/>
        </w:rPr>
      </w:pPr>
      <w:r w:rsidRPr="007F33F1">
        <w:rPr>
          <w:rStyle w:val="CommentReference"/>
          <w:b/>
          <w:szCs w:val="24"/>
        </w:rPr>
        <w:t xml:space="preserve">Table </w:t>
      </w:r>
      <w:r w:rsidR="00015997">
        <w:rPr>
          <w:rStyle w:val="CommentReference"/>
          <w:b/>
          <w:noProof/>
          <w:szCs w:val="24"/>
        </w:rPr>
        <w:t>3</w:t>
      </w:r>
      <w:r w:rsidRPr="007F33F1">
        <w:rPr>
          <w:rStyle w:val="CommentReference"/>
          <w:b/>
          <w:szCs w:val="24"/>
        </w:rPr>
        <w:t>: Key features of the included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419"/>
        <w:gridCol w:w="989"/>
        <w:gridCol w:w="1694"/>
        <w:gridCol w:w="848"/>
        <w:gridCol w:w="1837"/>
        <w:gridCol w:w="991"/>
        <w:gridCol w:w="1269"/>
      </w:tblGrid>
      <w:tr w:rsidR="00637DAA" w:rsidRPr="007F33F1" w:rsidTr="008008FC">
        <w:trPr>
          <w:cantSplit/>
          <w:tblHeader/>
        </w:trPr>
        <w:tc>
          <w:tcPr>
            <w:tcW w:w="549" w:type="pct"/>
            <w:shd w:val="clear" w:color="auto" w:fill="auto"/>
            <w:vAlign w:val="center"/>
          </w:tcPr>
          <w:p w:rsidR="00205FD7" w:rsidRPr="007F33F1" w:rsidRDefault="00205FD7" w:rsidP="0047221E">
            <w:pPr>
              <w:pStyle w:val="In-tableHeading"/>
              <w:keepLines/>
              <w:rPr>
                <w:lang w:val="en-AU"/>
              </w:rPr>
            </w:pPr>
            <w:r w:rsidRPr="007F33F1">
              <w:rPr>
                <w:lang w:val="en-AU"/>
              </w:rPr>
              <w:t>Trial</w:t>
            </w:r>
          </w:p>
        </w:tc>
        <w:tc>
          <w:tcPr>
            <w:tcW w:w="232" w:type="pct"/>
            <w:shd w:val="clear" w:color="auto" w:fill="auto"/>
            <w:vAlign w:val="center"/>
          </w:tcPr>
          <w:p w:rsidR="00205FD7" w:rsidRPr="007F33F1" w:rsidRDefault="00205FD7" w:rsidP="0047221E">
            <w:pPr>
              <w:pStyle w:val="In-tableHeading"/>
              <w:keepLines/>
              <w:jc w:val="center"/>
              <w:rPr>
                <w:lang w:val="en-AU"/>
              </w:rPr>
            </w:pPr>
            <w:r w:rsidRPr="007F33F1">
              <w:rPr>
                <w:lang w:val="en-AU"/>
              </w:rPr>
              <w:t>N</w:t>
            </w:r>
          </w:p>
        </w:tc>
        <w:tc>
          <w:tcPr>
            <w:tcW w:w="547" w:type="pct"/>
          </w:tcPr>
          <w:p w:rsidR="00205FD7" w:rsidRPr="007F33F1" w:rsidRDefault="00205FD7" w:rsidP="0047221E">
            <w:pPr>
              <w:pStyle w:val="In-tableHeading"/>
              <w:keepLines/>
              <w:jc w:val="center"/>
              <w:rPr>
                <w:lang w:val="en-AU"/>
              </w:rPr>
            </w:pPr>
          </w:p>
          <w:p w:rsidR="00205FD7" w:rsidRPr="007F33F1" w:rsidRDefault="00205FD7" w:rsidP="0047221E">
            <w:pPr>
              <w:pStyle w:val="In-tableHeading"/>
              <w:keepLines/>
              <w:jc w:val="center"/>
              <w:rPr>
                <w:lang w:val="en-AU"/>
              </w:rPr>
            </w:pPr>
            <w:r w:rsidRPr="007F33F1">
              <w:rPr>
                <w:lang w:val="en-AU"/>
              </w:rPr>
              <w:t>Treatments</w:t>
            </w:r>
          </w:p>
          <w:p w:rsidR="00205FD7" w:rsidRPr="007F33F1" w:rsidRDefault="00205FD7" w:rsidP="0047221E">
            <w:pPr>
              <w:pStyle w:val="In-tableHeading"/>
              <w:keepLines/>
              <w:jc w:val="center"/>
              <w:rPr>
                <w:lang w:val="en-AU"/>
              </w:rPr>
            </w:pPr>
          </w:p>
        </w:tc>
        <w:tc>
          <w:tcPr>
            <w:tcW w:w="937" w:type="pct"/>
            <w:shd w:val="clear" w:color="auto" w:fill="auto"/>
            <w:vAlign w:val="center"/>
          </w:tcPr>
          <w:p w:rsidR="00205FD7" w:rsidRPr="007F33F1" w:rsidRDefault="00205FD7" w:rsidP="0047221E">
            <w:pPr>
              <w:pStyle w:val="In-tableHeading"/>
              <w:keepLines/>
              <w:jc w:val="center"/>
              <w:rPr>
                <w:lang w:val="en-AU"/>
              </w:rPr>
            </w:pPr>
            <w:r w:rsidRPr="007F33F1">
              <w:rPr>
                <w:lang w:val="en-AU"/>
              </w:rPr>
              <w:t>Design/ duration</w:t>
            </w:r>
          </w:p>
        </w:tc>
        <w:tc>
          <w:tcPr>
            <w:tcW w:w="469" w:type="pct"/>
            <w:shd w:val="clear" w:color="auto" w:fill="auto"/>
            <w:vAlign w:val="center"/>
          </w:tcPr>
          <w:p w:rsidR="00205FD7" w:rsidRPr="007F33F1" w:rsidRDefault="00205FD7" w:rsidP="0047221E">
            <w:pPr>
              <w:pStyle w:val="In-tableHeading"/>
              <w:keepLines/>
              <w:jc w:val="center"/>
              <w:rPr>
                <w:lang w:val="en-AU"/>
              </w:rPr>
            </w:pPr>
            <w:r w:rsidRPr="007F33F1">
              <w:rPr>
                <w:lang w:val="en-AU"/>
              </w:rPr>
              <w:t>Risk of bias</w:t>
            </w:r>
          </w:p>
        </w:tc>
        <w:tc>
          <w:tcPr>
            <w:tcW w:w="1016" w:type="pct"/>
            <w:shd w:val="clear" w:color="auto" w:fill="auto"/>
            <w:vAlign w:val="center"/>
          </w:tcPr>
          <w:p w:rsidR="00205FD7" w:rsidRPr="007F33F1" w:rsidRDefault="00205FD7" w:rsidP="0047221E">
            <w:pPr>
              <w:pStyle w:val="In-tableHeading"/>
              <w:keepLines/>
              <w:jc w:val="center"/>
              <w:rPr>
                <w:lang w:val="en-AU"/>
              </w:rPr>
            </w:pPr>
            <w:r w:rsidRPr="007F33F1">
              <w:rPr>
                <w:lang w:val="en-AU"/>
              </w:rPr>
              <w:t>Patient population</w:t>
            </w:r>
          </w:p>
        </w:tc>
        <w:tc>
          <w:tcPr>
            <w:tcW w:w="548" w:type="pct"/>
            <w:shd w:val="clear" w:color="auto" w:fill="auto"/>
            <w:vAlign w:val="center"/>
          </w:tcPr>
          <w:p w:rsidR="00205FD7" w:rsidRPr="007F33F1" w:rsidRDefault="00205FD7" w:rsidP="0047221E">
            <w:pPr>
              <w:pStyle w:val="In-tableHeading"/>
              <w:keepLines/>
              <w:jc w:val="center"/>
              <w:rPr>
                <w:lang w:val="en-AU"/>
              </w:rPr>
            </w:pPr>
            <w:r w:rsidRPr="007F33F1">
              <w:rPr>
                <w:lang w:val="en-AU"/>
              </w:rPr>
              <w:t>Key Outcomes</w:t>
            </w:r>
          </w:p>
        </w:tc>
        <w:tc>
          <w:tcPr>
            <w:tcW w:w="702" w:type="pct"/>
            <w:shd w:val="clear" w:color="auto" w:fill="auto"/>
            <w:vAlign w:val="center"/>
          </w:tcPr>
          <w:p w:rsidR="00205FD7" w:rsidRPr="007F33F1" w:rsidRDefault="00205FD7" w:rsidP="0047221E">
            <w:pPr>
              <w:pStyle w:val="In-tableHeading"/>
              <w:keepLines/>
              <w:jc w:val="center"/>
              <w:rPr>
                <w:lang w:val="en-AU"/>
              </w:rPr>
            </w:pPr>
            <w:r w:rsidRPr="007F33F1">
              <w:rPr>
                <w:lang w:val="en-AU"/>
              </w:rPr>
              <w:t>Use in modelled evaluation</w:t>
            </w:r>
          </w:p>
        </w:tc>
      </w:tr>
      <w:tr w:rsidR="00205FD7" w:rsidRPr="007F33F1" w:rsidTr="008008FC">
        <w:trPr>
          <w:cantSplit/>
        </w:trPr>
        <w:tc>
          <w:tcPr>
            <w:tcW w:w="5000" w:type="pct"/>
            <w:gridSpan w:val="8"/>
          </w:tcPr>
          <w:p w:rsidR="00205FD7" w:rsidRPr="007F33F1" w:rsidRDefault="00205FD7" w:rsidP="0047221E">
            <w:pPr>
              <w:pStyle w:val="In-tableHeading"/>
              <w:keepLines/>
              <w:rPr>
                <w:lang w:val="en-AU"/>
              </w:rPr>
            </w:pPr>
            <w:r w:rsidRPr="007F33F1">
              <w:rPr>
                <w:lang w:val="en-AU"/>
              </w:rPr>
              <w:t>ZANU</w:t>
            </w:r>
          </w:p>
        </w:tc>
      </w:tr>
      <w:tr w:rsidR="00637DAA" w:rsidRPr="007F33F1" w:rsidTr="008008FC">
        <w:trPr>
          <w:cantSplit/>
        </w:trPr>
        <w:tc>
          <w:tcPr>
            <w:tcW w:w="549" w:type="pct"/>
            <w:shd w:val="clear" w:color="auto" w:fill="auto"/>
            <w:vAlign w:val="center"/>
          </w:tcPr>
          <w:p w:rsidR="00205FD7" w:rsidRPr="007F33F1" w:rsidRDefault="00205FD7" w:rsidP="0047221E">
            <w:pPr>
              <w:pStyle w:val="TableText0"/>
              <w:keepLines/>
            </w:pPr>
            <w:r w:rsidRPr="007F33F1">
              <w:t>ASPEN</w:t>
            </w:r>
            <w:r w:rsidR="00DA140B" w:rsidRPr="007F33F1">
              <w:t>-Cohort 1</w:t>
            </w:r>
          </w:p>
        </w:tc>
        <w:tc>
          <w:tcPr>
            <w:tcW w:w="232" w:type="pct"/>
            <w:shd w:val="clear" w:color="auto" w:fill="auto"/>
            <w:vAlign w:val="center"/>
          </w:tcPr>
          <w:p w:rsidR="00205FD7" w:rsidRPr="007F33F1" w:rsidRDefault="00205FD7" w:rsidP="0047221E">
            <w:pPr>
              <w:pStyle w:val="TableText0"/>
              <w:keepLines/>
              <w:jc w:val="center"/>
            </w:pPr>
            <w:r w:rsidRPr="007F33F1">
              <w:t>201</w:t>
            </w:r>
            <w:r w:rsidR="007923D6" w:rsidRPr="007F33F1">
              <w:t xml:space="preserve"> </w:t>
            </w:r>
          </w:p>
        </w:tc>
        <w:tc>
          <w:tcPr>
            <w:tcW w:w="547" w:type="pct"/>
            <w:vAlign w:val="center"/>
          </w:tcPr>
          <w:p w:rsidR="00205FD7" w:rsidRPr="007F33F1" w:rsidRDefault="00205FD7" w:rsidP="0047221E">
            <w:pPr>
              <w:pStyle w:val="TableText0"/>
              <w:keepLines/>
              <w:jc w:val="center"/>
            </w:pPr>
            <w:r w:rsidRPr="007F33F1">
              <w:t>ZANU v.</w:t>
            </w:r>
          </w:p>
          <w:p w:rsidR="00205FD7" w:rsidRPr="007F33F1" w:rsidRDefault="00205FD7" w:rsidP="0047221E">
            <w:pPr>
              <w:pStyle w:val="TableText0"/>
              <w:keepLines/>
              <w:jc w:val="center"/>
            </w:pPr>
            <w:r w:rsidRPr="007F33F1">
              <w:t>IBRU</w:t>
            </w:r>
          </w:p>
        </w:tc>
        <w:tc>
          <w:tcPr>
            <w:tcW w:w="937" w:type="pct"/>
            <w:shd w:val="clear" w:color="auto" w:fill="auto"/>
            <w:vAlign w:val="center"/>
          </w:tcPr>
          <w:p w:rsidR="00205FD7" w:rsidRPr="007F33F1" w:rsidRDefault="00205FD7" w:rsidP="0047221E">
            <w:pPr>
              <w:pStyle w:val="TableText0"/>
              <w:keepLines/>
              <w:jc w:val="center"/>
            </w:pPr>
            <w:r w:rsidRPr="007F33F1">
              <w:t>P3, R, OL, MC (12 countries incl Aust)/ 19.47mths</w:t>
            </w:r>
          </w:p>
        </w:tc>
        <w:tc>
          <w:tcPr>
            <w:tcW w:w="469" w:type="pct"/>
            <w:shd w:val="clear" w:color="auto" w:fill="auto"/>
            <w:vAlign w:val="center"/>
          </w:tcPr>
          <w:p w:rsidR="00205FD7" w:rsidRPr="007F33F1" w:rsidRDefault="00205FD7" w:rsidP="0047221E">
            <w:pPr>
              <w:pStyle w:val="TableText0"/>
              <w:keepLines/>
              <w:jc w:val="center"/>
            </w:pPr>
            <w:r w:rsidRPr="007F33F1">
              <w:t>High</w:t>
            </w:r>
          </w:p>
        </w:tc>
        <w:tc>
          <w:tcPr>
            <w:tcW w:w="1016" w:type="pct"/>
            <w:vMerge w:val="restart"/>
            <w:shd w:val="clear" w:color="auto" w:fill="auto"/>
            <w:vAlign w:val="center"/>
          </w:tcPr>
          <w:p w:rsidR="00205FD7" w:rsidRPr="007F33F1" w:rsidRDefault="00205FD7" w:rsidP="0047221E">
            <w:pPr>
              <w:pStyle w:val="TableText0"/>
              <w:keepLines/>
              <w:jc w:val="center"/>
            </w:pPr>
            <w:r w:rsidRPr="007F33F1">
              <w:t xml:space="preserve">R/R or </w:t>
            </w:r>
          </w:p>
          <w:p w:rsidR="00205FD7" w:rsidRPr="007F33F1" w:rsidRDefault="00205FD7" w:rsidP="0047221E">
            <w:pPr>
              <w:pStyle w:val="TableText0"/>
              <w:keepLines/>
              <w:jc w:val="center"/>
            </w:pPr>
            <w:r w:rsidRPr="007F33F1">
              <w:t xml:space="preserve">TN WM unsuitable for </w:t>
            </w:r>
            <w:r w:rsidR="00637DAA" w:rsidRPr="007F33F1">
              <w:t xml:space="preserve">CIT </w:t>
            </w:r>
            <w:r w:rsidRPr="007F33F1">
              <w:t>(due to comorbidities or risk factors)</w:t>
            </w:r>
            <w:r w:rsidR="006022B8" w:rsidRPr="007F33F1">
              <w:t>.</w:t>
            </w:r>
          </w:p>
          <w:p w:rsidR="00205FD7" w:rsidRPr="007F33F1" w:rsidRDefault="007923D6" w:rsidP="0047221E">
            <w:pPr>
              <w:pStyle w:val="TableText0"/>
              <w:keepLines/>
              <w:jc w:val="center"/>
            </w:pPr>
            <w:r w:rsidRPr="007F33F1">
              <w:t xml:space="preserve">ASPEN </w:t>
            </w:r>
            <w:r w:rsidR="00205FD7" w:rsidRPr="007F33F1">
              <w:t>Patients in Cohort 1 had confirmed MYD88</w:t>
            </w:r>
            <w:r w:rsidR="00E55291" w:rsidRPr="007F33F1">
              <w:rPr>
                <w:vertAlign w:val="superscript"/>
              </w:rPr>
              <w:t>L</w:t>
            </w:r>
            <w:r w:rsidR="00205FD7" w:rsidRPr="007F33F1">
              <w:rPr>
                <w:vertAlign w:val="superscript"/>
              </w:rPr>
              <w:t>265P</w:t>
            </w:r>
            <w:r w:rsidR="00205FD7" w:rsidRPr="007F33F1">
              <w:t xml:space="preserve">, </w:t>
            </w:r>
            <w:r w:rsidR="006022B8" w:rsidRPr="007F33F1">
              <w:t>p</w:t>
            </w:r>
            <w:r w:rsidR="00205FD7" w:rsidRPr="007F33F1">
              <w:t>atients in Cohort 2 did not have this genetic variant.</w:t>
            </w:r>
          </w:p>
        </w:tc>
        <w:tc>
          <w:tcPr>
            <w:tcW w:w="548" w:type="pct"/>
            <w:vMerge w:val="restart"/>
            <w:shd w:val="clear" w:color="auto" w:fill="auto"/>
            <w:vAlign w:val="center"/>
          </w:tcPr>
          <w:p w:rsidR="00205FD7" w:rsidRPr="007F33F1" w:rsidRDefault="00205FD7" w:rsidP="0047221E">
            <w:pPr>
              <w:pStyle w:val="TableText0"/>
              <w:keepLines/>
              <w:jc w:val="center"/>
            </w:pPr>
            <w:r w:rsidRPr="007F33F1">
              <w:t>CR, VGPR, PFS, OS</w:t>
            </w:r>
          </w:p>
        </w:tc>
        <w:tc>
          <w:tcPr>
            <w:tcW w:w="702" w:type="pct"/>
            <w:shd w:val="clear" w:color="auto" w:fill="auto"/>
            <w:vAlign w:val="center"/>
          </w:tcPr>
          <w:p w:rsidR="00DA140B" w:rsidRPr="007F33F1" w:rsidRDefault="00DA140B" w:rsidP="0047221E">
            <w:pPr>
              <w:pStyle w:val="TableText0"/>
              <w:keepLines/>
              <w:jc w:val="center"/>
              <w:rPr>
                <w:vertAlign w:val="superscript"/>
              </w:rPr>
            </w:pPr>
            <w:r w:rsidRPr="007F33F1">
              <w:t>PFS</w:t>
            </w:r>
            <w:r w:rsidR="00A74DB0" w:rsidRPr="007F33F1">
              <w:t xml:space="preserve">/OS </w:t>
            </w:r>
            <w:r w:rsidRPr="007F33F1">
              <w:t>(ITT) for TN</w:t>
            </w:r>
            <w:r w:rsidR="005C06F0" w:rsidRPr="007F33F1">
              <w:t xml:space="preserve"> pop</w:t>
            </w:r>
            <w:r w:rsidR="00456ADE" w:rsidRPr="007F33F1">
              <w:t>’n</w:t>
            </w:r>
          </w:p>
          <w:p w:rsidR="00205FD7" w:rsidRPr="007F33F1" w:rsidRDefault="00A74DB0" w:rsidP="0047221E">
            <w:pPr>
              <w:pStyle w:val="TableText0"/>
              <w:keepLines/>
              <w:jc w:val="center"/>
            </w:pPr>
            <w:r w:rsidRPr="007F33F1">
              <w:t>PFS/OS (</w:t>
            </w:r>
            <w:r w:rsidR="00DA140B" w:rsidRPr="007F33F1">
              <w:t>R/R</w:t>
            </w:r>
            <w:r w:rsidRPr="007F33F1">
              <w:t>) for R/R</w:t>
            </w:r>
            <w:r w:rsidR="005C06F0" w:rsidRPr="007F33F1">
              <w:t xml:space="preserve"> pop</w:t>
            </w:r>
            <w:r w:rsidR="005B76FB" w:rsidRPr="007F33F1">
              <w:t>’n</w:t>
            </w:r>
            <w:r w:rsidR="00DA140B" w:rsidRPr="007F33F1">
              <w:t xml:space="preserve"> </w:t>
            </w:r>
          </w:p>
        </w:tc>
      </w:tr>
      <w:tr w:rsidR="00637DAA" w:rsidRPr="007F33F1" w:rsidTr="008008FC">
        <w:trPr>
          <w:cantSplit/>
        </w:trPr>
        <w:tc>
          <w:tcPr>
            <w:tcW w:w="549" w:type="pct"/>
            <w:shd w:val="clear" w:color="auto" w:fill="auto"/>
            <w:vAlign w:val="center"/>
          </w:tcPr>
          <w:p w:rsidR="00205FD7" w:rsidRPr="007F33F1" w:rsidRDefault="00205FD7" w:rsidP="0047221E">
            <w:pPr>
              <w:pStyle w:val="TableText0"/>
              <w:keepLines/>
            </w:pPr>
            <w:r w:rsidRPr="007F33F1">
              <w:t>ASPEN-Cohort 2</w:t>
            </w:r>
            <w:r w:rsidRPr="007F33F1">
              <w:rPr>
                <w:vertAlign w:val="superscript"/>
              </w:rPr>
              <w:t xml:space="preserve"> f</w:t>
            </w:r>
          </w:p>
        </w:tc>
        <w:tc>
          <w:tcPr>
            <w:tcW w:w="232" w:type="pct"/>
            <w:shd w:val="clear" w:color="auto" w:fill="auto"/>
            <w:vAlign w:val="center"/>
          </w:tcPr>
          <w:p w:rsidR="00205FD7" w:rsidRPr="007F33F1" w:rsidRDefault="00205FD7" w:rsidP="0047221E">
            <w:pPr>
              <w:pStyle w:val="TableText0"/>
              <w:keepLines/>
              <w:jc w:val="center"/>
            </w:pPr>
            <w:r w:rsidRPr="007F33F1">
              <w:t>26</w:t>
            </w:r>
          </w:p>
        </w:tc>
        <w:tc>
          <w:tcPr>
            <w:tcW w:w="547" w:type="pct"/>
            <w:vAlign w:val="center"/>
          </w:tcPr>
          <w:p w:rsidR="00205FD7" w:rsidRPr="007F33F1" w:rsidRDefault="00205FD7" w:rsidP="0047221E">
            <w:pPr>
              <w:pStyle w:val="TableText0"/>
              <w:keepLines/>
              <w:jc w:val="center"/>
            </w:pPr>
            <w:r w:rsidRPr="007F33F1">
              <w:t>ZANU</w:t>
            </w:r>
          </w:p>
        </w:tc>
        <w:tc>
          <w:tcPr>
            <w:tcW w:w="937" w:type="pct"/>
            <w:shd w:val="clear" w:color="auto" w:fill="auto"/>
            <w:vAlign w:val="center"/>
          </w:tcPr>
          <w:p w:rsidR="00205FD7" w:rsidRPr="007F33F1" w:rsidRDefault="00205FD7" w:rsidP="0047221E">
            <w:pPr>
              <w:pStyle w:val="TableText0"/>
              <w:keepLines/>
              <w:jc w:val="center"/>
            </w:pPr>
            <w:r w:rsidRPr="007F33F1">
              <w:t>As for ASPEN-Cohort 1 but single arm only.</w:t>
            </w:r>
          </w:p>
        </w:tc>
        <w:tc>
          <w:tcPr>
            <w:tcW w:w="469" w:type="pct"/>
            <w:shd w:val="clear" w:color="auto" w:fill="auto"/>
            <w:vAlign w:val="center"/>
          </w:tcPr>
          <w:p w:rsidR="00205FD7" w:rsidRPr="007F33F1" w:rsidRDefault="00205FD7" w:rsidP="0047221E">
            <w:pPr>
              <w:pStyle w:val="TableText0"/>
              <w:keepLines/>
              <w:jc w:val="center"/>
            </w:pPr>
            <w:r w:rsidRPr="007F33F1">
              <w:t>High</w:t>
            </w:r>
          </w:p>
        </w:tc>
        <w:tc>
          <w:tcPr>
            <w:tcW w:w="1016" w:type="pct"/>
            <w:vMerge/>
            <w:shd w:val="clear" w:color="auto" w:fill="auto"/>
            <w:vAlign w:val="center"/>
          </w:tcPr>
          <w:p w:rsidR="00205FD7" w:rsidRPr="007F33F1" w:rsidRDefault="00205FD7" w:rsidP="0047221E">
            <w:pPr>
              <w:pStyle w:val="TableText0"/>
              <w:keepLines/>
              <w:jc w:val="center"/>
            </w:pPr>
          </w:p>
        </w:tc>
        <w:tc>
          <w:tcPr>
            <w:tcW w:w="548" w:type="pct"/>
            <w:vMerge/>
            <w:shd w:val="clear" w:color="auto" w:fill="auto"/>
            <w:vAlign w:val="center"/>
          </w:tcPr>
          <w:p w:rsidR="00205FD7" w:rsidRPr="007F33F1" w:rsidRDefault="00205FD7" w:rsidP="0047221E">
            <w:pPr>
              <w:pStyle w:val="TableText0"/>
              <w:keepLines/>
              <w:jc w:val="center"/>
            </w:pPr>
          </w:p>
        </w:tc>
        <w:tc>
          <w:tcPr>
            <w:tcW w:w="702" w:type="pct"/>
            <w:shd w:val="clear" w:color="auto" w:fill="auto"/>
            <w:vAlign w:val="center"/>
          </w:tcPr>
          <w:p w:rsidR="00205FD7" w:rsidRPr="007F33F1" w:rsidRDefault="00205FD7" w:rsidP="0047221E">
            <w:pPr>
              <w:pStyle w:val="TableText0"/>
              <w:keepLines/>
              <w:jc w:val="center"/>
            </w:pPr>
            <w:r w:rsidRPr="007F33F1">
              <w:t>No</w:t>
            </w:r>
          </w:p>
        </w:tc>
      </w:tr>
      <w:tr w:rsidR="00637DAA" w:rsidRPr="007F33F1" w:rsidTr="008008FC">
        <w:trPr>
          <w:cantSplit/>
        </w:trPr>
        <w:tc>
          <w:tcPr>
            <w:tcW w:w="549" w:type="pct"/>
            <w:shd w:val="clear" w:color="auto" w:fill="auto"/>
            <w:vAlign w:val="center"/>
          </w:tcPr>
          <w:p w:rsidR="00205FD7" w:rsidRPr="007F33F1" w:rsidRDefault="00205FD7" w:rsidP="0047221E">
            <w:pPr>
              <w:pStyle w:val="TableText0"/>
              <w:keepLines/>
            </w:pPr>
            <w:r w:rsidRPr="007F33F1">
              <w:t>Study AU-003</w:t>
            </w:r>
          </w:p>
        </w:tc>
        <w:tc>
          <w:tcPr>
            <w:tcW w:w="232" w:type="pct"/>
            <w:shd w:val="clear" w:color="auto" w:fill="auto"/>
            <w:vAlign w:val="center"/>
          </w:tcPr>
          <w:p w:rsidR="00205FD7" w:rsidRPr="007F33F1" w:rsidRDefault="00205FD7" w:rsidP="0047221E">
            <w:pPr>
              <w:pStyle w:val="TableText0"/>
              <w:keepLines/>
              <w:jc w:val="center"/>
            </w:pPr>
            <w:r w:rsidRPr="007F33F1">
              <w:t>78</w:t>
            </w:r>
          </w:p>
          <w:p w:rsidR="00205FD7" w:rsidRPr="007F33F1" w:rsidRDefault="00205FD7" w:rsidP="0047221E">
            <w:pPr>
              <w:pStyle w:val="TableText0"/>
              <w:keepLines/>
              <w:jc w:val="center"/>
            </w:pPr>
            <w:r w:rsidRPr="007F33F1">
              <w:t>[73]</w:t>
            </w:r>
            <w:r w:rsidRPr="007F33F1">
              <w:rPr>
                <w:vertAlign w:val="superscript"/>
              </w:rPr>
              <w:t>b</w:t>
            </w:r>
          </w:p>
        </w:tc>
        <w:tc>
          <w:tcPr>
            <w:tcW w:w="547" w:type="pct"/>
            <w:vAlign w:val="center"/>
          </w:tcPr>
          <w:p w:rsidR="00205FD7" w:rsidRPr="007F33F1" w:rsidRDefault="00205FD7" w:rsidP="0047221E">
            <w:pPr>
              <w:pStyle w:val="TableText0"/>
              <w:keepLines/>
              <w:jc w:val="center"/>
            </w:pPr>
            <w:r w:rsidRPr="007F33F1">
              <w:t>ZANU</w:t>
            </w:r>
          </w:p>
        </w:tc>
        <w:tc>
          <w:tcPr>
            <w:tcW w:w="937" w:type="pct"/>
            <w:shd w:val="clear" w:color="auto" w:fill="auto"/>
            <w:vAlign w:val="center"/>
          </w:tcPr>
          <w:p w:rsidR="00205FD7" w:rsidRPr="007F33F1" w:rsidRDefault="00205FD7" w:rsidP="0047221E">
            <w:pPr>
              <w:pStyle w:val="TableText0"/>
              <w:keepLines/>
              <w:jc w:val="center"/>
            </w:pPr>
            <w:r w:rsidRPr="007F33F1">
              <w:t xml:space="preserve">P1/2, MC (6 countries incl Aust), OL/ </w:t>
            </w:r>
          </w:p>
          <w:p w:rsidR="00205FD7" w:rsidRPr="007F33F1" w:rsidRDefault="00205FD7" w:rsidP="0047221E">
            <w:pPr>
              <w:pStyle w:val="TableText0"/>
              <w:keepLines/>
              <w:jc w:val="center"/>
            </w:pPr>
            <w:r w:rsidRPr="007F33F1">
              <w:t>30mths</w:t>
            </w:r>
          </w:p>
        </w:tc>
        <w:tc>
          <w:tcPr>
            <w:tcW w:w="469" w:type="pct"/>
            <w:shd w:val="clear" w:color="auto" w:fill="auto"/>
            <w:vAlign w:val="center"/>
          </w:tcPr>
          <w:p w:rsidR="00205FD7" w:rsidRPr="007F33F1" w:rsidRDefault="00205FD7" w:rsidP="0047221E">
            <w:pPr>
              <w:pStyle w:val="TableText0"/>
              <w:keepLines/>
              <w:jc w:val="center"/>
            </w:pPr>
            <w:r w:rsidRPr="007F33F1">
              <w:t>High</w:t>
            </w:r>
          </w:p>
        </w:tc>
        <w:tc>
          <w:tcPr>
            <w:tcW w:w="1016" w:type="pct"/>
            <w:vMerge/>
            <w:shd w:val="clear" w:color="auto" w:fill="auto"/>
            <w:vAlign w:val="center"/>
          </w:tcPr>
          <w:p w:rsidR="00205FD7" w:rsidRPr="007F33F1" w:rsidRDefault="00205FD7" w:rsidP="0047221E">
            <w:pPr>
              <w:pStyle w:val="TableText0"/>
              <w:keepLines/>
              <w:jc w:val="center"/>
            </w:pPr>
          </w:p>
        </w:tc>
        <w:tc>
          <w:tcPr>
            <w:tcW w:w="548" w:type="pct"/>
            <w:vMerge/>
            <w:shd w:val="clear" w:color="auto" w:fill="auto"/>
            <w:vAlign w:val="center"/>
          </w:tcPr>
          <w:p w:rsidR="00205FD7" w:rsidRPr="007F33F1" w:rsidRDefault="00205FD7" w:rsidP="0047221E">
            <w:pPr>
              <w:pStyle w:val="TableText0"/>
              <w:keepLines/>
              <w:jc w:val="center"/>
            </w:pPr>
          </w:p>
        </w:tc>
        <w:tc>
          <w:tcPr>
            <w:tcW w:w="702" w:type="pct"/>
            <w:shd w:val="clear" w:color="auto" w:fill="auto"/>
            <w:vAlign w:val="center"/>
          </w:tcPr>
          <w:p w:rsidR="00205FD7" w:rsidRPr="007F33F1" w:rsidRDefault="00205FD7" w:rsidP="0047221E">
            <w:pPr>
              <w:pStyle w:val="TableText0"/>
              <w:keepLines/>
              <w:jc w:val="center"/>
            </w:pPr>
            <w:r w:rsidRPr="007F33F1">
              <w:t>No</w:t>
            </w:r>
          </w:p>
        </w:tc>
      </w:tr>
      <w:tr w:rsidR="00205FD7" w:rsidRPr="007F33F1" w:rsidTr="008008FC">
        <w:trPr>
          <w:cantSplit/>
        </w:trPr>
        <w:tc>
          <w:tcPr>
            <w:tcW w:w="5000" w:type="pct"/>
            <w:gridSpan w:val="8"/>
          </w:tcPr>
          <w:p w:rsidR="00205FD7" w:rsidRPr="007F33F1" w:rsidRDefault="00205FD7" w:rsidP="0047221E">
            <w:pPr>
              <w:pStyle w:val="TableText0"/>
              <w:keepLines/>
              <w:rPr>
                <w:b/>
                <w:bCs w:val="0"/>
              </w:rPr>
            </w:pPr>
            <w:r w:rsidRPr="007F33F1">
              <w:rPr>
                <w:b/>
                <w:bCs w:val="0"/>
              </w:rPr>
              <w:t>Rm</w:t>
            </w:r>
          </w:p>
        </w:tc>
      </w:tr>
      <w:tr w:rsidR="00172B24" w:rsidRPr="007F33F1" w:rsidTr="008008FC">
        <w:trPr>
          <w:cantSplit/>
        </w:trPr>
        <w:tc>
          <w:tcPr>
            <w:tcW w:w="549" w:type="pct"/>
            <w:shd w:val="clear" w:color="auto" w:fill="auto"/>
            <w:vAlign w:val="center"/>
          </w:tcPr>
          <w:p w:rsidR="00172B24" w:rsidRPr="007F33F1" w:rsidRDefault="00172B24" w:rsidP="0047221E">
            <w:pPr>
              <w:pStyle w:val="TableText0"/>
              <w:keepLines/>
              <w:rPr>
                <w:vertAlign w:val="superscript"/>
              </w:rPr>
            </w:pPr>
            <w:r w:rsidRPr="007F33F1">
              <w:t>iNNOVATE</w:t>
            </w:r>
            <w:r w:rsidRPr="007F33F1">
              <w:rPr>
                <w:vertAlign w:val="superscript"/>
              </w:rPr>
              <w:t>g</w:t>
            </w:r>
          </w:p>
        </w:tc>
        <w:tc>
          <w:tcPr>
            <w:tcW w:w="232" w:type="pct"/>
            <w:shd w:val="clear" w:color="auto" w:fill="auto"/>
            <w:vAlign w:val="center"/>
          </w:tcPr>
          <w:p w:rsidR="00172B24" w:rsidRPr="007F33F1" w:rsidRDefault="00172B24" w:rsidP="0047221E">
            <w:pPr>
              <w:pStyle w:val="TableText0"/>
              <w:keepLines/>
              <w:jc w:val="center"/>
            </w:pPr>
            <w:r w:rsidRPr="007F33F1">
              <w:t>150</w:t>
            </w:r>
          </w:p>
          <w:p w:rsidR="00172B24" w:rsidRPr="007F33F1" w:rsidRDefault="00172B24" w:rsidP="0047221E">
            <w:pPr>
              <w:pStyle w:val="TableText0"/>
              <w:keepLines/>
              <w:jc w:val="center"/>
            </w:pPr>
          </w:p>
        </w:tc>
        <w:tc>
          <w:tcPr>
            <w:tcW w:w="547" w:type="pct"/>
            <w:vAlign w:val="center"/>
          </w:tcPr>
          <w:p w:rsidR="00172B24" w:rsidRPr="007F33F1" w:rsidRDefault="00172B24" w:rsidP="0047221E">
            <w:pPr>
              <w:pStyle w:val="TableText0"/>
              <w:keepLines/>
              <w:jc w:val="center"/>
            </w:pPr>
            <w:r w:rsidRPr="007F33F1">
              <w:t>Rm v.</w:t>
            </w:r>
          </w:p>
          <w:p w:rsidR="00172B24" w:rsidRPr="007F33F1" w:rsidRDefault="00172B24" w:rsidP="0047221E">
            <w:pPr>
              <w:pStyle w:val="TableText0"/>
              <w:keepLines/>
              <w:jc w:val="center"/>
            </w:pPr>
            <w:r w:rsidRPr="007F33F1">
              <w:t>IBRU+ Rm</w:t>
            </w:r>
          </w:p>
        </w:tc>
        <w:tc>
          <w:tcPr>
            <w:tcW w:w="937" w:type="pct"/>
            <w:shd w:val="clear" w:color="auto" w:fill="auto"/>
            <w:vAlign w:val="center"/>
          </w:tcPr>
          <w:p w:rsidR="00172B24" w:rsidRPr="007F33F1" w:rsidRDefault="00172B24" w:rsidP="0047221E">
            <w:pPr>
              <w:pStyle w:val="TableText0"/>
              <w:keepLines/>
              <w:jc w:val="center"/>
            </w:pPr>
            <w:r w:rsidRPr="007F33F1">
              <w:t>P3, R, DB, MC (9 countries incl Aust)/ 26.5mths</w:t>
            </w:r>
          </w:p>
        </w:tc>
        <w:tc>
          <w:tcPr>
            <w:tcW w:w="469" w:type="pct"/>
            <w:shd w:val="clear" w:color="auto" w:fill="auto"/>
            <w:vAlign w:val="center"/>
          </w:tcPr>
          <w:p w:rsidR="00172B24" w:rsidRPr="007F33F1" w:rsidRDefault="00172B24" w:rsidP="0047221E">
            <w:pPr>
              <w:pStyle w:val="TableText0"/>
              <w:keepLines/>
              <w:jc w:val="center"/>
            </w:pPr>
            <w:r w:rsidRPr="007F33F1">
              <w:t>Low</w:t>
            </w:r>
          </w:p>
        </w:tc>
        <w:tc>
          <w:tcPr>
            <w:tcW w:w="1016" w:type="pct"/>
            <w:vMerge w:val="restart"/>
            <w:shd w:val="clear" w:color="auto" w:fill="auto"/>
            <w:vAlign w:val="center"/>
          </w:tcPr>
          <w:p w:rsidR="00172B24" w:rsidRPr="007F33F1" w:rsidRDefault="00172B24" w:rsidP="0047221E">
            <w:pPr>
              <w:pStyle w:val="TableText0"/>
              <w:keepLines/>
              <w:jc w:val="center"/>
            </w:pPr>
            <w:r w:rsidRPr="007F33F1">
              <w:t xml:space="preserve">R/R or TN WM </w:t>
            </w:r>
          </w:p>
        </w:tc>
        <w:tc>
          <w:tcPr>
            <w:tcW w:w="548" w:type="pct"/>
            <w:shd w:val="clear" w:color="auto" w:fill="auto"/>
            <w:vAlign w:val="center"/>
          </w:tcPr>
          <w:p w:rsidR="00172B24" w:rsidRPr="007F33F1" w:rsidRDefault="00172B24" w:rsidP="0047221E">
            <w:pPr>
              <w:pStyle w:val="TableText0"/>
              <w:keepLines/>
              <w:jc w:val="center"/>
            </w:pPr>
            <w:r w:rsidRPr="007F33F1">
              <w:t>CR, VGPR, PFS, OS</w:t>
            </w:r>
          </w:p>
        </w:tc>
        <w:tc>
          <w:tcPr>
            <w:tcW w:w="702" w:type="pct"/>
            <w:shd w:val="clear" w:color="auto" w:fill="auto"/>
            <w:vAlign w:val="center"/>
          </w:tcPr>
          <w:p w:rsidR="00172B24" w:rsidRPr="007F33F1" w:rsidRDefault="00172B24" w:rsidP="0047221E">
            <w:pPr>
              <w:pStyle w:val="TableText0"/>
              <w:keepLines/>
              <w:jc w:val="center"/>
              <w:rPr>
                <w:vertAlign w:val="superscript"/>
              </w:rPr>
            </w:pPr>
            <w:r w:rsidRPr="007F33F1">
              <w:t>PFS (ITT) for TN pop’n</w:t>
            </w:r>
          </w:p>
        </w:tc>
      </w:tr>
      <w:tr w:rsidR="00172B24" w:rsidRPr="007F33F1" w:rsidTr="008008FC">
        <w:trPr>
          <w:cantSplit/>
        </w:trPr>
        <w:tc>
          <w:tcPr>
            <w:tcW w:w="549" w:type="pct"/>
            <w:shd w:val="clear" w:color="auto" w:fill="auto"/>
            <w:vAlign w:val="center"/>
          </w:tcPr>
          <w:p w:rsidR="00172B24" w:rsidRPr="007F33F1" w:rsidRDefault="00172B24" w:rsidP="0047221E">
            <w:pPr>
              <w:pStyle w:val="TableText0"/>
              <w:keepLines/>
            </w:pPr>
            <w:r w:rsidRPr="007F33F1">
              <w:t>Dimopoulos 2002</w:t>
            </w:r>
          </w:p>
        </w:tc>
        <w:tc>
          <w:tcPr>
            <w:tcW w:w="232" w:type="pct"/>
            <w:shd w:val="clear" w:color="auto" w:fill="auto"/>
            <w:vAlign w:val="center"/>
          </w:tcPr>
          <w:p w:rsidR="00172B24" w:rsidRPr="007F33F1" w:rsidRDefault="00172B24" w:rsidP="0047221E">
            <w:pPr>
              <w:pStyle w:val="TableText0"/>
              <w:keepLines/>
              <w:jc w:val="center"/>
            </w:pPr>
            <w:r w:rsidRPr="007F33F1">
              <w:t>27</w:t>
            </w:r>
          </w:p>
        </w:tc>
        <w:tc>
          <w:tcPr>
            <w:tcW w:w="547" w:type="pct"/>
            <w:vAlign w:val="center"/>
          </w:tcPr>
          <w:p w:rsidR="00172B24" w:rsidRPr="007F33F1" w:rsidRDefault="00172B24" w:rsidP="0047221E">
            <w:pPr>
              <w:pStyle w:val="TableText0"/>
              <w:keepLines/>
              <w:jc w:val="center"/>
            </w:pPr>
            <w:r w:rsidRPr="007F33F1">
              <w:t>Rm</w:t>
            </w:r>
          </w:p>
        </w:tc>
        <w:tc>
          <w:tcPr>
            <w:tcW w:w="937" w:type="pct"/>
            <w:shd w:val="clear" w:color="auto" w:fill="auto"/>
            <w:vAlign w:val="center"/>
          </w:tcPr>
          <w:p w:rsidR="00172B24" w:rsidRPr="007F33F1" w:rsidRDefault="00172B24" w:rsidP="0047221E">
            <w:pPr>
              <w:pStyle w:val="TableText0"/>
              <w:keepLines/>
              <w:jc w:val="center"/>
            </w:pPr>
            <w:r w:rsidRPr="007F33F1">
              <w:t>P2, MC (Greece)</w:t>
            </w:r>
            <w:r w:rsidRPr="007F33F1">
              <w:rPr>
                <w:vertAlign w:val="superscript"/>
              </w:rPr>
              <w:t xml:space="preserve">a </w:t>
            </w:r>
            <w:r w:rsidRPr="007F33F1">
              <w:t>OL/ 15.7mth</w:t>
            </w:r>
          </w:p>
        </w:tc>
        <w:tc>
          <w:tcPr>
            <w:tcW w:w="469" w:type="pct"/>
            <w:shd w:val="clear" w:color="auto" w:fill="auto"/>
            <w:vAlign w:val="center"/>
          </w:tcPr>
          <w:p w:rsidR="00172B24" w:rsidRPr="007F33F1" w:rsidRDefault="00172B24" w:rsidP="0047221E">
            <w:pPr>
              <w:pStyle w:val="TableText0"/>
              <w:keepLines/>
              <w:jc w:val="center"/>
            </w:pPr>
            <w:r w:rsidRPr="007F33F1">
              <w:t>High</w:t>
            </w:r>
          </w:p>
        </w:tc>
        <w:tc>
          <w:tcPr>
            <w:tcW w:w="1016" w:type="pct"/>
            <w:vMerge/>
            <w:shd w:val="clear" w:color="auto" w:fill="auto"/>
            <w:vAlign w:val="center"/>
          </w:tcPr>
          <w:p w:rsidR="00172B24" w:rsidRPr="007F33F1" w:rsidRDefault="00172B24" w:rsidP="0047221E">
            <w:pPr>
              <w:pStyle w:val="TableText0"/>
              <w:keepLines/>
              <w:jc w:val="center"/>
            </w:pPr>
          </w:p>
        </w:tc>
        <w:tc>
          <w:tcPr>
            <w:tcW w:w="548" w:type="pct"/>
            <w:shd w:val="clear" w:color="auto" w:fill="auto"/>
            <w:vAlign w:val="center"/>
          </w:tcPr>
          <w:p w:rsidR="00172B24" w:rsidRPr="007F33F1" w:rsidRDefault="00172B24" w:rsidP="0047221E">
            <w:pPr>
              <w:pStyle w:val="TableText0"/>
              <w:keepLines/>
              <w:jc w:val="center"/>
            </w:pPr>
            <w:r w:rsidRPr="007F33F1">
              <w:t xml:space="preserve">CR, </w:t>
            </w:r>
          </w:p>
          <w:p w:rsidR="00172B24" w:rsidRPr="007F33F1" w:rsidRDefault="00172B24" w:rsidP="0047221E">
            <w:pPr>
              <w:pStyle w:val="TableText0"/>
              <w:keepLines/>
              <w:jc w:val="center"/>
            </w:pPr>
            <w:r w:rsidRPr="007F33F1">
              <w:t>OS</w:t>
            </w:r>
          </w:p>
        </w:tc>
        <w:tc>
          <w:tcPr>
            <w:tcW w:w="702" w:type="pct"/>
            <w:shd w:val="clear" w:color="auto" w:fill="auto"/>
            <w:vAlign w:val="center"/>
          </w:tcPr>
          <w:p w:rsidR="00172B24" w:rsidRPr="007F33F1" w:rsidRDefault="00172B24" w:rsidP="0047221E">
            <w:pPr>
              <w:pStyle w:val="TableText0"/>
              <w:keepLines/>
              <w:jc w:val="center"/>
            </w:pPr>
            <w:r w:rsidRPr="007F33F1">
              <w:t>No</w:t>
            </w:r>
          </w:p>
        </w:tc>
      </w:tr>
      <w:tr w:rsidR="00205FD7" w:rsidRPr="007F33F1" w:rsidTr="008008FC">
        <w:trPr>
          <w:cantSplit/>
        </w:trPr>
        <w:tc>
          <w:tcPr>
            <w:tcW w:w="5000" w:type="pct"/>
            <w:gridSpan w:val="8"/>
          </w:tcPr>
          <w:p w:rsidR="00205FD7" w:rsidRPr="007F33F1" w:rsidRDefault="00205FD7" w:rsidP="0047221E">
            <w:pPr>
              <w:pStyle w:val="TableText0"/>
              <w:keepLines/>
              <w:rPr>
                <w:b/>
                <w:bCs w:val="0"/>
              </w:rPr>
            </w:pPr>
            <w:r w:rsidRPr="007F33F1">
              <w:rPr>
                <w:b/>
                <w:bCs w:val="0"/>
              </w:rPr>
              <w:t>BR</w:t>
            </w:r>
          </w:p>
        </w:tc>
      </w:tr>
      <w:tr w:rsidR="00637DAA" w:rsidRPr="007F33F1" w:rsidTr="008008FC">
        <w:trPr>
          <w:cantSplit/>
        </w:trPr>
        <w:tc>
          <w:tcPr>
            <w:tcW w:w="549" w:type="pct"/>
            <w:shd w:val="clear" w:color="auto" w:fill="auto"/>
            <w:vAlign w:val="center"/>
          </w:tcPr>
          <w:p w:rsidR="00205FD7" w:rsidRPr="007F33F1" w:rsidRDefault="00205FD7" w:rsidP="0047221E">
            <w:pPr>
              <w:pStyle w:val="TableText0"/>
              <w:keepLines/>
            </w:pPr>
            <w:r w:rsidRPr="007F33F1">
              <w:t>Tedeschi 2015</w:t>
            </w:r>
          </w:p>
        </w:tc>
        <w:tc>
          <w:tcPr>
            <w:tcW w:w="232" w:type="pct"/>
            <w:shd w:val="clear" w:color="auto" w:fill="auto"/>
            <w:vAlign w:val="center"/>
          </w:tcPr>
          <w:p w:rsidR="00205FD7" w:rsidRPr="007F33F1" w:rsidRDefault="00205FD7" w:rsidP="0047221E">
            <w:pPr>
              <w:pStyle w:val="TableText0"/>
              <w:keepLines/>
              <w:jc w:val="center"/>
            </w:pPr>
            <w:r w:rsidRPr="007F33F1">
              <w:t>71</w:t>
            </w:r>
          </w:p>
        </w:tc>
        <w:tc>
          <w:tcPr>
            <w:tcW w:w="547" w:type="pct"/>
            <w:vAlign w:val="center"/>
          </w:tcPr>
          <w:p w:rsidR="00205FD7" w:rsidRPr="007F33F1" w:rsidRDefault="00205FD7" w:rsidP="0047221E">
            <w:pPr>
              <w:pStyle w:val="TableText0"/>
              <w:keepLines/>
              <w:jc w:val="center"/>
            </w:pPr>
            <w:r w:rsidRPr="007F33F1">
              <w:t>BR</w:t>
            </w:r>
          </w:p>
        </w:tc>
        <w:tc>
          <w:tcPr>
            <w:tcW w:w="937" w:type="pct"/>
            <w:shd w:val="clear" w:color="auto" w:fill="auto"/>
            <w:vAlign w:val="center"/>
          </w:tcPr>
          <w:p w:rsidR="00205FD7" w:rsidRPr="007F33F1" w:rsidRDefault="00205FD7" w:rsidP="0047221E">
            <w:pPr>
              <w:pStyle w:val="TableText0"/>
              <w:keepLines/>
              <w:jc w:val="center"/>
            </w:pPr>
            <w:r w:rsidRPr="007F33F1">
              <w:t>Coh</w:t>
            </w:r>
            <w:r w:rsidRPr="007F33F1">
              <w:rPr>
                <w:vertAlign w:val="superscript"/>
              </w:rPr>
              <w:t>c</w:t>
            </w:r>
            <w:r w:rsidRPr="007F33F1">
              <w:t>, MC (Italy)</w:t>
            </w:r>
            <w:r w:rsidRPr="007F33F1">
              <w:rPr>
                <w:vertAlign w:val="superscript"/>
              </w:rPr>
              <w:t>a</w:t>
            </w:r>
            <w:r w:rsidRPr="007F33F1">
              <w:t>/ 19mths</w:t>
            </w:r>
          </w:p>
        </w:tc>
        <w:tc>
          <w:tcPr>
            <w:tcW w:w="469" w:type="pct"/>
            <w:shd w:val="clear" w:color="auto" w:fill="auto"/>
            <w:vAlign w:val="center"/>
          </w:tcPr>
          <w:p w:rsidR="00205FD7" w:rsidRPr="007F33F1" w:rsidRDefault="00205FD7" w:rsidP="0047221E">
            <w:pPr>
              <w:pStyle w:val="TableText0"/>
              <w:keepLines/>
              <w:jc w:val="center"/>
              <w:rPr>
                <w:iCs/>
              </w:rPr>
            </w:pPr>
            <w:r w:rsidRPr="007F33F1">
              <w:rPr>
                <w:iCs/>
              </w:rPr>
              <w:t xml:space="preserve">High </w:t>
            </w:r>
          </w:p>
        </w:tc>
        <w:tc>
          <w:tcPr>
            <w:tcW w:w="1016" w:type="pct"/>
            <w:vMerge w:val="restart"/>
            <w:shd w:val="clear" w:color="auto" w:fill="auto"/>
            <w:vAlign w:val="center"/>
          </w:tcPr>
          <w:p w:rsidR="00205FD7" w:rsidRPr="007F33F1" w:rsidRDefault="00205FD7" w:rsidP="0047221E">
            <w:pPr>
              <w:pStyle w:val="TableText0"/>
              <w:keepLines/>
              <w:jc w:val="center"/>
            </w:pPr>
            <w:r w:rsidRPr="007F33F1">
              <w:t>RR WM</w:t>
            </w:r>
          </w:p>
        </w:tc>
        <w:tc>
          <w:tcPr>
            <w:tcW w:w="548" w:type="pct"/>
            <w:shd w:val="clear" w:color="auto" w:fill="auto"/>
            <w:vAlign w:val="center"/>
          </w:tcPr>
          <w:p w:rsidR="00205FD7" w:rsidRPr="007F33F1" w:rsidRDefault="00205FD7" w:rsidP="0047221E">
            <w:pPr>
              <w:pStyle w:val="TableText0"/>
              <w:keepLines/>
              <w:jc w:val="center"/>
            </w:pPr>
            <w:r w:rsidRPr="007F33F1">
              <w:t>CR, VGPR, PFS, OS</w:t>
            </w:r>
          </w:p>
        </w:tc>
        <w:tc>
          <w:tcPr>
            <w:tcW w:w="702" w:type="pct"/>
            <w:shd w:val="clear" w:color="auto" w:fill="auto"/>
            <w:vAlign w:val="center"/>
          </w:tcPr>
          <w:p w:rsidR="00A74DB0" w:rsidRPr="007F33F1" w:rsidRDefault="00A74DB0" w:rsidP="0047221E">
            <w:pPr>
              <w:pStyle w:val="TableText0"/>
              <w:keepLines/>
              <w:jc w:val="center"/>
              <w:rPr>
                <w:vertAlign w:val="superscript"/>
              </w:rPr>
            </w:pPr>
            <w:r w:rsidRPr="007F33F1">
              <w:t>PFS</w:t>
            </w:r>
            <w:r w:rsidR="005B76FB" w:rsidRPr="007F33F1">
              <w:t>/</w:t>
            </w:r>
            <w:r w:rsidRPr="007F33F1">
              <w:t>OS for R/R</w:t>
            </w:r>
            <w:r w:rsidR="005C06F0" w:rsidRPr="007F33F1">
              <w:t xml:space="preserve"> pop</w:t>
            </w:r>
            <w:r w:rsidR="00456ADE" w:rsidRPr="007F33F1">
              <w:t>’n</w:t>
            </w:r>
          </w:p>
          <w:p w:rsidR="00A74DB0" w:rsidRPr="007F33F1" w:rsidRDefault="00A74DB0" w:rsidP="0047221E">
            <w:pPr>
              <w:pStyle w:val="TableText0"/>
              <w:keepLines/>
              <w:jc w:val="center"/>
              <w:rPr>
                <w:vertAlign w:val="superscript"/>
              </w:rPr>
            </w:pPr>
            <w:r w:rsidRPr="007F33F1">
              <w:t>OS for TN</w:t>
            </w:r>
            <w:r w:rsidR="005C06F0" w:rsidRPr="007F33F1">
              <w:t xml:space="preserve"> pop</w:t>
            </w:r>
            <w:r w:rsidR="00456ADE" w:rsidRPr="007F33F1">
              <w:t>’n</w:t>
            </w:r>
          </w:p>
        </w:tc>
      </w:tr>
      <w:tr w:rsidR="00637DAA" w:rsidRPr="007F33F1" w:rsidTr="008008FC">
        <w:trPr>
          <w:cantSplit/>
        </w:trPr>
        <w:tc>
          <w:tcPr>
            <w:tcW w:w="549" w:type="pct"/>
            <w:shd w:val="clear" w:color="auto" w:fill="auto"/>
            <w:vAlign w:val="center"/>
          </w:tcPr>
          <w:p w:rsidR="00205FD7" w:rsidRPr="007F33F1" w:rsidRDefault="00205FD7" w:rsidP="0047221E">
            <w:pPr>
              <w:pStyle w:val="TableText0"/>
              <w:keepLines/>
            </w:pPr>
            <w:r w:rsidRPr="007F33F1">
              <w:t>Treon 2011</w:t>
            </w:r>
          </w:p>
        </w:tc>
        <w:tc>
          <w:tcPr>
            <w:tcW w:w="232" w:type="pct"/>
            <w:shd w:val="clear" w:color="auto" w:fill="auto"/>
            <w:vAlign w:val="center"/>
          </w:tcPr>
          <w:p w:rsidR="00205FD7" w:rsidRPr="007F33F1" w:rsidRDefault="00205FD7" w:rsidP="0047221E">
            <w:pPr>
              <w:pStyle w:val="TableText0"/>
              <w:keepLines/>
              <w:jc w:val="center"/>
            </w:pPr>
            <w:r w:rsidRPr="007F33F1">
              <w:t>30</w:t>
            </w:r>
            <w:r w:rsidR="000C1B21" w:rsidRPr="007F33F1">
              <w:rPr>
                <w:vertAlign w:val="superscript"/>
              </w:rPr>
              <w:t xml:space="preserve"> e</w:t>
            </w:r>
          </w:p>
        </w:tc>
        <w:tc>
          <w:tcPr>
            <w:tcW w:w="547" w:type="pct"/>
            <w:vAlign w:val="center"/>
          </w:tcPr>
          <w:p w:rsidR="00205FD7" w:rsidRPr="007F33F1" w:rsidRDefault="00205FD7" w:rsidP="0047221E">
            <w:pPr>
              <w:pStyle w:val="TableText0"/>
              <w:keepLines/>
              <w:jc w:val="center"/>
            </w:pPr>
            <w:r w:rsidRPr="007F33F1">
              <w:t>BR (n=24)</w:t>
            </w:r>
          </w:p>
          <w:p w:rsidR="00205FD7" w:rsidRPr="007F33F1" w:rsidRDefault="00205FD7" w:rsidP="0047221E">
            <w:pPr>
              <w:pStyle w:val="TableText0"/>
              <w:keepLines/>
              <w:jc w:val="center"/>
            </w:pPr>
            <w:r w:rsidRPr="007F33F1">
              <w:t xml:space="preserve">B+OFA (n=6) </w:t>
            </w:r>
          </w:p>
        </w:tc>
        <w:tc>
          <w:tcPr>
            <w:tcW w:w="937" w:type="pct"/>
            <w:shd w:val="clear" w:color="auto" w:fill="auto"/>
            <w:vAlign w:val="center"/>
          </w:tcPr>
          <w:p w:rsidR="00205FD7" w:rsidRPr="007F33F1" w:rsidRDefault="00205FD7" w:rsidP="0047221E">
            <w:pPr>
              <w:pStyle w:val="TableText0"/>
              <w:keepLines/>
              <w:jc w:val="center"/>
            </w:pPr>
            <w:r w:rsidRPr="007F33F1">
              <w:t>Retro Coh</w:t>
            </w:r>
            <w:r w:rsidRPr="007F33F1">
              <w:rPr>
                <w:vertAlign w:val="superscript"/>
              </w:rPr>
              <w:t>d</w:t>
            </w:r>
            <w:r w:rsidRPr="007F33F1">
              <w:t>, SC (USA) / 17.5mths</w:t>
            </w:r>
          </w:p>
        </w:tc>
        <w:tc>
          <w:tcPr>
            <w:tcW w:w="469" w:type="pct"/>
            <w:shd w:val="clear" w:color="auto" w:fill="auto"/>
            <w:vAlign w:val="center"/>
          </w:tcPr>
          <w:p w:rsidR="00205FD7" w:rsidRPr="007F33F1" w:rsidRDefault="00205FD7" w:rsidP="0047221E">
            <w:pPr>
              <w:pStyle w:val="TableText0"/>
              <w:keepLines/>
              <w:jc w:val="center"/>
              <w:rPr>
                <w:iCs/>
              </w:rPr>
            </w:pPr>
            <w:r w:rsidRPr="007F33F1">
              <w:rPr>
                <w:iCs/>
              </w:rPr>
              <w:t>High</w:t>
            </w:r>
          </w:p>
        </w:tc>
        <w:tc>
          <w:tcPr>
            <w:tcW w:w="1016" w:type="pct"/>
            <w:vMerge/>
            <w:shd w:val="clear" w:color="auto" w:fill="auto"/>
            <w:vAlign w:val="center"/>
          </w:tcPr>
          <w:p w:rsidR="00205FD7" w:rsidRPr="007F33F1" w:rsidRDefault="00205FD7" w:rsidP="0047221E">
            <w:pPr>
              <w:pStyle w:val="TableText0"/>
              <w:keepLines/>
              <w:jc w:val="center"/>
            </w:pPr>
          </w:p>
        </w:tc>
        <w:tc>
          <w:tcPr>
            <w:tcW w:w="548" w:type="pct"/>
            <w:shd w:val="clear" w:color="auto" w:fill="auto"/>
            <w:vAlign w:val="center"/>
          </w:tcPr>
          <w:p w:rsidR="00205FD7" w:rsidRPr="007F33F1" w:rsidRDefault="00205FD7" w:rsidP="0047221E">
            <w:pPr>
              <w:pStyle w:val="TableText0"/>
              <w:keepLines/>
              <w:jc w:val="center"/>
            </w:pPr>
            <w:r w:rsidRPr="007F33F1">
              <w:t>CR,</w:t>
            </w:r>
          </w:p>
          <w:p w:rsidR="00205FD7" w:rsidRPr="007F33F1" w:rsidRDefault="00205FD7" w:rsidP="0047221E">
            <w:pPr>
              <w:pStyle w:val="TableText0"/>
              <w:keepLines/>
              <w:jc w:val="center"/>
            </w:pPr>
            <w:r w:rsidRPr="007F33F1">
              <w:t>PFS</w:t>
            </w:r>
          </w:p>
        </w:tc>
        <w:tc>
          <w:tcPr>
            <w:tcW w:w="702" w:type="pct"/>
            <w:shd w:val="clear" w:color="auto" w:fill="auto"/>
            <w:vAlign w:val="center"/>
          </w:tcPr>
          <w:p w:rsidR="00205FD7" w:rsidRPr="007F33F1" w:rsidRDefault="00205FD7" w:rsidP="0047221E">
            <w:pPr>
              <w:pStyle w:val="TableText0"/>
              <w:keepLines/>
              <w:jc w:val="center"/>
            </w:pPr>
            <w:r w:rsidRPr="007F33F1">
              <w:t>No</w:t>
            </w:r>
          </w:p>
        </w:tc>
      </w:tr>
    </w:tbl>
    <w:p w:rsidR="00205FD7" w:rsidRPr="007F33F1" w:rsidRDefault="00205FD7" w:rsidP="0047221E">
      <w:pPr>
        <w:pStyle w:val="TableFigureFooter"/>
        <w:keepNext/>
        <w:keepLines/>
      </w:pPr>
      <w:r w:rsidRPr="007F33F1">
        <w:t>Source: Compiled from the CSR/publications during the evaluation</w:t>
      </w:r>
    </w:p>
    <w:p w:rsidR="00205FD7" w:rsidRPr="007F33F1" w:rsidRDefault="00205FD7" w:rsidP="0047221E">
      <w:pPr>
        <w:pStyle w:val="TableFigureFooter"/>
        <w:keepNext/>
        <w:keepLines/>
      </w:pPr>
      <w:r w:rsidRPr="007F33F1">
        <w:t xml:space="preserve">Aust=Australia, BR=bendamustine+rituximab, </w:t>
      </w:r>
      <w:r w:rsidR="00637DAA" w:rsidRPr="007F33F1">
        <w:t>CIT=</w:t>
      </w:r>
      <w:r w:rsidR="00916B6C" w:rsidRPr="007F33F1">
        <w:t>chemo-immunotherapy</w:t>
      </w:r>
      <w:r w:rsidR="00637DAA" w:rsidRPr="007F33F1">
        <w:t xml:space="preserve">, </w:t>
      </w:r>
      <w:r w:rsidRPr="007F33F1">
        <w:t>CR=complete response</w:t>
      </w:r>
      <w:r w:rsidR="00456ADE" w:rsidRPr="007F33F1">
        <w:t>,</w:t>
      </w:r>
      <w:r w:rsidRPr="007F33F1">
        <w:t xml:space="preserve"> DB=double blind</w:t>
      </w:r>
      <w:r w:rsidR="00456ADE" w:rsidRPr="007F33F1">
        <w:t>, MC=multi-centre,</w:t>
      </w:r>
      <w:r w:rsidRPr="007F33F1">
        <w:t xml:space="preserve"> Mths=months</w:t>
      </w:r>
      <w:r w:rsidR="00456ADE" w:rsidRPr="007F33F1">
        <w:t>,</w:t>
      </w:r>
      <w:r w:rsidRPr="007F33F1">
        <w:t xml:space="preserve"> OFA=ofatumumab, OL=open label</w:t>
      </w:r>
      <w:r w:rsidR="00456ADE" w:rsidRPr="007F33F1">
        <w:t>,</w:t>
      </w:r>
      <w:r w:rsidRPr="007F33F1">
        <w:t xml:space="preserve"> OS=overall survival</w:t>
      </w:r>
      <w:r w:rsidR="00456ADE" w:rsidRPr="007F33F1">
        <w:t>,</w:t>
      </w:r>
      <w:r w:rsidR="00F25B93" w:rsidRPr="007F33F1">
        <w:t xml:space="preserve"> P=phase,</w:t>
      </w:r>
      <w:r w:rsidR="00456ADE" w:rsidRPr="007F33F1">
        <w:t xml:space="preserve"> PFS=progression-free survival,</w:t>
      </w:r>
      <w:r w:rsidRPr="007F33F1">
        <w:t xml:space="preserve"> </w:t>
      </w:r>
      <w:r w:rsidR="005C06F0" w:rsidRPr="007F33F1">
        <w:t>pop</w:t>
      </w:r>
      <w:r w:rsidR="00456ADE" w:rsidRPr="007F33F1">
        <w:t>’n</w:t>
      </w:r>
      <w:r w:rsidR="005C06F0" w:rsidRPr="007F33F1">
        <w:t xml:space="preserve">=population, </w:t>
      </w:r>
      <w:r w:rsidR="00456ADE" w:rsidRPr="007F33F1">
        <w:t>R=randomised, Retro=retrospective study, R/R=relapse/refractory, SC=single centre,</w:t>
      </w:r>
      <w:r w:rsidRPr="007F33F1">
        <w:t xml:space="preserve"> VGPR=very good partial response, ZANU=zanubrutinib, Rm=rituximab monotherapy, USA=United States of America, WM= </w:t>
      </w:r>
      <w:r w:rsidR="00EF2438" w:rsidRPr="007F33F1">
        <w:t>Waldenström</w:t>
      </w:r>
      <w:r w:rsidRPr="007F33F1">
        <w:t xml:space="preserve"> macroglobulinaemia.</w:t>
      </w:r>
    </w:p>
    <w:p w:rsidR="00205FD7" w:rsidRPr="007F33F1" w:rsidRDefault="00205FD7" w:rsidP="0047221E">
      <w:pPr>
        <w:pStyle w:val="TableFigureFooter"/>
        <w:keepNext/>
        <w:keepLines/>
      </w:pPr>
      <w:r w:rsidRPr="007F33F1">
        <w:rPr>
          <w:vertAlign w:val="superscript"/>
        </w:rPr>
        <w:t>a</w:t>
      </w:r>
      <w:r w:rsidR="003B67E5" w:rsidRPr="007F33F1">
        <w:rPr>
          <w:vertAlign w:val="superscript"/>
        </w:rPr>
        <w:tab/>
      </w:r>
      <w:r w:rsidR="00456ADE" w:rsidRPr="007F33F1">
        <w:t>E</w:t>
      </w:r>
      <w:r w:rsidRPr="007F33F1">
        <w:t>stimate based on authors’ affiliations.</w:t>
      </w:r>
    </w:p>
    <w:p w:rsidR="00205FD7" w:rsidRPr="007F33F1" w:rsidRDefault="00205FD7" w:rsidP="0047221E">
      <w:pPr>
        <w:pStyle w:val="TableFigureFooter"/>
        <w:keepNext/>
        <w:keepLines/>
        <w:ind w:left="165" w:hanging="165"/>
      </w:pPr>
      <w:r w:rsidRPr="007F33F1">
        <w:rPr>
          <w:vertAlign w:val="superscript"/>
        </w:rPr>
        <w:t>b</w:t>
      </w:r>
      <w:r w:rsidR="003B67E5" w:rsidRPr="007F33F1">
        <w:rPr>
          <w:vertAlign w:val="superscript"/>
        </w:rPr>
        <w:tab/>
      </w:r>
      <w:r w:rsidRPr="007F33F1">
        <w:t>73 in WM Efficacy Evaluable Set (i</w:t>
      </w:r>
      <w:r w:rsidR="00EF2438" w:rsidRPr="007F33F1">
        <w:t>.</w:t>
      </w:r>
      <w:r w:rsidRPr="007F33F1">
        <w:t>e</w:t>
      </w:r>
      <w:r w:rsidR="00EF2438" w:rsidRPr="007F33F1">
        <w:t>.</w:t>
      </w:r>
      <w:r w:rsidRPr="007F33F1">
        <w:t>, received ≥ 1 dose of ZANU, had baseline IgM or M-paraprotein ≥ 5 g/L, and no prior exposure to a BTKi).</w:t>
      </w:r>
    </w:p>
    <w:p w:rsidR="00205FD7" w:rsidRPr="007F33F1" w:rsidRDefault="00205FD7" w:rsidP="0047221E">
      <w:pPr>
        <w:pStyle w:val="TableFigureFooter"/>
        <w:keepNext/>
        <w:keepLines/>
        <w:ind w:left="165" w:hanging="165"/>
        <w:rPr>
          <w:iCs/>
        </w:rPr>
      </w:pPr>
      <w:r w:rsidRPr="007F33F1">
        <w:rPr>
          <w:vertAlign w:val="superscript"/>
        </w:rPr>
        <w:t xml:space="preserve">c </w:t>
      </w:r>
      <w:r w:rsidR="003B67E5" w:rsidRPr="007F33F1">
        <w:rPr>
          <w:vertAlign w:val="superscript"/>
        </w:rPr>
        <w:tab/>
      </w:r>
      <w:r w:rsidRPr="007F33F1">
        <w:t xml:space="preserve">Patients were prospectively identified. Consecutive patients with R/R receiving BR were recruited and had consented prior to treatment. </w:t>
      </w:r>
      <w:r w:rsidRPr="007F33F1">
        <w:rPr>
          <w:iCs/>
        </w:rPr>
        <w:t>The analysis was however conducted retrospectively (p2638 of Tedeschi 2015).</w:t>
      </w:r>
    </w:p>
    <w:p w:rsidR="00205FD7" w:rsidRPr="007F33F1" w:rsidRDefault="00205FD7" w:rsidP="0047221E">
      <w:pPr>
        <w:pStyle w:val="TableFigureFooter"/>
        <w:keepNext/>
        <w:keepLines/>
      </w:pPr>
      <w:r w:rsidRPr="007F33F1">
        <w:rPr>
          <w:vertAlign w:val="superscript"/>
        </w:rPr>
        <w:t xml:space="preserve">d </w:t>
      </w:r>
      <w:r w:rsidR="003B67E5" w:rsidRPr="007F33F1">
        <w:rPr>
          <w:vertAlign w:val="superscript"/>
        </w:rPr>
        <w:tab/>
      </w:r>
      <w:r w:rsidRPr="007F33F1">
        <w:t>Patient</w:t>
      </w:r>
      <w:r w:rsidR="006022B8" w:rsidRPr="007F33F1">
        <w:t>s</w:t>
      </w:r>
      <w:r w:rsidRPr="007F33F1">
        <w:t xml:space="preserve"> were retrospectively identified via chart review.</w:t>
      </w:r>
    </w:p>
    <w:p w:rsidR="00205FD7" w:rsidRPr="007F33F1" w:rsidRDefault="00205FD7" w:rsidP="0047221E">
      <w:pPr>
        <w:pStyle w:val="TableFigureFooter"/>
        <w:keepNext/>
        <w:keepLines/>
        <w:ind w:left="165" w:hanging="165"/>
      </w:pPr>
      <w:r w:rsidRPr="007F33F1">
        <w:rPr>
          <w:vertAlign w:val="superscript"/>
        </w:rPr>
        <w:t>e</w:t>
      </w:r>
      <w:r w:rsidRPr="007F33F1">
        <w:t xml:space="preserve"> </w:t>
      </w:r>
      <w:r w:rsidR="003B67E5" w:rsidRPr="007F33F1">
        <w:tab/>
      </w:r>
      <w:r w:rsidRPr="007F33F1">
        <w:t>6/30 (20%) of patients in Treon 2011 who were refractory to rituximab received bendamustine alone or bendamustine plus ofatumumab.</w:t>
      </w:r>
      <w:r w:rsidR="00507604" w:rsidRPr="007F33F1">
        <w:t xml:space="preserve"> Results were not reported separately for these patients.</w:t>
      </w:r>
    </w:p>
    <w:p w:rsidR="00205FD7" w:rsidRPr="007F33F1" w:rsidRDefault="00205FD7" w:rsidP="0047221E">
      <w:pPr>
        <w:pStyle w:val="TableFigureFooter"/>
        <w:keepNext/>
        <w:keepLines/>
      </w:pPr>
      <w:r w:rsidRPr="007F33F1">
        <w:rPr>
          <w:vertAlign w:val="superscript"/>
        </w:rPr>
        <w:t xml:space="preserve">f </w:t>
      </w:r>
      <w:r w:rsidR="003B67E5" w:rsidRPr="007F33F1">
        <w:rPr>
          <w:vertAlign w:val="superscript"/>
        </w:rPr>
        <w:tab/>
      </w:r>
      <w:r w:rsidR="006022B8" w:rsidRPr="007F33F1">
        <w:t>R</w:t>
      </w:r>
      <w:r w:rsidRPr="007F33F1">
        <w:t>esults were only reported for 26 out of 28 included patients.</w:t>
      </w:r>
    </w:p>
    <w:p w:rsidR="007E15F3" w:rsidRPr="007F33F1" w:rsidRDefault="007E15F3" w:rsidP="0047221E">
      <w:pPr>
        <w:pStyle w:val="TableFigureFooter"/>
        <w:keepNext/>
        <w:keepLines/>
        <w:ind w:left="165" w:hanging="165"/>
        <w:rPr>
          <w:szCs w:val="18"/>
        </w:rPr>
      </w:pPr>
      <w:r w:rsidRPr="007F33F1">
        <w:rPr>
          <w:vertAlign w:val="superscript"/>
        </w:rPr>
        <w:t>g</w:t>
      </w:r>
      <w:r w:rsidRPr="007F33F1">
        <w:rPr>
          <w:vertAlign w:val="superscript"/>
        </w:rPr>
        <w:tab/>
      </w:r>
      <w:r w:rsidRPr="007F33F1">
        <w:t xml:space="preserve">A conference abstract of the 5-year follow-up results was identified during the evaluation (Buske et al., 2020). Updated PFS data was </w:t>
      </w:r>
      <w:r w:rsidRPr="007F33F1">
        <w:rPr>
          <w:szCs w:val="18"/>
        </w:rPr>
        <w:t>presented in the evaluation</w:t>
      </w:r>
      <w:r w:rsidR="006A3CE1" w:rsidRPr="007F33F1">
        <w:rPr>
          <w:szCs w:val="18"/>
        </w:rPr>
        <w:t>.</w:t>
      </w:r>
    </w:p>
    <w:p w:rsidR="00205FD7" w:rsidRPr="007F33F1" w:rsidRDefault="00205FD7" w:rsidP="0047221E">
      <w:pPr>
        <w:pStyle w:val="3-BodyText"/>
        <w:rPr>
          <w:iCs/>
        </w:rPr>
      </w:pPr>
      <w:r w:rsidRPr="007F33F1">
        <w:rPr>
          <w:iCs/>
        </w:rPr>
        <w:t xml:space="preserve">Overall, with the exception of iNNOVATE, </w:t>
      </w:r>
      <w:r w:rsidR="003A0CF0" w:rsidRPr="007F33F1">
        <w:rPr>
          <w:iCs/>
        </w:rPr>
        <w:t xml:space="preserve">the </w:t>
      </w:r>
      <w:r w:rsidRPr="007F33F1">
        <w:rPr>
          <w:iCs/>
        </w:rPr>
        <w:t>studies had a high risk of bias due to either a lack of blinding, lack of randomisation or the retrospective analyses conducted. For ASPEN, while the primary response outcome was assessed by an independent review committee (IRC) blinded to treatment assignment, other response outcomes were based on investigators’ assessment, which could have biased the findings.</w:t>
      </w:r>
    </w:p>
    <w:p w:rsidR="00205FD7" w:rsidRPr="007F33F1" w:rsidRDefault="00205FD7" w:rsidP="0047221E">
      <w:pPr>
        <w:pStyle w:val="3-BodyText"/>
        <w:rPr>
          <w:iCs/>
        </w:rPr>
      </w:pPr>
      <w:r w:rsidRPr="007F33F1">
        <w:rPr>
          <w:iCs/>
          <w:snapToGrid/>
        </w:rPr>
        <w:t xml:space="preserve">The </w:t>
      </w:r>
      <w:r w:rsidRPr="007F33F1">
        <w:rPr>
          <w:iCs/>
        </w:rPr>
        <w:t xml:space="preserve">submission did not present results for </w:t>
      </w:r>
      <w:r w:rsidR="00BE77FA" w:rsidRPr="007F33F1">
        <w:rPr>
          <w:iCs/>
        </w:rPr>
        <w:t>zanubrutinib</w:t>
      </w:r>
      <w:r w:rsidRPr="007F33F1">
        <w:rPr>
          <w:iCs/>
        </w:rPr>
        <w:t xml:space="preserve"> from Cohort 2 of ASPEN, as it</w:t>
      </w:r>
      <w:r w:rsidR="004825CA" w:rsidRPr="007F33F1">
        <w:rPr>
          <w:iCs/>
        </w:rPr>
        <w:t xml:space="preserve"> </w:t>
      </w:r>
      <w:r w:rsidR="00CB2B37" w:rsidRPr="007F33F1">
        <w:rPr>
          <w:iCs/>
        </w:rPr>
        <w:t>had only a</w:t>
      </w:r>
      <w:r w:rsidR="004825CA" w:rsidRPr="007F33F1">
        <w:rPr>
          <w:iCs/>
        </w:rPr>
        <w:t xml:space="preserve"> single arm</w:t>
      </w:r>
      <w:r w:rsidRPr="007F33F1">
        <w:rPr>
          <w:iCs/>
        </w:rPr>
        <w:t>. ASPEN</w:t>
      </w:r>
      <w:r w:rsidR="00F446BE" w:rsidRPr="007F33F1">
        <w:rPr>
          <w:iCs/>
        </w:rPr>
        <w:t>-</w:t>
      </w:r>
      <w:r w:rsidRPr="007F33F1">
        <w:rPr>
          <w:iCs/>
        </w:rPr>
        <w:t>Cohort 2 recruited patients without the MYD88</w:t>
      </w:r>
      <w:r w:rsidRPr="007F33F1">
        <w:rPr>
          <w:iCs/>
          <w:vertAlign w:val="superscript"/>
        </w:rPr>
        <w:t>L265P</w:t>
      </w:r>
      <w:r w:rsidRPr="007F33F1">
        <w:rPr>
          <w:iCs/>
        </w:rPr>
        <w:t xml:space="preserve"> genetic variant, who are less likely to respond to BTKi treatment. Given the submission included single-arm studies and the requested PBS population would also include these patients, their results are informative and thus were extracted and su</w:t>
      </w:r>
      <w:r w:rsidR="000C7396" w:rsidRPr="007F33F1">
        <w:rPr>
          <w:iCs/>
        </w:rPr>
        <w:t>mmarised during the evaluation.</w:t>
      </w:r>
    </w:p>
    <w:p w:rsidR="00C245ED" w:rsidRPr="007F33F1" w:rsidRDefault="00205FD7" w:rsidP="0047221E">
      <w:pPr>
        <w:pStyle w:val="3-BodyText"/>
      </w:pPr>
      <w:bookmarkStart w:id="35" w:name="_Ref75008953"/>
      <w:r w:rsidRPr="007F33F1">
        <w:t xml:space="preserve">Reporting of eligibility criteria and patient baseline characteristics were limited for the non-randomised studies. </w:t>
      </w:r>
      <w:r w:rsidR="00A7224D" w:rsidRPr="007F33F1">
        <w:t>B</w:t>
      </w:r>
      <w:r w:rsidRPr="007F33F1">
        <w:t>ased on available information, there were a number of important differences across the studies</w:t>
      </w:r>
      <w:r w:rsidR="002F422A" w:rsidRPr="007F33F1">
        <w:t>,</w:t>
      </w:r>
      <w:r w:rsidR="00A7224D" w:rsidRPr="007F33F1">
        <w:t xml:space="preserve"> including: i) </w:t>
      </w:r>
      <w:r w:rsidR="00304042" w:rsidRPr="007F33F1">
        <w:t>a l</w:t>
      </w:r>
      <w:r w:rsidR="002F422A" w:rsidRPr="007F33F1">
        <w:t xml:space="preserve">ower </w:t>
      </w:r>
      <w:r w:rsidR="004C7980" w:rsidRPr="007F33F1">
        <w:t>proportion</w:t>
      </w:r>
      <w:r w:rsidR="00A7224D" w:rsidRPr="007F33F1">
        <w:t xml:space="preserve"> of TN patients </w:t>
      </w:r>
      <w:r w:rsidR="004C7980" w:rsidRPr="007F33F1">
        <w:t>in ASPEN vs iNNOVATE</w:t>
      </w:r>
      <w:r w:rsidR="002F422A" w:rsidRPr="007F33F1">
        <w:t xml:space="preserve"> (18.4% vs 45.3%)</w:t>
      </w:r>
      <w:r w:rsidR="00304042" w:rsidRPr="007F33F1">
        <w:t>,</w:t>
      </w:r>
      <w:r w:rsidR="002F422A" w:rsidRPr="007F33F1">
        <w:t xml:space="preserve"> which may be due to inclusion of TN patients suitable </w:t>
      </w:r>
      <w:r w:rsidR="00304042" w:rsidRPr="007F33F1">
        <w:t>for</w:t>
      </w:r>
      <w:r w:rsidR="002F422A" w:rsidRPr="007F33F1">
        <w:t xml:space="preserve"> </w:t>
      </w:r>
      <w:r w:rsidR="00916B6C" w:rsidRPr="007F33F1">
        <w:t>chemo-immunotherapy</w:t>
      </w:r>
      <w:r w:rsidR="002F422A" w:rsidRPr="007F33F1">
        <w:t xml:space="preserve"> in iNNOVATE</w:t>
      </w:r>
      <w:r w:rsidR="00CB2B37" w:rsidRPr="007F33F1">
        <w:t>,</w:t>
      </w:r>
      <w:r w:rsidR="002F422A" w:rsidRPr="007F33F1">
        <w:t xml:space="preserve"> </w:t>
      </w:r>
      <w:r w:rsidR="009E033E" w:rsidRPr="007F33F1">
        <w:t>which may have</w:t>
      </w:r>
      <w:r w:rsidR="00CB2B37" w:rsidRPr="007F33F1">
        <w:t xml:space="preserve"> in turn</w:t>
      </w:r>
      <w:r w:rsidR="009E033E" w:rsidRPr="007F33F1">
        <w:t xml:space="preserve"> </w:t>
      </w:r>
      <w:r w:rsidR="00CB2B37" w:rsidRPr="007F33F1">
        <w:t>led</w:t>
      </w:r>
      <w:r w:rsidR="00137F1D" w:rsidRPr="007F33F1">
        <w:t xml:space="preserve"> to improved outcomes in iNNOVATE;</w:t>
      </w:r>
      <w:r w:rsidR="00A7224D" w:rsidRPr="007F33F1">
        <w:t xml:space="preserve"> </w:t>
      </w:r>
      <w:r w:rsidR="00C245ED" w:rsidRPr="007F33F1">
        <w:t xml:space="preserve">ii) </w:t>
      </w:r>
      <w:r w:rsidR="00BF6DC7" w:rsidRPr="007F33F1">
        <w:t xml:space="preserve">a </w:t>
      </w:r>
      <w:r w:rsidR="004C7980" w:rsidRPr="007F33F1">
        <w:t>higher proportion of patients with</w:t>
      </w:r>
      <w:r w:rsidR="00C245ED" w:rsidRPr="007F33F1">
        <w:t xml:space="preserve"> favourable genetic profile (MYD88</w:t>
      </w:r>
      <w:r w:rsidR="00C245ED" w:rsidRPr="007F33F1">
        <w:rPr>
          <w:vertAlign w:val="superscript"/>
        </w:rPr>
        <w:t>L265P</w:t>
      </w:r>
      <w:r w:rsidR="00C245ED" w:rsidRPr="007F33F1">
        <w:t>/CXCR4</w:t>
      </w:r>
      <w:r w:rsidR="00C245ED" w:rsidRPr="007F33F1">
        <w:rPr>
          <w:vertAlign w:val="superscript"/>
        </w:rPr>
        <w:t>WT</w:t>
      </w:r>
      <w:r w:rsidR="00C245ED" w:rsidRPr="007F33F1">
        <w:t>)</w:t>
      </w:r>
      <w:r w:rsidR="002F422A" w:rsidRPr="007F33F1">
        <w:t>,</w:t>
      </w:r>
      <w:r w:rsidR="00C245ED" w:rsidRPr="007F33F1">
        <w:t xml:space="preserve"> predicting better response to BTKi</w:t>
      </w:r>
      <w:r w:rsidR="002F422A" w:rsidRPr="007F33F1">
        <w:t>,</w:t>
      </w:r>
      <w:r w:rsidR="00C245ED" w:rsidRPr="007F33F1">
        <w:t xml:space="preserve"> in ASPEN</w:t>
      </w:r>
      <w:r w:rsidR="00BF6DC7" w:rsidRPr="007F33F1">
        <w:t>-Cohort 1</w:t>
      </w:r>
      <w:r w:rsidR="00C245ED" w:rsidRPr="007F33F1">
        <w:t xml:space="preserve"> </w:t>
      </w:r>
      <w:r w:rsidR="004C7980" w:rsidRPr="007F33F1">
        <w:t xml:space="preserve">compared to </w:t>
      </w:r>
      <w:r w:rsidR="00C245ED" w:rsidRPr="007F33F1">
        <w:t>iNNOVATE (approx. 72%-90% vs 44.6%)</w:t>
      </w:r>
      <w:r w:rsidR="00137F1D" w:rsidRPr="007F33F1">
        <w:t>;</w:t>
      </w:r>
      <w:r w:rsidR="00C245ED" w:rsidRPr="007F33F1">
        <w:t xml:space="preserve"> iii) the addition of rituximab to </w:t>
      </w:r>
      <w:r w:rsidR="00BE77FA" w:rsidRPr="007F33F1">
        <w:t>ibrutinib</w:t>
      </w:r>
      <w:r w:rsidR="00C245ED" w:rsidRPr="007F33F1">
        <w:t xml:space="preserve"> in iNNOVATE</w:t>
      </w:r>
      <w:r w:rsidR="002F422A" w:rsidRPr="007F33F1">
        <w:t>,</w:t>
      </w:r>
      <w:r w:rsidR="00C245ED" w:rsidRPr="007F33F1">
        <w:t xml:space="preserve"> which may have </w:t>
      </w:r>
      <w:r w:rsidR="002F422A" w:rsidRPr="007F33F1">
        <w:t>improved</w:t>
      </w:r>
      <w:r w:rsidR="00C245ED" w:rsidRPr="007F33F1">
        <w:t xml:space="preserve"> the treatment effect of </w:t>
      </w:r>
      <w:r w:rsidR="00BE77FA" w:rsidRPr="007F33F1">
        <w:t>ibrutinib</w:t>
      </w:r>
      <w:r w:rsidR="00C245ED" w:rsidRPr="007F33F1">
        <w:t xml:space="preserve"> </w:t>
      </w:r>
      <w:r w:rsidR="002F422A" w:rsidRPr="007F33F1">
        <w:t xml:space="preserve">in patients with a less favourable genetic </w:t>
      </w:r>
      <w:r w:rsidR="000C7396" w:rsidRPr="007F33F1">
        <w:t xml:space="preserve">profile; </w:t>
      </w:r>
      <w:r w:rsidR="00C245ED" w:rsidRPr="007F33F1">
        <w:t xml:space="preserve">and iv) rituximab-refractory patients were excluded from iNNOVATE but were included in Tedeschi 2015 and Treon 2011, </w:t>
      </w:r>
      <w:r w:rsidR="004C7980" w:rsidRPr="007F33F1">
        <w:t>t</w:t>
      </w:r>
      <w:r w:rsidR="00C245ED" w:rsidRPr="007F33F1">
        <w:t xml:space="preserve">his is important as results from Tedeschi 2015 were used in the model as a proxy for the Rm arm instead of results from iNNOVATE (see </w:t>
      </w:r>
      <w:r w:rsidR="008C7D2C" w:rsidRPr="007F33F1">
        <w:rPr>
          <w:i/>
          <w:iCs/>
        </w:rPr>
        <w:t>Economic analysis</w:t>
      </w:r>
      <w:r w:rsidR="00C245ED" w:rsidRPr="007F33F1">
        <w:t>),</w:t>
      </w:r>
      <w:r w:rsidR="004C7980" w:rsidRPr="007F33F1">
        <w:t xml:space="preserve"> which is likely to favour </w:t>
      </w:r>
      <w:r w:rsidR="00BE77FA" w:rsidRPr="007F33F1">
        <w:t>zanubrutinib</w:t>
      </w:r>
      <w:r w:rsidR="004C7980" w:rsidRPr="007F33F1">
        <w:t xml:space="preserve">. </w:t>
      </w:r>
      <w:r w:rsidR="00964BF9" w:rsidRPr="007F33F1">
        <w:t>The ESC considered it was difficult to determine the overall impact of these differences on the comparisons between studies.</w:t>
      </w:r>
      <w:bookmarkEnd w:id="35"/>
      <w:r w:rsidR="00964BF9" w:rsidRPr="007F33F1">
        <w:t xml:space="preserve"> </w:t>
      </w:r>
    </w:p>
    <w:p w:rsidR="00205FD7" w:rsidRPr="007F33F1" w:rsidRDefault="00205FD7" w:rsidP="0047221E">
      <w:pPr>
        <w:pStyle w:val="3-BodyText"/>
        <w:rPr>
          <w:iCs/>
          <w:snapToGrid/>
        </w:rPr>
      </w:pPr>
      <w:r w:rsidRPr="007F33F1">
        <w:rPr>
          <w:iCs/>
          <w:snapToGrid/>
        </w:rPr>
        <w:t>All studies used the recommended doses of treatments, except for Tedeschi 2015 where a proportion of patients received a lower dose of bendamustine, with 22/71 (31%) patients treated</w:t>
      </w:r>
      <w:r w:rsidR="00EF2438" w:rsidRPr="007F33F1">
        <w:rPr>
          <w:iCs/>
          <w:snapToGrid/>
        </w:rPr>
        <w:t xml:space="preserve"> </w:t>
      </w:r>
      <w:r w:rsidR="004649A6" w:rsidRPr="007F33F1">
        <w:rPr>
          <w:iCs/>
          <w:snapToGrid/>
        </w:rPr>
        <w:t xml:space="preserve">at a dose of </w:t>
      </w:r>
      <w:r w:rsidRPr="007F33F1">
        <w:rPr>
          <w:iCs/>
          <w:snapToGrid/>
        </w:rPr>
        <w:t>70 mg/m</w:t>
      </w:r>
      <w:r w:rsidRPr="007F33F1">
        <w:rPr>
          <w:iCs/>
          <w:snapToGrid/>
          <w:vertAlign w:val="superscript"/>
        </w:rPr>
        <w:t>2</w:t>
      </w:r>
      <w:r w:rsidRPr="007F33F1">
        <w:rPr>
          <w:iCs/>
          <w:snapToGrid/>
        </w:rPr>
        <w:t xml:space="preserve"> and 4/71 (6%) </w:t>
      </w:r>
      <w:r w:rsidR="004649A6" w:rsidRPr="007F33F1">
        <w:rPr>
          <w:iCs/>
          <w:snapToGrid/>
        </w:rPr>
        <w:t xml:space="preserve">at a dose of </w:t>
      </w:r>
      <w:r w:rsidRPr="007F33F1">
        <w:rPr>
          <w:iCs/>
          <w:snapToGrid/>
        </w:rPr>
        <w:t>50 mg/m</w:t>
      </w:r>
      <w:r w:rsidRPr="007F33F1">
        <w:rPr>
          <w:iCs/>
          <w:snapToGrid/>
          <w:vertAlign w:val="superscript"/>
        </w:rPr>
        <w:t>2</w:t>
      </w:r>
      <w:r w:rsidRPr="007F33F1">
        <w:rPr>
          <w:iCs/>
          <w:snapToGrid/>
        </w:rPr>
        <w:t>. Study analyses were not stratified by dosing regimen, so the lower dosage may have impact</w:t>
      </w:r>
      <w:r w:rsidR="004649A6" w:rsidRPr="007F33F1">
        <w:rPr>
          <w:iCs/>
          <w:snapToGrid/>
        </w:rPr>
        <w:t xml:space="preserve">ed </w:t>
      </w:r>
      <w:r w:rsidRPr="007F33F1">
        <w:rPr>
          <w:iCs/>
          <w:snapToGrid/>
        </w:rPr>
        <w:t xml:space="preserve">the treatment effect. </w:t>
      </w:r>
    </w:p>
    <w:p w:rsidR="00205FD7" w:rsidRPr="007F33F1" w:rsidRDefault="005D0CB1" w:rsidP="0047221E">
      <w:pPr>
        <w:pStyle w:val="3-BodyText"/>
        <w:rPr>
          <w:iCs/>
        </w:rPr>
      </w:pPr>
      <w:r w:rsidRPr="007F33F1">
        <w:t>The m</w:t>
      </w:r>
      <w:r w:rsidR="00205FD7" w:rsidRPr="007F33F1">
        <w:t xml:space="preserve">ethods used to assess response were reasonably consistent across the studies. All studies adopted the response criteria from the Sixth International Workshop on WM (IWWM-6), except for Treon 2011, which followed the Third International Workshop on WM (IWWM-3) criteria, and </w:t>
      </w:r>
      <w:r w:rsidR="00205FD7" w:rsidRPr="007F33F1">
        <w:rPr>
          <w:iCs/>
        </w:rPr>
        <w:t>Dimopoulos 2002, which did not report on the method used but was published before both the IWWM-3 and IWWM-6.</w:t>
      </w:r>
      <w:r w:rsidR="00205FD7" w:rsidRPr="007F33F1">
        <w:t xml:space="preserve"> </w:t>
      </w:r>
      <w:r w:rsidR="00205FD7" w:rsidRPr="007F33F1">
        <w:rPr>
          <w:iCs/>
        </w:rPr>
        <w:t xml:space="preserve">Key differences between IWWM-3 and IWWM-6 include the addition of VGPR as a new category of response in IWWM-6, along with more sensitive IgM quantification methods and more thorough assessments of the bone marrow, which could have an impact on response rates and disease progression. </w:t>
      </w:r>
    </w:p>
    <w:p w:rsidR="00205FD7" w:rsidRPr="007F33F1" w:rsidRDefault="00205FD7" w:rsidP="0047221E">
      <w:pPr>
        <w:pStyle w:val="4-SubsectionHeading"/>
      </w:pPr>
      <w:bookmarkStart w:id="36" w:name="_Toc22897641"/>
      <w:bookmarkStart w:id="37" w:name="_Toc71450283"/>
      <w:bookmarkStart w:id="38" w:name="_Toc72421788"/>
      <w:r w:rsidRPr="007F33F1">
        <w:t>Comparative effectiveness</w:t>
      </w:r>
      <w:bookmarkEnd w:id="36"/>
      <w:bookmarkEnd w:id="37"/>
      <w:bookmarkEnd w:id="38"/>
    </w:p>
    <w:p w:rsidR="007C66CE" w:rsidRPr="007F33F1" w:rsidRDefault="007C66CE" w:rsidP="0047221E">
      <w:pPr>
        <w:pStyle w:val="Heading4"/>
        <w:rPr>
          <w:rStyle w:val="CommentReference"/>
          <w:rFonts w:ascii="Calibri" w:hAnsi="Calibri"/>
          <w:b/>
          <w:sz w:val="26"/>
          <w:szCs w:val="26"/>
        </w:rPr>
      </w:pPr>
      <w:r w:rsidRPr="007F33F1">
        <w:t>Response outcomes</w:t>
      </w:r>
    </w:p>
    <w:p w:rsidR="00205FD7" w:rsidRPr="007F33F1" w:rsidRDefault="00205FD7" w:rsidP="0047221E">
      <w:pPr>
        <w:pStyle w:val="3-BodyText"/>
      </w:pPr>
      <w:r w:rsidRPr="007F33F1">
        <w:t xml:space="preserve">The primary outcome of ASPEN was the proportion of patients achieving either VGPR or CR (VGPR/CR). The submission’s ITCs for response outcomes were based on results for VGPR/CR, ORR (i.e., achieving MR or better) and MRR (i.e., achieving PR or better). </w:t>
      </w:r>
    </w:p>
    <w:p w:rsidR="00205FD7" w:rsidRPr="007F33F1" w:rsidRDefault="00205FD7" w:rsidP="0047221E">
      <w:pPr>
        <w:pStyle w:val="3-BodyText"/>
      </w:pPr>
      <w:r w:rsidRPr="007F33F1">
        <w:t xml:space="preserve">The submission noted that PFS and OS endpoints from ASPEN were not mature at the time of submission, thus disease response rates were presented as meaningful surrogates of effectiveness. </w:t>
      </w:r>
      <w:r w:rsidR="00F02845" w:rsidRPr="007F33F1">
        <w:t>However</w:t>
      </w:r>
      <w:r w:rsidR="00330E61" w:rsidRPr="007F33F1">
        <w:t>,</w:t>
      </w:r>
      <w:r w:rsidR="00F02845" w:rsidRPr="007F33F1">
        <w:t xml:space="preserve"> as the submission did not </w:t>
      </w:r>
      <w:r w:rsidR="00BF2FE0" w:rsidRPr="007F33F1">
        <w:t xml:space="preserve">address </w:t>
      </w:r>
      <w:r w:rsidR="007C66CE" w:rsidRPr="007F33F1">
        <w:t xml:space="preserve">the </w:t>
      </w:r>
      <w:r w:rsidR="00BF2FE0" w:rsidRPr="007F33F1">
        <w:t xml:space="preserve">requirements outlined in the PBAC Guidelines </w:t>
      </w:r>
      <w:r w:rsidR="00D4162E" w:rsidRPr="007F33F1">
        <w:t>for</w:t>
      </w:r>
      <w:r w:rsidR="00BF2FE0" w:rsidRPr="007F33F1">
        <w:t xml:space="preserve"> translating comparative treatment effects of proposed surrogate measures to target clinical outcomes</w:t>
      </w:r>
      <w:r w:rsidR="00F02845" w:rsidRPr="007F33F1">
        <w:t>, this claim was unsupported</w:t>
      </w:r>
      <w:r w:rsidR="00D4162E" w:rsidRPr="007F33F1">
        <w:t xml:space="preserve"> (Appendix 5, PBAC Guidelines v5.0, 2016)</w:t>
      </w:r>
      <w:r w:rsidR="00BF2FE0" w:rsidRPr="007F33F1">
        <w:t>.</w:t>
      </w:r>
      <w:r w:rsidR="00BF2FE0" w:rsidRPr="007F33F1" w:rsidDel="00BF2FE0">
        <w:t xml:space="preserve"> </w:t>
      </w:r>
      <w:r w:rsidR="00F55B58" w:rsidRPr="007F33F1">
        <w:t xml:space="preserve">The Pre-Sub-Committee Response (PSCR) noted that patients who achieve a PR or VGPR demonstrated a longer PFS and </w:t>
      </w:r>
      <w:r w:rsidR="0073621A" w:rsidRPr="007F33F1">
        <w:t>time to next treatment</w:t>
      </w:r>
      <w:r w:rsidR="00F55B58" w:rsidRPr="007F33F1">
        <w:t xml:space="preserve"> </w:t>
      </w:r>
      <w:r w:rsidR="003A0CF0" w:rsidRPr="007F33F1">
        <w:t>compared with</w:t>
      </w:r>
      <w:r w:rsidR="00F55B58" w:rsidRPr="007F33F1">
        <w:t xml:space="preserve"> those who had minor response or stable disease (Paludo et al 2018)</w:t>
      </w:r>
      <w:r w:rsidR="003A0CF0" w:rsidRPr="007F33F1">
        <w:t>,</w:t>
      </w:r>
      <w:r w:rsidR="0089358B" w:rsidRPr="007F33F1">
        <w:t xml:space="preserve"> and a multivariate analysis of </w:t>
      </w:r>
      <w:r w:rsidR="00BE77FA" w:rsidRPr="007F33F1">
        <w:t>ibrutinib</w:t>
      </w:r>
      <w:r w:rsidR="0089358B" w:rsidRPr="007F33F1">
        <w:t xml:space="preserve"> in WM showed that partial response or better at six months was significantly associated with superior PFS (Castillo et al 2021). The PSCR considered these data supported a relationship between response outcomes and survival </w:t>
      </w:r>
      <w:r w:rsidR="0073621A" w:rsidRPr="007F33F1">
        <w:t>outcomes</w:t>
      </w:r>
      <w:r w:rsidR="0089358B" w:rsidRPr="007F33F1">
        <w:t xml:space="preserve"> in WM and </w:t>
      </w:r>
      <w:r w:rsidR="00574828" w:rsidRPr="007F33F1">
        <w:t>claimed</w:t>
      </w:r>
      <w:r w:rsidR="0089358B" w:rsidRPr="007F33F1">
        <w:t xml:space="preserve"> that these findings </w:t>
      </w:r>
      <w:r w:rsidR="00574828" w:rsidRPr="007F33F1">
        <w:t>were</w:t>
      </w:r>
      <w:r w:rsidR="0089358B" w:rsidRPr="007F33F1">
        <w:t xml:space="preserve"> also consistent with the well-established relationship between depth of response, prolonged disease control and OS in multiple myeloma, another disease associated with gammopathy (Lonial &amp; Anderson 2014).</w:t>
      </w:r>
      <w:r w:rsidR="00CB16DB" w:rsidRPr="007F33F1">
        <w:t xml:space="preserve"> The ESC considered it was inappropriate to use evidence from multiple myeloma to support a relationship between response and survival outcomes for WM as multiple myeloma and WM are </w:t>
      </w:r>
      <w:r w:rsidR="003A0CF0" w:rsidRPr="007F33F1">
        <w:t>distinct</w:t>
      </w:r>
      <w:r w:rsidR="006F7A60" w:rsidRPr="007F33F1">
        <w:t xml:space="preserve"> diseases with </w:t>
      </w:r>
      <w:r w:rsidR="003A0CF0" w:rsidRPr="007F33F1">
        <w:t>different clinical manifestations</w:t>
      </w:r>
      <w:r w:rsidR="006F7A60" w:rsidRPr="007F33F1">
        <w:t xml:space="preserve">. </w:t>
      </w:r>
      <w:r w:rsidR="0073621A" w:rsidRPr="007F33F1">
        <w:t>The ESC</w:t>
      </w:r>
      <w:r w:rsidR="00EC1936" w:rsidRPr="007F33F1">
        <w:t xml:space="preserve"> considered </w:t>
      </w:r>
      <w:r w:rsidR="0073621A" w:rsidRPr="007F33F1">
        <w:t xml:space="preserve">that response outcomes were </w:t>
      </w:r>
      <w:r w:rsidR="00135D32" w:rsidRPr="007F33F1">
        <w:t>likely a poor surrogate for survival outcomes in WM given the indolent nature of the disease</w:t>
      </w:r>
      <w:r w:rsidR="0073621A" w:rsidRPr="007F33F1">
        <w:t>.</w:t>
      </w:r>
      <w:r w:rsidR="00EF2438" w:rsidRPr="007F33F1">
        <w:t xml:space="preserve"> </w:t>
      </w:r>
    </w:p>
    <w:p w:rsidR="00205FD7" w:rsidRPr="007F33F1" w:rsidRDefault="00205FD7" w:rsidP="0047221E">
      <w:pPr>
        <w:pStyle w:val="3-BodyText"/>
      </w:pPr>
      <w:r w:rsidRPr="007F33F1">
        <w:t xml:space="preserve">A summary of key response outcomes is presented in </w:t>
      </w:r>
      <w:r w:rsidR="00015997" w:rsidRPr="007F33F1">
        <w:t xml:space="preserve">Table </w:t>
      </w:r>
      <w:r w:rsidR="00015997">
        <w:t>4</w:t>
      </w:r>
      <w:r w:rsidRPr="007F33F1">
        <w:t>.</w:t>
      </w:r>
      <w:r w:rsidR="00CB2B37" w:rsidRPr="007F33F1">
        <w:t xml:space="preserve"> </w:t>
      </w:r>
      <w:r w:rsidR="00CB2B37" w:rsidRPr="007F33F1">
        <w:rPr>
          <w:iCs/>
        </w:rPr>
        <w:t>Further response outcomes (PR, MR, ORR, MRR) were presented in the Commentary.</w:t>
      </w:r>
      <w:r w:rsidR="00EF2438" w:rsidRPr="007F33F1">
        <w:rPr>
          <w:i/>
        </w:rPr>
        <w:t xml:space="preserve"> </w:t>
      </w:r>
    </w:p>
    <w:p w:rsidR="00205FD7" w:rsidRPr="007F33F1" w:rsidRDefault="00205FD7" w:rsidP="0047221E">
      <w:pPr>
        <w:pStyle w:val="TableFigureHeading"/>
        <w:keepLines/>
        <w:rPr>
          <w:rStyle w:val="CommentReference"/>
          <w:b/>
          <w:szCs w:val="24"/>
        </w:rPr>
      </w:pPr>
      <w:bookmarkStart w:id="39" w:name="_Ref71299821"/>
      <w:r w:rsidRPr="007F33F1">
        <w:t xml:space="preserve">Table </w:t>
      </w:r>
      <w:r w:rsidR="00015997">
        <w:rPr>
          <w:noProof/>
        </w:rPr>
        <w:t>4</w:t>
      </w:r>
      <w:bookmarkEnd w:id="39"/>
      <w:r w:rsidRPr="007F33F1">
        <w:t xml:space="preserve">: High quality response rates </w:t>
      </w:r>
      <w:r w:rsidRPr="007F33F1">
        <w:rPr>
          <w:rStyle w:val="CommentReference"/>
          <w:b/>
          <w:szCs w:val="24"/>
        </w:rPr>
        <w:t>across the included studies (VGPR, CR and VGPR/CR)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1"/>
        <w:gridCol w:w="430"/>
        <w:gridCol w:w="1114"/>
        <w:gridCol w:w="844"/>
        <w:gridCol w:w="743"/>
        <w:gridCol w:w="662"/>
        <w:gridCol w:w="1027"/>
        <w:gridCol w:w="1398"/>
        <w:gridCol w:w="1421"/>
      </w:tblGrid>
      <w:tr w:rsidR="00574828" w:rsidRPr="007F33F1" w:rsidTr="00E34C98">
        <w:trPr>
          <w:tblHeader/>
        </w:trPr>
        <w:tc>
          <w:tcPr>
            <w:tcW w:w="775" w:type="pct"/>
            <w:tcBorders>
              <w:bottom w:val="single" w:sz="4" w:space="0" w:color="auto"/>
            </w:tcBorders>
            <w:vAlign w:val="center"/>
          </w:tcPr>
          <w:p w:rsidR="00574828" w:rsidRPr="007F33F1" w:rsidRDefault="00574828" w:rsidP="0047221E">
            <w:pPr>
              <w:pStyle w:val="TableFigureHeading"/>
              <w:keepLines/>
              <w:rPr>
                <w:rStyle w:val="CommentReference"/>
                <w:b/>
                <w:bCs w:val="0"/>
                <w:szCs w:val="20"/>
              </w:rPr>
            </w:pPr>
            <w:r w:rsidRPr="007F33F1">
              <w:rPr>
                <w:rStyle w:val="CommentReference"/>
                <w:b/>
                <w:bCs w:val="0"/>
                <w:szCs w:val="20"/>
              </w:rPr>
              <w:t>Trial ID</w:t>
            </w:r>
          </w:p>
        </w:tc>
        <w:tc>
          <w:tcPr>
            <w:tcW w:w="238" w:type="pct"/>
            <w:tcBorders>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R/R (%)</w:t>
            </w:r>
          </w:p>
        </w:tc>
        <w:tc>
          <w:tcPr>
            <w:tcW w:w="616" w:type="pct"/>
            <w:tcBorders>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ZA</w:t>
            </w:r>
            <w:r w:rsidRPr="007F33F1">
              <w:rPr>
                <w:rStyle w:val="CommentReference"/>
                <w:b/>
                <w:szCs w:val="20"/>
              </w:rPr>
              <w:t>NU</w:t>
            </w:r>
          </w:p>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n/N (%)</w:t>
            </w:r>
          </w:p>
        </w:tc>
        <w:tc>
          <w:tcPr>
            <w:tcW w:w="467" w:type="pct"/>
            <w:tcBorders>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IB</w:t>
            </w:r>
            <w:r w:rsidRPr="007F33F1">
              <w:rPr>
                <w:rStyle w:val="CommentReference"/>
                <w:b/>
                <w:szCs w:val="20"/>
              </w:rPr>
              <w:t>RU</w:t>
            </w:r>
          </w:p>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n/N (%)</w:t>
            </w:r>
          </w:p>
        </w:tc>
        <w:tc>
          <w:tcPr>
            <w:tcW w:w="411" w:type="pct"/>
            <w:tcBorders>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IB</w:t>
            </w:r>
            <w:r w:rsidRPr="007F33F1">
              <w:rPr>
                <w:rStyle w:val="CommentReference"/>
                <w:b/>
                <w:szCs w:val="20"/>
              </w:rPr>
              <w:t>RU</w:t>
            </w:r>
            <w:r w:rsidRPr="007F33F1">
              <w:rPr>
                <w:rStyle w:val="CommentReference"/>
                <w:b/>
                <w:bCs w:val="0"/>
                <w:szCs w:val="20"/>
              </w:rPr>
              <w:t>+R</w:t>
            </w:r>
          </w:p>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n/N (%)</w:t>
            </w:r>
          </w:p>
        </w:tc>
        <w:tc>
          <w:tcPr>
            <w:tcW w:w="366" w:type="pct"/>
            <w:tcBorders>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Rm</w:t>
            </w:r>
          </w:p>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n/N (%)</w:t>
            </w:r>
          </w:p>
        </w:tc>
        <w:tc>
          <w:tcPr>
            <w:tcW w:w="568" w:type="pct"/>
            <w:tcBorders>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BR</w:t>
            </w:r>
          </w:p>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n/N (%)</w:t>
            </w:r>
          </w:p>
        </w:tc>
        <w:tc>
          <w:tcPr>
            <w:tcW w:w="773" w:type="pct"/>
            <w:tcBorders>
              <w:bottom w:val="single" w:sz="4" w:space="0" w:color="auto"/>
            </w:tcBorders>
          </w:tcPr>
          <w:p w:rsidR="00574828" w:rsidRPr="007F33F1" w:rsidRDefault="00574828" w:rsidP="0047221E">
            <w:pPr>
              <w:pStyle w:val="TableFigureHeading"/>
              <w:keepLines/>
              <w:jc w:val="center"/>
              <w:rPr>
                <w:rStyle w:val="CommentReference"/>
                <w:b/>
                <w:szCs w:val="20"/>
                <w:vertAlign w:val="superscript"/>
              </w:rPr>
            </w:pPr>
            <w:r w:rsidRPr="007F33F1">
              <w:rPr>
                <w:rStyle w:val="CommentReference"/>
                <w:b/>
                <w:bCs w:val="0"/>
                <w:szCs w:val="20"/>
              </w:rPr>
              <w:t>R</w:t>
            </w:r>
            <w:r w:rsidRPr="007F33F1">
              <w:rPr>
                <w:rStyle w:val="CommentReference"/>
                <w:b/>
                <w:szCs w:val="20"/>
              </w:rPr>
              <w:t>D</w:t>
            </w:r>
            <w:r w:rsidR="00B36576" w:rsidRPr="007F33F1">
              <w:rPr>
                <w:rStyle w:val="CommentReference"/>
                <w:b/>
                <w:szCs w:val="20"/>
                <w:vertAlign w:val="superscript"/>
              </w:rPr>
              <w:t>a</w:t>
            </w:r>
          </w:p>
          <w:p w:rsidR="00574828" w:rsidRPr="007F33F1" w:rsidRDefault="00574828" w:rsidP="0047221E">
            <w:pPr>
              <w:pStyle w:val="In-tableHeading"/>
              <w:keepLines/>
              <w:jc w:val="center"/>
              <w:rPr>
                <w:szCs w:val="20"/>
                <w:lang w:val="en-AU"/>
              </w:rPr>
            </w:pPr>
            <w:r w:rsidRPr="007F33F1">
              <w:rPr>
                <w:szCs w:val="20"/>
                <w:lang w:val="en-AU"/>
              </w:rPr>
              <w:t>(95%CI)</w:t>
            </w:r>
          </w:p>
        </w:tc>
        <w:tc>
          <w:tcPr>
            <w:tcW w:w="786" w:type="pct"/>
            <w:tcBorders>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RR</w:t>
            </w:r>
            <w:r w:rsidR="00B36576" w:rsidRPr="007F33F1">
              <w:rPr>
                <w:bCs w:val="0"/>
                <w:szCs w:val="20"/>
                <w:vertAlign w:val="superscript"/>
              </w:rPr>
              <w:t>a</w:t>
            </w:r>
            <w:r w:rsidR="006022B8" w:rsidRPr="007F33F1">
              <w:rPr>
                <w:bCs w:val="0"/>
                <w:szCs w:val="20"/>
                <w:vertAlign w:val="superscript"/>
              </w:rPr>
              <w:t>,e</w:t>
            </w:r>
          </w:p>
          <w:p w:rsidR="00574828" w:rsidRPr="007F33F1" w:rsidRDefault="00574828" w:rsidP="0047221E">
            <w:pPr>
              <w:pStyle w:val="TableFigureHeading"/>
              <w:keepLines/>
              <w:jc w:val="center"/>
              <w:rPr>
                <w:rStyle w:val="CommentReference"/>
                <w:b/>
                <w:bCs w:val="0"/>
                <w:szCs w:val="20"/>
              </w:rPr>
            </w:pPr>
            <w:r w:rsidRPr="007F33F1">
              <w:rPr>
                <w:rStyle w:val="CommentReference"/>
                <w:b/>
                <w:bCs w:val="0"/>
                <w:szCs w:val="20"/>
              </w:rPr>
              <w:t>(95% CI)</w:t>
            </w:r>
          </w:p>
        </w:tc>
      </w:tr>
      <w:tr w:rsidR="00574828" w:rsidRPr="007F33F1" w:rsidTr="00E34C98">
        <w:tc>
          <w:tcPr>
            <w:tcW w:w="775" w:type="pct"/>
            <w:tcBorders>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rPr>
                <w:rStyle w:val="CommentReference"/>
                <w:b/>
                <w:bCs w:val="0"/>
                <w:szCs w:val="20"/>
              </w:rPr>
            </w:pPr>
            <w:r w:rsidRPr="007F33F1">
              <w:rPr>
                <w:rStyle w:val="CommentReference"/>
                <w:b/>
                <w:bCs w:val="0"/>
                <w:szCs w:val="20"/>
              </w:rPr>
              <w:t>V</w:t>
            </w:r>
            <w:r w:rsidRPr="007F33F1">
              <w:rPr>
                <w:rStyle w:val="CommentReference"/>
                <w:b/>
                <w:szCs w:val="20"/>
              </w:rPr>
              <w:t>GPR</w:t>
            </w:r>
          </w:p>
        </w:tc>
        <w:tc>
          <w:tcPr>
            <w:tcW w:w="238"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bCs w:val="0"/>
                <w:szCs w:val="20"/>
              </w:rPr>
            </w:pPr>
          </w:p>
        </w:tc>
        <w:tc>
          <w:tcPr>
            <w:tcW w:w="616"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bCs w:val="0"/>
                <w:szCs w:val="20"/>
              </w:rPr>
            </w:pPr>
          </w:p>
        </w:tc>
        <w:tc>
          <w:tcPr>
            <w:tcW w:w="467"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bCs w:val="0"/>
                <w:szCs w:val="20"/>
              </w:rPr>
            </w:pPr>
          </w:p>
        </w:tc>
        <w:tc>
          <w:tcPr>
            <w:tcW w:w="411"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bCs w:val="0"/>
                <w:szCs w:val="20"/>
              </w:rPr>
            </w:pPr>
          </w:p>
        </w:tc>
        <w:tc>
          <w:tcPr>
            <w:tcW w:w="366"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bCs w:val="0"/>
                <w:szCs w:val="20"/>
              </w:rPr>
            </w:pPr>
          </w:p>
        </w:tc>
        <w:tc>
          <w:tcPr>
            <w:tcW w:w="568"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bCs w:val="0"/>
                <w:szCs w:val="20"/>
              </w:rPr>
            </w:pPr>
          </w:p>
        </w:tc>
        <w:tc>
          <w:tcPr>
            <w:tcW w:w="773" w:type="pct"/>
            <w:tcBorders>
              <w:left w:val="nil"/>
              <w:bottom w:val="single" w:sz="4" w:space="0" w:color="auto"/>
              <w:right w:val="nil"/>
            </w:tcBorders>
            <w:shd w:val="clear" w:color="auto" w:fill="D9D9D9" w:themeFill="background1" w:themeFillShade="D9"/>
          </w:tcPr>
          <w:p w:rsidR="00574828" w:rsidRPr="007F33F1" w:rsidRDefault="00574828" w:rsidP="0047221E">
            <w:pPr>
              <w:pStyle w:val="TableFigureHeading"/>
              <w:keepLines/>
              <w:jc w:val="center"/>
              <w:rPr>
                <w:rStyle w:val="CommentReference"/>
                <w:b/>
                <w:bCs w:val="0"/>
                <w:szCs w:val="20"/>
              </w:rPr>
            </w:pPr>
          </w:p>
        </w:tc>
        <w:tc>
          <w:tcPr>
            <w:tcW w:w="786" w:type="pct"/>
            <w:tcBorders>
              <w:left w:val="nil"/>
              <w:bottom w:val="single" w:sz="4" w:space="0" w:color="auto"/>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bCs w:val="0"/>
                <w:szCs w:val="20"/>
              </w:rPr>
            </w:pPr>
          </w:p>
        </w:tc>
      </w:tr>
      <w:tr w:rsidR="00574828" w:rsidRPr="007F33F1" w:rsidTr="00E34C98">
        <w:tc>
          <w:tcPr>
            <w:tcW w:w="775" w:type="pct"/>
            <w:tcBorders>
              <w:bottom w:val="nil"/>
            </w:tcBorders>
            <w:vAlign w:val="center"/>
          </w:tcPr>
          <w:p w:rsidR="00574828" w:rsidRPr="007F33F1" w:rsidRDefault="00574828" w:rsidP="0047221E">
            <w:pPr>
              <w:pStyle w:val="TableFigureHeading"/>
              <w:keepLines/>
              <w:rPr>
                <w:rStyle w:val="CommentReference"/>
                <w:szCs w:val="20"/>
              </w:rPr>
            </w:pPr>
            <w:r w:rsidRPr="007F33F1">
              <w:rPr>
                <w:rStyle w:val="CommentReference"/>
                <w:szCs w:val="20"/>
              </w:rPr>
              <w:t>ASPEN</w:t>
            </w:r>
            <w:r w:rsidR="00B36576" w:rsidRPr="007F33F1">
              <w:rPr>
                <w:rStyle w:val="CommentReference"/>
                <w:szCs w:val="20"/>
                <w:vertAlign w:val="superscript"/>
              </w:rPr>
              <w:t>b</w:t>
            </w:r>
            <w:r w:rsidRPr="007F33F1">
              <w:rPr>
                <w:rStyle w:val="CommentReference"/>
                <w:szCs w:val="20"/>
              </w:rPr>
              <w:t xml:space="preserve"> Cohort 1</w:t>
            </w:r>
          </w:p>
        </w:tc>
        <w:tc>
          <w:tcPr>
            <w:tcW w:w="23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81.6</w:t>
            </w:r>
          </w:p>
        </w:tc>
        <w:tc>
          <w:tcPr>
            <w:tcW w:w="61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29/102 (28.4)</w:t>
            </w:r>
          </w:p>
        </w:tc>
        <w:tc>
          <w:tcPr>
            <w:tcW w:w="467"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19/99 (19)</w:t>
            </w:r>
          </w:p>
        </w:tc>
        <w:tc>
          <w:tcPr>
            <w:tcW w:w="411" w:type="pct"/>
            <w:tcBorders>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366" w:type="pct"/>
            <w:tcBorders>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568" w:type="pct"/>
            <w:tcBorders>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773" w:type="pct"/>
            <w:tcBorders>
              <w:bottom w:val="nil"/>
            </w:tcBorders>
          </w:tcPr>
          <w:p w:rsidR="00574828" w:rsidRPr="007F33F1" w:rsidRDefault="00574828" w:rsidP="0047221E">
            <w:pPr>
              <w:pStyle w:val="TableFigureHeading"/>
              <w:keepLines/>
              <w:jc w:val="center"/>
              <w:rPr>
                <w:iCs/>
                <w:szCs w:val="20"/>
              </w:rPr>
            </w:pPr>
            <w:r w:rsidRPr="007F33F1">
              <w:rPr>
                <w:rStyle w:val="CommentReference"/>
                <w:iCs/>
                <w:szCs w:val="20"/>
              </w:rPr>
              <w:t xml:space="preserve">0.09 </w:t>
            </w:r>
            <w:r w:rsidRPr="007F33F1">
              <w:rPr>
                <w:b w:val="0"/>
                <w:iCs/>
                <w:szCs w:val="20"/>
              </w:rPr>
              <w:t>(-0.02, 0.20)</w:t>
            </w:r>
          </w:p>
        </w:tc>
        <w:tc>
          <w:tcPr>
            <w:tcW w:w="786" w:type="pct"/>
            <w:tcBorders>
              <w:bottom w:val="nil"/>
            </w:tcBorders>
            <w:vAlign w:val="center"/>
          </w:tcPr>
          <w:p w:rsidR="00574828" w:rsidRPr="007F33F1" w:rsidRDefault="00574828" w:rsidP="0047221E">
            <w:pPr>
              <w:pStyle w:val="TableFigureHeading"/>
              <w:keepLines/>
              <w:jc w:val="center"/>
              <w:rPr>
                <w:rStyle w:val="CommentReference"/>
                <w:iCs/>
                <w:szCs w:val="20"/>
                <w:vertAlign w:val="superscript"/>
              </w:rPr>
            </w:pPr>
            <w:r w:rsidRPr="007F33F1">
              <w:rPr>
                <w:rStyle w:val="CommentReference"/>
                <w:iCs/>
                <w:szCs w:val="20"/>
              </w:rPr>
              <w:t>1.48 (0.89, 2.46)</w:t>
            </w:r>
            <w:r w:rsidR="006022B8" w:rsidRPr="007F33F1">
              <w:rPr>
                <w:rStyle w:val="CommentReference"/>
                <w:iCs/>
                <w:szCs w:val="20"/>
                <w:vertAlign w:val="superscript"/>
              </w:rPr>
              <w:t>e</w:t>
            </w:r>
          </w:p>
        </w:tc>
      </w:tr>
      <w:tr w:rsidR="00574828" w:rsidRPr="007F33F1" w:rsidTr="00E34C98">
        <w:tc>
          <w:tcPr>
            <w:tcW w:w="775" w:type="pct"/>
            <w:tcBorders>
              <w:top w:val="nil"/>
              <w:bottom w:val="nil"/>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-TN subgroup</w:t>
            </w:r>
          </w:p>
        </w:tc>
        <w:tc>
          <w:tcPr>
            <w:tcW w:w="238" w:type="pct"/>
            <w:tcBorders>
              <w:top w:val="nil"/>
              <w:bottom w:val="nil"/>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5/19 (26)</w:t>
            </w:r>
          </w:p>
        </w:tc>
        <w:tc>
          <w:tcPr>
            <w:tcW w:w="467"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3/18 (17)</w:t>
            </w:r>
          </w:p>
        </w:tc>
        <w:tc>
          <w:tcPr>
            <w:tcW w:w="411"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366"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568"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773" w:type="pct"/>
            <w:tcBorders>
              <w:top w:val="nil"/>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0.11 (-0.16, 0.36)</w:t>
            </w:r>
          </w:p>
        </w:tc>
        <w:tc>
          <w:tcPr>
            <w:tcW w:w="786" w:type="pct"/>
            <w:tcBorders>
              <w:top w:val="nil"/>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1.67 (0.46, 6.01)</w:t>
            </w:r>
          </w:p>
        </w:tc>
      </w:tr>
      <w:tr w:rsidR="00574828" w:rsidRPr="007F33F1" w:rsidTr="00E34C98">
        <w:tc>
          <w:tcPr>
            <w:tcW w:w="775" w:type="pct"/>
            <w:tcBorders>
              <w:top w:val="nil"/>
              <w:bottom w:val="single" w:sz="4" w:space="0" w:color="auto"/>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-R/R subgroup</w:t>
            </w:r>
          </w:p>
        </w:tc>
        <w:tc>
          <w:tcPr>
            <w:tcW w:w="238" w:type="pct"/>
            <w:tcBorders>
              <w:top w:val="nil"/>
              <w:bottom w:val="single" w:sz="4" w:space="0" w:color="auto"/>
            </w:tcBorders>
            <w:vAlign w:val="center"/>
          </w:tcPr>
          <w:p w:rsidR="00574828" w:rsidRPr="007F33F1" w:rsidRDefault="00574828" w:rsidP="0047221E">
            <w:pPr>
              <w:pStyle w:val="TableFigureHeading"/>
              <w:keepLines/>
              <w:rPr>
                <w:rStyle w:val="CommentReference"/>
                <w:szCs w:val="20"/>
              </w:rPr>
            </w:pPr>
          </w:p>
        </w:tc>
        <w:tc>
          <w:tcPr>
            <w:tcW w:w="61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24/83 (29)</w:t>
            </w:r>
          </w:p>
        </w:tc>
        <w:tc>
          <w:tcPr>
            <w:tcW w:w="467"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16/81 (20)</w:t>
            </w:r>
          </w:p>
        </w:tc>
        <w:tc>
          <w:tcPr>
            <w:tcW w:w="411"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366"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568"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bCs w:val="0"/>
                <w:szCs w:val="20"/>
              </w:rPr>
              <w:t>-</w:t>
            </w:r>
          </w:p>
        </w:tc>
        <w:tc>
          <w:tcPr>
            <w:tcW w:w="773" w:type="pct"/>
            <w:tcBorders>
              <w:top w:val="nil"/>
              <w:bottom w:val="single" w:sz="4" w:space="0" w:color="auto"/>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0.09 (-0.04, 0.22)</w:t>
            </w:r>
          </w:p>
        </w:tc>
        <w:tc>
          <w:tcPr>
            <w:tcW w:w="78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1.46 (0.84, 2.55)</w:t>
            </w:r>
          </w:p>
        </w:tc>
      </w:tr>
      <w:tr w:rsidR="00574828" w:rsidRPr="007F33F1" w:rsidTr="00E34C98">
        <w:tc>
          <w:tcPr>
            <w:tcW w:w="775" w:type="pct"/>
            <w:tcBorders>
              <w:bottom w:val="nil"/>
            </w:tcBorders>
            <w:vAlign w:val="center"/>
          </w:tcPr>
          <w:p w:rsidR="00574828" w:rsidRPr="007F33F1" w:rsidRDefault="00574828" w:rsidP="0047221E">
            <w:pPr>
              <w:pStyle w:val="TableFigureHeading"/>
              <w:keepLines/>
              <w:rPr>
                <w:rStyle w:val="CommentReference"/>
                <w:iCs/>
                <w:szCs w:val="20"/>
              </w:rPr>
            </w:pPr>
            <w:r w:rsidRPr="007F33F1">
              <w:rPr>
                <w:rStyle w:val="CommentReference"/>
                <w:iCs/>
                <w:szCs w:val="20"/>
              </w:rPr>
              <w:t>ASPEN Cohort 2</w:t>
            </w:r>
            <w:r w:rsidR="00B36576" w:rsidRPr="007F33F1">
              <w:rPr>
                <w:rStyle w:val="CommentReference"/>
                <w:b/>
                <w:szCs w:val="20"/>
                <w:vertAlign w:val="superscript"/>
              </w:rPr>
              <w:t>a</w:t>
            </w:r>
          </w:p>
        </w:tc>
        <w:tc>
          <w:tcPr>
            <w:tcW w:w="238" w:type="pct"/>
            <w:tcBorders>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82.1</w:t>
            </w:r>
          </w:p>
        </w:tc>
        <w:tc>
          <w:tcPr>
            <w:tcW w:w="616" w:type="pct"/>
            <w:tcBorders>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7/26 (27)</w:t>
            </w:r>
          </w:p>
        </w:tc>
        <w:tc>
          <w:tcPr>
            <w:tcW w:w="467" w:type="pct"/>
            <w:tcBorders>
              <w:bottom w:val="nil"/>
            </w:tcBorders>
            <w:vAlign w:val="center"/>
          </w:tcPr>
          <w:p w:rsidR="00574828" w:rsidRPr="007F33F1" w:rsidRDefault="00574828" w:rsidP="0047221E">
            <w:pPr>
              <w:pStyle w:val="TableFigureHeading"/>
              <w:keepLines/>
              <w:jc w:val="center"/>
              <w:rPr>
                <w:rStyle w:val="CommentReference"/>
                <w:i/>
                <w:szCs w:val="20"/>
              </w:rPr>
            </w:pPr>
            <w:r w:rsidRPr="007F33F1">
              <w:rPr>
                <w:rStyle w:val="CommentReference"/>
                <w:i/>
                <w:szCs w:val="20"/>
              </w:rPr>
              <w:t>-</w:t>
            </w:r>
          </w:p>
        </w:tc>
        <w:tc>
          <w:tcPr>
            <w:tcW w:w="411" w:type="pct"/>
            <w:tcBorders>
              <w:bottom w:val="nil"/>
            </w:tcBorders>
            <w:vAlign w:val="center"/>
          </w:tcPr>
          <w:p w:rsidR="00574828" w:rsidRPr="007F33F1" w:rsidRDefault="00574828" w:rsidP="0047221E">
            <w:pPr>
              <w:pStyle w:val="TableFigureHeading"/>
              <w:keepLines/>
              <w:jc w:val="center"/>
              <w:rPr>
                <w:rStyle w:val="CommentReference"/>
                <w:i/>
                <w:szCs w:val="20"/>
              </w:rPr>
            </w:pPr>
            <w:r w:rsidRPr="007F33F1">
              <w:rPr>
                <w:rStyle w:val="CommentReference"/>
                <w:i/>
                <w:szCs w:val="20"/>
              </w:rPr>
              <w:t>-</w:t>
            </w:r>
          </w:p>
        </w:tc>
        <w:tc>
          <w:tcPr>
            <w:tcW w:w="366" w:type="pct"/>
            <w:tcBorders>
              <w:bottom w:val="nil"/>
            </w:tcBorders>
            <w:vAlign w:val="center"/>
          </w:tcPr>
          <w:p w:rsidR="00574828" w:rsidRPr="007F33F1" w:rsidRDefault="00574828" w:rsidP="0047221E">
            <w:pPr>
              <w:pStyle w:val="TableFigureHeading"/>
              <w:keepLines/>
              <w:jc w:val="center"/>
              <w:rPr>
                <w:rStyle w:val="CommentReference"/>
                <w:i/>
                <w:szCs w:val="20"/>
              </w:rPr>
            </w:pPr>
            <w:r w:rsidRPr="007F33F1">
              <w:rPr>
                <w:rStyle w:val="CommentReference"/>
                <w:i/>
                <w:szCs w:val="20"/>
              </w:rPr>
              <w:t>-</w:t>
            </w:r>
          </w:p>
        </w:tc>
        <w:tc>
          <w:tcPr>
            <w:tcW w:w="568" w:type="pct"/>
            <w:tcBorders>
              <w:bottom w:val="nil"/>
            </w:tcBorders>
            <w:vAlign w:val="center"/>
          </w:tcPr>
          <w:p w:rsidR="00574828" w:rsidRPr="007F33F1" w:rsidRDefault="00574828" w:rsidP="0047221E">
            <w:pPr>
              <w:pStyle w:val="TableFigureHeading"/>
              <w:keepLines/>
              <w:jc w:val="center"/>
              <w:rPr>
                <w:rStyle w:val="CommentReference"/>
                <w:i/>
                <w:szCs w:val="20"/>
              </w:rPr>
            </w:pPr>
            <w:r w:rsidRPr="007F33F1">
              <w:rPr>
                <w:rStyle w:val="CommentReference"/>
                <w:bCs w:val="0"/>
                <w:i/>
                <w:szCs w:val="20"/>
              </w:rPr>
              <w:t>-</w:t>
            </w:r>
          </w:p>
        </w:tc>
        <w:tc>
          <w:tcPr>
            <w:tcW w:w="773" w:type="pct"/>
            <w:tcBorders>
              <w:bottom w:val="nil"/>
            </w:tcBorders>
          </w:tcPr>
          <w:p w:rsidR="00574828" w:rsidRPr="007F33F1" w:rsidRDefault="00574828" w:rsidP="0047221E">
            <w:pPr>
              <w:pStyle w:val="TableFigureHeading"/>
              <w:keepLines/>
              <w:jc w:val="center"/>
              <w:rPr>
                <w:rStyle w:val="CommentReference"/>
                <w:iCs/>
                <w:szCs w:val="20"/>
              </w:rPr>
            </w:pPr>
          </w:p>
        </w:tc>
        <w:tc>
          <w:tcPr>
            <w:tcW w:w="786" w:type="pct"/>
            <w:tcBorders>
              <w:bottom w:val="nil"/>
            </w:tcBorders>
            <w:vAlign w:val="center"/>
          </w:tcPr>
          <w:p w:rsidR="00574828" w:rsidRPr="007F33F1" w:rsidRDefault="00574828" w:rsidP="0047221E">
            <w:pPr>
              <w:pStyle w:val="TableFigureHeading"/>
              <w:keepLines/>
              <w:jc w:val="center"/>
              <w:rPr>
                <w:rStyle w:val="CommentReference"/>
                <w:iCs/>
                <w:szCs w:val="20"/>
              </w:rPr>
            </w:pPr>
          </w:p>
        </w:tc>
      </w:tr>
      <w:tr w:rsidR="00574828" w:rsidRPr="007F33F1" w:rsidTr="00E34C98">
        <w:tc>
          <w:tcPr>
            <w:tcW w:w="775" w:type="pct"/>
            <w:tcBorders>
              <w:top w:val="nil"/>
              <w:bottom w:val="nil"/>
            </w:tcBorders>
            <w:vAlign w:val="center"/>
          </w:tcPr>
          <w:p w:rsidR="00574828" w:rsidRPr="007F33F1" w:rsidRDefault="00574828" w:rsidP="0047221E">
            <w:pPr>
              <w:pStyle w:val="TableFigureHeading"/>
              <w:keepLines/>
              <w:ind w:left="249"/>
              <w:rPr>
                <w:rStyle w:val="CommentReference"/>
                <w:iCs/>
                <w:szCs w:val="20"/>
              </w:rPr>
            </w:pPr>
            <w:r w:rsidRPr="007F33F1">
              <w:rPr>
                <w:rStyle w:val="CommentReference"/>
                <w:iCs/>
                <w:szCs w:val="20"/>
              </w:rPr>
              <w:t>-TN subgroup</w:t>
            </w:r>
            <w:r w:rsidR="00B36576" w:rsidRPr="007F33F1">
              <w:rPr>
                <w:rStyle w:val="CommentReference"/>
                <w:b/>
                <w:szCs w:val="20"/>
                <w:vertAlign w:val="superscript"/>
              </w:rPr>
              <w:t>a</w:t>
            </w:r>
          </w:p>
        </w:tc>
        <w:tc>
          <w:tcPr>
            <w:tcW w:w="238" w:type="pct"/>
            <w:tcBorders>
              <w:top w:val="nil"/>
              <w:bottom w:val="nil"/>
            </w:tcBorders>
            <w:vAlign w:val="center"/>
          </w:tcPr>
          <w:p w:rsidR="00574828" w:rsidRPr="007F33F1" w:rsidRDefault="00574828" w:rsidP="0047221E">
            <w:pPr>
              <w:pStyle w:val="TableFigureHeading"/>
              <w:keepLines/>
              <w:jc w:val="center"/>
              <w:rPr>
                <w:rStyle w:val="CommentReference"/>
                <w:i/>
                <w:szCs w:val="20"/>
              </w:rPr>
            </w:pPr>
          </w:p>
        </w:tc>
        <w:tc>
          <w:tcPr>
            <w:tcW w:w="616" w:type="pct"/>
            <w:tcBorders>
              <w:top w:val="nil"/>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1/5 (20)</w:t>
            </w:r>
          </w:p>
        </w:tc>
        <w:tc>
          <w:tcPr>
            <w:tcW w:w="467" w:type="pct"/>
            <w:tcBorders>
              <w:top w:val="nil"/>
              <w:bottom w:val="nil"/>
            </w:tcBorders>
            <w:vAlign w:val="center"/>
          </w:tcPr>
          <w:p w:rsidR="00574828" w:rsidRPr="007F33F1" w:rsidRDefault="00574828" w:rsidP="0047221E">
            <w:pPr>
              <w:pStyle w:val="TableFigureHeading"/>
              <w:keepLines/>
              <w:jc w:val="center"/>
              <w:rPr>
                <w:rStyle w:val="CommentReference"/>
                <w:i/>
                <w:szCs w:val="20"/>
              </w:rPr>
            </w:pPr>
            <w:r w:rsidRPr="007F33F1">
              <w:rPr>
                <w:rStyle w:val="CommentReference"/>
                <w:i/>
                <w:szCs w:val="20"/>
              </w:rPr>
              <w:t>-</w:t>
            </w:r>
          </w:p>
        </w:tc>
        <w:tc>
          <w:tcPr>
            <w:tcW w:w="411" w:type="pct"/>
            <w:tcBorders>
              <w:top w:val="nil"/>
              <w:bottom w:val="nil"/>
            </w:tcBorders>
          </w:tcPr>
          <w:p w:rsidR="00574828" w:rsidRPr="007F33F1" w:rsidRDefault="00574828" w:rsidP="0047221E">
            <w:pPr>
              <w:pStyle w:val="TableFigureHeading"/>
              <w:keepLines/>
              <w:jc w:val="center"/>
              <w:rPr>
                <w:rStyle w:val="CommentReference"/>
                <w:i/>
                <w:szCs w:val="20"/>
              </w:rPr>
            </w:pPr>
            <w:r w:rsidRPr="007F33F1">
              <w:rPr>
                <w:rStyle w:val="CommentReference"/>
                <w:bCs w:val="0"/>
                <w:i/>
                <w:szCs w:val="20"/>
              </w:rPr>
              <w:t>-</w:t>
            </w:r>
          </w:p>
        </w:tc>
        <w:tc>
          <w:tcPr>
            <w:tcW w:w="366" w:type="pct"/>
            <w:tcBorders>
              <w:top w:val="nil"/>
              <w:bottom w:val="nil"/>
            </w:tcBorders>
          </w:tcPr>
          <w:p w:rsidR="00574828" w:rsidRPr="007F33F1" w:rsidRDefault="00574828" w:rsidP="0047221E">
            <w:pPr>
              <w:pStyle w:val="TableFigureHeading"/>
              <w:keepLines/>
              <w:jc w:val="center"/>
              <w:rPr>
                <w:rStyle w:val="CommentReference"/>
                <w:i/>
                <w:szCs w:val="20"/>
              </w:rPr>
            </w:pPr>
            <w:r w:rsidRPr="007F33F1">
              <w:rPr>
                <w:rStyle w:val="CommentReference"/>
                <w:bCs w:val="0"/>
                <w:i/>
                <w:szCs w:val="20"/>
              </w:rPr>
              <w:t>-</w:t>
            </w:r>
          </w:p>
        </w:tc>
        <w:tc>
          <w:tcPr>
            <w:tcW w:w="568" w:type="pct"/>
            <w:tcBorders>
              <w:top w:val="nil"/>
              <w:bottom w:val="nil"/>
            </w:tcBorders>
          </w:tcPr>
          <w:p w:rsidR="00574828" w:rsidRPr="007F33F1" w:rsidRDefault="00574828" w:rsidP="0047221E">
            <w:pPr>
              <w:pStyle w:val="TableFigureHeading"/>
              <w:keepLines/>
              <w:jc w:val="center"/>
              <w:rPr>
                <w:rStyle w:val="CommentReference"/>
                <w:rFonts w:eastAsia="Times New Roman" w:cs="Times New Roman"/>
                <w:b/>
                <w:bCs w:val="0"/>
                <w:i/>
                <w:szCs w:val="20"/>
              </w:rPr>
            </w:pPr>
            <w:r w:rsidRPr="007F33F1">
              <w:rPr>
                <w:rStyle w:val="CommentReference"/>
                <w:bCs w:val="0"/>
                <w:i/>
                <w:szCs w:val="20"/>
              </w:rPr>
              <w:t>-</w:t>
            </w:r>
          </w:p>
        </w:tc>
        <w:tc>
          <w:tcPr>
            <w:tcW w:w="773" w:type="pct"/>
            <w:tcBorders>
              <w:top w:val="nil"/>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top w:val="nil"/>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top w:val="nil"/>
              <w:bottom w:val="single" w:sz="4" w:space="0" w:color="auto"/>
            </w:tcBorders>
            <w:vAlign w:val="center"/>
          </w:tcPr>
          <w:p w:rsidR="00574828" w:rsidRPr="007F33F1" w:rsidRDefault="00574828" w:rsidP="0047221E">
            <w:pPr>
              <w:pStyle w:val="TableFigureHeading"/>
              <w:keepLines/>
              <w:ind w:left="249"/>
              <w:rPr>
                <w:rStyle w:val="CommentReference"/>
                <w:iCs/>
                <w:szCs w:val="20"/>
              </w:rPr>
            </w:pPr>
            <w:r w:rsidRPr="007F33F1">
              <w:rPr>
                <w:rStyle w:val="CommentReference"/>
                <w:iCs/>
                <w:szCs w:val="20"/>
              </w:rPr>
              <w:t>-R/R subgroup</w:t>
            </w:r>
            <w:r w:rsidR="00B36576" w:rsidRPr="007F33F1">
              <w:rPr>
                <w:rStyle w:val="CommentReference"/>
                <w:b/>
                <w:szCs w:val="20"/>
                <w:vertAlign w:val="superscript"/>
              </w:rPr>
              <w:t>a</w:t>
            </w:r>
          </w:p>
        </w:tc>
        <w:tc>
          <w:tcPr>
            <w:tcW w:w="238"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i/>
                <w:szCs w:val="20"/>
              </w:rPr>
            </w:pPr>
          </w:p>
        </w:tc>
        <w:tc>
          <w:tcPr>
            <w:tcW w:w="61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6/21 (29)</w:t>
            </w:r>
          </w:p>
        </w:tc>
        <w:tc>
          <w:tcPr>
            <w:tcW w:w="467"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i/>
                <w:szCs w:val="20"/>
              </w:rPr>
            </w:pPr>
            <w:r w:rsidRPr="007F33F1">
              <w:rPr>
                <w:rStyle w:val="CommentReference"/>
                <w:i/>
                <w:szCs w:val="20"/>
              </w:rPr>
              <w:t>-</w:t>
            </w:r>
          </w:p>
        </w:tc>
        <w:tc>
          <w:tcPr>
            <w:tcW w:w="411" w:type="pct"/>
            <w:tcBorders>
              <w:top w:val="nil"/>
              <w:bottom w:val="single" w:sz="4" w:space="0" w:color="auto"/>
            </w:tcBorders>
          </w:tcPr>
          <w:p w:rsidR="00574828" w:rsidRPr="007F33F1" w:rsidRDefault="00574828" w:rsidP="0047221E">
            <w:pPr>
              <w:pStyle w:val="TableFigureHeading"/>
              <w:keepLines/>
              <w:jc w:val="center"/>
              <w:rPr>
                <w:rStyle w:val="CommentReference"/>
                <w:i/>
                <w:szCs w:val="20"/>
              </w:rPr>
            </w:pPr>
            <w:r w:rsidRPr="007F33F1">
              <w:rPr>
                <w:rStyle w:val="CommentReference"/>
                <w:bCs w:val="0"/>
                <w:i/>
                <w:szCs w:val="20"/>
              </w:rPr>
              <w:t>-</w:t>
            </w:r>
          </w:p>
        </w:tc>
        <w:tc>
          <w:tcPr>
            <w:tcW w:w="366" w:type="pct"/>
            <w:tcBorders>
              <w:top w:val="nil"/>
              <w:bottom w:val="single" w:sz="4" w:space="0" w:color="auto"/>
            </w:tcBorders>
          </w:tcPr>
          <w:p w:rsidR="00574828" w:rsidRPr="007F33F1" w:rsidRDefault="00574828" w:rsidP="0047221E">
            <w:pPr>
              <w:pStyle w:val="TableFigureHeading"/>
              <w:keepLines/>
              <w:jc w:val="center"/>
              <w:rPr>
                <w:rStyle w:val="CommentReference"/>
                <w:i/>
                <w:szCs w:val="20"/>
              </w:rPr>
            </w:pPr>
            <w:r w:rsidRPr="007F33F1">
              <w:rPr>
                <w:rStyle w:val="CommentReference"/>
                <w:bCs w:val="0"/>
                <w:i/>
                <w:szCs w:val="20"/>
              </w:rPr>
              <w:t>-</w:t>
            </w:r>
          </w:p>
        </w:tc>
        <w:tc>
          <w:tcPr>
            <w:tcW w:w="568" w:type="pct"/>
            <w:tcBorders>
              <w:top w:val="nil"/>
              <w:bottom w:val="single" w:sz="4" w:space="0" w:color="auto"/>
            </w:tcBorders>
          </w:tcPr>
          <w:p w:rsidR="00574828" w:rsidRPr="007F33F1" w:rsidRDefault="00574828" w:rsidP="0047221E">
            <w:pPr>
              <w:pStyle w:val="TableFigureHeading"/>
              <w:keepLines/>
              <w:jc w:val="center"/>
              <w:rPr>
                <w:rStyle w:val="CommentReference"/>
                <w:rFonts w:eastAsia="Times New Roman" w:cs="Times New Roman"/>
                <w:b/>
                <w:bCs w:val="0"/>
                <w:i/>
                <w:szCs w:val="20"/>
              </w:rPr>
            </w:pPr>
            <w:r w:rsidRPr="007F33F1">
              <w:rPr>
                <w:rStyle w:val="CommentReference"/>
                <w:bCs w:val="0"/>
                <w:i/>
                <w:szCs w:val="20"/>
              </w:rPr>
              <w:t>-</w:t>
            </w:r>
          </w:p>
        </w:tc>
        <w:tc>
          <w:tcPr>
            <w:tcW w:w="773" w:type="pct"/>
            <w:tcBorders>
              <w:top w:val="nil"/>
              <w:bottom w:val="single" w:sz="4" w:space="0" w:color="auto"/>
            </w:tcBorders>
          </w:tcPr>
          <w:p w:rsidR="00574828" w:rsidRPr="007F33F1" w:rsidRDefault="00574828" w:rsidP="0047221E">
            <w:pPr>
              <w:pStyle w:val="TableFigureHeading"/>
              <w:keepLines/>
              <w:jc w:val="center"/>
              <w:rPr>
                <w:rStyle w:val="CommentReference"/>
                <w:iCs/>
                <w:szCs w:val="20"/>
              </w:rPr>
            </w:pPr>
          </w:p>
        </w:tc>
        <w:tc>
          <w:tcPr>
            <w:tcW w:w="78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iCs/>
                <w:szCs w:val="20"/>
              </w:rPr>
            </w:pPr>
          </w:p>
        </w:tc>
      </w:tr>
      <w:tr w:rsidR="00574828" w:rsidRPr="007F33F1" w:rsidTr="00E34C98">
        <w:tc>
          <w:tcPr>
            <w:tcW w:w="775" w:type="pct"/>
            <w:tcBorders>
              <w:bottom w:val="nil"/>
            </w:tcBorders>
            <w:vAlign w:val="center"/>
          </w:tcPr>
          <w:p w:rsidR="00574828" w:rsidRPr="007F33F1" w:rsidRDefault="00574828" w:rsidP="0047221E">
            <w:pPr>
              <w:pStyle w:val="TableFigureHeading"/>
              <w:keepLines/>
              <w:rPr>
                <w:rStyle w:val="CommentReference"/>
                <w:szCs w:val="20"/>
                <w:vertAlign w:val="superscript"/>
              </w:rPr>
            </w:pPr>
            <w:r w:rsidRPr="007F33F1">
              <w:rPr>
                <w:rStyle w:val="CommentReference"/>
                <w:szCs w:val="20"/>
              </w:rPr>
              <w:t>Study AU-003</w:t>
            </w:r>
            <w:r w:rsidR="00B36576" w:rsidRPr="007F33F1">
              <w:rPr>
                <w:rStyle w:val="CommentReference"/>
                <w:szCs w:val="20"/>
                <w:vertAlign w:val="superscript"/>
              </w:rPr>
              <w:t>d</w:t>
            </w:r>
          </w:p>
        </w:tc>
        <w:tc>
          <w:tcPr>
            <w:tcW w:w="23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67.1</w:t>
            </w:r>
          </w:p>
        </w:tc>
        <w:tc>
          <w:tcPr>
            <w:tcW w:w="61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32/73 (43.8)</w:t>
            </w:r>
          </w:p>
        </w:tc>
        <w:tc>
          <w:tcPr>
            <w:tcW w:w="467"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bottom w:val="nil"/>
            </w:tcBorders>
          </w:tcPr>
          <w:p w:rsidR="00574828" w:rsidRPr="007F33F1" w:rsidRDefault="00574828" w:rsidP="0047221E">
            <w:pPr>
              <w:pStyle w:val="TableFigureHeading"/>
              <w:keepLines/>
              <w:jc w:val="center"/>
              <w:rPr>
                <w:rStyle w:val="CommentReference"/>
                <w:iCs/>
                <w:szCs w:val="20"/>
              </w:rPr>
            </w:pPr>
          </w:p>
        </w:tc>
        <w:tc>
          <w:tcPr>
            <w:tcW w:w="786" w:type="pct"/>
            <w:tcBorders>
              <w:bottom w:val="nil"/>
            </w:tcBorders>
            <w:vAlign w:val="center"/>
          </w:tcPr>
          <w:p w:rsidR="00574828" w:rsidRPr="007F33F1" w:rsidRDefault="00574828" w:rsidP="0047221E">
            <w:pPr>
              <w:pStyle w:val="TableFigureHeading"/>
              <w:keepLines/>
              <w:jc w:val="center"/>
              <w:rPr>
                <w:rStyle w:val="CommentReference"/>
                <w:iCs/>
                <w:szCs w:val="20"/>
              </w:rPr>
            </w:pPr>
          </w:p>
        </w:tc>
      </w:tr>
      <w:tr w:rsidR="00574828" w:rsidRPr="007F33F1" w:rsidTr="00E34C98">
        <w:tc>
          <w:tcPr>
            <w:tcW w:w="775" w:type="pct"/>
            <w:tcBorders>
              <w:top w:val="nil"/>
              <w:bottom w:val="nil"/>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-TN subgroup</w:t>
            </w:r>
          </w:p>
        </w:tc>
        <w:tc>
          <w:tcPr>
            <w:tcW w:w="238" w:type="pct"/>
            <w:tcBorders>
              <w:top w:val="nil"/>
              <w:bottom w:val="nil"/>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8/24 (33)</w:t>
            </w:r>
          </w:p>
        </w:tc>
        <w:tc>
          <w:tcPr>
            <w:tcW w:w="467"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top w:val="nil"/>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top w:val="nil"/>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-R/R subgroup</w:t>
            </w:r>
          </w:p>
        </w:tc>
        <w:tc>
          <w:tcPr>
            <w:tcW w:w="238" w:type="pct"/>
            <w:tcBorders>
              <w:top w:val="nil"/>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24/49 (49)</w:t>
            </w:r>
          </w:p>
        </w:tc>
        <w:tc>
          <w:tcPr>
            <w:tcW w:w="467"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tcBorders>
          </w:tcPr>
          <w:p w:rsidR="00574828" w:rsidRPr="007F33F1" w:rsidRDefault="00574828" w:rsidP="0047221E">
            <w:pPr>
              <w:pStyle w:val="TableFigureHeading"/>
              <w:keepLines/>
              <w:jc w:val="center"/>
              <w:rPr>
                <w:rStyle w:val="CommentReference"/>
                <w:szCs w:val="20"/>
              </w:rPr>
            </w:pPr>
          </w:p>
        </w:tc>
        <w:tc>
          <w:tcPr>
            <w:tcW w:w="786" w:type="pct"/>
            <w:tcBorders>
              <w:top w:val="nil"/>
            </w:tcBorders>
            <w:vAlign w:val="center"/>
          </w:tcPr>
          <w:p w:rsidR="00574828" w:rsidRPr="007F33F1" w:rsidRDefault="00574828" w:rsidP="0047221E">
            <w:pPr>
              <w:pStyle w:val="TableFigureHeading"/>
              <w:keepLines/>
              <w:jc w:val="center"/>
              <w:rPr>
                <w:rStyle w:val="CommentReference"/>
                <w:szCs w:val="20"/>
              </w:rPr>
            </w:pPr>
          </w:p>
        </w:tc>
      </w:tr>
      <w:tr w:rsidR="00574828" w:rsidRPr="007F33F1" w:rsidTr="00E34C98">
        <w:tc>
          <w:tcPr>
            <w:tcW w:w="775" w:type="pct"/>
            <w:vAlign w:val="center"/>
          </w:tcPr>
          <w:p w:rsidR="00574828" w:rsidRPr="007F33F1" w:rsidRDefault="00574828" w:rsidP="0047221E">
            <w:pPr>
              <w:pStyle w:val="TableFigureHeading"/>
              <w:keepLines/>
              <w:rPr>
                <w:rStyle w:val="CommentReference"/>
                <w:szCs w:val="20"/>
              </w:rPr>
            </w:pPr>
            <w:r w:rsidRPr="007F33F1">
              <w:rPr>
                <w:rStyle w:val="CommentReference"/>
                <w:szCs w:val="20"/>
              </w:rPr>
              <w:t>iNNOVATE</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54.7</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ind w:left="-57" w:right="-32"/>
              <w:jc w:val="center"/>
              <w:rPr>
                <w:rStyle w:val="CommentReference"/>
                <w:szCs w:val="20"/>
              </w:rPr>
            </w:pPr>
            <w:r w:rsidRPr="007F33F1">
              <w:rPr>
                <w:rStyle w:val="CommentReference"/>
                <w:szCs w:val="20"/>
              </w:rPr>
              <w:t>17/75 (23)</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3/75 (4)</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vAlign w:val="center"/>
          </w:tcPr>
          <w:p w:rsidR="00574828" w:rsidRPr="007F33F1" w:rsidRDefault="00574828" w:rsidP="0047221E">
            <w:pPr>
              <w:pStyle w:val="TableFigureHeading"/>
              <w:keepLines/>
              <w:jc w:val="center"/>
              <w:rPr>
                <w:rStyle w:val="CommentReference"/>
                <w:b/>
                <w:bCs w:val="0"/>
                <w:iCs/>
                <w:szCs w:val="20"/>
              </w:rPr>
            </w:pPr>
            <w:r w:rsidRPr="007F33F1">
              <w:rPr>
                <w:rStyle w:val="CommentReference"/>
                <w:b/>
                <w:bCs w:val="0"/>
                <w:iCs/>
                <w:szCs w:val="20"/>
              </w:rPr>
              <w:t>0.19 (0.08, 0.29)</w:t>
            </w:r>
          </w:p>
        </w:tc>
        <w:tc>
          <w:tcPr>
            <w:tcW w:w="786" w:type="pct"/>
            <w:vAlign w:val="center"/>
          </w:tcPr>
          <w:p w:rsidR="00574828" w:rsidRPr="007F33F1" w:rsidRDefault="00574828" w:rsidP="0047221E">
            <w:pPr>
              <w:pStyle w:val="TableFigureHeading"/>
              <w:keepLines/>
              <w:jc w:val="center"/>
              <w:rPr>
                <w:rStyle w:val="CommentReference"/>
                <w:b/>
                <w:bCs w:val="0"/>
                <w:iCs/>
                <w:szCs w:val="20"/>
              </w:rPr>
            </w:pPr>
            <w:r w:rsidRPr="007F33F1">
              <w:rPr>
                <w:rStyle w:val="CommentReference"/>
                <w:b/>
                <w:bCs w:val="0"/>
                <w:iCs/>
                <w:szCs w:val="20"/>
              </w:rPr>
              <w:t>5.67 (1.73, 18.53)</w:t>
            </w:r>
          </w:p>
        </w:tc>
      </w:tr>
      <w:tr w:rsidR="00574828" w:rsidRPr="007F33F1" w:rsidTr="00E34C98">
        <w:tc>
          <w:tcPr>
            <w:tcW w:w="775" w:type="pct"/>
            <w:vAlign w:val="center"/>
          </w:tcPr>
          <w:p w:rsidR="00574828" w:rsidRPr="007F33F1" w:rsidRDefault="00574828" w:rsidP="0047221E">
            <w:pPr>
              <w:pStyle w:val="TableFigureHeading"/>
              <w:keepLines/>
              <w:ind w:right="-167"/>
              <w:rPr>
                <w:rStyle w:val="CommentReference"/>
                <w:szCs w:val="20"/>
              </w:rPr>
            </w:pPr>
            <w:r w:rsidRPr="007F33F1">
              <w:rPr>
                <w:rStyle w:val="CommentReference"/>
                <w:szCs w:val="20"/>
              </w:rPr>
              <w:t>Dimopoulous 2002</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44.4</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NR</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vAlign w:val="center"/>
          </w:tcPr>
          <w:p w:rsidR="00574828" w:rsidRPr="007F33F1" w:rsidRDefault="00574828" w:rsidP="0047221E">
            <w:pPr>
              <w:pStyle w:val="TableFigureHeading"/>
              <w:keepLines/>
              <w:rPr>
                <w:rStyle w:val="CommentReference"/>
                <w:szCs w:val="20"/>
              </w:rPr>
            </w:pPr>
            <w:r w:rsidRPr="007F33F1">
              <w:rPr>
                <w:rStyle w:val="CommentReference"/>
                <w:szCs w:val="20"/>
              </w:rPr>
              <w:t>Tedeschi 2015</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100</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11/71 (15.5)</w:t>
            </w:r>
          </w:p>
        </w:tc>
        <w:tc>
          <w:tcPr>
            <w:tcW w:w="773" w:type="pct"/>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bottom w:val="single" w:sz="4" w:space="0" w:color="auto"/>
            </w:tcBorders>
            <w:vAlign w:val="center"/>
          </w:tcPr>
          <w:p w:rsidR="00574828" w:rsidRPr="007F33F1" w:rsidRDefault="00574828" w:rsidP="0047221E">
            <w:pPr>
              <w:pStyle w:val="TableFigureHeading"/>
              <w:keepLines/>
              <w:rPr>
                <w:rStyle w:val="CommentReference"/>
                <w:szCs w:val="20"/>
                <w:vertAlign w:val="superscript"/>
              </w:rPr>
            </w:pPr>
            <w:r w:rsidRPr="007F33F1">
              <w:rPr>
                <w:rStyle w:val="CommentReference"/>
                <w:szCs w:val="20"/>
              </w:rPr>
              <w:t>Treon 2011</w:t>
            </w:r>
            <w:r w:rsidR="00B36576" w:rsidRPr="007F33F1">
              <w:rPr>
                <w:rStyle w:val="CommentReference"/>
                <w:szCs w:val="20"/>
                <w:vertAlign w:val="superscript"/>
              </w:rPr>
              <w:t>c</w:t>
            </w:r>
          </w:p>
        </w:tc>
        <w:tc>
          <w:tcPr>
            <w:tcW w:w="238"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100</w:t>
            </w:r>
          </w:p>
        </w:tc>
        <w:tc>
          <w:tcPr>
            <w:tcW w:w="616"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5/24 (20.8)</w:t>
            </w:r>
          </w:p>
        </w:tc>
        <w:tc>
          <w:tcPr>
            <w:tcW w:w="773" w:type="pct"/>
            <w:tcBorders>
              <w:bottom w:val="single" w:sz="4" w:space="0" w:color="auto"/>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rPr>
                <w:rStyle w:val="CommentReference"/>
                <w:b/>
                <w:szCs w:val="20"/>
              </w:rPr>
            </w:pPr>
            <w:r w:rsidRPr="007F33F1">
              <w:rPr>
                <w:rStyle w:val="CommentReference"/>
                <w:b/>
                <w:szCs w:val="20"/>
              </w:rPr>
              <w:t>CR</w:t>
            </w:r>
          </w:p>
        </w:tc>
        <w:tc>
          <w:tcPr>
            <w:tcW w:w="238"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szCs w:val="20"/>
              </w:rPr>
            </w:pPr>
          </w:p>
        </w:tc>
        <w:tc>
          <w:tcPr>
            <w:tcW w:w="616"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szCs w:val="20"/>
              </w:rPr>
            </w:pPr>
          </w:p>
        </w:tc>
        <w:tc>
          <w:tcPr>
            <w:tcW w:w="467"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szCs w:val="20"/>
              </w:rPr>
            </w:pPr>
          </w:p>
        </w:tc>
        <w:tc>
          <w:tcPr>
            <w:tcW w:w="411"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szCs w:val="20"/>
              </w:rPr>
            </w:pPr>
          </w:p>
        </w:tc>
        <w:tc>
          <w:tcPr>
            <w:tcW w:w="366"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szCs w:val="20"/>
              </w:rPr>
            </w:pPr>
          </w:p>
        </w:tc>
        <w:tc>
          <w:tcPr>
            <w:tcW w:w="568"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szCs w:val="20"/>
              </w:rPr>
            </w:pPr>
          </w:p>
        </w:tc>
        <w:tc>
          <w:tcPr>
            <w:tcW w:w="773" w:type="pct"/>
            <w:tcBorders>
              <w:left w:val="nil"/>
              <w:bottom w:val="single" w:sz="4" w:space="0" w:color="auto"/>
              <w:right w:val="nil"/>
            </w:tcBorders>
            <w:shd w:val="clear" w:color="auto" w:fill="D9D9D9" w:themeFill="background1" w:themeFillShade="D9"/>
          </w:tcPr>
          <w:p w:rsidR="00574828" w:rsidRPr="007F33F1" w:rsidRDefault="00574828" w:rsidP="0047221E">
            <w:pPr>
              <w:pStyle w:val="TableFigureHeading"/>
              <w:keepLines/>
              <w:jc w:val="center"/>
              <w:rPr>
                <w:rStyle w:val="CommentReference"/>
                <w:b/>
                <w:i/>
                <w:szCs w:val="20"/>
              </w:rPr>
            </w:pPr>
          </w:p>
        </w:tc>
        <w:tc>
          <w:tcPr>
            <w:tcW w:w="786" w:type="pct"/>
            <w:tcBorders>
              <w:left w:val="nil"/>
              <w:bottom w:val="single" w:sz="4" w:space="0" w:color="auto"/>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b/>
                <w:i/>
                <w:szCs w:val="20"/>
              </w:rPr>
            </w:pPr>
          </w:p>
        </w:tc>
      </w:tr>
      <w:tr w:rsidR="00574828" w:rsidRPr="007F33F1" w:rsidTr="00E34C98">
        <w:tc>
          <w:tcPr>
            <w:tcW w:w="775" w:type="pct"/>
            <w:tcBorders>
              <w:bottom w:val="nil"/>
            </w:tcBorders>
            <w:vAlign w:val="center"/>
          </w:tcPr>
          <w:p w:rsidR="00574828" w:rsidRPr="007F33F1" w:rsidRDefault="00574828" w:rsidP="0047221E">
            <w:pPr>
              <w:pStyle w:val="TableFigureHeading"/>
              <w:keepLines/>
              <w:rPr>
                <w:rStyle w:val="CommentReference"/>
                <w:szCs w:val="20"/>
              </w:rPr>
            </w:pPr>
            <w:r w:rsidRPr="007F33F1">
              <w:rPr>
                <w:rStyle w:val="CommentReference"/>
                <w:szCs w:val="20"/>
              </w:rPr>
              <w:t>ASPEN</w:t>
            </w:r>
            <w:r w:rsidR="006022B8" w:rsidRPr="007F33F1">
              <w:rPr>
                <w:rStyle w:val="CommentReference"/>
                <w:szCs w:val="20"/>
                <w:vertAlign w:val="superscript"/>
              </w:rPr>
              <w:t>b</w:t>
            </w:r>
            <w:r w:rsidRPr="007F33F1">
              <w:rPr>
                <w:rStyle w:val="CommentReference"/>
                <w:szCs w:val="20"/>
                <w:vertAlign w:val="superscript"/>
              </w:rPr>
              <w:t xml:space="preserve"> </w:t>
            </w:r>
            <w:r w:rsidRPr="007F33F1">
              <w:rPr>
                <w:rStyle w:val="CommentReference"/>
                <w:szCs w:val="20"/>
              </w:rPr>
              <w:t>Cohort 1</w:t>
            </w:r>
          </w:p>
        </w:tc>
        <w:tc>
          <w:tcPr>
            <w:tcW w:w="23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81.6</w:t>
            </w:r>
          </w:p>
        </w:tc>
        <w:tc>
          <w:tcPr>
            <w:tcW w:w="61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0 (0)</w:t>
            </w:r>
          </w:p>
        </w:tc>
        <w:tc>
          <w:tcPr>
            <w:tcW w:w="467"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0 (0)</w:t>
            </w:r>
          </w:p>
        </w:tc>
        <w:tc>
          <w:tcPr>
            <w:tcW w:w="411"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0</w:t>
            </w:r>
          </w:p>
        </w:tc>
        <w:tc>
          <w:tcPr>
            <w:tcW w:w="786" w:type="pct"/>
            <w:tcBorders>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0</w:t>
            </w:r>
          </w:p>
        </w:tc>
      </w:tr>
      <w:tr w:rsidR="00574828" w:rsidRPr="007F33F1" w:rsidTr="00E34C98">
        <w:tc>
          <w:tcPr>
            <w:tcW w:w="775" w:type="pct"/>
            <w:tcBorders>
              <w:bottom w:val="single" w:sz="4" w:space="0" w:color="auto"/>
            </w:tcBorders>
            <w:vAlign w:val="center"/>
          </w:tcPr>
          <w:p w:rsidR="00574828" w:rsidRPr="007F33F1" w:rsidRDefault="00574828" w:rsidP="0047221E">
            <w:pPr>
              <w:pStyle w:val="TableFigureHeading"/>
              <w:keepLines/>
              <w:rPr>
                <w:rStyle w:val="CommentReference"/>
                <w:iCs/>
                <w:szCs w:val="20"/>
              </w:rPr>
            </w:pPr>
            <w:r w:rsidRPr="007F33F1">
              <w:rPr>
                <w:rStyle w:val="CommentReference"/>
                <w:iCs/>
                <w:szCs w:val="20"/>
              </w:rPr>
              <w:t>ASPEN Cohort 2</w:t>
            </w:r>
            <w:r w:rsidR="00397D8E" w:rsidRPr="007F33F1">
              <w:rPr>
                <w:rStyle w:val="CommentReference"/>
                <w:b/>
                <w:szCs w:val="20"/>
                <w:vertAlign w:val="superscript"/>
              </w:rPr>
              <w:t>a</w:t>
            </w:r>
          </w:p>
        </w:tc>
        <w:tc>
          <w:tcPr>
            <w:tcW w:w="238" w:type="pct"/>
            <w:tcBorders>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82.1</w:t>
            </w:r>
          </w:p>
        </w:tc>
        <w:tc>
          <w:tcPr>
            <w:tcW w:w="616" w:type="pct"/>
            <w:tcBorders>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0 (0)</w:t>
            </w:r>
          </w:p>
        </w:tc>
        <w:tc>
          <w:tcPr>
            <w:tcW w:w="467"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bottom w:val="single" w:sz="4" w:space="0" w:color="auto"/>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bottom w:val="nil"/>
            </w:tcBorders>
            <w:vAlign w:val="center"/>
          </w:tcPr>
          <w:p w:rsidR="00574828" w:rsidRPr="007F33F1" w:rsidRDefault="00574828" w:rsidP="0047221E">
            <w:pPr>
              <w:pStyle w:val="TableFigureHeading"/>
              <w:keepLines/>
              <w:rPr>
                <w:rStyle w:val="CommentReference"/>
                <w:szCs w:val="20"/>
                <w:vertAlign w:val="superscript"/>
              </w:rPr>
            </w:pPr>
            <w:r w:rsidRPr="007F33F1">
              <w:rPr>
                <w:rStyle w:val="CommentReference"/>
                <w:szCs w:val="20"/>
              </w:rPr>
              <w:t>Study AU-003</w:t>
            </w:r>
            <w:r w:rsidR="00B36576" w:rsidRPr="007F33F1">
              <w:rPr>
                <w:rStyle w:val="CommentReference"/>
                <w:szCs w:val="20"/>
                <w:vertAlign w:val="superscript"/>
              </w:rPr>
              <w:t>d</w:t>
            </w:r>
          </w:p>
        </w:tc>
        <w:tc>
          <w:tcPr>
            <w:tcW w:w="23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67.1</w:t>
            </w:r>
          </w:p>
        </w:tc>
        <w:tc>
          <w:tcPr>
            <w:tcW w:w="61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1/73 (1.4)</w:t>
            </w:r>
          </w:p>
        </w:tc>
        <w:tc>
          <w:tcPr>
            <w:tcW w:w="467"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top w:val="nil"/>
              <w:bottom w:val="nil"/>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-TN subgroup</w:t>
            </w:r>
          </w:p>
        </w:tc>
        <w:tc>
          <w:tcPr>
            <w:tcW w:w="238"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0</w:t>
            </w:r>
          </w:p>
        </w:tc>
        <w:tc>
          <w:tcPr>
            <w:tcW w:w="616"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0</w:t>
            </w:r>
          </w:p>
        </w:tc>
        <w:tc>
          <w:tcPr>
            <w:tcW w:w="467"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top w:val="nil"/>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top w:val="nil"/>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-R/R subgroup</w:t>
            </w:r>
          </w:p>
        </w:tc>
        <w:tc>
          <w:tcPr>
            <w:tcW w:w="238"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100</w:t>
            </w:r>
          </w:p>
        </w:tc>
        <w:tc>
          <w:tcPr>
            <w:tcW w:w="616"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1/49 (2)</w:t>
            </w:r>
          </w:p>
        </w:tc>
        <w:tc>
          <w:tcPr>
            <w:tcW w:w="467"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top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vAlign w:val="center"/>
          </w:tcPr>
          <w:p w:rsidR="00574828" w:rsidRPr="007F33F1" w:rsidRDefault="00574828" w:rsidP="0047221E">
            <w:pPr>
              <w:pStyle w:val="TableFigureHeading"/>
              <w:keepLines/>
              <w:rPr>
                <w:rStyle w:val="CommentReference"/>
                <w:szCs w:val="20"/>
              </w:rPr>
            </w:pPr>
            <w:r w:rsidRPr="007F33F1">
              <w:rPr>
                <w:rStyle w:val="CommentReference"/>
                <w:szCs w:val="20"/>
              </w:rPr>
              <w:t>iNNOVATE</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54.7</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2/75 (3)</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1/75 (1)</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vAlign w:val="center"/>
          </w:tcPr>
          <w:p w:rsidR="00574828" w:rsidRPr="007F33F1" w:rsidRDefault="00574828" w:rsidP="0047221E">
            <w:pPr>
              <w:pStyle w:val="TableFigureHeading"/>
              <w:keepLines/>
              <w:ind w:right="-25"/>
              <w:rPr>
                <w:rStyle w:val="CommentReference"/>
                <w:szCs w:val="20"/>
              </w:rPr>
            </w:pPr>
            <w:r w:rsidRPr="007F33F1">
              <w:rPr>
                <w:rStyle w:val="CommentReference"/>
                <w:szCs w:val="20"/>
              </w:rPr>
              <w:t>Dimopoulous 2002</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44.4</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NR</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vAlign w:val="center"/>
          </w:tcPr>
          <w:p w:rsidR="00574828" w:rsidRPr="007F33F1" w:rsidRDefault="00574828" w:rsidP="0047221E">
            <w:pPr>
              <w:pStyle w:val="TableFigureHeading"/>
              <w:keepLines/>
              <w:rPr>
                <w:rStyle w:val="CommentReference"/>
                <w:szCs w:val="20"/>
              </w:rPr>
            </w:pPr>
            <w:r w:rsidRPr="007F33F1">
              <w:rPr>
                <w:rStyle w:val="CommentReference"/>
                <w:szCs w:val="20"/>
              </w:rPr>
              <w:t>Tedeschi 2015</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100</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5/71 (7)</w:t>
            </w:r>
          </w:p>
        </w:tc>
        <w:tc>
          <w:tcPr>
            <w:tcW w:w="773" w:type="pct"/>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bottom w:val="single" w:sz="4" w:space="0" w:color="auto"/>
            </w:tcBorders>
            <w:vAlign w:val="center"/>
          </w:tcPr>
          <w:p w:rsidR="00574828" w:rsidRPr="007F33F1" w:rsidRDefault="00574828" w:rsidP="0047221E">
            <w:pPr>
              <w:pStyle w:val="TableFigureHeading"/>
              <w:keepLines/>
              <w:rPr>
                <w:rStyle w:val="CommentReference"/>
                <w:szCs w:val="20"/>
                <w:vertAlign w:val="superscript"/>
              </w:rPr>
            </w:pPr>
            <w:r w:rsidRPr="007F33F1">
              <w:rPr>
                <w:rStyle w:val="CommentReference"/>
                <w:szCs w:val="20"/>
              </w:rPr>
              <w:t>Treon 2011</w:t>
            </w:r>
            <w:r w:rsidR="00B36576" w:rsidRPr="007F33F1">
              <w:rPr>
                <w:rStyle w:val="CommentReference"/>
                <w:szCs w:val="20"/>
                <w:vertAlign w:val="superscript"/>
              </w:rPr>
              <w:t>c</w:t>
            </w:r>
          </w:p>
        </w:tc>
        <w:tc>
          <w:tcPr>
            <w:tcW w:w="238"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100</w:t>
            </w:r>
          </w:p>
        </w:tc>
        <w:tc>
          <w:tcPr>
            <w:tcW w:w="616"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NR</w:t>
            </w:r>
          </w:p>
        </w:tc>
        <w:tc>
          <w:tcPr>
            <w:tcW w:w="773" w:type="pct"/>
            <w:tcBorders>
              <w:bottom w:val="single" w:sz="4" w:space="0" w:color="auto"/>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rPr>
                <w:rStyle w:val="CommentReference"/>
                <w:szCs w:val="20"/>
              </w:rPr>
            </w:pPr>
            <w:r w:rsidRPr="007F33F1">
              <w:rPr>
                <w:rStyle w:val="CommentReference"/>
                <w:b/>
                <w:bCs w:val="0"/>
                <w:szCs w:val="20"/>
              </w:rPr>
              <w:t>VGPR/CR</w:t>
            </w:r>
          </w:p>
        </w:tc>
        <w:tc>
          <w:tcPr>
            <w:tcW w:w="238"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szCs w:val="20"/>
              </w:rPr>
            </w:pPr>
          </w:p>
        </w:tc>
        <w:tc>
          <w:tcPr>
            <w:tcW w:w="616"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szCs w:val="20"/>
              </w:rPr>
            </w:pPr>
          </w:p>
        </w:tc>
        <w:tc>
          <w:tcPr>
            <w:tcW w:w="467"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szCs w:val="20"/>
              </w:rPr>
            </w:pPr>
          </w:p>
        </w:tc>
        <w:tc>
          <w:tcPr>
            <w:tcW w:w="411"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szCs w:val="20"/>
              </w:rPr>
            </w:pPr>
          </w:p>
        </w:tc>
        <w:tc>
          <w:tcPr>
            <w:tcW w:w="366"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szCs w:val="20"/>
              </w:rPr>
            </w:pPr>
          </w:p>
        </w:tc>
        <w:tc>
          <w:tcPr>
            <w:tcW w:w="568" w:type="pct"/>
            <w:tcBorders>
              <w:left w:val="nil"/>
              <w:bottom w:val="single" w:sz="4" w:space="0" w:color="auto"/>
              <w:right w:val="nil"/>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szCs w:val="20"/>
              </w:rPr>
            </w:pPr>
          </w:p>
        </w:tc>
        <w:tc>
          <w:tcPr>
            <w:tcW w:w="773" w:type="pct"/>
            <w:tcBorders>
              <w:left w:val="nil"/>
              <w:bottom w:val="single" w:sz="4" w:space="0" w:color="auto"/>
              <w:right w:val="nil"/>
            </w:tcBorders>
            <w:shd w:val="clear" w:color="auto" w:fill="D9D9D9" w:themeFill="background1" w:themeFillShade="D9"/>
          </w:tcPr>
          <w:p w:rsidR="00574828" w:rsidRPr="007F33F1" w:rsidRDefault="00574828" w:rsidP="0047221E">
            <w:pPr>
              <w:pStyle w:val="TableFigureHeading"/>
              <w:keepLines/>
              <w:jc w:val="center"/>
              <w:rPr>
                <w:rStyle w:val="CommentReference"/>
                <w:szCs w:val="20"/>
              </w:rPr>
            </w:pPr>
          </w:p>
        </w:tc>
        <w:tc>
          <w:tcPr>
            <w:tcW w:w="786" w:type="pct"/>
            <w:tcBorders>
              <w:left w:val="nil"/>
              <w:bottom w:val="single" w:sz="4" w:space="0" w:color="auto"/>
            </w:tcBorders>
            <w:shd w:val="clear" w:color="auto" w:fill="D9D9D9" w:themeFill="background1" w:themeFillShade="D9"/>
            <w:vAlign w:val="center"/>
          </w:tcPr>
          <w:p w:rsidR="00574828" w:rsidRPr="007F33F1" w:rsidRDefault="00574828" w:rsidP="0047221E">
            <w:pPr>
              <w:pStyle w:val="TableFigureHeading"/>
              <w:keepLines/>
              <w:jc w:val="center"/>
              <w:rPr>
                <w:rStyle w:val="CommentReference"/>
                <w:szCs w:val="20"/>
              </w:rPr>
            </w:pPr>
          </w:p>
        </w:tc>
      </w:tr>
      <w:tr w:rsidR="00574828" w:rsidRPr="007F33F1" w:rsidTr="00E34C98">
        <w:tc>
          <w:tcPr>
            <w:tcW w:w="775" w:type="pct"/>
            <w:tcBorders>
              <w:bottom w:val="nil"/>
            </w:tcBorders>
            <w:vAlign w:val="center"/>
          </w:tcPr>
          <w:p w:rsidR="00574828" w:rsidRPr="007F33F1" w:rsidRDefault="00574828" w:rsidP="0047221E">
            <w:pPr>
              <w:pStyle w:val="TableFigureHeading"/>
              <w:keepLines/>
              <w:rPr>
                <w:rStyle w:val="CommentReference"/>
                <w:szCs w:val="20"/>
              </w:rPr>
            </w:pPr>
            <w:r w:rsidRPr="007F33F1">
              <w:rPr>
                <w:rStyle w:val="CommentReference"/>
                <w:szCs w:val="20"/>
              </w:rPr>
              <w:t>ASPEN Cohort 1</w:t>
            </w:r>
            <w:r w:rsidR="00B36576" w:rsidRPr="007F33F1">
              <w:rPr>
                <w:rStyle w:val="CommentReference"/>
                <w:szCs w:val="20"/>
                <w:vertAlign w:val="superscript"/>
              </w:rPr>
              <w:t>b</w:t>
            </w:r>
            <w:r w:rsidRPr="007F33F1">
              <w:rPr>
                <w:rStyle w:val="CommentReference"/>
                <w:szCs w:val="20"/>
                <w:vertAlign w:val="superscript"/>
              </w:rPr>
              <w:t xml:space="preserve"> </w:t>
            </w:r>
          </w:p>
        </w:tc>
        <w:tc>
          <w:tcPr>
            <w:tcW w:w="23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81.6</w:t>
            </w:r>
          </w:p>
        </w:tc>
        <w:tc>
          <w:tcPr>
            <w:tcW w:w="61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29/102 (28</w:t>
            </w:r>
            <w:r w:rsidR="006022B8" w:rsidRPr="007F33F1">
              <w:rPr>
                <w:rStyle w:val="CommentReference"/>
                <w:szCs w:val="20"/>
              </w:rPr>
              <w:t>)</w:t>
            </w:r>
            <w:r w:rsidR="006022B8" w:rsidRPr="007F33F1">
              <w:rPr>
                <w:rStyle w:val="CommentReference"/>
                <w:szCs w:val="20"/>
                <w:vertAlign w:val="superscript"/>
              </w:rPr>
              <w:t>f</w:t>
            </w:r>
          </w:p>
        </w:tc>
        <w:tc>
          <w:tcPr>
            <w:tcW w:w="467" w:type="pct"/>
            <w:tcBorders>
              <w:bottom w:val="nil"/>
            </w:tcBorders>
            <w:vAlign w:val="center"/>
          </w:tcPr>
          <w:p w:rsidR="00574828" w:rsidRPr="007F33F1" w:rsidRDefault="00574828" w:rsidP="0047221E">
            <w:pPr>
              <w:pStyle w:val="TableFigureHeading"/>
              <w:keepLines/>
              <w:ind w:left="-57"/>
              <w:jc w:val="center"/>
              <w:rPr>
                <w:rStyle w:val="CommentReference"/>
                <w:szCs w:val="20"/>
              </w:rPr>
            </w:pPr>
            <w:r w:rsidRPr="007F33F1">
              <w:rPr>
                <w:rStyle w:val="CommentReference"/>
                <w:szCs w:val="20"/>
              </w:rPr>
              <w:t>19/99 (19)</w:t>
            </w:r>
            <w:r w:rsidR="006022B8" w:rsidRPr="007F33F1">
              <w:rPr>
                <w:rStyle w:val="CommentReference"/>
                <w:szCs w:val="20"/>
                <w:vertAlign w:val="superscript"/>
              </w:rPr>
              <w:t>f</w:t>
            </w:r>
          </w:p>
        </w:tc>
        <w:tc>
          <w:tcPr>
            <w:tcW w:w="411"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 xml:space="preserve">0.09 </w:t>
            </w:r>
            <w:r w:rsidRPr="007F33F1">
              <w:rPr>
                <w:b w:val="0"/>
                <w:iCs/>
                <w:szCs w:val="20"/>
              </w:rPr>
              <w:t>(-0.02, 0.21)</w:t>
            </w:r>
          </w:p>
        </w:tc>
        <w:tc>
          <w:tcPr>
            <w:tcW w:w="786" w:type="pct"/>
            <w:tcBorders>
              <w:bottom w:val="nil"/>
            </w:tcBorders>
            <w:vAlign w:val="center"/>
          </w:tcPr>
          <w:p w:rsidR="00574828" w:rsidRPr="007F33F1" w:rsidRDefault="00574828" w:rsidP="0047221E">
            <w:pPr>
              <w:pStyle w:val="TableFigureHeading"/>
              <w:keepLines/>
              <w:jc w:val="center"/>
              <w:rPr>
                <w:rStyle w:val="CommentReference"/>
                <w:iCs/>
                <w:szCs w:val="20"/>
                <w:vertAlign w:val="superscript"/>
              </w:rPr>
            </w:pPr>
            <w:r w:rsidRPr="007F33F1">
              <w:rPr>
                <w:rStyle w:val="CommentReference"/>
                <w:iCs/>
                <w:szCs w:val="20"/>
              </w:rPr>
              <w:t>1.48 (0.89, 2.46)</w:t>
            </w:r>
            <w:r w:rsidR="006022B8" w:rsidRPr="007F33F1">
              <w:rPr>
                <w:rStyle w:val="CommentReference"/>
                <w:iCs/>
                <w:szCs w:val="20"/>
                <w:vertAlign w:val="superscript"/>
              </w:rPr>
              <w:t>e</w:t>
            </w:r>
          </w:p>
        </w:tc>
      </w:tr>
      <w:tr w:rsidR="00574828" w:rsidRPr="007F33F1" w:rsidTr="00E34C98">
        <w:tc>
          <w:tcPr>
            <w:tcW w:w="775" w:type="pct"/>
            <w:tcBorders>
              <w:top w:val="nil"/>
              <w:bottom w:val="nil"/>
            </w:tcBorders>
            <w:vAlign w:val="center"/>
          </w:tcPr>
          <w:p w:rsidR="00574828" w:rsidRPr="007F33F1" w:rsidRDefault="00574828" w:rsidP="0047221E">
            <w:pPr>
              <w:pStyle w:val="TableFigureHeading"/>
              <w:keepLines/>
              <w:ind w:left="257"/>
              <w:rPr>
                <w:rStyle w:val="CommentReference"/>
                <w:szCs w:val="20"/>
              </w:rPr>
            </w:pPr>
            <w:r w:rsidRPr="007F33F1">
              <w:rPr>
                <w:rStyle w:val="CommentReference"/>
                <w:szCs w:val="20"/>
              </w:rPr>
              <w:t>-TN subgroup</w:t>
            </w:r>
          </w:p>
        </w:tc>
        <w:tc>
          <w:tcPr>
            <w:tcW w:w="238" w:type="pct"/>
            <w:tcBorders>
              <w:top w:val="nil"/>
              <w:bottom w:val="nil"/>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bottom w:val="nil"/>
            </w:tcBorders>
            <w:vAlign w:val="center"/>
          </w:tcPr>
          <w:p w:rsidR="00574828" w:rsidRPr="007F33F1" w:rsidRDefault="00574828" w:rsidP="0047221E">
            <w:pPr>
              <w:pStyle w:val="TableFigureHeading"/>
              <w:keepLines/>
              <w:jc w:val="center"/>
              <w:rPr>
                <w:b w:val="0"/>
                <w:bCs w:val="0"/>
                <w:szCs w:val="20"/>
              </w:rPr>
            </w:pPr>
            <w:r w:rsidRPr="007F33F1">
              <w:rPr>
                <w:rStyle w:val="CommentReference"/>
                <w:bCs w:val="0"/>
                <w:szCs w:val="20"/>
              </w:rPr>
              <w:t>5/19 (26)</w:t>
            </w:r>
          </w:p>
        </w:tc>
        <w:tc>
          <w:tcPr>
            <w:tcW w:w="467" w:type="pct"/>
            <w:tcBorders>
              <w:top w:val="nil"/>
              <w:bottom w:val="nil"/>
            </w:tcBorders>
            <w:vAlign w:val="center"/>
          </w:tcPr>
          <w:p w:rsidR="00574828" w:rsidRPr="007F33F1" w:rsidRDefault="00574828" w:rsidP="0047221E">
            <w:pPr>
              <w:pStyle w:val="TableFigureHeading"/>
              <w:keepLines/>
              <w:jc w:val="center"/>
              <w:rPr>
                <w:rStyle w:val="CommentReference"/>
                <w:bCs w:val="0"/>
                <w:szCs w:val="20"/>
              </w:rPr>
            </w:pPr>
            <w:r w:rsidRPr="007F33F1">
              <w:rPr>
                <w:b w:val="0"/>
                <w:bCs w:val="0"/>
                <w:szCs w:val="20"/>
              </w:rPr>
              <w:t>3/18 (17)</w:t>
            </w:r>
          </w:p>
        </w:tc>
        <w:tc>
          <w:tcPr>
            <w:tcW w:w="411"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0.07 (-0.18, 0.32)</w:t>
            </w:r>
          </w:p>
        </w:tc>
        <w:tc>
          <w:tcPr>
            <w:tcW w:w="786" w:type="pct"/>
            <w:tcBorders>
              <w:top w:val="nil"/>
              <w:bottom w:val="nil"/>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1.43 (0.40, 5.17)</w:t>
            </w:r>
          </w:p>
        </w:tc>
      </w:tr>
      <w:tr w:rsidR="00574828" w:rsidRPr="007F33F1" w:rsidTr="00E34C98">
        <w:tc>
          <w:tcPr>
            <w:tcW w:w="775" w:type="pct"/>
            <w:tcBorders>
              <w:top w:val="nil"/>
              <w:bottom w:val="single" w:sz="4" w:space="0" w:color="auto"/>
            </w:tcBorders>
            <w:vAlign w:val="center"/>
          </w:tcPr>
          <w:p w:rsidR="00574828" w:rsidRPr="007F33F1" w:rsidRDefault="00574828" w:rsidP="0047221E">
            <w:pPr>
              <w:pStyle w:val="TableFigureHeading"/>
              <w:keepLines/>
              <w:ind w:left="257"/>
              <w:rPr>
                <w:rStyle w:val="CommentReference"/>
                <w:szCs w:val="20"/>
              </w:rPr>
            </w:pPr>
            <w:r w:rsidRPr="007F33F1">
              <w:rPr>
                <w:rStyle w:val="CommentReference"/>
                <w:szCs w:val="20"/>
              </w:rPr>
              <w:t>-R/R subgroup</w:t>
            </w:r>
          </w:p>
        </w:tc>
        <w:tc>
          <w:tcPr>
            <w:tcW w:w="238"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bottom w:val="single" w:sz="4" w:space="0" w:color="auto"/>
            </w:tcBorders>
            <w:vAlign w:val="center"/>
          </w:tcPr>
          <w:p w:rsidR="00574828" w:rsidRPr="007F33F1" w:rsidRDefault="00574828" w:rsidP="0047221E">
            <w:pPr>
              <w:pStyle w:val="TableFigureHeading"/>
              <w:keepLines/>
              <w:jc w:val="center"/>
              <w:rPr>
                <w:b w:val="0"/>
                <w:bCs w:val="0"/>
                <w:szCs w:val="20"/>
              </w:rPr>
            </w:pPr>
            <w:r w:rsidRPr="007F33F1">
              <w:rPr>
                <w:b w:val="0"/>
                <w:bCs w:val="0"/>
                <w:szCs w:val="20"/>
              </w:rPr>
              <w:t>24/83 (29)</w:t>
            </w:r>
          </w:p>
        </w:tc>
        <w:tc>
          <w:tcPr>
            <w:tcW w:w="467"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b/>
                <w:bCs w:val="0"/>
                <w:szCs w:val="20"/>
              </w:rPr>
            </w:pPr>
            <w:r w:rsidRPr="007F33F1">
              <w:rPr>
                <w:b w:val="0"/>
                <w:bCs w:val="0"/>
                <w:szCs w:val="20"/>
              </w:rPr>
              <w:t>16/81 (19)</w:t>
            </w:r>
          </w:p>
        </w:tc>
        <w:tc>
          <w:tcPr>
            <w:tcW w:w="411"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bottom w:val="single" w:sz="4" w:space="0" w:color="auto"/>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0.09 (-0.39, 0.22)</w:t>
            </w:r>
          </w:p>
        </w:tc>
        <w:tc>
          <w:tcPr>
            <w:tcW w:w="78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1.46 (0.84, 2.55)</w:t>
            </w:r>
          </w:p>
        </w:tc>
      </w:tr>
      <w:tr w:rsidR="00574828" w:rsidRPr="007F33F1" w:rsidTr="00E34C98">
        <w:tc>
          <w:tcPr>
            <w:tcW w:w="775" w:type="pct"/>
            <w:tcBorders>
              <w:bottom w:val="nil"/>
            </w:tcBorders>
            <w:vAlign w:val="center"/>
          </w:tcPr>
          <w:p w:rsidR="00574828" w:rsidRPr="007F33F1" w:rsidRDefault="00574828" w:rsidP="0047221E">
            <w:pPr>
              <w:pStyle w:val="TableFigureHeading"/>
              <w:keepLines/>
              <w:rPr>
                <w:rStyle w:val="CommentReference"/>
                <w:szCs w:val="20"/>
              </w:rPr>
            </w:pPr>
            <w:r w:rsidRPr="007F33F1">
              <w:rPr>
                <w:rStyle w:val="CommentReference"/>
                <w:szCs w:val="20"/>
              </w:rPr>
              <w:t>ASPEN Cohort 2</w:t>
            </w:r>
            <w:r w:rsidR="00397D8E" w:rsidRPr="007F33F1">
              <w:rPr>
                <w:rStyle w:val="CommentReference"/>
                <w:b/>
                <w:szCs w:val="20"/>
                <w:vertAlign w:val="superscript"/>
              </w:rPr>
              <w:t>a</w:t>
            </w:r>
          </w:p>
        </w:tc>
        <w:tc>
          <w:tcPr>
            <w:tcW w:w="23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82.1</w:t>
            </w:r>
          </w:p>
        </w:tc>
        <w:tc>
          <w:tcPr>
            <w:tcW w:w="616" w:type="pct"/>
            <w:tcBorders>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7/26 (27)</w:t>
            </w:r>
          </w:p>
        </w:tc>
        <w:tc>
          <w:tcPr>
            <w:tcW w:w="467"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bottom w:val="nil"/>
            </w:tcBorders>
          </w:tcPr>
          <w:p w:rsidR="00574828" w:rsidRPr="007F33F1" w:rsidRDefault="00574828" w:rsidP="0047221E">
            <w:pPr>
              <w:pStyle w:val="TableFigureHeading"/>
              <w:keepLines/>
              <w:jc w:val="center"/>
              <w:rPr>
                <w:rStyle w:val="CommentReference"/>
                <w:szCs w:val="20"/>
              </w:rPr>
            </w:pPr>
          </w:p>
        </w:tc>
        <w:tc>
          <w:tcPr>
            <w:tcW w:w="786" w:type="pct"/>
            <w:tcBorders>
              <w:bottom w:val="nil"/>
            </w:tcBorders>
            <w:vAlign w:val="center"/>
          </w:tcPr>
          <w:p w:rsidR="00574828" w:rsidRPr="007F33F1" w:rsidRDefault="00574828" w:rsidP="0047221E">
            <w:pPr>
              <w:pStyle w:val="TableFigureHeading"/>
              <w:keepLines/>
              <w:jc w:val="center"/>
              <w:rPr>
                <w:rStyle w:val="CommentReference"/>
                <w:szCs w:val="20"/>
              </w:rPr>
            </w:pPr>
          </w:p>
        </w:tc>
      </w:tr>
      <w:tr w:rsidR="00574828" w:rsidRPr="007F33F1" w:rsidTr="00E34C98">
        <w:tc>
          <w:tcPr>
            <w:tcW w:w="775" w:type="pct"/>
            <w:tcBorders>
              <w:top w:val="nil"/>
              <w:bottom w:val="nil"/>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-TN subgroup</w:t>
            </w:r>
            <w:r w:rsidR="00397D8E" w:rsidRPr="007F33F1">
              <w:rPr>
                <w:rStyle w:val="CommentReference"/>
                <w:b/>
                <w:szCs w:val="20"/>
                <w:vertAlign w:val="superscript"/>
              </w:rPr>
              <w:t>a</w:t>
            </w:r>
          </w:p>
        </w:tc>
        <w:tc>
          <w:tcPr>
            <w:tcW w:w="238" w:type="pct"/>
            <w:tcBorders>
              <w:top w:val="nil"/>
              <w:bottom w:val="nil"/>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bottom w:val="nil"/>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1/5 (20)</w:t>
            </w:r>
          </w:p>
        </w:tc>
        <w:tc>
          <w:tcPr>
            <w:tcW w:w="467"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NA</w:t>
            </w:r>
          </w:p>
        </w:tc>
        <w:tc>
          <w:tcPr>
            <w:tcW w:w="786" w:type="pct"/>
            <w:tcBorders>
              <w:top w:val="nil"/>
              <w:bottom w:val="nil"/>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NA</w:t>
            </w:r>
          </w:p>
        </w:tc>
      </w:tr>
      <w:tr w:rsidR="00574828" w:rsidRPr="007F33F1" w:rsidTr="00E34C98">
        <w:tc>
          <w:tcPr>
            <w:tcW w:w="775" w:type="pct"/>
            <w:tcBorders>
              <w:top w:val="nil"/>
              <w:bottom w:val="single" w:sz="4" w:space="0" w:color="auto"/>
            </w:tcBorders>
            <w:vAlign w:val="center"/>
          </w:tcPr>
          <w:p w:rsidR="00574828" w:rsidRPr="007F33F1" w:rsidRDefault="00574828" w:rsidP="0047221E">
            <w:pPr>
              <w:pStyle w:val="TableFigureHeading"/>
              <w:keepLines/>
              <w:ind w:left="249"/>
              <w:rPr>
                <w:rStyle w:val="CommentReference"/>
                <w:szCs w:val="20"/>
              </w:rPr>
            </w:pPr>
            <w:r w:rsidRPr="007F33F1">
              <w:rPr>
                <w:rStyle w:val="CommentReference"/>
                <w:szCs w:val="20"/>
              </w:rPr>
              <w:t>-R/R subgroup</w:t>
            </w:r>
            <w:r w:rsidR="00397D8E" w:rsidRPr="007F33F1">
              <w:rPr>
                <w:rStyle w:val="CommentReference"/>
                <w:b/>
                <w:szCs w:val="20"/>
                <w:vertAlign w:val="superscript"/>
              </w:rPr>
              <w:t>a</w:t>
            </w:r>
          </w:p>
        </w:tc>
        <w:tc>
          <w:tcPr>
            <w:tcW w:w="238"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6/21 (29)</w:t>
            </w:r>
          </w:p>
        </w:tc>
        <w:tc>
          <w:tcPr>
            <w:tcW w:w="467"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bottom w:val="single" w:sz="4" w:space="0" w:color="auto"/>
            </w:tcBorders>
          </w:tcPr>
          <w:p w:rsidR="00574828" w:rsidRPr="007F33F1" w:rsidRDefault="00574828" w:rsidP="0047221E">
            <w:pPr>
              <w:pStyle w:val="TableFigureHeading"/>
              <w:keepLines/>
              <w:jc w:val="center"/>
              <w:rPr>
                <w:rStyle w:val="CommentReference"/>
                <w:szCs w:val="20"/>
              </w:rPr>
            </w:pPr>
          </w:p>
        </w:tc>
        <w:tc>
          <w:tcPr>
            <w:tcW w:w="786" w:type="pct"/>
            <w:tcBorders>
              <w:top w:val="nil"/>
              <w:bottom w:val="single" w:sz="4" w:space="0" w:color="auto"/>
            </w:tcBorders>
            <w:vAlign w:val="center"/>
          </w:tcPr>
          <w:p w:rsidR="00574828" w:rsidRPr="007F33F1" w:rsidRDefault="00574828" w:rsidP="0047221E">
            <w:pPr>
              <w:pStyle w:val="TableFigureHeading"/>
              <w:keepLines/>
              <w:jc w:val="center"/>
              <w:rPr>
                <w:rStyle w:val="CommentReference"/>
                <w:szCs w:val="20"/>
              </w:rPr>
            </w:pPr>
          </w:p>
        </w:tc>
      </w:tr>
      <w:tr w:rsidR="00574828" w:rsidRPr="007F33F1" w:rsidTr="00E34C98">
        <w:tc>
          <w:tcPr>
            <w:tcW w:w="775" w:type="pct"/>
            <w:tcBorders>
              <w:bottom w:val="nil"/>
              <w:right w:val="single" w:sz="4" w:space="0" w:color="auto"/>
            </w:tcBorders>
            <w:vAlign w:val="center"/>
          </w:tcPr>
          <w:p w:rsidR="00574828" w:rsidRPr="007F33F1" w:rsidRDefault="00574828" w:rsidP="0047221E">
            <w:pPr>
              <w:pStyle w:val="TableFigureHeading"/>
              <w:keepLines/>
              <w:rPr>
                <w:rStyle w:val="CommentReference"/>
                <w:szCs w:val="20"/>
                <w:vertAlign w:val="superscript"/>
              </w:rPr>
            </w:pPr>
            <w:r w:rsidRPr="007F33F1">
              <w:rPr>
                <w:rStyle w:val="CommentReference"/>
                <w:szCs w:val="20"/>
              </w:rPr>
              <w:t>Study AU-003</w:t>
            </w:r>
            <w:r w:rsidR="00B36576" w:rsidRPr="007F33F1">
              <w:rPr>
                <w:rStyle w:val="CommentReference"/>
                <w:szCs w:val="20"/>
                <w:vertAlign w:val="superscript"/>
              </w:rPr>
              <w:t>d</w:t>
            </w:r>
          </w:p>
        </w:tc>
        <w:tc>
          <w:tcPr>
            <w:tcW w:w="238" w:type="pct"/>
            <w:tcBorders>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67.1</w:t>
            </w:r>
          </w:p>
        </w:tc>
        <w:tc>
          <w:tcPr>
            <w:tcW w:w="616" w:type="pct"/>
            <w:tcBorders>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33/73 (45.2)</w:t>
            </w:r>
          </w:p>
        </w:tc>
        <w:tc>
          <w:tcPr>
            <w:tcW w:w="467" w:type="pct"/>
            <w:tcBorders>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left w:val="single" w:sz="4" w:space="0" w:color="auto"/>
              <w:bottom w:val="nil"/>
              <w:right w:val="single" w:sz="4" w:space="0" w:color="auto"/>
            </w:tcBorders>
          </w:tcPr>
          <w:p w:rsidR="00574828" w:rsidRPr="007F33F1" w:rsidRDefault="00574828" w:rsidP="0047221E">
            <w:pPr>
              <w:pStyle w:val="TableFigureHeading"/>
              <w:keepLines/>
              <w:jc w:val="center"/>
              <w:rPr>
                <w:rStyle w:val="CommentReference"/>
                <w:szCs w:val="20"/>
              </w:rPr>
            </w:pPr>
          </w:p>
        </w:tc>
        <w:tc>
          <w:tcPr>
            <w:tcW w:w="786" w:type="pct"/>
            <w:tcBorders>
              <w:left w:val="single" w:sz="4" w:space="0" w:color="auto"/>
              <w:bottom w:val="nil"/>
            </w:tcBorders>
            <w:vAlign w:val="center"/>
          </w:tcPr>
          <w:p w:rsidR="00574828" w:rsidRPr="007F33F1" w:rsidRDefault="00574828" w:rsidP="0047221E">
            <w:pPr>
              <w:pStyle w:val="TableFigureHeading"/>
              <w:keepLines/>
              <w:jc w:val="center"/>
              <w:rPr>
                <w:rStyle w:val="CommentReference"/>
                <w:szCs w:val="20"/>
              </w:rPr>
            </w:pPr>
          </w:p>
        </w:tc>
      </w:tr>
      <w:tr w:rsidR="00574828" w:rsidRPr="007F33F1" w:rsidTr="00E34C98">
        <w:trPr>
          <w:trHeight w:val="70"/>
        </w:trPr>
        <w:tc>
          <w:tcPr>
            <w:tcW w:w="775" w:type="pct"/>
            <w:tcBorders>
              <w:top w:val="nil"/>
              <w:bottom w:val="nil"/>
              <w:right w:val="single" w:sz="4" w:space="0" w:color="auto"/>
            </w:tcBorders>
            <w:vAlign w:val="center"/>
          </w:tcPr>
          <w:p w:rsidR="00574828" w:rsidRPr="007F33F1" w:rsidRDefault="00574828" w:rsidP="0047221E">
            <w:pPr>
              <w:pStyle w:val="TableFigureHeading"/>
              <w:keepLines/>
              <w:ind w:left="257"/>
              <w:rPr>
                <w:rStyle w:val="CommentReference"/>
                <w:szCs w:val="20"/>
              </w:rPr>
            </w:pPr>
            <w:r w:rsidRPr="007F33F1">
              <w:rPr>
                <w:rStyle w:val="CommentReference"/>
                <w:szCs w:val="20"/>
              </w:rPr>
              <w:t>-TN subgroup</w:t>
            </w:r>
          </w:p>
        </w:tc>
        <w:tc>
          <w:tcPr>
            <w:tcW w:w="238" w:type="pct"/>
            <w:tcBorders>
              <w:top w:val="nil"/>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8/24 (33.3)</w:t>
            </w:r>
          </w:p>
        </w:tc>
        <w:tc>
          <w:tcPr>
            <w:tcW w:w="467" w:type="pct"/>
            <w:tcBorders>
              <w:top w:val="nil"/>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left w:val="single" w:sz="4" w:space="0" w:color="auto"/>
              <w:bottom w:val="nil"/>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left w:val="single" w:sz="4" w:space="0" w:color="auto"/>
              <w:bottom w:val="nil"/>
              <w:right w:val="single" w:sz="4" w:space="0" w:color="auto"/>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NA</w:t>
            </w:r>
          </w:p>
        </w:tc>
        <w:tc>
          <w:tcPr>
            <w:tcW w:w="786" w:type="pct"/>
            <w:tcBorders>
              <w:top w:val="nil"/>
              <w:left w:val="single" w:sz="4" w:space="0" w:color="auto"/>
              <w:bottom w:val="nil"/>
            </w:tcBorders>
          </w:tcPr>
          <w:p w:rsidR="00574828" w:rsidRPr="007F33F1" w:rsidRDefault="00574828" w:rsidP="0047221E">
            <w:pPr>
              <w:pStyle w:val="TableFigureHeading"/>
              <w:keepLines/>
              <w:jc w:val="center"/>
              <w:rPr>
                <w:rStyle w:val="CommentReference"/>
                <w:szCs w:val="20"/>
              </w:rPr>
            </w:pPr>
            <w:r w:rsidRPr="007F33F1">
              <w:rPr>
                <w:rStyle w:val="CommentReference"/>
                <w:szCs w:val="20"/>
              </w:rPr>
              <w:t>NA</w:t>
            </w:r>
          </w:p>
        </w:tc>
      </w:tr>
      <w:tr w:rsidR="00574828" w:rsidRPr="007F33F1" w:rsidTr="00E34C98">
        <w:tc>
          <w:tcPr>
            <w:tcW w:w="775" w:type="pct"/>
            <w:tcBorders>
              <w:top w:val="nil"/>
              <w:right w:val="single" w:sz="4" w:space="0" w:color="auto"/>
            </w:tcBorders>
            <w:vAlign w:val="center"/>
          </w:tcPr>
          <w:p w:rsidR="00574828" w:rsidRPr="007F33F1" w:rsidRDefault="00574828" w:rsidP="0047221E">
            <w:pPr>
              <w:pStyle w:val="TableFigureHeading"/>
              <w:keepLines/>
              <w:ind w:left="257"/>
              <w:rPr>
                <w:rStyle w:val="CommentReference"/>
                <w:szCs w:val="20"/>
              </w:rPr>
            </w:pPr>
            <w:r w:rsidRPr="007F33F1">
              <w:rPr>
                <w:rStyle w:val="CommentReference"/>
                <w:szCs w:val="20"/>
              </w:rPr>
              <w:t>-R/R subgroup</w:t>
            </w:r>
          </w:p>
        </w:tc>
        <w:tc>
          <w:tcPr>
            <w:tcW w:w="238" w:type="pct"/>
            <w:tcBorders>
              <w:top w:val="nil"/>
              <w:left w:val="single" w:sz="4" w:space="0" w:color="auto"/>
              <w:right w:val="single" w:sz="4" w:space="0" w:color="auto"/>
            </w:tcBorders>
            <w:vAlign w:val="center"/>
          </w:tcPr>
          <w:p w:rsidR="00574828" w:rsidRPr="007F33F1" w:rsidRDefault="00574828" w:rsidP="0047221E">
            <w:pPr>
              <w:pStyle w:val="TableFigureHeading"/>
              <w:keepLines/>
              <w:jc w:val="center"/>
              <w:rPr>
                <w:rStyle w:val="CommentReference"/>
                <w:szCs w:val="20"/>
              </w:rPr>
            </w:pPr>
          </w:p>
        </w:tc>
        <w:tc>
          <w:tcPr>
            <w:tcW w:w="616" w:type="pct"/>
            <w:tcBorders>
              <w:top w:val="nil"/>
              <w:left w:val="single" w:sz="4" w:space="0" w:color="auto"/>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b w:val="0"/>
                <w:bCs w:val="0"/>
                <w:szCs w:val="20"/>
              </w:rPr>
              <w:t>25/49 (51.0)</w:t>
            </w:r>
          </w:p>
        </w:tc>
        <w:tc>
          <w:tcPr>
            <w:tcW w:w="467" w:type="pct"/>
            <w:tcBorders>
              <w:top w:val="nil"/>
              <w:left w:val="single" w:sz="4" w:space="0" w:color="auto"/>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top w:val="nil"/>
              <w:left w:val="single" w:sz="4" w:space="0" w:color="auto"/>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top w:val="nil"/>
              <w:left w:val="single" w:sz="4" w:space="0" w:color="auto"/>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top w:val="nil"/>
              <w:left w:val="single" w:sz="4" w:space="0" w:color="auto"/>
              <w:right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tcBorders>
              <w:top w:val="nil"/>
              <w:left w:val="single" w:sz="4" w:space="0" w:color="auto"/>
              <w:right w:val="single" w:sz="4" w:space="0" w:color="auto"/>
            </w:tcBorders>
          </w:tcPr>
          <w:p w:rsidR="00574828" w:rsidRPr="007F33F1" w:rsidRDefault="00574828" w:rsidP="0047221E">
            <w:pPr>
              <w:pStyle w:val="TableFigureHeading"/>
              <w:keepLines/>
              <w:jc w:val="center"/>
              <w:rPr>
                <w:rStyle w:val="CommentReference"/>
                <w:szCs w:val="20"/>
              </w:rPr>
            </w:pPr>
          </w:p>
        </w:tc>
        <w:tc>
          <w:tcPr>
            <w:tcW w:w="786" w:type="pct"/>
            <w:tcBorders>
              <w:top w:val="nil"/>
              <w:left w:val="single" w:sz="4" w:space="0" w:color="auto"/>
            </w:tcBorders>
          </w:tcPr>
          <w:p w:rsidR="00574828" w:rsidRPr="007F33F1" w:rsidRDefault="00574828" w:rsidP="0047221E">
            <w:pPr>
              <w:pStyle w:val="TableFigureHeading"/>
              <w:keepLines/>
              <w:jc w:val="center"/>
              <w:rPr>
                <w:rStyle w:val="CommentReference"/>
                <w:szCs w:val="20"/>
              </w:rPr>
            </w:pPr>
          </w:p>
        </w:tc>
      </w:tr>
      <w:tr w:rsidR="00574828" w:rsidRPr="007F33F1" w:rsidTr="00E34C98">
        <w:tc>
          <w:tcPr>
            <w:tcW w:w="775" w:type="pct"/>
            <w:vAlign w:val="center"/>
          </w:tcPr>
          <w:p w:rsidR="00574828" w:rsidRPr="007F33F1" w:rsidRDefault="00574828" w:rsidP="0047221E">
            <w:pPr>
              <w:pStyle w:val="TableFigureHeading"/>
              <w:keepLines/>
              <w:rPr>
                <w:rStyle w:val="CommentReference"/>
                <w:szCs w:val="20"/>
              </w:rPr>
            </w:pPr>
            <w:r w:rsidRPr="007F33F1">
              <w:rPr>
                <w:rStyle w:val="CommentReference"/>
                <w:szCs w:val="20"/>
              </w:rPr>
              <w:t>iNNOVATE</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54.7</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ind w:left="-57" w:right="-32"/>
              <w:jc w:val="center"/>
              <w:rPr>
                <w:rStyle w:val="CommentReference"/>
                <w:szCs w:val="20"/>
              </w:rPr>
            </w:pPr>
            <w:r w:rsidRPr="007F33F1">
              <w:rPr>
                <w:rStyle w:val="CommentReference"/>
                <w:szCs w:val="20"/>
              </w:rPr>
              <w:t>19/75 (26)</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4/75 (5)</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vAlign w:val="center"/>
          </w:tcPr>
          <w:p w:rsidR="00574828" w:rsidRPr="007F33F1" w:rsidRDefault="00574828" w:rsidP="0047221E">
            <w:pPr>
              <w:pStyle w:val="TableFigureHeading"/>
              <w:keepLines/>
              <w:jc w:val="center"/>
              <w:rPr>
                <w:rStyle w:val="CommentReference"/>
                <w:b/>
                <w:iCs/>
                <w:szCs w:val="20"/>
              </w:rPr>
            </w:pPr>
            <w:r w:rsidRPr="007F33F1">
              <w:rPr>
                <w:rStyle w:val="CommentReference"/>
                <w:b/>
                <w:iCs/>
                <w:szCs w:val="20"/>
              </w:rPr>
              <w:t>0.2 (0.09, 0.31)</w:t>
            </w:r>
          </w:p>
        </w:tc>
        <w:tc>
          <w:tcPr>
            <w:tcW w:w="786" w:type="pct"/>
            <w:vAlign w:val="center"/>
          </w:tcPr>
          <w:p w:rsidR="00574828" w:rsidRPr="007F33F1" w:rsidRDefault="00574828" w:rsidP="0047221E">
            <w:pPr>
              <w:pStyle w:val="TableFigureHeading"/>
              <w:keepLines/>
              <w:ind w:right="-51"/>
              <w:jc w:val="center"/>
              <w:rPr>
                <w:rStyle w:val="CommentReference"/>
                <w:b/>
                <w:iCs/>
                <w:szCs w:val="20"/>
                <w:vertAlign w:val="superscript"/>
              </w:rPr>
            </w:pPr>
            <w:r w:rsidRPr="007F33F1">
              <w:rPr>
                <w:rStyle w:val="CommentReference"/>
                <w:b/>
                <w:iCs/>
                <w:szCs w:val="20"/>
              </w:rPr>
              <w:t>4.75 (1.69, 13.30)</w:t>
            </w:r>
            <w:r w:rsidR="006022B8" w:rsidRPr="007F33F1">
              <w:rPr>
                <w:rStyle w:val="CommentReference"/>
                <w:b/>
                <w:iCs/>
                <w:szCs w:val="20"/>
                <w:vertAlign w:val="superscript"/>
              </w:rPr>
              <w:t>e</w:t>
            </w:r>
          </w:p>
        </w:tc>
      </w:tr>
      <w:tr w:rsidR="00574828" w:rsidRPr="007F33F1" w:rsidTr="00E34C98">
        <w:tc>
          <w:tcPr>
            <w:tcW w:w="775" w:type="pct"/>
            <w:vAlign w:val="center"/>
          </w:tcPr>
          <w:p w:rsidR="00574828" w:rsidRPr="007F33F1" w:rsidRDefault="00574828" w:rsidP="0047221E">
            <w:pPr>
              <w:pStyle w:val="TableFigureHeading"/>
              <w:keepLines/>
              <w:ind w:right="-25"/>
              <w:rPr>
                <w:rStyle w:val="CommentReference"/>
                <w:szCs w:val="20"/>
              </w:rPr>
            </w:pPr>
            <w:r w:rsidRPr="007F33F1">
              <w:rPr>
                <w:rStyle w:val="CommentReference"/>
                <w:szCs w:val="20"/>
              </w:rPr>
              <w:t>Dimopoulous 2002</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44.4</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NR</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773"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vAlign w:val="center"/>
          </w:tcPr>
          <w:p w:rsidR="00574828" w:rsidRPr="007F33F1" w:rsidRDefault="00574828" w:rsidP="0047221E">
            <w:pPr>
              <w:pStyle w:val="TableFigureHeading"/>
              <w:keepLines/>
              <w:jc w:val="center"/>
              <w:rPr>
                <w:rStyle w:val="CommentReference"/>
                <w:b/>
                <w:bCs w:val="0"/>
                <w:iCs/>
                <w:szCs w:val="20"/>
              </w:rPr>
            </w:pPr>
            <w:r w:rsidRPr="007F33F1">
              <w:rPr>
                <w:rStyle w:val="CommentReference"/>
                <w:iCs/>
                <w:szCs w:val="20"/>
              </w:rPr>
              <w:t>NA</w:t>
            </w:r>
          </w:p>
        </w:tc>
      </w:tr>
      <w:tr w:rsidR="00574828" w:rsidRPr="007F33F1" w:rsidTr="00E34C98">
        <w:tc>
          <w:tcPr>
            <w:tcW w:w="775" w:type="pct"/>
            <w:vAlign w:val="center"/>
          </w:tcPr>
          <w:p w:rsidR="00574828" w:rsidRPr="007F33F1" w:rsidRDefault="00574828" w:rsidP="0047221E">
            <w:pPr>
              <w:pStyle w:val="TableFigureHeading"/>
              <w:keepLines/>
              <w:rPr>
                <w:rStyle w:val="CommentReference"/>
                <w:szCs w:val="20"/>
              </w:rPr>
            </w:pPr>
            <w:r w:rsidRPr="007F33F1">
              <w:rPr>
                <w:rStyle w:val="CommentReference"/>
                <w:szCs w:val="20"/>
              </w:rPr>
              <w:t>Tedeschi 2015</w:t>
            </w:r>
          </w:p>
        </w:tc>
        <w:tc>
          <w:tcPr>
            <w:tcW w:w="23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100</w:t>
            </w:r>
          </w:p>
        </w:tc>
        <w:tc>
          <w:tcPr>
            <w:tcW w:w="61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16/71 (22.5)</w:t>
            </w:r>
          </w:p>
        </w:tc>
        <w:tc>
          <w:tcPr>
            <w:tcW w:w="773" w:type="pct"/>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r w:rsidR="00574828" w:rsidRPr="007F33F1" w:rsidTr="00E34C98">
        <w:tc>
          <w:tcPr>
            <w:tcW w:w="775" w:type="pct"/>
            <w:tcBorders>
              <w:bottom w:val="single" w:sz="4" w:space="0" w:color="auto"/>
            </w:tcBorders>
            <w:vAlign w:val="center"/>
          </w:tcPr>
          <w:p w:rsidR="00574828" w:rsidRPr="007F33F1" w:rsidRDefault="00574828" w:rsidP="0047221E">
            <w:pPr>
              <w:pStyle w:val="TableFigureHeading"/>
              <w:keepLines/>
              <w:rPr>
                <w:rStyle w:val="CommentReference"/>
                <w:szCs w:val="20"/>
                <w:vertAlign w:val="superscript"/>
              </w:rPr>
            </w:pPr>
            <w:r w:rsidRPr="007F33F1">
              <w:rPr>
                <w:rStyle w:val="CommentReference"/>
                <w:szCs w:val="20"/>
              </w:rPr>
              <w:t>Treon 2011</w:t>
            </w:r>
            <w:r w:rsidR="00B36576" w:rsidRPr="007F33F1">
              <w:rPr>
                <w:rStyle w:val="CommentReference"/>
                <w:szCs w:val="20"/>
                <w:vertAlign w:val="superscript"/>
              </w:rPr>
              <w:t>c</w:t>
            </w:r>
          </w:p>
        </w:tc>
        <w:tc>
          <w:tcPr>
            <w:tcW w:w="238"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100</w:t>
            </w:r>
          </w:p>
        </w:tc>
        <w:tc>
          <w:tcPr>
            <w:tcW w:w="616"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67"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411"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366"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w:t>
            </w:r>
          </w:p>
        </w:tc>
        <w:tc>
          <w:tcPr>
            <w:tcW w:w="568" w:type="pct"/>
            <w:tcBorders>
              <w:bottom w:val="single" w:sz="4" w:space="0" w:color="auto"/>
            </w:tcBorders>
            <w:vAlign w:val="center"/>
          </w:tcPr>
          <w:p w:rsidR="00574828" w:rsidRPr="007F33F1" w:rsidRDefault="00574828" w:rsidP="0047221E">
            <w:pPr>
              <w:pStyle w:val="TableFigureHeading"/>
              <w:keepLines/>
              <w:jc w:val="center"/>
              <w:rPr>
                <w:rStyle w:val="CommentReference"/>
                <w:szCs w:val="20"/>
              </w:rPr>
            </w:pPr>
            <w:r w:rsidRPr="007F33F1">
              <w:rPr>
                <w:rStyle w:val="CommentReference"/>
                <w:szCs w:val="20"/>
              </w:rPr>
              <w:t>5/24 (20.8)</w:t>
            </w:r>
          </w:p>
        </w:tc>
        <w:tc>
          <w:tcPr>
            <w:tcW w:w="773" w:type="pct"/>
            <w:tcBorders>
              <w:bottom w:val="single" w:sz="4" w:space="0" w:color="auto"/>
            </w:tcBorders>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c>
          <w:tcPr>
            <w:tcW w:w="786" w:type="pct"/>
            <w:tcBorders>
              <w:bottom w:val="single" w:sz="4" w:space="0" w:color="auto"/>
            </w:tcBorders>
            <w:vAlign w:val="center"/>
          </w:tcPr>
          <w:p w:rsidR="00574828" w:rsidRPr="007F33F1" w:rsidRDefault="00574828" w:rsidP="0047221E">
            <w:pPr>
              <w:pStyle w:val="TableFigureHeading"/>
              <w:keepLines/>
              <w:jc w:val="center"/>
              <w:rPr>
                <w:rStyle w:val="CommentReference"/>
                <w:iCs/>
                <w:szCs w:val="20"/>
              </w:rPr>
            </w:pPr>
            <w:r w:rsidRPr="007F33F1">
              <w:rPr>
                <w:rStyle w:val="CommentReference"/>
                <w:iCs/>
                <w:szCs w:val="20"/>
              </w:rPr>
              <w:t>NA</w:t>
            </w:r>
          </w:p>
        </w:tc>
      </w:tr>
    </w:tbl>
    <w:p w:rsidR="00205FD7" w:rsidRPr="007F33F1" w:rsidRDefault="00BB3C0F" w:rsidP="0047221E">
      <w:pPr>
        <w:pStyle w:val="TableFigureFooter"/>
        <w:keepLines/>
        <w:rPr>
          <w:rStyle w:val="CommentReference"/>
          <w:b w:val="0"/>
          <w:bCs/>
          <w:sz w:val="18"/>
          <w:szCs w:val="18"/>
        </w:rPr>
      </w:pPr>
      <w:r w:rsidRPr="007F33F1">
        <w:rPr>
          <w:rStyle w:val="CommentReference"/>
          <w:bCs/>
          <w:sz w:val="18"/>
          <w:szCs w:val="18"/>
        </w:rPr>
        <w:t>Bold</w:t>
      </w:r>
      <w:r w:rsidRPr="007F33F1">
        <w:rPr>
          <w:rStyle w:val="CommentReference"/>
          <w:b w:val="0"/>
          <w:bCs/>
          <w:sz w:val="18"/>
          <w:szCs w:val="18"/>
        </w:rPr>
        <w:t xml:space="preserve"> typography indicates statistically significant results.</w:t>
      </w:r>
    </w:p>
    <w:p w:rsidR="00205FD7" w:rsidRPr="007F33F1" w:rsidRDefault="00205FD7" w:rsidP="0047221E">
      <w:pPr>
        <w:pStyle w:val="TableFigureFooter"/>
        <w:keepLines/>
        <w:rPr>
          <w:rStyle w:val="CommentReference"/>
          <w:b w:val="0"/>
          <w:bCs/>
          <w:sz w:val="18"/>
          <w:szCs w:val="18"/>
        </w:rPr>
      </w:pPr>
      <w:r w:rsidRPr="007F33F1">
        <w:rPr>
          <w:rStyle w:val="CommentReference"/>
          <w:b w:val="0"/>
          <w:bCs/>
          <w:sz w:val="18"/>
          <w:szCs w:val="18"/>
        </w:rPr>
        <w:t>Source: Table 2.41, p97; Table 2.43, p100; Table 2.51, p112; Tables 2.61-2.64, pp129-132; Tables 2.71-2.72, pp139-140 of the submission, iNNOVATE published report Figure 3A, Study AU-003 published rep</w:t>
      </w:r>
      <w:r w:rsidR="000C6F40" w:rsidRPr="007F33F1">
        <w:rPr>
          <w:rStyle w:val="CommentReference"/>
          <w:b w:val="0"/>
          <w:bCs/>
          <w:sz w:val="18"/>
          <w:szCs w:val="18"/>
        </w:rPr>
        <w:t>ort Trotman 2020 suppl Table S3,</w:t>
      </w:r>
      <w:r w:rsidRPr="007F33F1">
        <w:rPr>
          <w:rStyle w:val="CommentReference"/>
          <w:b w:val="0"/>
          <w:bCs/>
          <w:sz w:val="18"/>
          <w:szCs w:val="18"/>
        </w:rPr>
        <w:t xml:space="preserve"> ASPEN published report Table 2.</w:t>
      </w:r>
    </w:p>
    <w:p w:rsidR="00205FD7" w:rsidRPr="007F33F1" w:rsidRDefault="00205FD7" w:rsidP="0047221E">
      <w:pPr>
        <w:pStyle w:val="TableFigureFooter"/>
        <w:keepLines/>
        <w:rPr>
          <w:rStyle w:val="CommentReference"/>
          <w:rFonts w:eastAsiaTheme="majorEastAsia"/>
          <w:b w:val="0"/>
          <w:bCs/>
          <w:sz w:val="18"/>
          <w:szCs w:val="18"/>
        </w:rPr>
      </w:pPr>
      <w:r w:rsidRPr="007F33F1">
        <w:rPr>
          <w:rStyle w:val="CommentReference"/>
          <w:rFonts w:eastAsiaTheme="majorEastAsia"/>
          <w:b w:val="0"/>
          <w:bCs/>
          <w:sz w:val="18"/>
          <w:szCs w:val="18"/>
        </w:rPr>
        <w:t>CI=confidence interval</w:t>
      </w:r>
      <w:r w:rsidR="00342061" w:rsidRPr="007F33F1">
        <w:rPr>
          <w:rStyle w:val="CommentReference"/>
          <w:rFonts w:eastAsiaTheme="majorEastAsia"/>
          <w:b w:val="0"/>
          <w:bCs/>
          <w:sz w:val="18"/>
          <w:szCs w:val="18"/>
        </w:rPr>
        <w:t>,</w:t>
      </w:r>
      <w:r w:rsidRPr="007F33F1">
        <w:rPr>
          <w:rStyle w:val="CommentReference"/>
          <w:rFonts w:eastAsiaTheme="majorEastAsia"/>
          <w:b w:val="0"/>
          <w:bCs/>
          <w:sz w:val="18"/>
          <w:szCs w:val="18"/>
        </w:rPr>
        <w:t xml:space="preserve"> CR=complete response</w:t>
      </w:r>
      <w:r w:rsidR="00342061" w:rsidRPr="007F33F1">
        <w:rPr>
          <w:rStyle w:val="CommentReference"/>
          <w:rFonts w:eastAsiaTheme="majorEastAsia"/>
          <w:b w:val="0"/>
          <w:bCs/>
          <w:sz w:val="18"/>
          <w:szCs w:val="18"/>
        </w:rPr>
        <w:t>,</w:t>
      </w:r>
      <w:r w:rsidRPr="007F33F1">
        <w:rPr>
          <w:rStyle w:val="CommentReference"/>
          <w:rFonts w:eastAsiaTheme="majorEastAsia"/>
          <w:b w:val="0"/>
          <w:bCs/>
          <w:sz w:val="18"/>
          <w:szCs w:val="18"/>
        </w:rPr>
        <w:t xml:space="preserve"> n=number of participants with event</w:t>
      </w:r>
      <w:r w:rsidR="00342061" w:rsidRPr="007F33F1">
        <w:rPr>
          <w:rStyle w:val="CommentReference"/>
          <w:rFonts w:eastAsiaTheme="majorEastAsia"/>
          <w:b w:val="0"/>
          <w:bCs/>
          <w:sz w:val="18"/>
          <w:szCs w:val="18"/>
        </w:rPr>
        <w:t>,</w:t>
      </w:r>
      <w:r w:rsidRPr="007F33F1">
        <w:rPr>
          <w:rStyle w:val="CommentReference"/>
          <w:rFonts w:eastAsiaTheme="majorEastAsia"/>
          <w:b w:val="0"/>
          <w:bCs/>
          <w:sz w:val="18"/>
          <w:szCs w:val="18"/>
        </w:rPr>
        <w:t xml:space="preserve"> N=total participants in group, NA=not applicable, NR=not reported,</w:t>
      </w:r>
      <w:r w:rsidR="007923D6" w:rsidRPr="007F33F1">
        <w:rPr>
          <w:rStyle w:val="CommentReference"/>
          <w:rFonts w:eastAsiaTheme="majorEastAsia"/>
          <w:b w:val="0"/>
          <w:bCs/>
          <w:sz w:val="18"/>
          <w:szCs w:val="18"/>
        </w:rPr>
        <w:t xml:space="preserve"> </w:t>
      </w:r>
      <w:r w:rsidR="00342061" w:rsidRPr="007F33F1">
        <w:rPr>
          <w:rStyle w:val="CommentReference"/>
          <w:rFonts w:eastAsiaTheme="majorEastAsia"/>
          <w:b w:val="0"/>
          <w:bCs/>
          <w:sz w:val="18"/>
          <w:szCs w:val="18"/>
        </w:rPr>
        <w:t>RR=relative risk,</w:t>
      </w:r>
      <w:r w:rsidRPr="007F33F1">
        <w:rPr>
          <w:rStyle w:val="CommentReference"/>
          <w:rFonts w:eastAsiaTheme="majorEastAsia"/>
          <w:b w:val="0"/>
          <w:bCs/>
          <w:sz w:val="18"/>
          <w:szCs w:val="18"/>
        </w:rPr>
        <w:t xml:space="preserve"> VGPR=very good partial response</w:t>
      </w:r>
      <w:r w:rsidR="00342061" w:rsidRPr="007F33F1">
        <w:rPr>
          <w:rStyle w:val="CommentReference"/>
          <w:rFonts w:eastAsiaTheme="majorEastAsia"/>
          <w:b w:val="0"/>
          <w:bCs/>
          <w:sz w:val="18"/>
          <w:szCs w:val="18"/>
        </w:rPr>
        <w:t>,</w:t>
      </w:r>
      <w:r w:rsidRPr="007F33F1">
        <w:rPr>
          <w:rStyle w:val="CommentReference"/>
          <w:rFonts w:eastAsiaTheme="majorEastAsia"/>
          <w:b w:val="0"/>
          <w:bCs/>
          <w:sz w:val="18"/>
          <w:szCs w:val="18"/>
        </w:rPr>
        <w:t xml:space="preserve"> VGPR/CR=very good partial response or complete response</w:t>
      </w:r>
      <w:r w:rsidR="00342061" w:rsidRPr="007F33F1">
        <w:rPr>
          <w:rStyle w:val="CommentReference"/>
          <w:rFonts w:eastAsiaTheme="majorEastAsia"/>
          <w:b w:val="0"/>
          <w:bCs/>
          <w:sz w:val="18"/>
          <w:szCs w:val="18"/>
        </w:rPr>
        <w:t>.</w:t>
      </w:r>
    </w:p>
    <w:p w:rsidR="00B36576" w:rsidRPr="007F33F1" w:rsidRDefault="00B36576" w:rsidP="0047221E">
      <w:pPr>
        <w:pStyle w:val="TableFigureFooter"/>
        <w:keepLines/>
        <w:rPr>
          <w:rStyle w:val="CommentReference"/>
          <w:rFonts w:eastAsiaTheme="majorEastAsia"/>
          <w:b w:val="0"/>
          <w:bCs/>
          <w:sz w:val="18"/>
          <w:szCs w:val="18"/>
        </w:rPr>
      </w:pPr>
      <w:r w:rsidRPr="007F33F1">
        <w:rPr>
          <w:rStyle w:val="CommentReference"/>
          <w:rFonts w:eastAsiaTheme="majorEastAsia"/>
          <w:b w:val="0"/>
          <w:bCs/>
          <w:sz w:val="18"/>
          <w:szCs w:val="18"/>
          <w:vertAlign w:val="superscript"/>
        </w:rPr>
        <w:t xml:space="preserve">a </w:t>
      </w:r>
      <w:r w:rsidR="006022B8" w:rsidRPr="007F33F1">
        <w:rPr>
          <w:rStyle w:val="CommentReference"/>
          <w:rFonts w:eastAsiaTheme="majorEastAsia"/>
          <w:b w:val="0"/>
          <w:bCs/>
          <w:sz w:val="18"/>
          <w:szCs w:val="18"/>
        </w:rPr>
        <w:t>R</w:t>
      </w:r>
      <w:r w:rsidRPr="007F33F1">
        <w:rPr>
          <w:rStyle w:val="CommentReference"/>
          <w:rFonts w:eastAsiaTheme="majorEastAsia"/>
          <w:b w:val="0"/>
          <w:bCs/>
          <w:sz w:val="18"/>
          <w:szCs w:val="18"/>
        </w:rPr>
        <w:t>esults extracted and estimated (using STATA 14.0) during the evaluation</w:t>
      </w:r>
      <w:r w:rsidR="006022B8" w:rsidRPr="007F33F1">
        <w:rPr>
          <w:rStyle w:val="CommentReference"/>
          <w:rFonts w:eastAsiaTheme="majorEastAsia"/>
          <w:b w:val="0"/>
          <w:bCs/>
          <w:sz w:val="18"/>
          <w:szCs w:val="18"/>
        </w:rPr>
        <w:t>.</w:t>
      </w:r>
    </w:p>
    <w:p w:rsidR="00205FD7" w:rsidRPr="007F33F1" w:rsidRDefault="00B36576" w:rsidP="0047221E">
      <w:pPr>
        <w:pStyle w:val="TableFigureFooter"/>
        <w:keepLines/>
        <w:rPr>
          <w:rStyle w:val="CommentReference"/>
          <w:rFonts w:eastAsiaTheme="majorEastAsia"/>
          <w:b w:val="0"/>
          <w:bCs/>
          <w:sz w:val="18"/>
          <w:szCs w:val="18"/>
        </w:rPr>
      </w:pPr>
      <w:r w:rsidRPr="007F33F1">
        <w:rPr>
          <w:rStyle w:val="CommentReference"/>
          <w:rFonts w:eastAsiaTheme="majorEastAsia"/>
          <w:b w:val="0"/>
          <w:bCs/>
          <w:sz w:val="18"/>
          <w:szCs w:val="18"/>
          <w:vertAlign w:val="superscript"/>
        </w:rPr>
        <w:t>b</w:t>
      </w:r>
      <w:r w:rsidR="00205FD7" w:rsidRPr="007F33F1">
        <w:rPr>
          <w:rStyle w:val="CommentReference"/>
          <w:rFonts w:eastAsiaTheme="majorEastAsia"/>
          <w:b w:val="0"/>
          <w:bCs/>
          <w:sz w:val="18"/>
          <w:szCs w:val="18"/>
          <w:vertAlign w:val="superscript"/>
        </w:rPr>
        <w:t xml:space="preserve"> </w:t>
      </w:r>
      <w:r w:rsidR="00205FD7" w:rsidRPr="007F33F1">
        <w:rPr>
          <w:rStyle w:val="CommentReference"/>
          <w:rFonts w:eastAsiaTheme="majorEastAsia"/>
          <w:b w:val="0"/>
          <w:bCs/>
          <w:sz w:val="18"/>
          <w:szCs w:val="18"/>
        </w:rPr>
        <w:t>Independent review committee (IRC) assessment</w:t>
      </w:r>
      <w:r w:rsidR="00342061" w:rsidRPr="007F33F1">
        <w:rPr>
          <w:rStyle w:val="CommentReference"/>
          <w:rFonts w:eastAsiaTheme="majorEastAsia"/>
          <w:b w:val="0"/>
          <w:bCs/>
          <w:sz w:val="18"/>
          <w:szCs w:val="18"/>
        </w:rPr>
        <w:t>.</w:t>
      </w:r>
      <w:r w:rsidR="00205FD7" w:rsidRPr="007F33F1">
        <w:rPr>
          <w:rStyle w:val="CommentReference"/>
          <w:rFonts w:eastAsiaTheme="majorEastAsia"/>
          <w:b w:val="0"/>
          <w:bCs/>
          <w:sz w:val="18"/>
          <w:szCs w:val="18"/>
        </w:rPr>
        <w:t xml:space="preserve"> </w:t>
      </w:r>
    </w:p>
    <w:p w:rsidR="00205FD7" w:rsidRPr="007F33F1" w:rsidRDefault="00B36576" w:rsidP="0047221E">
      <w:pPr>
        <w:pStyle w:val="TableFigureFooter"/>
        <w:keepLines/>
        <w:rPr>
          <w:rStyle w:val="CommentReference"/>
          <w:rFonts w:eastAsiaTheme="majorEastAsia"/>
          <w:b w:val="0"/>
          <w:bCs/>
          <w:sz w:val="18"/>
          <w:szCs w:val="18"/>
        </w:rPr>
      </w:pPr>
      <w:r w:rsidRPr="007F33F1">
        <w:rPr>
          <w:rStyle w:val="CommentReference"/>
          <w:rFonts w:eastAsiaTheme="majorEastAsia"/>
          <w:b w:val="0"/>
          <w:bCs/>
          <w:sz w:val="18"/>
          <w:szCs w:val="18"/>
          <w:vertAlign w:val="superscript"/>
        </w:rPr>
        <w:t>c</w:t>
      </w:r>
      <w:r w:rsidR="00205FD7" w:rsidRPr="007F33F1">
        <w:rPr>
          <w:rStyle w:val="CommentReference"/>
          <w:rFonts w:eastAsiaTheme="majorEastAsia"/>
          <w:b w:val="0"/>
          <w:bCs/>
          <w:sz w:val="18"/>
          <w:szCs w:val="18"/>
          <w:vertAlign w:val="superscript"/>
        </w:rPr>
        <w:t xml:space="preserve"> </w:t>
      </w:r>
      <w:r w:rsidR="00205FD7" w:rsidRPr="007F33F1">
        <w:rPr>
          <w:rStyle w:val="CommentReference"/>
          <w:rFonts w:eastAsiaTheme="majorEastAsia"/>
          <w:b w:val="0"/>
          <w:bCs/>
          <w:sz w:val="18"/>
          <w:szCs w:val="18"/>
        </w:rPr>
        <w:t xml:space="preserve">24 patients in Treon 2011 received Rm, 6 were treated with R+ofatumumab. </w:t>
      </w:r>
    </w:p>
    <w:p w:rsidR="00205FD7" w:rsidRPr="007F33F1" w:rsidRDefault="00B36576" w:rsidP="0047221E">
      <w:pPr>
        <w:pStyle w:val="TableFigureFooter"/>
        <w:keepLines/>
        <w:rPr>
          <w:rStyle w:val="CommentReference"/>
          <w:rFonts w:eastAsiaTheme="majorEastAsia"/>
          <w:b w:val="0"/>
          <w:bCs/>
          <w:sz w:val="18"/>
          <w:szCs w:val="18"/>
        </w:rPr>
      </w:pPr>
      <w:r w:rsidRPr="007F33F1">
        <w:rPr>
          <w:rStyle w:val="CommentReference"/>
          <w:rFonts w:eastAsiaTheme="majorEastAsia"/>
          <w:b w:val="0"/>
          <w:bCs/>
          <w:sz w:val="18"/>
          <w:szCs w:val="18"/>
          <w:vertAlign w:val="superscript"/>
        </w:rPr>
        <w:t>d</w:t>
      </w:r>
      <w:r w:rsidR="00205FD7" w:rsidRPr="007F33F1">
        <w:rPr>
          <w:rStyle w:val="CommentReference"/>
          <w:rFonts w:eastAsiaTheme="majorEastAsia"/>
          <w:b w:val="0"/>
          <w:bCs/>
          <w:sz w:val="18"/>
          <w:szCs w:val="18"/>
          <w:vertAlign w:val="superscript"/>
        </w:rPr>
        <w:t xml:space="preserve"> </w:t>
      </w:r>
      <w:r w:rsidR="006022B8" w:rsidRPr="007F33F1">
        <w:rPr>
          <w:rStyle w:val="CommentReference"/>
          <w:rFonts w:eastAsiaTheme="majorEastAsia"/>
          <w:b w:val="0"/>
          <w:bCs/>
          <w:sz w:val="18"/>
          <w:szCs w:val="18"/>
        </w:rPr>
        <w:t>P</w:t>
      </w:r>
      <w:r w:rsidR="00205FD7" w:rsidRPr="007F33F1">
        <w:rPr>
          <w:rStyle w:val="CommentReference"/>
          <w:rFonts w:eastAsiaTheme="majorEastAsia"/>
          <w:b w:val="0"/>
          <w:bCs/>
          <w:sz w:val="18"/>
          <w:szCs w:val="18"/>
        </w:rPr>
        <w:t>ooled across all dosage arms (&lt;320</w:t>
      </w:r>
      <w:r w:rsidR="00F2156D" w:rsidRPr="007F33F1">
        <w:rPr>
          <w:rStyle w:val="CommentReference"/>
          <w:rFonts w:eastAsiaTheme="majorEastAsia"/>
          <w:b w:val="0"/>
          <w:bCs/>
          <w:sz w:val="18"/>
          <w:szCs w:val="18"/>
        </w:rPr>
        <w:t> </w:t>
      </w:r>
      <w:r w:rsidR="00205FD7" w:rsidRPr="007F33F1">
        <w:rPr>
          <w:rStyle w:val="CommentReference"/>
          <w:rFonts w:eastAsiaTheme="majorEastAsia"/>
          <w:b w:val="0"/>
          <w:bCs/>
          <w:sz w:val="18"/>
          <w:szCs w:val="18"/>
        </w:rPr>
        <w:t>mg qd, 160</w:t>
      </w:r>
      <w:r w:rsidR="00F2156D" w:rsidRPr="007F33F1">
        <w:rPr>
          <w:rStyle w:val="CommentReference"/>
          <w:rFonts w:eastAsiaTheme="majorEastAsia"/>
          <w:b w:val="0"/>
          <w:bCs/>
          <w:sz w:val="18"/>
          <w:szCs w:val="18"/>
        </w:rPr>
        <w:t> </w:t>
      </w:r>
      <w:r w:rsidR="00205FD7" w:rsidRPr="007F33F1">
        <w:rPr>
          <w:rStyle w:val="CommentReference"/>
          <w:rFonts w:eastAsiaTheme="majorEastAsia"/>
          <w:b w:val="0"/>
          <w:bCs/>
          <w:sz w:val="18"/>
          <w:szCs w:val="18"/>
        </w:rPr>
        <w:t>mg bd and 320</w:t>
      </w:r>
      <w:r w:rsidR="00F2156D" w:rsidRPr="007F33F1">
        <w:rPr>
          <w:rStyle w:val="CommentReference"/>
          <w:rFonts w:eastAsiaTheme="majorEastAsia"/>
          <w:b w:val="0"/>
          <w:bCs/>
          <w:sz w:val="18"/>
          <w:szCs w:val="18"/>
        </w:rPr>
        <w:t> </w:t>
      </w:r>
      <w:r w:rsidR="00205FD7" w:rsidRPr="007F33F1">
        <w:rPr>
          <w:rStyle w:val="CommentReference"/>
          <w:rFonts w:eastAsiaTheme="majorEastAsia"/>
          <w:b w:val="0"/>
          <w:bCs/>
          <w:sz w:val="18"/>
          <w:szCs w:val="18"/>
        </w:rPr>
        <w:t>mg bd, 95% received the proposed TGA dose)</w:t>
      </w:r>
      <w:r w:rsidR="00342061" w:rsidRPr="007F33F1">
        <w:rPr>
          <w:rStyle w:val="CommentReference"/>
          <w:rFonts w:eastAsiaTheme="majorEastAsia"/>
          <w:b w:val="0"/>
          <w:bCs/>
          <w:sz w:val="18"/>
          <w:szCs w:val="18"/>
        </w:rPr>
        <w:t>.</w:t>
      </w:r>
    </w:p>
    <w:p w:rsidR="006022B8" w:rsidRPr="007F33F1" w:rsidRDefault="006022B8" w:rsidP="0047221E">
      <w:pPr>
        <w:pStyle w:val="TableFigureFooter"/>
        <w:keepLines/>
        <w:rPr>
          <w:rStyle w:val="CommentReference"/>
          <w:rFonts w:eastAsiaTheme="majorEastAsia"/>
          <w:b w:val="0"/>
          <w:bCs/>
          <w:sz w:val="18"/>
          <w:szCs w:val="18"/>
        </w:rPr>
      </w:pPr>
      <w:r w:rsidRPr="007F33F1">
        <w:rPr>
          <w:rStyle w:val="CommentReference"/>
          <w:rFonts w:eastAsiaTheme="majorEastAsia"/>
          <w:b w:val="0"/>
          <w:bCs/>
          <w:sz w:val="18"/>
          <w:szCs w:val="18"/>
          <w:vertAlign w:val="superscript"/>
        </w:rPr>
        <w:t xml:space="preserve">e </w:t>
      </w:r>
      <w:r w:rsidRPr="007F33F1">
        <w:rPr>
          <w:rStyle w:val="CommentReference"/>
          <w:rFonts w:eastAsiaTheme="majorEastAsia"/>
          <w:b w:val="0"/>
          <w:bCs/>
          <w:sz w:val="18"/>
          <w:szCs w:val="18"/>
        </w:rPr>
        <w:t>The submission reported RR results as IBRU vs ZANU, these were re-estimated during the evaluation to report as ZANU vs IBRU.</w:t>
      </w:r>
    </w:p>
    <w:p w:rsidR="006022B8" w:rsidRPr="007F33F1" w:rsidRDefault="006022B8" w:rsidP="0047221E">
      <w:pPr>
        <w:pStyle w:val="TableFigureFooter"/>
        <w:keepLines/>
        <w:rPr>
          <w:rStyle w:val="CommentReference"/>
          <w:rFonts w:eastAsiaTheme="majorEastAsia"/>
          <w:b w:val="0"/>
          <w:bCs/>
          <w:sz w:val="18"/>
          <w:szCs w:val="18"/>
        </w:rPr>
      </w:pPr>
      <w:r w:rsidRPr="007F33F1">
        <w:rPr>
          <w:rStyle w:val="CommentReference"/>
          <w:rFonts w:eastAsiaTheme="majorEastAsia"/>
          <w:b w:val="0"/>
          <w:bCs/>
          <w:sz w:val="18"/>
          <w:szCs w:val="18"/>
          <w:vertAlign w:val="superscript"/>
        </w:rPr>
        <w:t xml:space="preserve">f </w:t>
      </w:r>
      <w:r w:rsidRPr="007F33F1">
        <w:rPr>
          <w:rStyle w:val="CommentReference"/>
          <w:rFonts w:eastAsiaTheme="majorEastAsia"/>
          <w:b w:val="0"/>
          <w:bCs/>
          <w:sz w:val="18"/>
          <w:szCs w:val="18"/>
        </w:rPr>
        <w:t>Primary trial outcome.</w:t>
      </w:r>
    </w:p>
    <w:p w:rsidR="002D4CB8" w:rsidRPr="007F33F1" w:rsidRDefault="00884C7E" w:rsidP="0047221E">
      <w:pPr>
        <w:pStyle w:val="3-BodyText"/>
      </w:pPr>
      <w:r w:rsidRPr="007F33F1">
        <w:t xml:space="preserve">Overall, </w:t>
      </w:r>
      <w:r w:rsidR="00AB5575" w:rsidRPr="007F33F1">
        <w:t xml:space="preserve">there were no </w:t>
      </w:r>
      <w:r w:rsidR="00C2202D" w:rsidRPr="007F33F1">
        <w:t>notable</w:t>
      </w:r>
      <w:r w:rsidR="00AB5575" w:rsidRPr="007F33F1">
        <w:t xml:space="preserve"> differences between </w:t>
      </w:r>
      <w:r w:rsidRPr="007F33F1">
        <w:t xml:space="preserve">the treatments </w:t>
      </w:r>
      <w:r w:rsidR="002D4CB8" w:rsidRPr="007F33F1">
        <w:t>with respect to</w:t>
      </w:r>
      <w:r w:rsidR="00AB5575" w:rsidRPr="007F33F1">
        <w:t xml:space="preserve"> high quality response rates (VGPR, CR and VGPR/CR)</w:t>
      </w:r>
      <w:r w:rsidR="00B14CC2" w:rsidRPr="007F33F1">
        <w:t xml:space="preserve"> except for Rm, which had a lower proportion of patients with high quality response rates compared to other treatments</w:t>
      </w:r>
      <w:r w:rsidR="00AB5575" w:rsidRPr="007F33F1">
        <w:t>.</w:t>
      </w:r>
      <w:r w:rsidR="007A7E4F" w:rsidRPr="007F33F1">
        <w:t xml:space="preserve"> </w:t>
      </w:r>
      <w:r w:rsidR="007A7E4F" w:rsidRPr="007F33F1">
        <w:rPr>
          <w:rFonts w:eastAsia="Calibri"/>
        </w:rPr>
        <w:t>V</w:t>
      </w:r>
      <w:r w:rsidR="00205FD7" w:rsidRPr="007F33F1">
        <w:rPr>
          <w:rFonts w:eastAsia="Calibri"/>
        </w:rPr>
        <w:t>ery few patients achieved CR with any treatment</w:t>
      </w:r>
      <w:r w:rsidR="002D4CB8" w:rsidRPr="007F33F1">
        <w:rPr>
          <w:rFonts w:eastAsia="Calibri"/>
        </w:rPr>
        <w:t>, so no comparisons could be made. Similarly,</w:t>
      </w:r>
      <w:r w:rsidR="00205FD7" w:rsidRPr="007F33F1">
        <w:rPr>
          <w:rFonts w:eastAsia="Calibri"/>
        </w:rPr>
        <w:t xml:space="preserve"> few patients achieved a VGPR</w:t>
      </w:r>
      <w:r w:rsidR="002D4CB8" w:rsidRPr="007F33F1">
        <w:rPr>
          <w:rFonts w:eastAsia="Calibri"/>
        </w:rPr>
        <w:t xml:space="preserve">. </w:t>
      </w:r>
      <w:r w:rsidR="00894CC9" w:rsidRPr="007F33F1">
        <w:rPr>
          <w:rFonts w:eastAsia="Calibri"/>
        </w:rPr>
        <w:t xml:space="preserve">In </w:t>
      </w:r>
      <w:r w:rsidRPr="007F33F1">
        <w:rPr>
          <w:rFonts w:eastAsia="Calibri"/>
        </w:rPr>
        <w:t>iNNOVATE</w:t>
      </w:r>
      <w:r w:rsidR="00330E61" w:rsidRPr="007F33F1">
        <w:rPr>
          <w:rFonts w:eastAsia="Calibri"/>
        </w:rPr>
        <w:t>,</w:t>
      </w:r>
      <w:r w:rsidR="002D4CB8" w:rsidRPr="007F33F1">
        <w:rPr>
          <w:rFonts w:eastAsia="Calibri"/>
        </w:rPr>
        <w:t xml:space="preserve"> </w:t>
      </w:r>
      <w:r w:rsidR="008D3E76" w:rsidRPr="007F33F1">
        <w:rPr>
          <w:rFonts w:eastAsia="Calibri"/>
        </w:rPr>
        <w:t xml:space="preserve">statistically </w:t>
      </w:r>
      <w:r w:rsidRPr="007F33F1">
        <w:rPr>
          <w:rFonts w:eastAsia="Calibri"/>
        </w:rPr>
        <w:t xml:space="preserve">significantly more patients treated with </w:t>
      </w:r>
      <w:r w:rsidR="00BE77FA" w:rsidRPr="007F33F1">
        <w:rPr>
          <w:rFonts w:eastAsia="Calibri"/>
        </w:rPr>
        <w:t>ibrutinib</w:t>
      </w:r>
      <w:r w:rsidRPr="007F33F1">
        <w:rPr>
          <w:rFonts w:eastAsia="Calibri"/>
        </w:rPr>
        <w:t>+R attained a VGPR versus Rm (23% vs 4%, RD 0.19</w:t>
      </w:r>
      <w:r w:rsidR="00917DF9" w:rsidRPr="007F33F1">
        <w:rPr>
          <w:rFonts w:eastAsia="Calibri"/>
        </w:rPr>
        <w:t>,</w:t>
      </w:r>
      <w:r w:rsidRPr="007F33F1">
        <w:rPr>
          <w:rFonts w:eastAsia="Calibri"/>
        </w:rPr>
        <w:t xml:space="preserve"> 95%</w:t>
      </w:r>
      <w:r w:rsidR="00342DA4" w:rsidRPr="007F33F1">
        <w:rPr>
          <w:rFonts w:eastAsia="Calibri"/>
        </w:rPr>
        <w:t xml:space="preserve"> </w:t>
      </w:r>
      <w:r w:rsidRPr="007F33F1">
        <w:rPr>
          <w:rFonts w:eastAsia="Calibri"/>
        </w:rPr>
        <w:t>CI: 0.08</w:t>
      </w:r>
      <w:r w:rsidR="00330E61" w:rsidRPr="007F33F1">
        <w:rPr>
          <w:rFonts w:eastAsia="Calibri"/>
        </w:rPr>
        <w:t xml:space="preserve">, </w:t>
      </w:r>
      <w:r w:rsidRPr="007F33F1">
        <w:rPr>
          <w:rFonts w:eastAsia="Calibri"/>
        </w:rPr>
        <w:t>0.29)</w:t>
      </w:r>
      <w:r w:rsidR="002D4CB8" w:rsidRPr="007F33F1">
        <w:rPr>
          <w:rFonts w:eastAsia="Calibri"/>
        </w:rPr>
        <w:t>.</w:t>
      </w:r>
      <w:r w:rsidR="003D5831" w:rsidRPr="007F33F1">
        <w:rPr>
          <w:rFonts w:eastAsia="Calibri"/>
        </w:rPr>
        <w:t xml:space="preserve"> Given very few patients achieved CR</w:t>
      </w:r>
      <w:r w:rsidR="00B94F96" w:rsidRPr="007F33F1">
        <w:rPr>
          <w:rFonts w:eastAsia="Calibri"/>
        </w:rPr>
        <w:t xml:space="preserve">, the results </w:t>
      </w:r>
      <w:r w:rsidR="00AB3DB9" w:rsidRPr="007F33F1">
        <w:rPr>
          <w:rFonts w:eastAsia="Calibri"/>
        </w:rPr>
        <w:t xml:space="preserve">for </w:t>
      </w:r>
      <w:r w:rsidR="00B94F96" w:rsidRPr="007F33F1">
        <w:rPr>
          <w:rFonts w:eastAsia="Calibri"/>
        </w:rPr>
        <w:t>VGPR/CR w</w:t>
      </w:r>
      <w:r w:rsidR="00330E61" w:rsidRPr="007F33F1">
        <w:rPr>
          <w:rFonts w:eastAsia="Calibri"/>
        </w:rPr>
        <w:t>ere</w:t>
      </w:r>
      <w:r w:rsidR="003D5831" w:rsidRPr="007F33F1">
        <w:rPr>
          <w:rFonts w:eastAsia="Calibri"/>
        </w:rPr>
        <w:t xml:space="preserve"> almost</w:t>
      </w:r>
      <w:r w:rsidR="00B94F96" w:rsidRPr="007F33F1">
        <w:rPr>
          <w:rFonts w:eastAsia="Calibri"/>
        </w:rPr>
        <w:t xml:space="preserve"> identical to</w:t>
      </w:r>
      <w:r w:rsidR="00AB3DB9" w:rsidRPr="007F33F1">
        <w:rPr>
          <w:rFonts w:eastAsia="Calibri"/>
        </w:rPr>
        <w:t xml:space="preserve"> those for</w:t>
      </w:r>
      <w:r w:rsidR="00B94F96" w:rsidRPr="007F33F1">
        <w:rPr>
          <w:rFonts w:eastAsia="Calibri"/>
        </w:rPr>
        <w:t xml:space="preserve"> VGPR.</w:t>
      </w:r>
      <w:r w:rsidR="00C71D7A" w:rsidRPr="007F33F1">
        <w:rPr>
          <w:rFonts w:eastAsia="Calibri"/>
        </w:rPr>
        <w:t xml:space="preserve"> The ESC </w:t>
      </w:r>
      <w:r w:rsidR="006022B8" w:rsidRPr="007F33F1">
        <w:rPr>
          <w:rFonts w:eastAsia="Calibri"/>
        </w:rPr>
        <w:t xml:space="preserve">considered </w:t>
      </w:r>
      <w:r w:rsidR="00C71D7A" w:rsidRPr="007F33F1">
        <w:rPr>
          <w:rFonts w:eastAsia="Calibri"/>
        </w:rPr>
        <w:t>that the low number of patients achieving CR across the studies was consistent with CR rates for WM observed in clinical practice.</w:t>
      </w:r>
      <w:r w:rsidR="00EF2438" w:rsidRPr="007F33F1">
        <w:rPr>
          <w:rFonts w:eastAsia="Calibri"/>
        </w:rPr>
        <w:t xml:space="preserve"> </w:t>
      </w:r>
    </w:p>
    <w:p w:rsidR="001E209D" w:rsidRPr="007F33F1" w:rsidRDefault="00E14531" w:rsidP="0047221E">
      <w:pPr>
        <w:pStyle w:val="3-BodyText"/>
        <w:rPr>
          <w:rFonts w:eastAsia="Calibri"/>
        </w:rPr>
      </w:pPr>
      <w:r w:rsidRPr="007F33F1">
        <w:rPr>
          <w:rFonts w:eastAsia="Calibri"/>
        </w:rPr>
        <w:t xml:space="preserve">Results for </w:t>
      </w:r>
      <w:r w:rsidR="001E209D" w:rsidRPr="007F33F1">
        <w:rPr>
          <w:rFonts w:eastAsia="Calibri"/>
        </w:rPr>
        <w:t>other response outcomes PR, ORR and MRR</w:t>
      </w:r>
      <w:r w:rsidR="006322E7" w:rsidRPr="007F33F1">
        <w:rPr>
          <w:rFonts w:eastAsia="Calibri"/>
        </w:rPr>
        <w:t xml:space="preserve"> </w:t>
      </w:r>
      <w:r w:rsidRPr="007F33F1">
        <w:rPr>
          <w:rFonts w:eastAsia="Calibri"/>
        </w:rPr>
        <w:t>appeared to support similar conclusions</w:t>
      </w:r>
      <w:r w:rsidR="00E34C98" w:rsidRPr="007F33F1">
        <w:rPr>
          <w:rFonts w:eastAsia="Calibri"/>
        </w:rPr>
        <w:t>; that is, no notable differences, with the exception or Rm, which showed lower response rates</w:t>
      </w:r>
      <w:r w:rsidR="00342DA4" w:rsidRPr="007F33F1">
        <w:rPr>
          <w:rFonts w:eastAsia="Calibri"/>
        </w:rPr>
        <w:t>.</w:t>
      </w:r>
    </w:p>
    <w:p w:rsidR="0040475B" w:rsidRPr="007F33F1" w:rsidRDefault="00894CC9" w:rsidP="0047221E">
      <w:pPr>
        <w:pStyle w:val="3-BodyText"/>
      </w:pPr>
      <w:r w:rsidRPr="007F33F1">
        <w:rPr>
          <w:rFonts w:eastAsia="Calibri"/>
        </w:rPr>
        <w:t>Some further observations in relation to the results include</w:t>
      </w:r>
      <w:r w:rsidR="00342DA4" w:rsidRPr="007F33F1">
        <w:rPr>
          <w:rFonts w:eastAsia="Calibri"/>
        </w:rPr>
        <w:t>d</w:t>
      </w:r>
      <w:r w:rsidR="0040475B" w:rsidRPr="007F33F1">
        <w:rPr>
          <w:rFonts w:eastAsia="Calibri"/>
        </w:rPr>
        <w:t xml:space="preserve"> that:</w:t>
      </w:r>
      <w:r w:rsidRPr="007F33F1">
        <w:rPr>
          <w:rFonts w:eastAsia="Calibri"/>
        </w:rPr>
        <w:t xml:space="preserve"> </w:t>
      </w:r>
    </w:p>
    <w:p w:rsidR="004E1C3F" w:rsidRPr="007F33F1" w:rsidRDefault="00205FD7" w:rsidP="0047221E">
      <w:pPr>
        <w:pStyle w:val="3-BodyText"/>
        <w:numPr>
          <w:ilvl w:val="1"/>
          <w:numId w:val="6"/>
        </w:numPr>
        <w:ind w:left="993" w:hanging="284"/>
      </w:pPr>
      <w:r w:rsidRPr="007F33F1">
        <w:rPr>
          <w:rFonts w:eastAsia="Calibri"/>
        </w:rPr>
        <w:t xml:space="preserve">The proportions of responders </w:t>
      </w:r>
      <w:r w:rsidR="00DF44E5" w:rsidRPr="007F33F1">
        <w:rPr>
          <w:rFonts w:eastAsia="Calibri"/>
        </w:rPr>
        <w:t xml:space="preserve">to </w:t>
      </w:r>
      <w:r w:rsidR="00BE77FA" w:rsidRPr="007F33F1">
        <w:rPr>
          <w:rFonts w:eastAsia="Calibri"/>
        </w:rPr>
        <w:t>zanubrutinib</w:t>
      </w:r>
      <w:r w:rsidR="00DF44E5" w:rsidRPr="007F33F1">
        <w:rPr>
          <w:rFonts w:eastAsia="Calibri"/>
        </w:rPr>
        <w:t xml:space="preserve"> </w:t>
      </w:r>
      <w:r w:rsidRPr="007F33F1">
        <w:rPr>
          <w:rFonts w:eastAsia="Calibri"/>
        </w:rPr>
        <w:t>were similar across the ITT/TN/RR populations</w:t>
      </w:r>
      <w:r w:rsidR="00330E61" w:rsidRPr="007F33F1">
        <w:rPr>
          <w:rFonts w:eastAsia="Calibri"/>
        </w:rPr>
        <w:t>;</w:t>
      </w:r>
      <w:r w:rsidR="00F02845" w:rsidRPr="007F33F1">
        <w:rPr>
          <w:rFonts w:eastAsia="Calibri"/>
        </w:rPr>
        <w:t xml:space="preserve"> however</w:t>
      </w:r>
      <w:r w:rsidR="00330E61" w:rsidRPr="007F33F1">
        <w:rPr>
          <w:rFonts w:eastAsia="Calibri"/>
        </w:rPr>
        <w:t>,</w:t>
      </w:r>
      <w:r w:rsidR="00F02845" w:rsidRPr="007F33F1">
        <w:rPr>
          <w:rFonts w:eastAsia="Calibri"/>
        </w:rPr>
        <w:t xml:space="preserve"> this similarity did not appear</w:t>
      </w:r>
      <w:r w:rsidR="004C7980" w:rsidRPr="007F33F1">
        <w:rPr>
          <w:rFonts w:eastAsia="Calibri"/>
        </w:rPr>
        <w:t xml:space="preserve"> to</w:t>
      </w:r>
      <w:r w:rsidR="00F02845" w:rsidRPr="007F33F1">
        <w:rPr>
          <w:rFonts w:eastAsia="Calibri"/>
        </w:rPr>
        <w:t xml:space="preserve"> carry thr</w:t>
      </w:r>
      <w:r w:rsidR="00330E61" w:rsidRPr="007F33F1">
        <w:rPr>
          <w:rFonts w:eastAsia="Calibri"/>
        </w:rPr>
        <w:t>o</w:t>
      </w:r>
      <w:r w:rsidR="00F02845" w:rsidRPr="007F33F1">
        <w:rPr>
          <w:rFonts w:eastAsia="Calibri"/>
        </w:rPr>
        <w:t>u</w:t>
      </w:r>
      <w:r w:rsidR="00330E61" w:rsidRPr="007F33F1">
        <w:rPr>
          <w:rFonts w:eastAsia="Calibri"/>
        </w:rPr>
        <w:t>gh</w:t>
      </w:r>
      <w:r w:rsidR="00F02845" w:rsidRPr="007F33F1">
        <w:rPr>
          <w:rFonts w:eastAsia="Calibri"/>
        </w:rPr>
        <w:t xml:space="preserve"> to survival outcomes (see below)</w:t>
      </w:r>
      <w:r w:rsidR="004E1C3F" w:rsidRPr="007F33F1">
        <w:rPr>
          <w:rFonts w:eastAsia="Calibri"/>
        </w:rPr>
        <w:t>, suggesting that response may not be a good surrogate outcome for survival.</w:t>
      </w:r>
    </w:p>
    <w:p w:rsidR="006B1FE2" w:rsidRPr="007F33F1" w:rsidRDefault="006B1FE2" w:rsidP="0047221E">
      <w:pPr>
        <w:pStyle w:val="3-BodyText"/>
        <w:numPr>
          <w:ilvl w:val="1"/>
          <w:numId w:val="6"/>
        </w:numPr>
        <w:ind w:left="993" w:hanging="284"/>
      </w:pPr>
      <w:r w:rsidRPr="007F33F1">
        <w:rPr>
          <w:rFonts w:eastAsia="Calibri"/>
        </w:rPr>
        <w:t xml:space="preserve">The addition of rituximab to </w:t>
      </w:r>
      <w:r w:rsidR="00BE77FA" w:rsidRPr="007F33F1">
        <w:rPr>
          <w:rFonts w:eastAsia="Calibri"/>
        </w:rPr>
        <w:t>ibrutinib</w:t>
      </w:r>
      <w:r w:rsidRPr="007F33F1">
        <w:rPr>
          <w:rFonts w:eastAsia="Calibri"/>
        </w:rPr>
        <w:t xml:space="preserve"> may have</w:t>
      </w:r>
      <w:r w:rsidR="00A8057F" w:rsidRPr="007F33F1">
        <w:rPr>
          <w:rFonts w:eastAsia="Calibri"/>
        </w:rPr>
        <w:t xml:space="preserve"> to an extent,</w:t>
      </w:r>
      <w:r w:rsidRPr="007F33F1">
        <w:rPr>
          <w:rFonts w:eastAsia="Calibri"/>
        </w:rPr>
        <w:t xml:space="preserve"> counterbalance</w:t>
      </w:r>
      <w:r w:rsidR="00E14531" w:rsidRPr="007F33F1">
        <w:rPr>
          <w:rFonts w:eastAsia="Calibri"/>
        </w:rPr>
        <w:t>d</w:t>
      </w:r>
      <w:r w:rsidRPr="007F33F1">
        <w:rPr>
          <w:rFonts w:eastAsia="Calibri"/>
        </w:rPr>
        <w:t xml:space="preserve"> the negative effect of unfavourable genetic variants on response outcomes for </w:t>
      </w:r>
      <w:r w:rsidR="00BE77FA" w:rsidRPr="007F33F1">
        <w:rPr>
          <w:rFonts w:eastAsia="Calibri"/>
        </w:rPr>
        <w:t>ibrutinib</w:t>
      </w:r>
      <w:r w:rsidRPr="007F33F1">
        <w:rPr>
          <w:rFonts w:eastAsia="Calibri"/>
        </w:rPr>
        <w:t xml:space="preserve">, compensating for a lower proportion of patients with the most favourable genetic profile in iNNOVATE versus ASPEN. </w:t>
      </w:r>
      <w:r w:rsidR="00F02845" w:rsidRPr="007F33F1">
        <w:rPr>
          <w:rFonts w:eastAsia="Calibri"/>
        </w:rPr>
        <w:t>Despite noted trial differences, t</w:t>
      </w:r>
      <w:r w:rsidR="0040475B" w:rsidRPr="007F33F1">
        <w:rPr>
          <w:rFonts w:eastAsia="Calibri"/>
        </w:rPr>
        <w:t>he proportion of responders</w:t>
      </w:r>
      <w:r w:rsidRPr="007F33F1">
        <w:rPr>
          <w:rFonts w:eastAsia="Calibri"/>
        </w:rPr>
        <w:t xml:space="preserve"> in the ‘common’ reference arm </w:t>
      </w:r>
      <w:r w:rsidR="00BE77FA" w:rsidRPr="007F33F1">
        <w:rPr>
          <w:rFonts w:eastAsia="Calibri"/>
        </w:rPr>
        <w:t>ibrutinib</w:t>
      </w:r>
      <w:r w:rsidR="0040475B" w:rsidRPr="007F33F1">
        <w:rPr>
          <w:rFonts w:eastAsia="Calibri"/>
        </w:rPr>
        <w:t xml:space="preserve">+R </w:t>
      </w:r>
      <w:r w:rsidR="00342DA4" w:rsidRPr="007F33F1">
        <w:rPr>
          <w:rFonts w:eastAsia="Calibri"/>
        </w:rPr>
        <w:t xml:space="preserve">in iNNOVATE and </w:t>
      </w:r>
      <w:r w:rsidR="00BE77FA" w:rsidRPr="007F33F1">
        <w:rPr>
          <w:rFonts w:eastAsia="Calibri"/>
        </w:rPr>
        <w:t>ibrutinib</w:t>
      </w:r>
      <w:r w:rsidR="00342DA4" w:rsidRPr="007F33F1">
        <w:rPr>
          <w:rFonts w:eastAsia="Calibri"/>
        </w:rPr>
        <w:t xml:space="preserve"> from ASPEN-</w:t>
      </w:r>
      <w:r w:rsidR="0040475B" w:rsidRPr="007F33F1">
        <w:rPr>
          <w:rFonts w:eastAsia="Calibri"/>
        </w:rPr>
        <w:t xml:space="preserve">Cohort 1 were similar </w:t>
      </w:r>
      <w:r w:rsidR="00DF44E5" w:rsidRPr="007F33F1">
        <w:rPr>
          <w:rFonts w:eastAsia="Calibri"/>
        </w:rPr>
        <w:t>(23% vs 17-20%)</w:t>
      </w:r>
      <w:r w:rsidR="00720C41" w:rsidRPr="007F33F1">
        <w:rPr>
          <w:rFonts w:eastAsia="Calibri"/>
        </w:rPr>
        <w:t>,</w:t>
      </w:r>
      <w:r w:rsidR="00DF44E5" w:rsidRPr="007F33F1">
        <w:rPr>
          <w:rFonts w:eastAsia="Calibri"/>
        </w:rPr>
        <w:t xml:space="preserve"> </w:t>
      </w:r>
      <w:r w:rsidR="0040475B" w:rsidRPr="007F33F1">
        <w:rPr>
          <w:rFonts w:eastAsia="Calibri"/>
        </w:rPr>
        <w:t xml:space="preserve">suggesting </w:t>
      </w:r>
      <w:r w:rsidR="008D3158" w:rsidRPr="007F33F1">
        <w:rPr>
          <w:rFonts w:eastAsia="Calibri"/>
        </w:rPr>
        <w:t xml:space="preserve">the </w:t>
      </w:r>
      <w:r w:rsidR="00DF44E5" w:rsidRPr="007F33F1">
        <w:rPr>
          <w:rFonts w:eastAsia="Calibri"/>
        </w:rPr>
        <w:t xml:space="preserve">nomination </w:t>
      </w:r>
      <w:r w:rsidR="00CC4CE4" w:rsidRPr="007F33F1">
        <w:rPr>
          <w:rFonts w:eastAsia="Calibri"/>
        </w:rPr>
        <w:t xml:space="preserve">of </w:t>
      </w:r>
      <w:r w:rsidR="00BE77FA" w:rsidRPr="007F33F1">
        <w:rPr>
          <w:rFonts w:eastAsia="Calibri"/>
        </w:rPr>
        <w:t>ibrutinib</w:t>
      </w:r>
      <w:r w:rsidR="00CC4CE4" w:rsidRPr="007F33F1">
        <w:rPr>
          <w:rFonts w:eastAsia="Calibri"/>
        </w:rPr>
        <w:t>/</w:t>
      </w:r>
      <w:r w:rsidR="00BE77FA" w:rsidRPr="007F33F1">
        <w:rPr>
          <w:rFonts w:eastAsia="Calibri"/>
        </w:rPr>
        <w:t>ibrutinib</w:t>
      </w:r>
      <w:r w:rsidR="00CC4CE4" w:rsidRPr="007F33F1">
        <w:rPr>
          <w:rFonts w:eastAsia="Calibri"/>
        </w:rPr>
        <w:t xml:space="preserve">+R </w:t>
      </w:r>
      <w:r w:rsidR="00DF44E5" w:rsidRPr="007F33F1">
        <w:rPr>
          <w:rFonts w:eastAsia="Calibri"/>
        </w:rPr>
        <w:t xml:space="preserve">as </w:t>
      </w:r>
      <w:r w:rsidR="00F02845" w:rsidRPr="007F33F1">
        <w:rPr>
          <w:rFonts w:eastAsia="Calibri"/>
        </w:rPr>
        <w:t>‘</w:t>
      </w:r>
      <w:r w:rsidR="00DF44E5" w:rsidRPr="007F33F1">
        <w:rPr>
          <w:rFonts w:eastAsia="Calibri"/>
        </w:rPr>
        <w:t>common</w:t>
      </w:r>
      <w:r w:rsidR="00F02845" w:rsidRPr="007F33F1">
        <w:rPr>
          <w:rFonts w:eastAsia="Calibri"/>
        </w:rPr>
        <w:t>’</w:t>
      </w:r>
      <w:r w:rsidR="00DF44E5" w:rsidRPr="007F33F1">
        <w:rPr>
          <w:rFonts w:eastAsia="Calibri"/>
        </w:rPr>
        <w:t xml:space="preserve"> comparator for response outcomes</w:t>
      </w:r>
      <w:r w:rsidR="00CC4CE4" w:rsidRPr="007F33F1">
        <w:rPr>
          <w:rFonts w:eastAsia="Calibri"/>
        </w:rPr>
        <w:t xml:space="preserve"> in the ITC</w:t>
      </w:r>
      <w:r w:rsidR="008D3158" w:rsidRPr="007F33F1">
        <w:rPr>
          <w:rFonts w:eastAsia="Calibri"/>
        </w:rPr>
        <w:t xml:space="preserve"> was potentially reasonable</w:t>
      </w:r>
      <w:r w:rsidR="0040475B" w:rsidRPr="007F33F1">
        <w:rPr>
          <w:rFonts w:eastAsia="Calibri"/>
        </w:rPr>
        <w:t>.</w:t>
      </w:r>
      <w:r w:rsidRPr="007F33F1">
        <w:rPr>
          <w:rFonts w:eastAsia="Calibri"/>
        </w:rPr>
        <w:t xml:space="preserve"> </w:t>
      </w:r>
    </w:p>
    <w:p w:rsidR="00BE1F88" w:rsidRPr="007F33F1" w:rsidRDefault="00BE1F88" w:rsidP="0047221E">
      <w:pPr>
        <w:pStyle w:val="3-BodyText"/>
      </w:pPr>
      <w:r w:rsidRPr="007F33F1">
        <w:t xml:space="preserve">There were limited data across the studies for duration of response, time to response and time to treatment discontinuation. </w:t>
      </w:r>
    </w:p>
    <w:p w:rsidR="00BE1F88" w:rsidRPr="007F33F1" w:rsidRDefault="00BE1F88" w:rsidP="0047221E">
      <w:pPr>
        <w:pStyle w:val="3-BodyText"/>
      </w:pPr>
      <w:r w:rsidRPr="007F33F1">
        <w:t xml:space="preserve">In ASPEN, median duration of VGPR/CR was not estimable, and duration of major response at 24 months was similar for </w:t>
      </w:r>
      <w:r w:rsidR="00BE77FA" w:rsidRPr="007F33F1">
        <w:t>zanubrutinib</w:t>
      </w:r>
      <w:r w:rsidRPr="007F33F1">
        <w:t xml:space="preserve"> and </w:t>
      </w:r>
      <w:r w:rsidR="00BE77FA" w:rsidRPr="007F33F1">
        <w:t>ibrutinib</w:t>
      </w:r>
      <w:r w:rsidRPr="007F33F1">
        <w:t xml:space="preserve"> patients </w:t>
      </w:r>
      <w:bookmarkStart w:id="40" w:name="_Hlk79075746"/>
      <w:r w:rsidRPr="007F33F1">
        <w:t>(85.2% vs 81.6%)</w:t>
      </w:r>
      <w:bookmarkEnd w:id="40"/>
      <w:r w:rsidRPr="007F33F1">
        <w:t xml:space="preserve">. Median time to VGPR/CR was shorter in </w:t>
      </w:r>
      <w:r w:rsidR="00BE77FA" w:rsidRPr="007F33F1">
        <w:t>zanubrutinib</w:t>
      </w:r>
      <w:r w:rsidRPr="007F33F1">
        <w:t xml:space="preserve"> than </w:t>
      </w:r>
      <w:r w:rsidR="00BE77FA" w:rsidRPr="007F33F1">
        <w:t>ibrutinib</w:t>
      </w:r>
      <w:r w:rsidRPr="007F33F1">
        <w:t xml:space="preserve"> (4.80 vs 7.39 months), but median time to major response was equal in both treatment arms (2.83 months). Time to treatment discontinuation (TTD) was longer in </w:t>
      </w:r>
      <w:r w:rsidR="00BE77FA" w:rsidRPr="007F33F1">
        <w:t>zanubrutinib</w:t>
      </w:r>
      <w:r w:rsidRPr="007F33F1">
        <w:t xml:space="preserve">-treated patients than in those given </w:t>
      </w:r>
      <w:r w:rsidR="00BE77FA" w:rsidRPr="007F33F1">
        <w:t>ibrutinib</w:t>
      </w:r>
      <w:r w:rsidRPr="007F33F1">
        <w:t xml:space="preserve"> (9.22 vs 5.52 months).</w:t>
      </w:r>
    </w:p>
    <w:p w:rsidR="00BE1F88" w:rsidRPr="007F33F1" w:rsidRDefault="00BE1F88" w:rsidP="0047221E">
      <w:pPr>
        <w:pStyle w:val="3-BodyText"/>
      </w:pPr>
      <w:r w:rsidRPr="007F33F1">
        <w:t xml:space="preserve">iNNOVATE did not include data on time to response or duration of response, but reported time to next treatment, </w:t>
      </w:r>
      <w:bookmarkStart w:id="41" w:name="_Hlk79076160"/>
      <w:r w:rsidRPr="007F33F1">
        <w:t xml:space="preserve">which was significantly higher in </w:t>
      </w:r>
      <w:r w:rsidR="00BE77FA" w:rsidRPr="007F33F1">
        <w:t>ibrutinib</w:t>
      </w:r>
      <w:r w:rsidRPr="007F33F1">
        <w:t>+R than in the</w:t>
      </w:r>
      <w:r w:rsidRPr="007F33F1">
        <w:rPr>
          <w:i/>
          <w:iCs/>
        </w:rPr>
        <w:t xml:space="preserve"> </w:t>
      </w:r>
      <w:r w:rsidRPr="007F33F1">
        <w:t>Rm treatment arm (HR=0.1, 95% CI: 0.04, 0.23).</w:t>
      </w:r>
      <w:bookmarkEnd w:id="41"/>
      <w:r w:rsidRPr="007F33F1">
        <w:t xml:space="preserve"> The median time to the next treatment was 18.1 months in Rm patients and not estimable in those receiving </w:t>
      </w:r>
      <w:r w:rsidR="00BE77FA" w:rsidRPr="007F33F1">
        <w:t>ibrutinib</w:t>
      </w:r>
      <w:r w:rsidRPr="007F33F1">
        <w:t xml:space="preserve">+R. </w:t>
      </w:r>
    </w:p>
    <w:p w:rsidR="00244C5F" w:rsidRPr="007F33F1" w:rsidRDefault="00E147D6" w:rsidP="0047221E">
      <w:pPr>
        <w:pStyle w:val="3-BodyText"/>
      </w:pPr>
      <w:r w:rsidRPr="007F33F1">
        <w:t xml:space="preserve">The ESC </w:t>
      </w:r>
      <w:r w:rsidR="00E34C98" w:rsidRPr="007F33F1">
        <w:t>considered</w:t>
      </w:r>
      <w:r w:rsidR="003D3458" w:rsidRPr="007F33F1">
        <w:t xml:space="preserve"> it was difficult to draw </w:t>
      </w:r>
      <w:r w:rsidR="009F7EC7" w:rsidRPr="007F33F1">
        <w:t xml:space="preserve">any </w:t>
      </w:r>
      <w:r w:rsidR="003D3458" w:rsidRPr="007F33F1">
        <w:t xml:space="preserve">definitive conclusions </w:t>
      </w:r>
      <w:r w:rsidR="009F7EC7" w:rsidRPr="007F33F1">
        <w:t xml:space="preserve">regarding </w:t>
      </w:r>
      <w:r w:rsidR="006022B8" w:rsidRPr="007F33F1">
        <w:t>VGPR/CR</w:t>
      </w:r>
      <w:r w:rsidR="00336542" w:rsidRPr="007F33F1">
        <w:t xml:space="preserve"> for each treatment</w:t>
      </w:r>
      <w:r w:rsidR="009F7EC7" w:rsidRPr="007F33F1">
        <w:t xml:space="preserve"> due</w:t>
      </w:r>
      <w:r w:rsidR="00336542" w:rsidRPr="007F33F1">
        <w:t xml:space="preserve"> to differences between the studies (as described in paragraph </w:t>
      </w:r>
      <w:r w:rsidR="00015997">
        <w:t>6.12</w:t>
      </w:r>
      <w:r w:rsidR="00336542" w:rsidRPr="007F33F1">
        <w:t>),</w:t>
      </w:r>
      <w:r w:rsidR="009F7EC7" w:rsidRPr="007F33F1">
        <w:t xml:space="preserve"> the relatively small number of patients achieving these outcomes,</w:t>
      </w:r>
      <w:r w:rsidR="007B2CA4" w:rsidRPr="007F33F1">
        <w:t xml:space="preserve"> lack of data on duration of response across studies,</w:t>
      </w:r>
      <w:r w:rsidR="009F7EC7" w:rsidRPr="007F33F1">
        <w:t xml:space="preserve"> and the immaturity of the data</w:t>
      </w:r>
      <w:r w:rsidR="007B2CA4" w:rsidRPr="007F33F1">
        <w:t>.</w:t>
      </w:r>
    </w:p>
    <w:p w:rsidR="007C66CE" w:rsidRPr="007F33F1" w:rsidRDefault="007C66CE" w:rsidP="0047221E">
      <w:pPr>
        <w:pStyle w:val="Heading4"/>
      </w:pPr>
      <w:r w:rsidRPr="007F33F1">
        <w:t>Survival outcomes</w:t>
      </w:r>
    </w:p>
    <w:p w:rsidR="00205FD7" w:rsidRPr="007F33F1" w:rsidRDefault="00205FD7" w:rsidP="0047221E">
      <w:pPr>
        <w:pStyle w:val="3-BodyText"/>
        <w:rPr>
          <w:iCs/>
        </w:rPr>
      </w:pPr>
      <w:r w:rsidRPr="007F33F1">
        <w:rPr>
          <w:rFonts w:eastAsia="Calibri"/>
          <w:iCs/>
        </w:rPr>
        <w:t>Results for PFS and</w:t>
      </w:r>
      <w:r w:rsidR="00D7190A" w:rsidRPr="007F33F1">
        <w:rPr>
          <w:rFonts w:eastAsia="Calibri"/>
          <w:iCs/>
        </w:rPr>
        <w:t xml:space="preserve"> </w:t>
      </w:r>
      <w:r w:rsidRPr="007F33F1">
        <w:rPr>
          <w:rFonts w:eastAsia="Calibri"/>
          <w:iCs/>
        </w:rPr>
        <w:t xml:space="preserve">OS from the </w:t>
      </w:r>
      <w:r w:rsidR="00BE77FA" w:rsidRPr="007F33F1">
        <w:rPr>
          <w:rFonts w:eastAsia="Calibri"/>
          <w:iCs/>
        </w:rPr>
        <w:t>zanubrutinib</w:t>
      </w:r>
      <w:r w:rsidRPr="007F33F1">
        <w:rPr>
          <w:rFonts w:eastAsia="Calibri"/>
          <w:iCs/>
        </w:rPr>
        <w:t xml:space="preserve"> studies are summarised in </w:t>
      </w:r>
      <w:r w:rsidR="00015997" w:rsidRPr="007F33F1">
        <w:t xml:space="preserve">Table </w:t>
      </w:r>
      <w:r w:rsidR="00015997">
        <w:t>5</w:t>
      </w:r>
      <w:r w:rsidRPr="007F33F1">
        <w:rPr>
          <w:rFonts w:eastAsia="Calibri"/>
          <w:iCs/>
        </w:rPr>
        <w:t xml:space="preserve"> and </w:t>
      </w:r>
      <w:r w:rsidR="00015997" w:rsidRPr="007F33F1">
        <w:t xml:space="preserve">Figure </w:t>
      </w:r>
      <w:r w:rsidR="00015997">
        <w:t>3</w:t>
      </w:r>
      <w:r w:rsidRPr="007F33F1">
        <w:rPr>
          <w:rFonts w:eastAsia="Calibri"/>
          <w:iCs/>
        </w:rPr>
        <w:t>.</w:t>
      </w:r>
    </w:p>
    <w:p w:rsidR="00205FD7" w:rsidRPr="007F33F1" w:rsidRDefault="00205FD7" w:rsidP="0047221E">
      <w:pPr>
        <w:pStyle w:val="TableFigureHeading"/>
        <w:keepLines/>
      </w:pPr>
      <w:bookmarkStart w:id="42" w:name="_Ref71303805"/>
      <w:r w:rsidRPr="007F33F1">
        <w:t xml:space="preserve">Table </w:t>
      </w:r>
      <w:r w:rsidR="00015997">
        <w:rPr>
          <w:noProof/>
        </w:rPr>
        <w:t>5</w:t>
      </w:r>
      <w:bookmarkEnd w:id="42"/>
      <w:r w:rsidRPr="007F33F1">
        <w:t>: PFS and OS in ZANU trials (ASPEN and Study AU-003)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51"/>
        <w:gridCol w:w="1242"/>
        <w:gridCol w:w="1117"/>
        <w:gridCol w:w="958"/>
        <w:gridCol w:w="1092"/>
        <w:gridCol w:w="1094"/>
        <w:gridCol w:w="1047"/>
        <w:gridCol w:w="1139"/>
      </w:tblGrid>
      <w:tr w:rsidR="00205FD7" w:rsidRPr="007F33F1" w:rsidTr="00800B32">
        <w:trPr>
          <w:trHeight w:val="36"/>
          <w:tblHeader/>
        </w:trPr>
        <w:tc>
          <w:tcPr>
            <w:tcW w:w="747" w:type="pct"/>
            <w:vMerge w:val="restart"/>
          </w:tcPr>
          <w:p w:rsidR="00205FD7" w:rsidRPr="007F33F1" w:rsidRDefault="00205FD7" w:rsidP="0047221E">
            <w:pPr>
              <w:pStyle w:val="TableText0"/>
              <w:keepLines/>
              <w:rPr>
                <w:b/>
                <w:bCs w:val="0"/>
              </w:rPr>
            </w:pPr>
            <w:r w:rsidRPr="007F33F1">
              <w:rPr>
                <w:b/>
                <w:bCs w:val="0"/>
              </w:rPr>
              <w:t>Trial ID</w:t>
            </w:r>
          </w:p>
        </w:tc>
        <w:tc>
          <w:tcPr>
            <w:tcW w:w="687" w:type="pct"/>
            <w:vMerge w:val="restart"/>
            <w:shd w:val="clear" w:color="auto" w:fill="auto"/>
            <w:vAlign w:val="center"/>
          </w:tcPr>
          <w:p w:rsidR="00205FD7" w:rsidRPr="007F33F1" w:rsidRDefault="00205FD7" w:rsidP="0047221E">
            <w:pPr>
              <w:pStyle w:val="TableText0"/>
              <w:keepLines/>
              <w:jc w:val="center"/>
              <w:rPr>
                <w:b/>
                <w:bCs w:val="0"/>
              </w:rPr>
            </w:pPr>
            <w:r w:rsidRPr="007F33F1">
              <w:rPr>
                <w:b/>
                <w:bCs w:val="0"/>
              </w:rPr>
              <w:t>Outcomes</w:t>
            </w:r>
          </w:p>
        </w:tc>
        <w:tc>
          <w:tcPr>
            <w:tcW w:w="1148" w:type="pct"/>
            <w:gridSpan w:val="2"/>
            <w:shd w:val="clear" w:color="auto" w:fill="auto"/>
            <w:vAlign w:val="center"/>
          </w:tcPr>
          <w:p w:rsidR="00205FD7" w:rsidRPr="007F33F1" w:rsidRDefault="00205FD7" w:rsidP="0047221E">
            <w:pPr>
              <w:pStyle w:val="TableText0"/>
              <w:keepLines/>
              <w:jc w:val="center"/>
              <w:rPr>
                <w:b/>
                <w:bCs w:val="0"/>
              </w:rPr>
            </w:pPr>
            <w:r w:rsidRPr="007F33F1">
              <w:rPr>
                <w:b/>
                <w:bCs w:val="0"/>
              </w:rPr>
              <w:t>TN</w:t>
            </w:r>
          </w:p>
        </w:tc>
        <w:tc>
          <w:tcPr>
            <w:tcW w:w="1209" w:type="pct"/>
            <w:gridSpan w:val="2"/>
            <w:shd w:val="clear" w:color="auto" w:fill="auto"/>
            <w:vAlign w:val="center"/>
          </w:tcPr>
          <w:p w:rsidR="00205FD7" w:rsidRPr="007F33F1" w:rsidRDefault="00205FD7" w:rsidP="0047221E">
            <w:pPr>
              <w:pStyle w:val="TableText0"/>
              <w:keepLines/>
              <w:jc w:val="center"/>
              <w:rPr>
                <w:b/>
                <w:bCs w:val="0"/>
              </w:rPr>
            </w:pPr>
            <w:r w:rsidRPr="007F33F1">
              <w:rPr>
                <w:b/>
                <w:bCs w:val="0"/>
              </w:rPr>
              <w:t>R/R</w:t>
            </w:r>
          </w:p>
        </w:tc>
        <w:tc>
          <w:tcPr>
            <w:tcW w:w="1209" w:type="pct"/>
            <w:gridSpan w:val="2"/>
            <w:shd w:val="clear" w:color="auto" w:fill="auto"/>
            <w:vAlign w:val="center"/>
          </w:tcPr>
          <w:p w:rsidR="00205FD7" w:rsidRPr="007F33F1" w:rsidRDefault="00205FD7" w:rsidP="0047221E">
            <w:pPr>
              <w:pStyle w:val="TableText0"/>
              <w:keepLines/>
              <w:jc w:val="center"/>
              <w:rPr>
                <w:b/>
                <w:bCs w:val="0"/>
              </w:rPr>
            </w:pPr>
            <w:r w:rsidRPr="007F33F1">
              <w:rPr>
                <w:b/>
                <w:bCs w:val="0"/>
              </w:rPr>
              <w:t>Overall</w:t>
            </w:r>
          </w:p>
        </w:tc>
      </w:tr>
      <w:tr w:rsidR="00205FD7" w:rsidRPr="007F33F1" w:rsidTr="00800B32">
        <w:trPr>
          <w:trHeight w:val="287"/>
          <w:tblHeader/>
        </w:trPr>
        <w:tc>
          <w:tcPr>
            <w:tcW w:w="747" w:type="pct"/>
            <w:vMerge/>
          </w:tcPr>
          <w:p w:rsidR="00205FD7" w:rsidRPr="007F33F1" w:rsidRDefault="00205FD7" w:rsidP="0047221E">
            <w:pPr>
              <w:pStyle w:val="TableText0"/>
              <w:keepLines/>
            </w:pPr>
          </w:p>
        </w:tc>
        <w:tc>
          <w:tcPr>
            <w:tcW w:w="687" w:type="pct"/>
            <w:vMerge/>
            <w:shd w:val="clear" w:color="auto" w:fill="auto"/>
            <w:vAlign w:val="center"/>
          </w:tcPr>
          <w:p w:rsidR="00205FD7" w:rsidRPr="007F33F1" w:rsidRDefault="00205FD7" w:rsidP="0047221E">
            <w:pPr>
              <w:pStyle w:val="TableText0"/>
              <w:keepLines/>
            </w:pPr>
          </w:p>
        </w:tc>
        <w:tc>
          <w:tcPr>
            <w:tcW w:w="618" w:type="pct"/>
            <w:shd w:val="clear" w:color="auto" w:fill="auto"/>
            <w:vAlign w:val="center"/>
          </w:tcPr>
          <w:p w:rsidR="00205FD7" w:rsidRPr="007F33F1" w:rsidRDefault="00205FD7" w:rsidP="0047221E">
            <w:pPr>
              <w:pStyle w:val="TableText0"/>
              <w:keepLines/>
              <w:jc w:val="center"/>
              <w:rPr>
                <w:b/>
                <w:bCs w:val="0"/>
              </w:rPr>
            </w:pPr>
            <w:r w:rsidRPr="007F33F1">
              <w:rPr>
                <w:b/>
                <w:bCs w:val="0"/>
              </w:rPr>
              <w:t>ZANU</w:t>
            </w:r>
          </w:p>
        </w:tc>
        <w:tc>
          <w:tcPr>
            <w:tcW w:w="530" w:type="pct"/>
            <w:shd w:val="clear" w:color="auto" w:fill="auto"/>
            <w:vAlign w:val="center"/>
          </w:tcPr>
          <w:p w:rsidR="00205FD7" w:rsidRPr="007F33F1" w:rsidRDefault="00205FD7" w:rsidP="0047221E">
            <w:pPr>
              <w:pStyle w:val="TableText0"/>
              <w:keepLines/>
              <w:jc w:val="center"/>
              <w:rPr>
                <w:b/>
                <w:bCs w:val="0"/>
              </w:rPr>
            </w:pPr>
            <w:r w:rsidRPr="007F33F1">
              <w:rPr>
                <w:b/>
                <w:bCs w:val="0"/>
              </w:rPr>
              <w:t>IBRU</w:t>
            </w:r>
          </w:p>
        </w:tc>
        <w:tc>
          <w:tcPr>
            <w:tcW w:w="604" w:type="pct"/>
            <w:shd w:val="clear" w:color="auto" w:fill="auto"/>
            <w:vAlign w:val="center"/>
          </w:tcPr>
          <w:p w:rsidR="00205FD7" w:rsidRPr="007F33F1" w:rsidRDefault="00205FD7" w:rsidP="0047221E">
            <w:pPr>
              <w:pStyle w:val="TableText0"/>
              <w:keepLines/>
              <w:jc w:val="center"/>
              <w:rPr>
                <w:b/>
                <w:bCs w:val="0"/>
              </w:rPr>
            </w:pPr>
            <w:r w:rsidRPr="007F33F1">
              <w:rPr>
                <w:b/>
                <w:bCs w:val="0"/>
              </w:rPr>
              <w:t>ZANU</w:t>
            </w:r>
          </w:p>
        </w:tc>
        <w:tc>
          <w:tcPr>
            <w:tcW w:w="605" w:type="pct"/>
            <w:shd w:val="clear" w:color="auto" w:fill="auto"/>
            <w:vAlign w:val="center"/>
          </w:tcPr>
          <w:p w:rsidR="00205FD7" w:rsidRPr="007F33F1" w:rsidRDefault="00205FD7" w:rsidP="0047221E">
            <w:pPr>
              <w:pStyle w:val="TableText0"/>
              <w:keepLines/>
              <w:jc w:val="center"/>
              <w:rPr>
                <w:b/>
                <w:bCs w:val="0"/>
              </w:rPr>
            </w:pPr>
            <w:r w:rsidRPr="007F33F1">
              <w:rPr>
                <w:b/>
                <w:bCs w:val="0"/>
              </w:rPr>
              <w:t>IBRU</w:t>
            </w:r>
          </w:p>
        </w:tc>
        <w:tc>
          <w:tcPr>
            <w:tcW w:w="579" w:type="pct"/>
            <w:shd w:val="clear" w:color="auto" w:fill="auto"/>
            <w:vAlign w:val="center"/>
          </w:tcPr>
          <w:p w:rsidR="00205FD7" w:rsidRPr="007F33F1" w:rsidRDefault="00205FD7" w:rsidP="0047221E">
            <w:pPr>
              <w:pStyle w:val="TableText0"/>
              <w:keepLines/>
              <w:jc w:val="center"/>
              <w:rPr>
                <w:b/>
                <w:bCs w:val="0"/>
              </w:rPr>
            </w:pPr>
            <w:r w:rsidRPr="007F33F1">
              <w:rPr>
                <w:b/>
                <w:bCs w:val="0"/>
              </w:rPr>
              <w:t>ZANU</w:t>
            </w:r>
          </w:p>
        </w:tc>
        <w:tc>
          <w:tcPr>
            <w:tcW w:w="630" w:type="pct"/>
            <w:shd w:val="clear" w:color="auto" w:fill="auto"/>
            <w:vAlign w:val="center"/>
          </w:tcPr>
          <w:p w:rsidR="00205FD7" w:rsidRPr="007F33F1" w:rsidRDefault="00205FD7" w:rsidP="0047221E">
            <w:pPr>
              <w:pStyle w:val="TableText0"/>
              <w:keepLines/>
              <w:jc w:val="center"/>
              <w:rPr>
                <w:b/>
                <w:bCs w:val="0"/>
              </w:rPr>
            </w:pPr>
            <w:r w:rsidRPr="007F33F1">
              <w:rPr>
                <w:b/>
                <w:bCs w:val="0"/>
              </w:rPr>
              <w:t>IBRU</w:t>
            </w:r>
          </w:p>
        </w:tc>
      </w:tr>
      <w:tr w:rsidR="00205FD7" w:rsidRPr="007F33F1" w:rsidTr="00800B32">
        <w:trPr>
          <w:trHeight w:val="153"/>
        </w:trPr>
        <w:tc>
          <w:tcPr>
            <w:tcW w:w="5000" w:type="pct"/>
            <w:gridSpan w:val="8"/>
            <w:shd w:val="clear" w:color="auto" w:fill="auto"/>
          </w:tcPr>
          <w:p w:rsidR="00205FD7" w:rsidRPr="007F33F1" w:rsidRDefault="00205FD7" w:rsidP="0047221E">
            <w:pPr>
              <w:pStyle w:val="TableText0"/>
              <w:keepLines/>
              <w:rPr>
                <w:b/>
                <w:bCs w:val="0"/>
              </w:rPr>
            </w:pPr>
            <w:r w:rsidRPr="007F33F1">
              <w:rPr>
                <w:b/>
                <w:bCs w:val="0"/>
              </w:rPr>
              <w:t>PFS</w:t>
            </w:r>
          </w:p>
        </w:tc>
      </w:tr>
      <w:tr w:rsidR="00205FD7" w:rsidRPr="007F33F1" w:rsidTr="00800B32">
        <w:trPr>
          <w:trHeight w:val="41"/>
        </w:trPr>
        <w:tc>
          <w:tcPr>
            <w:tcW w:w="747" w:type="pct"/>
            <w:vAlign w:val="center"/>
          </w:tcPr>
          <w:p w:rsidR="00205FD7" w:rsidRPr="007F33F1" w:rsidRDefault="00205FD7" w:rsidP="0047221E">
            <w:pPr>
              <w:pStyle w:val="TableText0"/>
              <w:keepLines/>
            </w:pPr>
            <w:r w:rsidRPr="007F33F1">
              <w:t>ASPEN Cohort 1</w:t>
            </w:r>
          </w:p>
        </w:tc>
        <w:tc>
          <w:tcPr>
            <w:tcW w:w="687" w:type="pct"/>
            <w:vMerge w:val="restart"/>
            <w:vAlign w:val="center"/>
          </w:tcPr>
          <w:p w:rsidR="00205FD7" w:rsidRPr="007F33F1" w:rsidRDefault="00205FD7" w:rsidP="0047221E">
            <w:pPr>
              <w:pStyle w:val="TableText0"/>
              <w:keepLines/>
              <w:jc w:val="center"/>
            </w:pPr>
            <w:r w:rsidRPr="007F33F1">
              <w:t>n/N with event (%)</w:t>
            </w:r>
          </w:p>
        </w:tc>
        <w:tc>
          <w:tcPr>
            <w:tcW w:w="618" w:type="pct"/>
            <w:vAlign w:val="center"/>
          </w:tcPr>
          <w:p w:rsidR="00205FD7" w:rsidRPr="007F33F1" w:rsidRDefault="00205FD7" w:rsidP="0047221E">
            <w:pPr>
              <w:pStyle w:val="TableText0"/>
              <w:keepLines/>
              <w:jc w:val="center"/>
            </w:pPr>
            <w:r w:rsidRPr="007F33F1">
              <w:t>5/19 (26.3)</w:t>
            </w:r>
          </w:p>
        </w:tc>
        <w:tc>
          <w:tcPr>
            <w:tcW w:w="530" w:type="pct"/>
            <w:vAlign w:val="center"/>
          </w:tcPr>
          <w:p w:rsidR="00205FD7" w:rsidRPr="007F33F1" w:rsidRDefault="00205FD7" w:rsidP="0047221E">
            <w:pPr>
              <w:pStyle w:val="TableText0"/>
              <w:keepLines/>
              <w:jc w:val="center"/>
            </w:pPr>
            <w:r w:rsidRPr="007F33F1">
              <w:t>1/18 (5.6)</w:t>
            </w:r>
          </w:p>
        </w:tc>
        <w:tc>
          <w:tcPr>
            <w:tcW w:w="604" w:type="pct"/>
            <w:vAlign w:val="center"/>
          </w:tcPr>
          <w:p w:rsidR="00205FD7" w:rsidRPr="007F33F1" w:rsidRDefault="00205FD7" w:rsidP="0047221E">
            <w:pPr>
              <w:pStyle w:val="TableText0"/>
              <w:keepLines/>
              <w:jc w:val="center"/>
            </w:pPr>
            <w:r w:rsidRPr="007F33F1">
              <w:t>10/83 (12.0)</w:t>
            </w:r>
          </w:p>
        </w:tc>
        <w:tc>
          <w:tcPr>
            <w:tcW w:w="605" w:type="pct"/>
            <w:vAlign w:val="center"/>
          </w:tcPr>
          <w:p w:rsidR="00205FD7" w:rsidRPr="007F33F1" w:rsidRDefault="00205FD7" w:rsidP="0047221E">
            <w:pPr>
              <w:pStyle w:val="TableText0"/>
              <w:keepLines/>
              <w:jc w:val="center"/>
            </w:pPr>
            <w:r w:rsidRPr="007F33F1">
              <w:t>15/81 (18.5)</w:t>
            </w:r>
          </w:p>
        </w:tc>
        <w:tc>
          <w:tcPr>
            <w:tcW w:w="579" w:type="pct"/>
            <w:vAlign w:val="center"/>
          </w:tcPr>
          <w:p w:rsidR="00205FD7" w:rsidRPr="007F33F1" w:rsidRDefault="00205FD7" w:rsidP="0047221E">
            <w:pPr>
              <w:pStyle w:val="TableText0"/>
              <w:keepLines/>
              <w:jc w:val="center"/>
            </w:pPr>
            <w:r w:rsidRPr="007F33F1">
              <w:t>15/102 (14.7)</w:t>
            </w:r>
          </w:p>
        </w:tc>
        <w:tc>
          <w:tcPr>
            <w:tcW w:w="630" w:type="pct"/>
            <w:vAlign w:val="center"/>
          </w:tcPr>
          <w:p w:rsidR="00205FD7" w:rsidRPr="007F33F1" w:rsidRDefault="00205FD7" w:rsidP="0047221E">
            <w:pPr>
              <w:pStyle w:val="TableText0"/>
              <w:keepLines/>
              <w:jc w:val="center"/>
            </w:pPr>
            <w:r w:rsidRPr="007F33F1">
              <w:t>16/99 (16.2)</w:t>
            </w:r>
          </w:p>
        </w:tc>
      </w:tr>
      <w:tr w:rsidR="00205FD7" w:rsidRPr="007F33F1" w:rsidTr="00800B32">
        <w:trPr>
          <w:trHeight w:val="41"/>
        </w:trPr>
        <w:tc>
          <w:tcPr>
            <w:tcW w:w="747" w:type="pct"/>
            <w:shd w:val="clear" w:color="auto" w:fill="auto"/>
            <w:vAlign w:val="center"/>
          </w:tcPr>
          <w:p w:rsidR="00205FD7" w:rsidRPr="007F33F1" w:rsidRDefault="00205FD7" w:rsidP="0047221E">
            <w:pPr>
              <w:pStyle w:val="TableText0"/>
              <w:keepLines/>
            </w:pPr>
            <w:r w:rsidRPr="007F33F1">
              <w:t>ASPEN Cohort 2</w:t>
            </w:r>
          </w:p>
        </w:tc>
        <w:tc>
          <w:tcPr>
            <w:tcW w:w="687" w:type="pct"/>
            <w:vMerge/>
            <w:vAlign w:val="center"/>
          </w:tcPr>
          <w:p w:rsidR="00205FD7" w:rsidRPr="007F33F1" w:rsidRDefault="00205FD7" w:rsidP="0047221E">
            <w:pPr>
              <w:pStyle w:val="TableText0"/>
              <w:keepLines/>
              <w:jc w:val="center"/>
            </w:pPr>
          </w:p>
        </w:tc>
        <w:tc>
          <w:tcPr>
            <w:tcW w:w="618" w:type="pct"/>
            <w:vAlign w:val="center"/>
          </w:tcPr>
          <w:p w:rsidR="00205FD7" w:rsidRPr="007F33F1" w:rsidRDefault="00205FD7" w:rsidP="0047221E">
            <w:pPr>
              <w:pStyle w:val="TableText0"/>
              <w:keepLines/>
              <w:jc w:val="center"/>
            </w:pPr>
            <w:r w:rsidRPr="007F33F1">
              <w:t>2/5 (40.0)</w:t>
            </w:r>
          </w:p>
        </w:tc>
        <w:tc>
          <w:tcPr>
            <w:tcW w:w="530" w:type="pct"/>
            <w:vAlign w:val="center"/>
          </w:tcPr>
          <w:p w:rsidR="00205FD7" w:rsidRPr="007F33F1" w:rsidRDefault="00205FD7" w:rsidP="0047221E">
            <w:pPr>
              <w:pStyle w:val="TableText0"/>
              <w:keepLines/>
              <w:jc w:val="center"/>
            </w:pPr>
            <w:r w:rsidRPr="007F33F1">
              <w:t>-</w:t>
            </w:r>
          </w:p>
        </w:tc>
        <w:tc>
          <w:tcPr>
            <w:tcW w:w="604" w:type="pct"/>
            <w:vAlign w:val="center"/>
          </w:tcPr>
          <w:p w:rsidR="00205FD7" w:rsidRPr="007F33F1" w:rsidRDefault="00205FD7" w:rsidP="0047221E">
            <w:pPr>
              <w:pStyle w:val="TableText0"/>
              <w:keepLines/>
              <w:jc w:val="center"/>
            </w:pPr>
            <w:r w:rsidRPr="007F33F1">
              <w:t>7/21 (33.3)</w:t>
            </w:r>
          </w:p>
        </w:tc>
        <w:tc>
          <w:tcPr>
            <w:tcW w:w="605" w:type="pct"/>
            <w:vAlign w:val="center"/>
          </w:tcPr>
          <w:p w:rsidR="00205FD7" w:rsidRPr="007F33F1" w:rsidRDefault="00205FD7" w:rsidP="0047221E">
            <w:pPr>
              <w:pStyle w:val="TableText0"/>
              <w:keepLines/>
              <w:jc w:val="center"/>
            </w:pPr>
            <w:r w:rsidRPr="007F33F1">
              <w:t>-</w:t>
            </w:r>
          </w:p>
        </w:tc>
        <w:tc>
          <w:tcPr>
            <w:tcW w:w="579" w:type="pct"/>
            <w:vAlign w:val="center"/>
          </w:tcPr>
          <w:p w:rsidR="00205FD7" w:rsidRPr="007F33F1" w:rsidRDefault="00205FD7" w:rsidP="0047221E">
            <w:pPr>
              <w:pStyle w:val="TableText0"/>
              <w:keepLines/>
              <w:jc w:val="center"/>
            </w:pPr>
            <w:r w:rsidRPr="007F33F1">
              <w:t>9/26 (34.6)</w:t>
            </w:r>
          </w:p>
        </w:tc>
        <w:tc>
          <w:tcPr>
            <w:tcW w:w="630" w:type="pct"/>
            <w:vAlign w:val="center"/>
          </w:tcPr>
          <w:p w:rsidR="00205FD7" w:rsidRPr="007F33F1" w:rsidRDefault="00205FD7" w:rsidP="0047221E">
            <w:pPr>
              <w:pStyle w:val="TableText0"/>
              <w:keepLines/>
              <w:jc w:val="center"/>
            </w:pPr>
            <w:r w:rsidRPr="007F33F1">
              <w:t>-</w:t>
            </w:r>
          </w:p>
        </w:tc>
      </w:tr>
      <w:tr w:rsidR="00205FD7" w:rsidRPr="007F33F1" w:rsidTr="00800B32">
        <w:trPr>
          <w:trHeight w:val="41"/>
        </w:trPr>
        <w:tc>
          <w:tcPr>
            <w:tcW w:w="747" w:type="pct"/>
            <w:tcBorders>
              <w:bottom w:val="double" w:sz="4" w:space="0" w:color="auto"/>
            </w:tcBorders>
            <w:vAlign w:val="center"/>
          </w:tcPr>
          <w:p w:rsidR="00205FD7" w:rsidRPr="007F33F1" w:rsidRDefault="00205FD7" w:rsidP="0047221E">
            <w:pPr>
              <w:pStyle w:val="TableText0"/>
              <w:keepLines/>
            </w:pPr>
            <w:r w:rsidRPr="007F33F1">
              <w:t>StudyAU003</w:t>
            </w:r>
          </w:p>
        </w:tc>
        <w:tc>
          <w:tcPr>
            <w:tcW w:w="687" w:type="pct"/>
            <w:vMerge/>
            <w:tcBorders>
              <w:bottom w:val="double" w:sz="4" w:space="0" w:color="auto"/>
            </w:tcBorders>
            <w:vAlign w:val="center"/>
          </w:tcPr>
          <w:p w:rsidR="00205FD7" w:rsidRPr="007F33F1" w:rsidRDefault="00205FD7" w:rsidP="0047221E">
            <w:pPr>
              <w:pStyle w:val="TableText0"/>
              <w:keepLines/>
              <w:jc w:val="center"/>
            </w:pPr>
          </w:p>
        </w:tc>
        <w:tc>
          <w:tcPr>
            <w:tcW w:w="618" w:type="pct"/>
            <w:tcBorders>
              <w:bottom w:val="double" w:sz="4" w:space="0" w:color="auto"/>
            </w:tcBorders>
            <w:vAlign w:val="center"/>
          </w:tcPr>
          <w:p w:rsidR="00205FD7" w:rsidRPr="007F33F1" w:rsidRDefault="00205FD7" w:rsidP="0047221E">
            <w:pPr>
              <w:pStyle w:val="TableText0"/>
              <w:keepLines/>
              <w:jc w:val="center"/>
            </w:pPr>
            <w:r w:rsidRPr="007F33F1">
              <w:t>2/24 (8.3)</w:t>
            </w:r>
          </w:p>
        </w:tc>
        <w:tc>
          <w:tcPr>
            <w:tcW w:w="530" w:type="pct"/>
            <w:tcBorders>
              <w:bottom w:val="double" w:sz="4" w:space="0" w:color="auto"/>
            </w:tcBorders>
            <w:vAlign w:val="center"/>
          </w:tcPr>
          <w:p w:rsidR="00205FD7" w:rsidRPr="007F33F1" w:rsidRDefault="00205FD7" w:rsidP="0047221E">
            <w:pPr>
              <w:pStyle w:val="TableText0"/>
              <w:keepLines/>
              <w:jc w:val="center"/>
            </w:pPr>
            <w:r w:rsidRPr="007F33F1">
              <w:t>-</w:t>
            </w:r>
          </w:p>
        </w:tc>
        <w:tc>
          <w:tcPr>
            <w:tcW w:w="604" w:type="pct"/>
            <w:tcBorders>
              <w:bottom w:val="double" w:sz="4" w:space="0" w:color="auto"/>
            </w:tcBorders>
            <w:vAlign w:val="center"/>
          </w:tcPr>
          <w:p w:rsidR="00205FD7" w:rsidRPr="007F33F1" w:rsidRDefault="00205FD7" w:rsidP="0047221E">
            <w:pPr>
              <w:pStyle w:val="TableText0"/>
              <w:keepLines/>
              <w:jc w:val="center"/>
            </w:pPr>
            <w:r w:rsidRPr="007F33F1">
              <w:t>13/49 (26.5)</w:t>
            </w:r>
          </w:p>
        </w:tc>
        <w:tc>
          <w:tcPr>
            <w:tcW w:w="605" w:type="pct"/>
            <w:tcBorders>
              <w:bottom w:val="double" w:sz="4" w:space="0" w:color="auto"/>
            </w:tcBorders>
            <w:vAlign w:val="center"/>
          </w:tcPr>
          <w:p w:rsidR="00205FD7" w:rsidRPr="007F33F1" w:rsidRDefault="00205FD7" w:rsidP="0047221E">
            <w:pPr>
              <w:pStyle w:val="TableText0"/>
              <w:keepLines/>
              <w:jc w:val="center"/>
            </w:pPr>
            <w:r w:rsidRPr="007F33F1">
              <w:t>-</w:t>
            </w:r>
          </w:p>
        </w:tc>
        <w:tc>
          <w:tcPr>
            <w:tcW w:w="579" w:type="pct"/>
            <w:tcBorders>
              <w:bottom w:val="double" w:sz="4" w:space="0" w:color="auto"/>
            </w:tcBorders>
            <w:vAlign w:val="center"/>
          </w:tcPr>
          <w:p w:rsidR="00205FD7" w:rsidRPr="007F33F1" w:rsidRDefault="00205FD7" w:rsidP="0047221E">
            <w:pPr>
              <w:pStyle w:val="TableText0"/>
              <w:keepLines/>
              <w:jc w:val="center"/>
            </w:pPr>
            <w:r w:rsidRPr="007F33F1">
              <w:t>15/73 (20.5)</w:t>
            </w:r>
          </w:p>
        </w:tc>
        <w:tc>
          <w:tcPr>
            <w:tcW w:w="630" w:type="pct"/>
            <w:tcBorders>
              <w:bottom w:val="double" w:sz="4" w:space="0" w:color="auto"/>
            </w:tcBorders>
            <w:vAlign w:val="center"/>
          </w:tcPr>
          <w:p w:rsidR="00205FD7" w:rsidRPr="007F33F1" w:rsidRDefault="00205FD7" w:rsidP="0047221E">
            <w:pPr>
              <w:pStyle w:val="TableText0"/>
              <w:keepLines/>
              <w:jc w:val="center"/>
            </w:pPr>
            <w:r w:rsidRPr="007F33F1">
              <w:t>-</w:t>
            </w:r>
          </w:p>
        </w:tc>
      </w:tr>
      <w:tr w:rsidR="00205FD7" w:rsidRPr="007F33F1" w:rsidTr="00800B32">
        <w:trPr>
          <w:trHeight w:val="50"/>
        </w:trPr>
        <w:tc>
          <w:tcPr>
            <w:tcW w:w="747" w:type="pct"/>
            <w:tcBorders>
              <w:top w:val="double" w:sz="4" w:space="0" w:color="auto"/>
            </w:tcBorders>
            <w:shd w:val="clear" w:color="auto" w:fill="auto"/>
            <w:vAlign w:val="center"/>
          </w:tcPr>
          <w:p w:rsidR="00205FD7" w:rsidRPr="007F33F1" w:rsidRDefault="00205FD7" w:rsidP="0047221E">
            <w:pPr>
              <w:pStyle w:val="TableText0"/>
              <w:keepLines/>
            </w:pPr>
            <w:r w:rsidRPr="007F33F1">
              <w:t>ASPEN</w:t>
            </w:r>
          </w:p>
        </w:tc>
        <w:tc>
          <w:tcPr>
            <w:tcW w:w="687" w:type="pct"/>
            <w:vMerge w:val="restart"/>
            <w:tcBorders>
              <w:top w:val="double" w:sz="4" w:space="0" w:color="auto"/>
            </w:tcBorders>
            <w:shd w:val="clear" w:color="auto" w:fill="auto"/>
            <w:vAlign w:val="center"/>
          </w:tcPr>
          <w:p w:rsidR="00205FD7" w:rsidRPr="007F33F1" w:rsidRDefault="00205FD7" w:rsidP="0047221E">
            <w:pPr>
              <w:pStyle w:val="TableText0"/>
              <w:keepLines/>
              <w:jc w:val="center"/>
            </w:pPr>
            <w:r w:rsidRPr="007F33F1">
              <w:t>Median PFS, mths (95%</w:t>
            </w:r>
            <w:r w:rsidR="00342DA4" w:rsidRPr="007F33F1">
              <w:t xml:space="preserve"> </w:t>
            </w:r>
            <w:r w:rsidRPr="007F33F1">
              <w:t>CI)</w:t>
            </w:r>
          </w:p>
        </w:tc>
        <w:tc>
          <w:tcPr>
            <w:tcW w:w="618"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(19.1, NE)</w:t>
            </w:r>
          </w:p>
        </w:tc>
        <w:tc>
          <w:tcPr>
            <w:tcW w:w="530"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604"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605"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579"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630"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r>
      <w:tr w:rsidR="00205FD7" w:rsidRPr="007F33F1" w:rsidTr="00800B32">
        <w:trPr>
          <w:trHeight w:val="127"/>
        </w:trPr>
        <w:tc>
          <w:tcPr>
            <w:tcW w:w="747" w:type="pct"/>
            <w:tcBorders>
              <w:bottom w:val="thinThickSmallGap" w:sz="24" w:space="0" w:color="auto"/>
            </w:tcBorders>
            <w:shd w:val="clear" w:color="auto" w:fill="auto"/>
            <w:vAlign w:val="center"/>
          </w:tcPr>
          <w:p w:rsidR="00205FD7" w:rsidRPr="007F33F1" w:rsidRDefault="00205FD7" w:rsidP="0047221E">
            <w:pPr>
              <w:pStyle w:val="TableText0"/>
              <w:keepLines/>
            </w:pPr>
            <w:r w:rsidRPr="007F33F1">
              <w:t>StudyAU003</w:t>
            </w:r>
          </w:p>
        </w:tc>
        <w:tc>
          <w:tcPr>
            <w:tcW w:w="687" w:type="pct"/>
            <w:vMerge/>
            <w:tcBorders>
              <w:bottom w:val="thinThickSmallGap" w:sz="24" w:space="0" w:color="auto"/>
            </w:tcBorders>
            <w:shd w:val="clear" w:color="auto" w:fill="auto"/>
            <w:vAlign w:val="center"/>
          </w:tcPr>
          <w:p w:rsidR="00205FD7" w:rsidRPr="007F33F1" w:rsidRDefault="00205FD7" w:rsidP="0047221E">
            <w:pPr>
              <w:pStyle w:val="TableText0"/>
              <w:keepLines/>
              <w:jc w:val="center"/>
            </w:pPr>
          </w:p>
        </w:tc>
        <w:tc>
          <w:tcPr>
            <w:tcW w:w="618" w:type="pct"/>
            <w:tcBorders>
              <w:bottom w:val="thinThickSmallGap" w:sz="2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530" w:type="pct"/>
            <w:tcBorders>
              <w:bottom w:val="thinThickSmallGap" w:sz="24" w:space="0" w:color="auto"/>
            </w:tcBorders>
            <w:shd w:val="clear" w:color="auto" w:fill="auto"/>
            <w:vAlign w:val="center"/>
          </w:tcPr>
          <w:p w:rsidR="00205FD7" w:rsidRPr="007F33F1" w:rsidRDefault="00205FD7" w:rsidP="0047221E">
            <w:pPr>
              <w:pStyle w:val="TableText0"/>
              <w:keepLines/>
              <w:jc w:val="center"/>
            </w:pPr>
            <w:r w:rsidRPr="007F33F1">
              <w:t>-</w:t>
            </w:r>
          </w:p>
        </w:tc>
        <w:tc>
          <w:tcPr>
            <w:tcW w:w="604" w:type="pct"/>
            <w:tcBorders>
              <w:bottom w:val="thinThickSmallGap" w:sz="24" w:space="0" w:color="auto"/>
            </w:tcBorders>
            <w:shd w:val="clear" w:color="auto" w:fill="auto"/>
            <w:vAlign w:val="center"/>
          </w:tcPr>
          <w:p w:rsidR="00205FD7" w:rsidRPr="007F33F1" w:rsidRDefault="00205FD7" w:rsidP="0047221E">
            <w:pPr>
              <w:pStyle w:val="TableText0"/>
              <w:keepLines/>
              <w:jc w:val="center"/>
            </w:pPr>
            <w:r w:rsidRPr="007F33F1">
              <w:t>NE (42.8, NE)</w:t>
            </w:r>
          </w:p>
        </w:tc>
        <w:tc>
          <w:tcPr>
            <w:tcW w:w="605" w:type="pct"/>
            <w:tcBorders>
              <w:bottom w:val="thinThickSmallGap" w:sz="24" w:space="0" w:color="auto"/>
            </w:tcBorders>
            <w:shd w:val="clear" w:color="auto" w:fill="auto"/>
            <w:vAlign w:val="center"/>
          </w:tcPr>
          <w:p w:rsidR="00205FD7" w:rsidRPr="007F33F1" w:rsidRDefault="00205FD7" w:rsidP="0047221E">
            <w:pPr>
              <w:pStyle w:val="TableText0"/>
              <w:keepLines/>
              <w:jc w:val="center"/>
            </w:pPr>
            <w:r w:rsidRPr="007F33F1">
              <w:t>-</w:t>
            </w:r>
          </w:p>
        </w:tc>
        <w:tc>
          <w:tcPr>
            <w:tcW w:w="579" w:type="pct"/>
            <w:tcBorders>
              <w:bottom w:val="thinThickSmallGap" w:sz="2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630" w:type="pct"/>
            <w:tcBorders>
              <w:bottom w:val="thinThickSmallGap" w:sz="24" w:space="0" w:color="auto"/>
            </w:tcBorders>
            <w:shd w:val="clear" w:color="auto" w:fill="auto"/>
            <w:vAlign w:val="center"/>
          </w:tcPr>
          <w:p w:rsidR="00205FD7" w:rsidRPr="007F33F1" w:rsidRDefault="00205FD7" w:rsidP="0047221E">
            <w:pPr>
              <w:pStyle w:val="TableText0"/>
              <w:keepLines/>
              <w:jc w:val="center"/>
            </w:pPr>
            <w:r w:rsidRPr="007F33F1">
              <w:t>-</w:t>
            </w:r>
          </w:p>
        </w:tc>
      </w:tr>
      <w:tr w:rsidR="00205FD7" w:rsidRPr="007F33F1" w:rsidTr="00800B32">
        <w:trPr>
          <w:trHeight w:val="41"/>
        </w:trPr>
        <w:tc>
          <w:tcPr>
            <w:tcW w:w="5000" w:type="pct"/>
            <w:gridSpan w:val="8"/>
            <w:tcBorders>
              <w:top w:val="thinThickSmallGap" w:sz="24" w:space="0" w:color="auto"/>
            </w:tcBorders>
            <w:shd w:val="clear" w:color="auto" w:fill="auto"/>
            <w:vAlign w:val="center"/>
          </w:tcPr>
          <w:p w:rsidR="00205FD7" w:rsidRPr="007F33F1" w:rsidRDefault="00205FD7" w:rsidP="0047221E">
            <w:pPr>
              <w:pStyle w:val="TableText0"/>
              <w:keepLines/>
              <w:rPr>
                <w:b/>
                <w:bCs w:val="0"/>
              </w:rPr>
            </w:pPr>
            <w:r w:rsidRPr="007F33F1">
              <w:rPr>
                <w:b/>
                <w:bCs w:val="0"/>
              </w:rPr>
              <w:t>OS</w:t>
            </w:r>
          </w:p>
        </w:tc>
      </w:tr>
      <w:tr w:rsidR="00205FD7" w:rsidRPr="007F33F1" w:rsidTr="00800B32">
        <w:trPr>
          <w:trHeight w:val="41"/>
        </w:trPr>
        <w:tc>
          <w:tcPr>
            <w:tcW w:w="747" w:type="pct"/>
            <w:vAlign w:val="center"/>
          </w:tcPr>
          <w:p w:rsidR="00205FD7" w:rsidRPr="007F33F1" w:rsidRDefault="00205FD7" w:rsidP="0047221E">
            <w:pPr>
              <w:pStyle w:val="TableText0"/>
              <w:keepLines/>
            </w:pPr>
            <w:r w:rsidRPr="007F33F1">
              <w:t>ASPEN Cohort 1</w:t>
            </w:r>
          </w:p>
        </w:tc>
        <w:tc>
          <w:tcPr>
            <w:tcW w:w="687" w:type="pct"/>
            <w:vMerge w:val="restart"/>
            <w:vAlign w:val="center"/>
          </w:tcPr>
          <w:p w:rsidR="00205FD7" w:rsidRPr="007F33F1" w:rsidRDefault="00205FD7" w:rsidP="0047221E">
            <w:pPr>
              <w:pStyle w:val="TableText0"/>
              <w:keepLines/>
              <w:jc w:val="center"/>
            </w:pPr>
            <w:r w:rsidRPr="007F33F1">
              <w:t>n/N with event (%)</w:t>
            </w:r>
          </w:p>
        </w:tc>
        <w:tc>
          <w:tcPr>
            <w:tcW w:w="618" w:type="pct"/>
            <w:vAlign w:val="center"/>
          </w:tcPr>
          <w:p w:rsidR="00205FD7" w:rsidRPr="007F33F1" w:rsidRDefault="00205FD7" w:rsidP="0047221E">
            <w:pPr>
              <w:pStyle w:val="TableText0"/>
              <w:keepLines/>
              <w:jc w:val="center"/>
            </w:pPr>
            <w:r w:rsidRPr="007F33F1">
              <w:t>3/19 (15.8)</w:t>
            </w:r>
          </w:p>
        </w:tc>
        <w:tc>
          <w:tcPr>
            <w:tcW w:w="530" w:type="pct"/>
            <w:vAlign w:val="center"/>
          </w:tcPr>
          <w:p w:rsidR="00205FD7" w:rsidRPr="007F33F1" w:rsidRDefault="00205FD7" w:rsidP="0047221E">
            <w:pPr>
              <w:pStyle w:val="TableText0"/>
              <w:keepLines/>
              <w:jc w:val="center"/>
            </w:pPr>
            <w:r w:rsidRPr="007F33F1">
              <w:t>0/18 (0)</w:t>
            </w:r>
          </w:p>
        </w:tc>
        <w:tc>
          <w:tcPr>
            <w:tcW w:w="604" w:type="pct"/>
            <w:vAlign w:val="center"/>
          </w:tcPr>
          <w:p w:rsidR="00205FD7" w:rsidRPr="007F33F1" w:rsidRDefault="00205FD7" w:rsidP="0047221E">
            <w:pPr>
              <w:pStyle w:val="TableText0"/>
              <w:keepLines/>
              <w:jc w:val="center"/>
            </w:pPr>
            <w:r w:rsidRPr="007F33F1">
              <w:t>3/83 (3.6)</w:t>
            </w:r>
          </w:p>
        </w:tc>
        <w:tc>
          <w:tcPr>
            <w:tcW w:w="605" w:type="pct"/>
            <w:vAlign w:val="center"/>
          </w:tcPr>
          <w:p w:rsidR="00205FD7" w:rsidRPr="007F33F1" w:rsidRDefault="00205FD7" w:rsidP="0047221E">
            <w:pPr>
              <w:pStyle w:val="TableText0"/>
              <w:keepLines/>
              <w:jc w:val="center"/>
            </w:pPr>
            <w:r w:rsidRPr="007F33F1">
              <w:t>8/81 (9.9)</w:t>
            </w:r>
          </w:p>
        </w:tc>
        <w:tc>
          <w:tcPr>
            <w:tcW w:w="579" w:type="pct"/>
            <w:vAlign w:val="center"/>
          </w:tcPr>
          <w:p w:rsidR="00205FD7" w:rsidRPr="007F33F1" w:rsidRDefault="00205FD7" w:rsidP="0047221E">
            <w:pPr>
              <w:pStyle w:val="TableText0"/>
              <w:keepLines/>
              <w:jc w:val="center"/>
            </w:pPr>
            <w:r w:rsidRPr="007F33F1">
              <w:t>6/102 (5.9)</w:t>
            </w:r>
          </w:p>
        </w:tc>
        <w:tc>
          <w:tcPr>
            <w:tcW w:w="630" w:type="pct"/>
            <w:vAlign w:val="center"/>
          </w:tcPr>
          <w:p w:rsidR="00205FD7" w:rsidRPr="007F33F1" w:rsidRDefault="00205FD7" w:rsidP="0047221E">
            <w:pPr>
              <w:pStyle w:val="TableText0"/>
              <w:keepLines/>
              <w:jc w:val="center"/>
            </w:pPr>
            <w:r w:rsidRPr="007F33F1">
              <w:t>8/99 (8.1)</w:t>
            </w:r>
          </w:p>
        </w:tc>
      </w:tr>
      <w:tr w:rsidR="00205FD7" w:rsidRPr="007F33F1" w:rsidTr="00800B32">
        <w:trPr>
          <w:trHeight w:val="41"/>
        </w:trPr>
        <w:tc>
          <w:tcPr>
            <w:tcW w:w="747" w:type="pct"/>
            <w:vAlign w:val="center"/>
          </w:tcPr>
          <w:p w:rsidR="00205FD7" w:rsidRPr="007F33F1" w:rsidRDefault="00205FD7" w:rsidP="0047221E">
            <w:pPr>
              <w:pStyle w:val="TableText0"/>
              <w:keepLines/>
            </w:pPr>
            <w:r w:rsidRPr="007F33F1">
              <w:t>ASPEN Cohort 2</w:t>
            </w:r>
          </w:p>
        </w:tc>
        <w:tc>
          <w:tcPr>
            <w:tcW w:w="687" w:type="pct"/>
            <w:vMerge/>
            <w:vAlign w:val="center"/>
          </w:tcPr>
          <w:p w:rsidR="00205FD7" w:rsidRPr="007F33F1" w:rsidRDefault="00205FD7" w:rsidP="0047221E">
            <w:pPr>
              <w:pStyle w:val="TableText0"/>
              <w:keepLines/>
              <w:jc w:val="center"/>
            </w:pPr>
          </w:p>
        </w:tc>
        <w:tc>
          <w:tcPr>
            <w:tcW w:w="618" w:type="pct"/>
            <w:vAlign w:val="center"/>
          </w:tcPr>
          <w:p w:rsidR="00205FD7" w:rsidRPr="007F33F1" w:rsidRDefault="00205FD7" w:rsidP="0047221E">
            <w:pPr>
              <w:pStyle w:val="TableText0"/>
              <w:keepLines/>
              <w:jc w:val="center"/>
            </w:pPr>
            <w:r w:rsidRPr="007F33F1">
              <w:t>1/5 (20.0)</w:t>
            </w:r>
          </w:p>
        </w:tc>
        <w:tc>
          <w:tcPr>
            <w:tcW w:w="530" w:type="pct"/>
            <w:vAlign w:val="center"/>
          </w:tcPr>
          <w:p w:rsidR="00205FD7" w:rsidRPr="007F33F1" w:rsidRDefault="00205FD7" w:rsidP="0047221E">
            <w:pPr>
              <w:pStyle w:val="TableText0"/>
              <w:keepLines/>
              <w:jc w:val="center"/>
            </w:pPr>
            <w:r w:rsidRPr="007F33F1">
              <w:t>-</w:t>
            </w:r>
          </w:p>
        </w:tc>
        <w:tc>
          <w:tcPr>
            <w:tcW w:w="604" w:type="pct"/>
            <w:vAlign w:val="center"/>
          </w:tcPr>
          <w:p w:rsidR="00205FD7" w:rsidRPr="007F33F1" w:rsidRDefault="00205FD7" w:rsidP="0047221E">
            <w:pPr>
              <w:pStyle w:val="TableText0"/>
              <w:keepLines/>
              <w:jc w:val="center"/>
            </w:pPr>
            <w:r w:rsidRPr="007F33F1">
              <w:t>2/21 (9.5)</w:t>
            </w:r>
          </w:p>
        </w:tc>
        <w:tc>
          <w:tcPr>
            <w:tcW w:w="605" w:type="pct"/>
            <w:vAlign w:val="center"/>
          </w:tcPr>
          <w:p w:rsidR="00205FD7" w:rsidRPr="007F33F1" w:rsidRDefault="00205FD7" w:rsidP="0047221E">
            <w:pPr>
              <w:pStyle w:val="TableText0"/>
              <w:keepLines/>
              <w:jc w:val="center"/>
            </w:pPr>
            <w:r w:rsidRPr="007F33F1">
              <w:t>-</w:t>
            </w:r>
          </w:p>
        </w:tc>
        <w:tc>
          <w:tcPr>
            <w:tcW w:w="579" w:type="pct"/>
            <w:vAlign w:val="center"/>
          </w:tcPr>
          <w:p w:rsidR="00205FD7" w:rsidRPr="007F33F1" w:rsidRDefault="00205FD7" w:rsidP="0047221E">
            <w:pPr>
              <w:pStyle w:val="TableText0"/>
              <w:keepLines/>
              <w:jc w:val="center"/>
            </w:pPr>
            <w:r w:rsidRPr="007F33F1">
              <w:t>3/26 (11.5)</w:t>
            </w:r>
          </w:p>
        </w:tc>
        <w:tc>
          <w:tcPr>
            <w:tcW w:w="630" w:type="pct"/>
            <w:vAlign w:val="center"/>
          </w:tcPr>
          <w:p w:rsidR="00205FD7" w:rsidRPr="007F33F1" w:rsidRDefault="00205FD7" w:rsidP="0047221E">
            <w:pPr>
              <w:pStyle w:val="TableText0"/>
              <w:keepLines/>
              <w:jc w:val="center"/>
            </w:pPr>
            <w:r w:rsidRPr="007F33F1">
              <w:t>-</w:t>
            </w:r>
          </w:p>
        </w:tc>
      </w:tr>
      <w:tr w:rsidR="00205FD7" w:rsidRPr="007F33F1" w:rsidTr="00800B32">
        <w:trPr>
          <w:trHeight w:val="41"/>
        </w:trPr>
        <w:tc>
          <w:tcPr>
            <w:tcW w:w="747" w:type="pct"/>
            <w:tcBorders>
              <w:bottom w:val="double" w:sz="4" w:space="0" w:color="auto"/>
            </w:tcBorders>
            <w:vAlign w:val="center"/>
          </w:tcPr>
          <w:p w:rsidR="00205FD7" w:rsidRPr="007F33F1" w:rsidRDefault="00205FD7" w:rsidP="0047221E">
            <w:pPr>
              <w:pStyle w:val="TableText0"/>
              <w:keepLines/>
            </w:pPr>
            <w:r w:rsidRPr="007F33F1">
              <w:t>StudyAU003</w:t>
            </w:r>
          </w:p>
        </w:tc>
        <w:tc>
          <w:tcPr>
            <w:tcW w:w="687" w:type="pct"/>
            <w:vMerge/>
            <w:tcBorders>
              <w:bottom w:val="double" w:sz="4" w:space="0" w:color="auto"/>
            </w:tcBorders>
            <w:vAlign w:val="center"/>
          </w:tcPr>
          <w:p w:rsidR="00205FD7" w:rsidRPr="007F33F1" w:rsidRDefault="00205FD7" w:rsidP="0047221E">
            <w:pPr>
              <w:pStyle w:val="TableText0"/>
              <w:keepLines/>
              <w:jc w:val="center"/>
            </w:pPr>
          </w:p>
        </w:tc>
        <w:tc>
          <w:tcPr>
            <w:tcW w:w="618" w:type="pct"/>
            <w:tcBorders>
              <w:bottom w:val="double" w:sz="4" w:space="0" w:color="auto"/>
            </w:tcBorders>
            <w:vAlign w:val="center"/>
          </w:tcPr>
          <w:p w:rsidR="00205FD7" w:rsidRPr="007F33F1" w:rsidRDefault="00205FD7" w:rsidP="0047221E">
            <w:pPr>
              <w:pStyle w:val="TableText0"/>
              <w:keepLines/>
              <w:jc w:val="center"/>
            </w:pPr>
            <w:r w:rsidRPr="007F33F1">
              <w:t>0/24 (0.0)</w:t>
            </w:r>
          </w:p>
        </w:tc>
        <w:tc>
          <w:tcPr>
            <w:tcW w:w="530" w:type="pct"/>
            <w:tcBorders>
              <w:bottom w:val="double" w:sz="4" w:space="0" w:color="auto"/>
            </w:tcBorders>
            <w:vAlign w:val="center"/>
          </w:tcPr>
          <w:p w:rsidR="00205FD7" w:rsidRPr="007F33F1" w:rsidRDefault="00205FD7" w:rsidP="0047221E">
            <w:pPr>
              <w:pStyle w:val="TableText0"/>
              <w:keepLines/>
              <w:jc w:val="center"/>
            </w:pPr>
            <w:r w:rsidRPr="007F33F1">
              <w:t>-</w:t>
            </w:r>
          </w:p>
        </w:tc>
        <w:tc>
          <w:tcPr>
            <w:tcW w:w="604" w:type="pct"/>
            <w:tcBorders>
              <w:bottom w:val="double" w:sz="4" w:space="0" w:color="auto"/>
            </w:tcBorders>
            <w:vAlign w:val="center"/>
          </w:tcPr>
          <w:p w:rsidR="00205FD7" w:rsidRPr="007F33F1" w:rsidRDefault="00205FD7" w:rsidP="0047221E">
            <w:pPr>
              <w:pStyle w:val="TableText0"/>
              <w:keepLines/>
              <w:jc w:val="center"/>
            </w:pPr>
            <w:r w:rsidRPr="007F33F1">
              <w:t>9/49 (18.4)</w:t>
            </w:r>
          </w:p>
        </w:tc>
        <w:tc>
          <w:tcPr>
            <w:tcW w:w="605" w:type="pct"/>
            <w:tcBorders>
              <w:bottom w:val="double" w:sz="4" w:space="0" w:color="auto"/>
            </w:tcBorders>
            <w:vAlign w:val="center"/>
          </w:tcPr>
          <w:p w:rsidR="00205FD7" w:rsidRPr="007F33F1" w:rsidRDefault="00205FD7" w:rsidP="0047221E">
            <w:pPr>
              <w:pStyle w:val="TableText0"/>
              <w:keepLines/>
              <w:jc w:val="center"/>
            </w:pPr>
            <w:r w:rsidRPr="007F33F1">
              <w:t>-</w:t>
            </w:r>
          </w:p>
        </w:tc>
        <w:tc>
          <w:tcPr>
            <w:tcW w:w="579" w:type="pct"/>
            <w:tcBorders>
              <w:bottom w:val="double" w:sz="4" w:space="0" w:color="auto"/>
            </w:tcBorders>
            <w:vAlign w:val="center"/>
          </w:tcPr>
          <w:p w:rsidR="00205FD7" w:rsidRPr="007F33F1" w:rsidRDefault="00205FD7" w:rsidP="0047221E">
            <w:pPr>
              <w:pStyle w:val="TableText0"/>
              <w:keepLines/>
              <w:jc w:val="center"/>
            </w:pPr>
            <w:r w:rsidRPr="007F33F1">
              <w:t>9/73 (12.3)</w:t>
            </w:r>
          </w:p>
        </w:tc>
        <w:tc>
          <w:tcPr>
            <w:tcW w:w="630" w:type="pct"/>
            <w:tcBorders>
              <w:bottom w:val="double" w:sz="4" w:space="0" w:color="auto"/>
            </w:tcBorders>
            <w:vAlign w:val="center"/>
          </w:tcPr>
          <w:p w:rsidR="00205FD7" w:rsidRPr="007F33F1" w:rsidRDefault="00205FD7" w:rsidP="0047221E">
            <w:pPr>
              <w:pStyle w:val="TableText0"/>
              <w:keepLines/>
              <w:jc w:val="center"/>
            </w:pPr>
            <w:r w:rsidRPr="007F33F1">
              <w:t>-</w:t>
            </w:r>
          </w:p>
        </w:tc>
      </w:tr>
      <w:tr w:rsidR="00205FD7" w:rsidRPr="007F33F1" w:rsidTr="00800B32">
        <w:trPr>
          <w:trHeight w:val="41"/>
        </w:trPr>
        <w:tc>
          <w:tcPr>
            <w:tcW w:w="747" w:type="pct"/>
            <w:tcBorders>
              <w:top w:val="double" w:sz="4" w:space="0" w:color="auto"/>
            </w:tcBorders>
            <w:shd w:val="clear" w:color="auto" w:fill="auto"/>
            <w:vAlign w:val="center"/>
          </w:tcPr>
          <w:p w:rsidR="00205FD7" w:rsidRPr="007F33F1" w:rsidRDefault="00205FD7" w:rsidP="0047221E">
            <w:pPr>
              <w:pStyle w:val="TableText0"/>
              <w:keepLines/>
            </w:pPr>
            <w:r w:rsidRPr="007F33F1">
              <w:t>ASPEN</w:t>
            </w:r>
          </w:p>
        </w:tc>
        <w:tc>
          <w:tcPr>
            <w:tcW w:w="687" w:type="pct"/>
            <w:vMerge w:val="restart"/>
            <w:tcBorders>
              <w:top w:val="double" w:sz="4" w:space="0" w:color="auto"/>
            </w:tcBorders>
            <w:shd w:val="clear" w:color="auto" w:fill="auto"/>
            <w:vAlign w:val="center"/>
          </w:tcPr>
          <w:p w:rsidR="00205FD7" w:rsidRPr="007F33F1" w:rsidRDefault="00205FD7" w:rsidP="0047221E">
            <w:pPr>
              <w:pStyle w:val="TableText0"/>
              <w:keepLines/>
              <w:jc w:val="center"/>
            </w:pPr>
            <w:r w:rsidRPr="007F33F1">
              <w:t>Median follow up, mths (95%</w:t>
            </w:r>
            <w:r w:rsidR="00342DA4" w:rsidRPr="007F33F1">
              <w:t> </w:t>
            </w:r>
            <w:r w:rsidRPr="007F33F1">
              <w:t>CI)</w:t>
            </w:r>
          </w:p>
        </w:tc>
        <w:tc>
          <w:tcPr>
            <w:tcW w:w="618"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22.4</w:t>
            </w:r>
          </w:p>
          <w:p w:rsidR="00205FD7" w:rsidRPr="007F33F1" w:rsidRDefault="00205FD7" w:rsidP="0047221E">
            <w:pPr>
              <w:pStyle w:val="TableText0"/>
              <w:keepLines/>
              <w:jc w:val="center"/>
            </w:pPr>
            <w:r w:rsidRPr="007F33F1">
              <w:t>(19.4, 23.8)</w:t>
            </w:r>
          </w:p>
        </w:tc>
        <w:tc>
          <w:tcPr>
            <w:tcW w:w="530"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21.1 (19.3,22.9)</w:t>
            </w:r>
          </w:p>
        </w:tc>
        <w:tc>
          <w:tcPr>
            <w:tcW w:w="604"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18.7</w:t>
            </w:r>
          </w:p>
          <w:p w:rsidR="00205FD7" w:rsidRPr="007F33F1" w:rsidRDefault="00205FD7" w:rsidP="0047221E">
            <w:pPr>
              <w:pStyle w:val="TableText0"/>
              <w:keepLines/>
              <w:jc w:val="center"/>
            </w:pPr>
            <w:r w:rsidRPr="007F33F1">
              <w:t>(17.1, 20.3)</w:t>
            </w:r>
          </w:p>
        </w:tc>
        <w:tc>
          <w:tcPr>
            <w:tcW w:w="605"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19.7</w:t>
            </w:r>
          </w:p>
          <w:p w:rsidR="00205FD7" w:rsidRPr="007F33F1" w:rsidRDefault="00205FD7" w:rsidP="0047221E">
            <w:pPr>
              <w:pStyle w:val="TableText0"/>
              <w:keepLines/>
              <w:jc w:val="center"/>
            </w:pPr>
            <w:r w:rsidRPr="007F33F1">
              <w:t>(17.9, 20.4)</w:t>
            </w:r>
          </w:p>
        </w:tc>
        <w:tc>
          <w:tcPr>
            <w:tcW w:w="579"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19.5</w:t>
            </w:r>
          </w:p>
          <w:p w:rsidR="00205FD7" w:rsidRPr="007F33F1" w:rsidRDefault="00205FD7" w:rsidP="0047221E">
            <w:pPr>
              <w:pStyle w:val="TableText0"/>
              <w:keepLines/>
              <w:jc w:val="center"/>
            </w:pPr>
            <w:r w:rsidRPr="007F33F1">
              <w:t>(18.1, 20.8)</w:t>
            </w:r>
          </w:p>
        </w:tc>
        <w:tc>
          <w:tcPr>
            <w:tcW w:w="630"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19.7</w:t>
            </w:r>
          </w:p>
          <w:p w:rsidR="00205FD7" w:rsidRPr="007F33F1" w:rsidRDefault="00205FD7" w:rsidP="0047221E">
            <w:pPr>
              <w:pStyle w:val="TableText0"/>
              <w:keepLines/>
              <w:jc w:val="center"/>
            </w:pPr>
            <w:r w:rsidRPr="007F33F1">
              <w:t>(18.7, 20.9)</w:t>
            </w:r>
          </w:p>
        </w:tc>
      </w:tr>
      <w:tr w:rsidR="00205FD7" w:rsidRPr="007F33F1" w:rsidTr="00800B32">
        <w:trPr>
          <w:trHeight w:val="41"/>
        </w:trPr>
        <w:tc>
          <w:tcPr>
            <w:tcW w:w="747" w:type="pct"/>
            <w:tcBorders>
              <w:bottom w:val="double" w:sz="4" w:space="0" w:color="auto"/>
            </w:tcBorders>
            <w:shd w:val="clear" w:color="auto" w:fill="auto"/>
            <w:vAlign w:val="center"/>
          </w:tcPr>
          <w:p w:rsidR="00205FD7" w:rsidRPr="007F33F1" w:rsidRDefault="00205FD7" w:rsidP="0047221E">
            <w:pPr>
              <w:pStyle w:val="TableText0"/>
              <w:keepLines/>
            </w:pPr>
            <w:r w:rsidRPr="007F33F1">
              <w:t>StudyAU003</w:t>
            </w:r>
          </w:p>
        </w:tc>
        <w:tc>
          <w:tcPr>
            <w:tcW w:w="687" w:type="pct"/>
            <w:vMerge/>
            <w:tcBorders>
              <w:bottom w:val="double" w:sz="4" w:space="0" w:color="auto"/>
            </w:tcBorders>
            <w:shd w:val="clear" w:color="auto" w:fill="auto"/>
            <w:vAlign w:val="center"/>
          </w:tcPr>
          <w:p w:rsidR="00205FD7" w:rsidRPr="007F33F1" w:rsidRDefault="00205FD7" w:rsidP="0047221E">
            <w:pPr>
              <w:pStyle w:val="TableText0"/>
              <w:keepLines/>
              <w:jc w:val="center"/>
            </w:pPr>
          </w:p>
        </w:tc>
        <w:tc>
          <w:tcPr>
            <w:tcW w:w="618" w:type="pct"/>
            <w:tcBorders>
              <w:bottom w:val="double" w:sz="4" w:space="0" w:color="auto"/>
            </w:tcBorders>
            <w:shd w:val="clear" w:color="auto" w:fill="auto"/>
            <w:vAlign w:val="center"/>
          </w:tcPr>
          <w:p w:rsidR="00205FD7" w:rsidRPr="007F33F1" w:rsidRDefault="00205FD7" w:rsidP="0047221E">
            <w:pPr>
              <w:pStyle w:val="TableText0"/>
              <w:keepLines/>
              <w:jc w:val="center"/>
            </w:pPr>
            <w:r w:rsidRPr="007F33F1">
              <w:t>22.9</w:t>
            </w:r>
          </w:p>
          <w:p w:rsidR="00205FD7" w:rsidRPr="007F33F1" w:rsidRDefault="00205FD7" w:rsidP="0047221E">
            <w:pPr>
              <w:pStyle w:val="TableText0"/>
              <w:keepLines/>
              <w:jc w:val="center"/>
            </w:pPr>
            <w:r w:rsidRPr="007F33F1">
              <w:t>(21.8, 35.3)</w:t>
            </w:r>
          </w:p>
        </w:tc>
        <w:tc>
          <w:tcPr>
            <w:tcW w:w="530" w:type="pct"/>
            <w:tcBorders>
              <w:bottom w:val="double" w:sz="4" w:space="0" w:color="auto"/>
            </w:tcBorders>
            <w:shd w:val="clear" w:color="auto" w:fill="auto"/>
            <w:vAlign w:val="center"/>
          </w:tcPr>
          <w:p w:rsidR="00205FD7" w:rsidRPr="007F33F1" w:rsidRDefault="00205FD7" w:rsidP="0047221E">
            <w:pPr>
              <w:pStyle w:val="TableText0"/>
              <w:keepLines/>
              <w:jc w:val="center"/>
            </w:pPr>
            <w:r w:rsidRPr="007F33F1">
              <w:t>-</w:t>
            </w:r>
          </w:p>
        </w:tc>
        <w:tc>
          <w:tcPr>
            <w:tcW w:w="604" w:type="pct"/>
            <w:tcBorders>
              <w:bottom w:val="double" w:sz="4" w:space="0" w:color="auto"/>
            </w:tcBorders>
            <w:shd w:val="clear" w:color="auto" w:fill="auto"/>
            <w:vAlign w:val="center"/>
          </w:tcPr>
          <w:p w:rsidR="00205FD7" w:rsidRPr="007F33F1" w:rsidRDefault="00205FD7" w:rsidP="0047221E">
            <w:pPr>
              <w:pStyle w:val="TableText0"/>
              <w:keepLines/>
              <w:jc w:val="center"/>
            </w:pPr>
            <w:r w:rsidRPr="007F33F1">
              <w:t>37.3</w:t>
            </w:r>
          </w:p>
          <w:p w:rsidR="00205FD7" w:rsidRPr="007F33F1" w:rsidRDefault="00205FD7" w:rsidP="0047221E">
            <w:pPr>
              <w:pStyle w:val="TableText0"/>
              <w:keepLines/>
              <w:jc w:val="center"/>
            </w:pPr>
            <w:r w:rsidRPr="007F33F1">
              <w:t>(34.7, 44.1)</w:t>
            </w:r>
          </w:p>
        </w:tc>
        <w:tc>
          <w:tcPr>
            <w:tcW w:w="605" w:type="pct"/>
            <w:tcBorders>
              <w:bottom w:val="double" w:sz="4" w:space="0" w:color="auto"/>
            </w:tcBorders>
            <w:shd w:val="clear" w:color="auto" w:fill="auto"/>
            <w:vAlign w:val="center"/>
          </w:tcPr>
          <w:p w:rsidR="00205FD7" w:rsidRPr="007F33F1" w:rsidRDefault="00205FD7" w:rsidP="0047221E">
            <w:pPr>
              <w:pStyle w:val="TableText0"/>
              <w:keepLines/>
              <w:jc w:val="center"/>
            </w:pPr>
            <w:r w:rsidRPr="007F33F1">
              <w:t>-</w:t>
            </w:r>
          </w:p>
        </w:tc>
        <w:tc>
          <w:tcPr>
            <w:tcW w:w="579" w:type="pct"/>
            <w:tcBorders>
              <w:bottom w:val="double" w:sz="4" w:space="0" w:color="auto"/>
            </w:tcBorders>
            <w:shd w:val="clear" w:color="auto" w:fill="auto"/>
            <w:vAlign w:val="center"/>
          </w:tcPr>
          <w:p w:rsidR="00205FD7" w:rsidRPr="007F33F1" w:rsidRDefault="00205FD7" w:rsidP="0047221E">
            <w:pPr>
              <w:pStyle w:val="TableText0"/>
              <w:keepLines/>
              <w:jc w:val="center"/>
            </w:pPr>
            <w:r w:rsidRPr="007F33F1">
              <w:t>35.7</w:t>
            </w:r>
          </w:p>
          <w:p w:rsidR="00205FD7" w:rsidRPr="007F33F1" w:rsidRDefault="00205FD7" w:rsidP="0047221E">
            <w:pPr>
              <w:pStyle w:val="TableText0"/>
              <w:keepLines/>
              <w:jc w:val="center"/>
            </w:pPr>
            <w:r w:rsidRPr="007F33F1">
              <w:t>(27.2, 37.3)</w:t>
            </w:r>
          </w:p>
        </w:tc>
        <w:tc>
          <w:tcPr>
            <w:tcW w:w="630" w:type="pct"/>
            <w:tcBorders>
              <w:bottom w:val="double" w:sz="4" w:space="0" w:color="auto"/>
            </w:tcBorders>
            <w:shd w:val="clear" w:color="auto" w:fill="auto"/>
            <w:vAlign w:val="center"/>
          </w:tcPr>
          <w:p w:rsidR="00205FD7" w:rsidRPr="007F33F1" w:rsidRDefault="00205FD7" w:rsidP="0047221E">
            <w:pPr>
              <w:pStyle w:val="TableText0"/>
              <w:keepLines/>
              <w:jc w:val="center"/>
            </w:pPr>
            <w:r w:rsidRPr="007F33F1">
              <w:t>-</w:t>
            </w:r>
          </w:p>
        </w:tc>
      </w:tr>
      <w:tr w:rsidR="00205FD7" w:rsidRPr="007F33F1" w:rsidTr="00800B32">
        <w:trPr>
          <w:trHeight w:val="41"/>
        </w:trPr>
        <w:tc>
          <w:tcPr>
            <w:tcW w:w="747" w:type="pct"/>
            <w:tcBorders>
              <w:top w:val="double" w:sz="4" w:space="0" w:color="auto"/>
            </w:tcBorders>
            <w:shd w:val="clear" w:color="auto" w:fill="auto"/>
            <w:vAlign w:val="center"/>
          </w:tcPr>
          <w:p w:rsidR="00205FD7" w:rsidRPr="007F33F1" w:rsidRDefault="00205FD7" w:rsidP="0047221E">
            <w:pPr>
              <w:pStyle w:val="TableText0"/>
              <w:keepLines/>
            </w:pPr>
            <w:r w:rsidRPr="007F33F1">
              <w:t>ASPEN</w:t>
            </w:r>
          </w:p>
        </w:tc>
        <w:tc>
          <w:tcPr>
            <w:tcW w:w="687" w:type="pct"/>
            <w:vMerge w:val="restart"/>
            <w:tcBorders>
              <w:top w:val="double" w:sz="4" w:space="0" w:color="auto"/>
            </w:tcBorders>
            <w:shd w:val="clear" w:color="auto" w:fill="auto"/>
            <w:vAlign w:val="center"/>
          </w:tcPr>
          <w:p w:rsidR="00205FD7" w:rsidRPr="007F33F1" w:rsidRDefault="00205FD7" w:rsidP="0047221E">
            <w:pPr>
              <w:pStyle w:val="TableText0"/>
              <w:keepLines/>
              <w:jc w:val="center"/>
            </w:pPr>
            <w:r w:rsidRPr="007F33F1">
              <w:t>Median OS, mths (95%</w:t>
            </w:r>
            <w:r w:rsidR="00342DA4" w:rsidRPr="007F33F1">
              <w:t xml:space="preserve"> </w:t>
            </w:r>
            <w:r w:rsidRPr="007F33F1">
              <w:t>CI)</w:t>
            </w:r>
          </w:p>
        </w:tc>
        <w:tc>
          <w:tcPr>
            <w:tcW w:w="618"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530"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604"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605"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579"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c>
          <w:tcPr>
            <w:tcW w:w="630" w:type="pct"/>
            <w:tcBorders>
              <w:top w:val="double" w:sz="4" w:space="0" w:color="auto"/>
            </w:tcBorders>
            <w:shd w:val="clear" w:color="auto" w:fill="auto"/>
            <w:vAlign w:val="center"/>
          </w:tcPr>
          <w:p w:rsidR="00205FD7" w:rsidRPr="007F33F1" w:rsidRDefault="00205FD7" w:rsidP="0047221E">
            <w:pPr>
              <w:pStyle w:val="TableText0"/>
              <w:keepLines/>
              <w:jc w:val="center"/>
            </w:pPr>
            <w:r w:rsidRPr="007F33F1">
              <w:t>NE (NE, NE)</w:t>
            </w:r>
          </w:p>
        </w:tc>
      </w:tr>
      <w:tr w:rsidR="00205FD7" w:rsidRPr="007F33F1" w:rsidTr="00800B32">
        <w:trPr>
          <w:trHeight w:val="41"/>
        </w:trPr>
        <w:tc>
          <w:tcPr>
            <w:tcW w:w="747" w:type="pct"/>
            <w:shd w:val="clear" w:color="auto" w:fill="auto"/>
            <w:vAlign w:val="center"/>
          </w:tcPr>
          <w:p w:rsidR="00205FD7" w:rsidRPr="007F33F1" w:rsidRDefault="00205FD7" w:rsidP="0047221E">
            <w:pPr>
              <w:pStyle w:val="TableText0"/>
              <w:keepLines/>
            </w:pPr>
            <w:r w:rsidRPr="007F33F1">
              <w:t>StudyAU003</w:t>
            </w:r>
          </w:p>
        </w:tc>
        <w:tc>
          <w:tcPr>
            <w:tcW w:w="687" w:type="pct"/>
            <w:vMerge/>
            <w:shd w:val="clear" w:color="auto" w:fill="auto"/>
            <w:vAlign w:val="center"/>
          </w:tcPr>
          <w:p w:rsidR="00205FD7" w:rsidRPr="007F33F1" w:rsidRDefault="00205FD7" w:rsidP="0047221E">
            <w:pPr>
              <w:pStyle w:val="TableText0"/>
              <w:keepLines/>
              <w:jc w:val="center"/>
            </w:pPr>
          </w:p>
        </w:tc>
        <w:tc>
          <w:tcPr>
            <w:tcW w:w="618" w:type="pct"/>
            <w:shd w:val="clear" w:color="auto" w:fill="auto"/>
            <w:vAlign w:val="center"/>
          </w:tcPr>
          <w:p w:rsidR="00205FD7" w:rsidRPr="007F33F1" w:rsidRDefault="00205FD7" w:rsidP="0047221E">
            <w:pPr>
              <w:pStyle w:val="TableText0"/>
              <w:keepLines/>
              <w:jc w:val="center"/>
            </w:pPr>
            <w:r w:rsidRPr="007F33F1">
              <w:t>NE (NE, NE)</w:t>
            </w:r>
          </w:p>
        </w:tc>
        <w:tc>
          <w:tcPr>
            <w:tcW w:w="530" w:type="pct"/>
            <w:shd w:val="clear" w:color="auto" w:fill="auto"/>
            <w:vAlign w:val="center"/>
          </w:tcPr>
          <w:p w:rsidR="00205FD7" w:rsidRPr="007F33F1" w:rsidRDefault="00205FD7" w:rsidP="0047221E">
            <w:pPr>
              <w:pStyle w:val="TableText0"/>
              <w:keepLines/>
              <w:jc w:val="center"/>
            </w:pPr>
            <w:r w:rsidRPr="007F33F1">
              <w:t>NE (NE, NE)</w:t>
            </w:r>
          </w:p>
        </w:tc>
        <w:tc>
          <w:tcPr>
            <w:tcW w:w="604" w:type="pct"/>
            <w:shd w:val="clear" w:color="auto" w:fill="auto"/>
            <w:vAlign w:val="center"/>
          </w:tcPr>
          <w:p w:rsidR="00205FD7" w:rsidRPr="007F33F1" w:rsidRDefault="00205FD7" w:rsidP="0047221E">
            <w:pPr>
              <w:pStyle w:val="TableText0"/>
              <w:keepLines/>
              <w:jc w:val="center"/>
            </w:pPr>
            <w:r w:rsidRPr="007F33F1">
              <w:t>NE (NE, NE)</w:t>
            </w:r>
          </w:p>
        </w:tc>
        <w:tc>
          <w:tcPr>
            <w:tcW w:w="605" w:type="pct"/>
            <w:shd w:val="clear" w:color="auto" w:fill="auto"/>
            <w:vAlign w:val="center"/>
          </w:tcPr>
          <w:p w:rsidR="00205FD7" w:rsidRPr="007F33F1" w:rsidRDefault="00205FD7" w:rsidP="0047221E">
            <w:pPr>
              <w:pStyle w:val="TableText0"/>
              <w:keepLines/>
              <w:jc w:val="center"/>
            </w:pPr>
            <w:r w:rsidRPr="007F33F1">
              <w:t>NE (NE, NE)</w:t>
            </w:r>
          </w:p>
        </w:tc>
        <w:tc>
          <w:tcPr>
            <w:tcW w:w="579" w:type="pct"/>
            <w:shd w:val="clear" w:color="auto" w:fill="auto"/>
            <w:vAlign w:val="center"/>
          </w:tcPr>
          <w:p w:rsidR="00205FD7" w:rsidRPr="007F33F1" w:rsidRDefault="00205FD7" w:rsidP="0047221E">
            <w:pPr>
              <w:pStyle w:val="TableText0"/>
              <w:keepLines/>
              <w:jc w:val="center"/>
            </w:pPr>
            <w:r w:rsidRPr="007F33F1">
              <w:t>NE (NE, NE)</w:t>
            </w:r>
          </w:p>
        </w:tc>
        <w:tc>
          <w:tcPr>
            <w:tcW w:w="630" w:type="pct"/>
            <w:shd w:val="clear" w:color="auto" w:fill="auto"/>
            <w:vAlign w:val="center"/>
          </w:tcPr>
          <w:p w:rsidR="00205FD7" w:rsidRPr="007F33F1" w:rsidRDefault="00205FD7" w:rsidP="0047221E">
            <w:pPr>
              <w:pStyle w:val="TableText0"/>
              <w:keepLines/>
              <w:jc w:val="center"/>
            </w:pPr>
            <w:r w:rsidRPr="007F33F1">
              <w:t>NE (NE, NE)</w:t>
            </w:r>
          </w:p>
        </w:tc>
      </w:tr>
    </w:tbl>
    <w:p w:rsidR="00205FD7" w:rsidRPr="007F33F1" w:rsidRDefault="00205FD7" w:rsidP="0047221E">
      <w:pPr>
        <w:pStyle w:val="TableFigureFooter"/>
        <w:keepNext/>
        <w:keepLines/>
      </w:pPr>
      <w:r w:rsidRPr="007F33F1">
        <w:t>Source: Table 2.44, p100; Table 2.52, p114; Table 2.53, p114 of the submission; Table 33, p125 and Table 39, p141 of the ASPEN CSR</w:t>
      </w:r>
      <w:r w:rsidR="00342DA4" w:rsidRPr="007F33F1">
        <w:t>.</w:t>
      </w:r>
    </w:p>
    <w:p w:rsidR="00205FD7" w:rsidRPr="007F33F1" w:rsidRDefault="00205FD7" w:rsidP="0047221E">
      <w:pPr>
        <w:pStyle w:val="TableFigureFooter"/>
        <w:keepNext/>
        <w:keepLines/>
      </w:pPr>
      <w:r w:rsidRPr="007F33F1">
        <w:t>CI=confidence interval, IBRU=ibrutinib, NE=not estimable, OS=overall survival, PFS=progression-free survival, R/R=relapse/refractory, TN=treatment-naïve, ZANU=zanubrutinib</w:t>
      </w:r>
      <w:r w:rsidR="00342DA4" w:rsidRPr="007F33F1">
        <w:t>.</w:t>
      </w:r>
    </w:p>
    <w:p w:rsidR="00C01D29" w:rsidRPr="007F33F1" w:rsidRDefault="00C01D29" w:rsidP="0047221E"/>
    <w:p w:rsidR="00205FD7" w:rsidRPr="007F33F1" w:rsidRDefault="00205FD7" w:rsidP="0047221E">
      <w:pPr>
        <w:pStyle w:val="TableFigureHeading"/>
        <w:keepLines/>
      </w:pPr>
      <w:bookmarkStart w:id="43" w:name="_Ref71303814"/>
      <w:r w:rsidRPr="007F33F1">
        <w:t xml:space="preserve">Figure </w:t>
      </w:r>
      <w:r w:rsidR="00015997">
        <w:rPr>
          <w:noProof/>
        </w:rPr>
        <w:t>3</w:t>
      </w:r>
      <w:bookmarkEnd w:id="43"/>
      <w:r w:rsidRPr="007F33F1">
        <w:t xml:space="preserve">: KM plots of PFS and OS for </w:t>
      </w:r>
      <w:r w:rsidR="00342DA4" w:rsidRPr="007F33F1">
        <w:t>ASPEN-</w:t>
      </w:r>
      <w:r w:rsidRPr="007F33F1">
        <w:t xml:space="preserve">Cohort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Figure 3: KM plots of PFS and OS for ASPEN-Cohort 1 "/>
      </w:tblPr>
      <w:tblGrid>
        <w:gridCol w:w="4520"/>
        <w:gridCol w:w="4520"/>
      </w:tblGrid>
      <w:tr w:rsidR="00205FD7" w:rsidRPr="007F33F1" w:rsidTr="002F7BC5">
        <w:trPr>
          <w:tblHeader/>
        </w:trPr>
        <w:tc>
          <w:tcPr>
            <w:tcW w:w="9040" w:type="dxa"/>
            <w:gridSpan w:val="2"/>
            <w:shd w:val="clear" w:color="auto" w:fill="BFBFBF" w:themeFill="background1" w:themeFillShade="BF"/>
          </w:tcPr>
          <w:p w:rsidR="00205FD7" w:rsidRPr="007F33F1" w:rsidRDefault="00205FD7" w:rsidP="0047221E">
            <w:pPr>
              <w:pStyle w:val="In-tableHeading"/>
              <w:keepLines/>
              <w:jc w:val="center"/>
              <w:rPr>
                <w:lang w:val="en-AU"/>
              </w:rPr>
            </w:pPr>
            <w:r w:rsidRPr="007F33F1">
              <w:rPr>
                <w:lang w:val="en-AU"/>
              </w:rPr>
              <w:t>ITT population (combined TN/RR)</w:t>
            </w:r>
          </w:p>
        </w:tc>
      </w:tr>
      <w:tr w:rsidR="00205FD7" w:rsidRPr="007F33F1" w:rsidTr="00205FD7">
        <w:tc>
          <w:tcPr>
            <w:tcW w:w="4520" w:type="dxa"/>
          </w:tcPr>
          <w:p w:rsidR="00205FD7" w:rsidRPr="007F33F1" w:rsidRDefault="00205FD7" w:rsidP="0047221E">
            <w:pPr>
              <w:pStyle w:val="In-tableHeading"/>
              <w:keepLines/>
              <w:rPr>
                <w:lang w:val="en-AU"/>
              </w:rPr>
            </w:pPr>
            <w:r w:rsidRPr="007F33F1">
              <w:rPr>
                <w:noProof/>
                <w:lang w:val="en-AU"/>
              </w:rPr>
              <mc:AlternateContent>
                <mc:Choice Requires="wps">
                  <w:drawing>
                    <wp:anchor distT="0" distB="0" distL="114300" distR="114300" simplePos="0" relativeHeight="251674624" behindDoc="0" locked="0" layoutInCell="1" allowOverlap="1" wp14:anchorId="6E1FFE35" wp14:editId="5C683C1A">
                      <wp:simplePos x="0" y="0"/>
                      <wp:positionH relativeFrom="column">
                        <wp:posOffset>2314271</wp:posOffset>
                      </wp:positionH>
                      <wp:positionV relativeFrom="paragraph">
                        <wp:posOffset>909127</wp:posOffset>
                      </wp:positionV>
                      <wp:extent cx="381662" cy="373712"/>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381662" cy="373712"/>
                              </a:xfrm>
                              <a:prstGeom prst="rect">
                                <a:avLst/>
                              </a:prstGeom>
                              <a:solidFill>
                                <a:schemeClr val="lt1"/>
                              </a:solidFill>
                              <a:ln w="6350">
                                <a:noFill/>
                              </a:ln>
                            </wps:spPr>
                            <wps:txbx>
                              <w:txbxContent>
                                <w:p w:rsidR="00D529DB" w:rsidRPr="007D3E57" w:rsidRDefault="00D529DB" w:rsidP="00205FD7">
                                  <w:pPr>
                                    <w:rPr>
                                      <w:b/>
                                    </w:rPr>
                                  </w:pPr>
                                  <w:r w:rsidRPr="007D3E57">
                                    <w:rPr>
                                      <w:b/>
                                      <w:color w:val="F79646" w:themeColor="accent6"/>
                                      <w:sz w:val="20"/>
                                    </w:rP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1FFE35" id="_x0000_t202" coordsize="21600,21600" o:spt="202" path="m,l,21600r21600,l21600,xe">
                      <v:stroke joinstyle="miter"/>
                      <v:path gradientshapeok="t" o:connecttype="rect"/>
                    </v:shapetype>
                    <v:shape id="Text Box 21" o:spid="_x0000_s1026" type="#_x0000_t202" style="position:absolute;margin-left:182.25pt;margin-top:71.6pt;width:30.05pt;height:29.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E8QQIAAHoEAAAOAAAAZHJzL2Uyb0RvYy54bWysVMGO2jAQvVfqP1i+l5DAwjYirCgrqkpo&#10;dyWo9mwcGyI5Htc2JPTrO3YCS7c9Vb2Y8czked68GWYPba3ISVhXgS5oOhhSIjSHstL7gn7frj7d&#10;U+I80yVToEVBz8LRh/nHD7PG5CKDA6hSWIIg2uWNKejBe5MnieMHUTM3ACM0BiXYmnm82n1SWtYg&#10;eq2SbDicJA3Y0ljgwjn0PnZBOo/4Ugrun6V0whNVUKzNx9PGcxfOZD5j+d4yc6h4Xwb7hypqVml8&#10;9Ar1yDwjR1v9AVVX3IID6Qcc6gSkrLiIHJBNOnzHZnNgRkQu2Bxnrm1y/w+WP51eLKnKgmYpJZrV&#10;qNFWtJ58gZagC/vTGJdj2sZgom/Rjzpf/A6dgXYrbR1+kRDBOHb6fO1uQOPoHN2nk0lGCcfQaDqa&#10;pllASd4+Ntb5rwJqEoyCWhQv9pSd1s53qZeU8JYDVZWrSql4CQMjlsqSE0OplY8lIvhvWUqTpqCT&#10;0d0wAmsIn3fISmMtgWpHKVi+3bU9/x2UZ6RvoRsgZ/iqwiLXzPkXZnFikDFugX/GQyrAR6C3KDmA&#10;/fk3f8hHITFKSYMTWFD348isoER90yjx53Q8DiMbL+O7aYYXexvZ3Ub0sV4CMkcVsbpohnyvLqa0&#10;UL/isizCqxhimuPbBfUXc+m7vcBl42KxiEk4pIb5td4YHqBDp4ME2/aVWdPr5FHgJ7jMKsvfydXl&#10;hi81LI4eZBW1DA3uutr3HQc8TkO/jGGDbu8x6+0vY/4LAAD//wMAUEsDBBQABgAIAAAAIQDNZji5&#10;4gAAAAsBAAAPAAAAZHJzL2Rvd25yZXYueG1sTI/LToRAEEX3Jv5Dp0zcGKcZYNAgzcQYH8nsHHzE&#10;XQ9dApGuJnQP4N9brnRZuSf3niq2i+3FhKPvHClYryIQSLUzHTUKXqqHy2sQPmgyuneECr7Rw7Y8&#10;PSl0btxMzzjtQyO4hHyuFbQhDLmUvm7Rar9yAxJnn260OvA5NtKMeuZy28s4ijJpdUe80OoB71qs&#10;v/ZHq+Djonnf+eXxdU42yXD/NFVXb6ZS6vxsub0BEXAJfzD86rM6lOx0cEcyXvQKkizdMMpBmsQg&#10;mEjjNANxUBBH8RpkWcj/P5Q/AAAA//8DAFBLAQItABQABgAIAAAAIQC2gziS/gAAAOEBAAATAAAA&#10;AAAAAAAAAAAAAAAAAABbQ29udGVudF9UeXBlc10ueG1sUEsBAi0AFAAGAAgAAAAhADj9If/WAAAA&#10;lAEAAAsAAAAAAAAAAAAAAAAALwEAAF9yZWxzLy5yZWxzUEsBAi0AFAAGAAgAAAAhAA6OYTxBAgAA&#10;egQAAA4AAAAAAAAAAAAAAAAALgIAAGRycy9lMm9Eb2MueG1sUEsBAi0AFAAGAAgAAAAhAM1mOLni&#10;AAAACwEAAA8AAAAAAAAAAAAAAAAAmwQAAGRycy9kb3ducmV2LnhtbFBLBQYAAAAABAAEAPMAAACq&#10;BQAAAAA=&#10;" fillcolor="white [3201]" stroked="f" strokeweight=".5pt">
                      <v:textbox>
                        <w:txbxContent>
                          <w:p w:rsidR="00D529DB" w:rsidRPr="007D3E57" w:rsidRDefault="00D529DB" w:rsidP="00205FD7">
                            <w:pPr>
                              <w:rPr>
                                <w:b/>
                              </w:rPr>
                            </w:pPr>
                            <w:r w:rsidRPr="007D3E57">
                              <w:rPr>
                                <w:b/>
                                <w:color w:val="F79646" w:themeColor="accent6"/>
                                <w:sz w:val="20"/>
                              </w:rPr>
                              <w:t>PFS</w:t>
                            </w:r>
                          </w:p>
                        </w:txbxContent>
                      </v:textbox>
                    </v:shape>
                  </w:pict>
                </mc:Fallback>
              </mc:AlternateContent>
            </w:r>
            <w:r w:rsidRPr="007F33F1">
              <w:rPr>
                <w:noProof/>
                <w:lang w:val="en-AU"/>
              </w:rPr>
              <w:drawing>
                <wp:inline distT="0" distB="0" distL="0" distR="0" wp14:anchorId="25D68D3C" wp14:editId="7DCF0A6A">
                  <wp:extent cx="2887980" cy="2232660"/>
                  <wp:effectExtent l="0" t="0" r="7620" b="0"/>
                  <wp:docPr id="34" name="Picture 34" title="Figure 3: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980" cy="2232660"/>
                          </a:xfrm>
                          <a:prstGeom prst="rect">
                            <a:avLst/>
                          </a:prstGeom>
                          <a:noFill/>
                        </pic:spPr>
                      </pic:pic>
                    </a:graphicData>
                  </a:graphic>
                </wp:inline>
              </w:drawing>
            </w:r>
          </w:p>
        </w:tc>
        <w:tc>
          <w:tcPr>
            <w:tcW w:w="4520" w:type="dxa"/>
          </w:tcPr>
          <w:p w:rsidR="00205FD7" w:rsidRPr="007F33F1" w:rsidRDefault="00205FD7" w:rsidP="0047221E">
            <w:pPr>
              <w:pStyle w:val="In-tableHeading"/>
              <w:keepLines/>
              <w:rPr>
                <w:lang w:val="en-AU"/>
              </w:rPr>
            </w:pPr>
            <w:r w:rsidRPr="007F33F1">
              <w:rPr>
                <w:noProof/>
                <w:lang w:val="en-AU"/>
              </w:rPr>
              <mc:AlternateContent>
                <mc:Choice Requires="wps">
                  <w:drawing>
                    <wp:anchor distT="0" distB="0" distL="114300" distR="114300" simplePos="0" relativeHeight="251675648" behindDoc="0" locked="0" layoutInCell="1" allowOverlap="1" wp14:anchorId="7BBA8F58" wp14:editId="3F1A214C">
                      <wp:simplePos x="0" y="0"/>
                      <wp:positionH relativeFrom="column">
                        <wp:posOffset>2251102</wp:posOffset>
                      </wp:positionH>
                      <wp:positionV relativeFrom="paragraph">
                        <wp:posOffset>892755</wp:posOffset>
                      </wp:positionV>
                      <wp:extent cx="453224" cy="286246"/>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53224" cy="286246"/>
                              </a:xfrm>
                              <a:prstGeom prst="rect">
                                <a:avLst/>
                              </a:prstGeom>
                              <a:noFill/>
                              <a:ln w="6350">
                                <a:noFill/>
                              </a:ln>
                            </wps:spPr>
                            <wps:txbx>
                              <w:txbxContent>
                                <w:p w:rsidR="00D529DB" w:rsidRPr="007D3E57" w:rsidRDefault="00D529DB" w:rsidP="00205FD7">
                                  <w:pPr>
                                    <w:rPr>
                                      <w:b/>
                                      <w:color w:val="0070C0"/>
                                      <w:sz w:val="20"/>
                                    </w:rPr>
                                  </w:pPr>
                                  <w:r w:rsidRPr="007D3E57">
                                    <w:rPr>
                                      <w:b/>
                                      <w:color w:val="0070C0"/>
                                      <w:sz w:val="20"/>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BA8F58" id="Text Box 22" o:spid="_x0000_s1027" type="#_x0000_t202" style="position:absolute;margin-left:177.25pt;margin-top:70.3pt;width:35.7pt;height:2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ZOMAIAAFkEAAAOAAAAZHJzL2Uyb0RvYy54bWysVFFv2jAQfp+0/2D5fQTSwLqIULFWTJOq&#10;thJMfTaOTSLZPs82JOzX7+wARd2epr2Y893lzt/33TG/67UiB+F8C6aik9GYEmE41K3ZVfTHZvXp&#10;lhIfmKmZAiMqehSe3i0+fph3thQ5NKBq4QgWMb7sbEWbEGyZZZ43QjM/AisMBiU4zQJe3S6rHeuw&#10;ulZZPh7Psg5cbR1w4T16H4YgXaT6UgoenqX0IhBVUXxbSKdL5zae2WLOyp1jtmn56RnsH16hWWuw&#10;6aXUAwuM7F37RyndcgceZBhx0BlI2XKRMCCayfgdmnXDrEhYkBxvLzT5/1eWPx1eHGnriuY5JYZp&#10;1Ggj+kC+Qk/Qhfx01peYtraYGHr0o85nv0dnhN1Lp+MvAiIYR6aPF3ZjNY7OYnqT5wUlHEP57Swv&#10;ZrFK9vaxdT58E6BJNCrqULzEKTs8+jCknlNiLwOrVqkkoDKkq+jsZjpOH1wiWFwZ7BEhDE+NVui3&#10;fYJ8gbGF+ojoHAzz4S1ftfiGR+bDC3M4EAgIhzw84yEVYC84WZQ04H79zR/zUSeMUtLhgFXU/9wz&#10;JyhR3w0q+GVSFHEi06WYfs7x4q4j2+uI2et7wBme4DpZnsyYH9TZlA70K+7CMnbFEDMce1c0nM37&#10;MIw97hIXy2VKwhm0LDyateWxdGQ1MrzpX5mzJxkC6vcE51Fk5Ts1htxBj+U+gGyTVJHngdUT/Ti/&#10;SezTrsUFub6nrLd/hMVvAAAA//8DAFBLAwQUAAYACAAAACEA537EFeIAAAALAQAADwAAAGRycy9k&#10;b3ducmV2LnhtbEyPy07DMBBF90j8gzVI7KhDiEsIcaoqUoWEYNHSDbtJ7CYRfoTYbQNfz7CC5cw9&#10;unOmXM3WsJOewuCdhNtFAky71qvBdRL2b5ubHFiI6BQa77SELx1gVV1elFgof3ZbfdrFjlGJCwVK&#10;6GMcC85D22uLYeFH7Sg7+MlipHHquJrwTOXW8DRJltzi4OhCj6Oue91+7I5WwnO9ecVtk9r829RP&#10;L4f1+Ll/F1JeX83rR2BRz/EPhl99UoeKnBp/dCowI+FOZIJQCrJkCYyILBUPwBra5OIeeFXy/z9U&#10;PwAAAP//AwBQSwECLQAUAAYACAAAACEAtoM4kv4AAADhAQAAEwAAAAAAAAAAAAAAAAAAAAAAW0Nv&#10;bnRlbnRfVHlwZXNdLnhtbFBLAQItABQABgAIAAAAIQA4/SH/1gAAAJQBAAALAAAAAAAAAAAAAAAA&#10;AC8BAABfcmVscy8ucmVsc1BLAQItABQABgAIAAAAIQAJOwZOMAIAAFkEAAAOAAAAAAAAAAAAAAAA&#10;AC4CAABkcnMvZTJvRG9jLnhtbFBLAQItABQABgAIAAAAIQDnfsQV4gAAAAsBAAAPAAAAAAAAAAAA&#10;AAAAAIoEAABkcnMvZG93bnJldi54bWxQSwUGAAAAAAQABADzAAAAmQUAAAAA&#10;" filled="f" stroked="f" strokeweight=".5pt">
                      <v:textbox>
                        <w:txbxContent>
                          <w:p w:rsidR="00D529DB" w:rsidRPr="007D3E57" w:rsidRDefault="00D529DB" w:rsidP="00205FD7">
                            <w:pPr>
                              <w:rPr>
                                <w:b/>
                                <w:color w:val="0070C0"/>
                                <w:sz w:val="20"/>
                              </w:rPr>
                            </w:pPr>
                            <w:r w:rsidRPr="007D3E57">
                              <w:rPr>
                                <w:b/>
                                <w:color w:val="0070C0"/>
                                <w:sz w:val="20"/>
                              </w:rPr>
                              <w:t>OS</w:t>
                            </w:r>
                          </w:p>
                        </w:txbxContent>
                      </v:textbox>
                    </v:shape>
                  </w:pict>
                </mc:Fallback>
              </mc:AlternateContent>
            </w:r>
            <w:r w:rsidRPr="007F33F1">
              <w:rPr>
                <w:noProof/>
                <w:lang w:val="en-AU"/>
              </w:rPr>
              <w:drawing>
                <wp:inline distT="0" distB="0" distL="0" distR="0" wp14:anchorId="687C4409" wp14:editId="024B0EE6">
                  <wp:extent cx="2853055" cy="2292350"/>
                  <wp:effectExtent l="0" t="0" r="4445" b="0"/>
                  <wp:docPr id="35" name="Picture 35" title="Figure 3: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3055" cy="2292350"/>
                          </a:xfrm>
                          <a:prstGeom prst="rect">
                            <a:avLst/>
                          </a:prstGeom>
                          <a:noFill/>
                        </pic:spPr>
                      </pic:pic>
                    </a:graphicData>
                  </a:graphic>
                </wp:inline>
              </w:drawing>
            </w:r>
          </w:p>
        </w:tc>
      </w:tr>
      <w:tr w:rsidR="00205FD7" w:rsidRPr="007F33F1" w:rsidTr="00205FD7">
        <w:tc>
          <w:tcPr>
            <w:tcW w:w="9040" w:type="dxa"/>
            <w:gridSpan w:val="2"/>
            <w:shd w:val="clear" w:color="auto" w:fill="BFBFBF" w:themeFill="background1" w:themeFillShade="BF"/>
            <w:vAlign w:val="center"/>
          </w:tcPr>
          <w:p w:rsidR="00205FD7" w:rsidRPr="007F33F1" w:rsidRDefault="00205FD7" w:rsidP="0047221E">
            <w:pPr>
              <w:pStyle w:val="In-tableHeading"/>
              <w:keepLines/>
              <w:jc w:val="center"/>
              <w:rPr>
                <w:lang w:val="en-AU" w:eastAsia="zh-CN"/>
              </w:rPr>
            </w:pPr>
            <w:r w:rsidRPr="007F33F1">
              <w:rPr>
                <w:lang w:val="en-AU" w:eastAsia="zh-CN"/>
              </w:rPr>
              <w:t>TN population</w:t>
            </w:r>
          </w:p>
        </w:tc>
      </w:tr>
      <w:tr w:rsidR="00205FD7" w:rsidRPr="007F33F1" w:rsidTr="00205FD7">
        <w:tc>
          <w:tcPr>
            <w:tcW w:w="4520" w:type="dxa"/>
          </w:tcPr>
          <w:p w:rsidR="00205FD7" w:rsidRPr="007F33F1" w:rsidRDefault="00205FD7" w:rsidP="0047221E">
            <w:pPr>
              <w:pStyle w:val="In-tableHeading"/>
              <w:keepLines/>
              <w:rPr>
                <w:lang w:val="en-AU" w:eastAsia="zh-CN"/>
              </w:rPr>
            </w:pPr>
            <w:r w:rsidRPr="007F33F1">
              <w:rPr>
                <w:noProof/>
                <w:lang w:val="en-AU"/>
              </w:rPr>
              <mc:AlternateContent>
                <mc:Choice Requires="wps">
                  <w:drawing>
                    <wp:anchor distT="0" distB="0" distL="114300" distR="114300" simplePos="0" relativeHeight="251678720" behindDoc="0" locked="0" layoutInCell="1" allowOverlap="1" wp14:anchorId="14874A2D" wp14:editId="253551CE">
                      <wp:simplePos x="0" y="0"/>
                      <wp:positionH relativeFrom="column">
                        <wp:posOffset>2283405</wp:posOffset>
                      </wp:positionH>
                      <wp:positionV relativeFrom="paragraph">
                        <wp:posOffset>1131625</wp:posOffset>
                      </wp:positionV>
                      <wp:extent cx="381662" cy="373712"/>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381662" cy="373712"/>
                              </a:xfrm>
                              <a:prstGeom prst="rect">
                                <a:avLst/>
                              </a:prstGeom>
                              <a:solidFill>
                                <a:schemeClr val="lt1"/>
                              </a:solidFill>
                              <a:ln w="6350">
                                <a:noFill/>
                              </a:ln>
                            </wps:spPr>
                            <wps:txbx>
                              <w:txbxContent>
                                <w:p w:rsidR="00D529DB" w:rsidRPr="007D3E57" w:rsidRDefault="00D529DB" w:rsidP="00205FD7">
                                  <w:pPr>
                                    <w:rPr>
                                      <w:b/>
                                    </w:rPr>
                                  </w:pPr>
                                  <w:r w:rsidRPr="007D3E57">
                                    <w:rPr>
                                      <w:b/>
                                      <w:color w:val="F79646" w:themeColor="accent6"/>
                                      <w:sz w:val="20"/>
                                    </w:rP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4A2D" id="Text Box 23" o:spid="_x0000_s1028" type="#_x0000_t202" style="position:absolute;margin-left:179.8pt;margin-top:89.1pt;width:30.05pt;height:2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JCRAIAAIEEAAAOAAAAZHJzL2Uyb0RvYy54bWysVMGO2jAQvVfqP1i+l5DAwjYirCgrqkpo&#10;dyWo9mwch1hyPK5tSOjXd+wAS7c9Vb2Y8czkeea9GWYPXaPIUVgnQRc0HQwpEZpDKfW+oN+3q0/3&#10;lDjPdMkUaFHQk3D0Yf7xw6w1ucigBlUKSxBEu7w1Ba29N3mSOF6LhrkBGKExWIFtmMer3SelZS2i&#10;NyrJhsNJ0oItjQUunEPvYx+k84hfVYL756pywhNVUKzNx9PGcxfOZD5j+d4yU0t+LoP9QxUNkxof&#10;vUI9Ms/Iwco/oBrJLTio/IBDk0BVSS5iD9hNOnzXzaZmRsRekBxnrjS5/wfLn44vlsiyoNmIEs0a&#10;1GgrOk++QEfQhfy0xuWYtjGY6Dv0o84Xv0NnaLurbBN+sSGCcWT6dGU3oHF0ju7TySSjhGNoNB1N&#10;0yygJG8fG+v8VwENCUZBLYoXOWXHtfN96iUlvOVAyXIllYqXMDBiqSw5MpRa+Vgigv+WpTRpCzoZ&#10;3Q0jsIbweY+sNNYSWu1bCpbvdl1PzaXdHZQnZMFCP0fO8JXEWtfM+RdmcXCwcVwG/4xHpQDfgrNF&#10;SQ3259/8IR/1xCglLQ5iQd2PA7OCEvVNo9Kf0/E4TG68jO+mGV7sbWR3G9GHZglIQIprZ3g0Q75X&#10;F7Oy0LzizizCqxhimuPbBfUXc+n79cCd42KxiEk4q4b5td4YHqAD4UGJbffKrDnL5VHnJ7iMLMvf&#10;qdbnhi81LA4eKhklDTz3rJ7pxzmPQ3HeybBIt/eY9fbPMf8FAAD//wMAUEsDBBQABgAIAAAAIQCi&#10;mlEz4wAAAAsBAAAPAAAAZHJzL2Rvd25yZXYueG1sTI/LTsMwEEX3SPyDNUhsEHUetGlDnAohHhI7&#10;Gh5i58ZDUhGPo9hNwt8zrGA5ukf3nim2s+3EiIM/OFIQLyIQSLUzB2oUvFT3l2sQPmgyunOECr7R&#10;w7Y8PSl0btxEzzjuQiO4hHyuFbQh9LmUvm7Rar9wPRJnn26wOvA5NNIMeuJy28kkilbS6gPxQqt7&#10;vG2x/todrYKPi+b9yc8Pr1O6TPu7x7HK3kyl1PnZfHMNIuAc/mD41Wd1KNlp745kvOgUpMvNilEO&#10;snUCgomreJOB2CtI0iwGWRby/w/lDwAAAP//AwBQSwECLQAUAAYACAAAACEAtoM4kv4AAADhAQAA&#10;EwAAAAAAAAAAAAAAAAAAAAAAW0NvbnRlbnRfVHlwZXNdLnhtbFBLAQItABQABgAIAAAAIQA4/SH/&#10;1gAAAJQBAAALAAAAAAAAAAAAAAAAAC8BAABfcmVscy8ucmVsc1BLAQItABQABgAIAAAAIQAUxtJC&#10;RAIAAIEEAAAOAAAAAAAAAAAAAAAAAC4CAABkcnMvZTJvRG9jLnhtbFBLAQItABQABgAIAAAAIQCi&#10;mlEz4wAAAAsBAAAPAAAAAAAAAAAAAAAAAJ4EAABkcnMvZG93bnJldi54bWxQSwUGAAAAAAQABADz&#10;AAAArgUAAAAA&#10;" fillcolor="white [3201]" stroked="f" strokeweight=".5pt">
                      <v:textbox>
                        <w:txbxContent>
                          <w:p w:rsidR="00D529DB" w:rsidRPr="007D3E57" w:rsidRDefault="00D529DB" w:rsidP="00205FD7">
                            <w:pPr>
                              <w:rPr>
                                <w:b/>
                              </w:rPr>
                            </w:pPr>
                            <w:r w:rsidRPr="007D3E57">
                              <w:rPr>
                                <w:b/>
                                <w:color w:val="F79646" w:themeColor="accent6"/>
                                <w:sz w:val="20"/>
                              </w:rPr>
                              <w:t>PFS</w:t>
                            </w:r>
                          </w:p>
                        </w:txbxContent>
                      </v:textbox>
                    </v:shape>
                  </w:pict>
                </mc:Fallback>
              </mc:AlternateContent>
            </w:r>
            <w:r w:rsidRPr="007F33F1">
              <w:rPr>
                <w:noProof/>
                <w:lang w:val="en-AU"/>
              </w:rPr>
              <w:drawing>
                <wp:inline distT="0" distB="0" distL="0" distR="0" wp14:anchorId="099011D3" wp14:editId="19FC3BA1">
                  <wp:extent cx="3039815" cy="2340864"/>
                  <wp:effectExtent l="0" t="0" r="8255" b="2540"/>
                  <wp:docPr id="55" name="Picture 55" title="Figure 3: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5527" cy="2345262"/>
                          </a:xfrm>
                          <a:prstGeom prst="rect">
                            <a:avLst/>
                          </a:prstGeom>
                          <a:noFill/>
                        </pic:spPr>
                      </pic:pic>
                    </a:graphicData>
                  </a:graphic>
                </wp:inline>
              </w:drawing>
            </w:r>
          </w:p>
        </w:tc>
        <w:tc>
          <w:tcPr>
            <w:tcW w:w="4520" w:type="dxa"/>
          </w:tcPr>
          <w:p w:rsidR="00205FD7" w:rsidRPr="007F33F1" w:rsidRDefault="00205FD7" w:rsidP="0047221E">
            <w:pPr>
              <w:pStyle w:val="In-tableHeading"/>
              <w:keepLines/>
              <w:rPr>
                <w:lang w:val="en-AU" w:eastAsia="zh-CN"/>
              </w:rPr>
            </w:pPr>
            <w:r w:rsidRPr="007F33F1">
              <w:rPr>
                <w:noProof/>
                <w:lang w:val="en-AU"/>
              </w:rPr>
              <mc:AlternateContent>
                <mc:Choice Requires="wps">
                  <w:drawing>
                    <wp:anchor distT="0" distB="0" distL="114300" distR="114300" simplePos="0" relativeHeight="251679744" behindDoc="0" locked="0" layoutInCell="1" allowOverlap="1" wp14:anchorId="1A023DAF" wp14:editId="63051A3E">
                      <wp:simplePos x="0" y="0"/>
                      <wp:positionH relativeFrom="column">
                        <wp:posOffset>2212284</wp:posOffset>
                      </wp:positionH>
                      <wp:positionV relativeFrom="paragraph">
                        <wp:posOffset>1090544</wp:posOffset>
                      </wp:positionV>
                      <wp:extent cx="453224" cy="286246"/>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53224" cy="286246"/>
                              </a:xfrm>
                              <a:prstGeom prst="rect">
                                <a:avLst/>
                              </a:prstGeom>
                              <a:noFill/>
                              <a:ln w="6350">
                                <a:noFill/>
                              </a:ln>
                            </wps:spPr>
                            <wps:txbx>
                              <w:txbxContent>
                                <w:p w:rsidR="00D529DB" w:rsidRPr="007D3E57" w:rsidRDefault="00D529DB" w:rsidP="00205FD7">
                                  <w:pPr>
                                    <w:rPr>
                                      <w:b/>
                                      <w:color w:val="0070C0"/>
                                      <w:sz w:val="20"/>
                                    </w:rPr>
                                  </w:pPr>
                                  <w:r w:rsidRPr="007D3E57">
                                    <w:rPr>
                                      <w:b/>
                                      <w:color w:val="0070C0"/>
                                      <w:sz w:val="20"/>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23DAF" id="Text Box 24" o:spid="_x0000_s1029" type="#_x0000_t202" style="position:absolute;margin-left:174.2pt;margin-top:85.85pt;width:35.7pt;height:2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QXMAIAAFkEAAAOAAAAZHJzL2Uyb0RvYy54bWysVMGO2jAQvVfqP1i+l0AIdBsRVnRXVJXQ&#10;7kpQ7dk4NokUe1zbkNCv79ghLNr2VPVixjOTGb/3Zljcd6ohJ2FdDbqgk9GYEqE5lLU+FPTHbv3p&#10;jhLnmS5ZA1oU9CwcvV9+/LBoTS5SqKAphSVYRLu8NQWtvDd5kjheCcXcCIzQGJRgFfN4tYektKzF&#10;6qpJ0vF4nrRgS2OBC+fQ+9gH6TLWl1Jw/yylE540BcW3+XjaeO7DmSwXLD9YZqqaX57B/uEVitUa&#10;m15LPTLPyNHWf5RSNbfgQPoRB5WAlDUXEQOimYzfodlWzIiIBclx5kqT+39l+dPpxZK6LGiaUaKZ&#10;Qo12ovPkK3QEXchPa1yOaVuDib5DP+o8+B06A+xOWhV+ERDBODJ9vrIbqnF0ZrNpGppwDKV38zSb&#10;hyrJ28fGOv9NgCLBKKhF8SKn7LRxvk8dUkIvDeu6aaKAjSZtQefT2Th+cI1g8UZjjwChf2qwfLfv&#10;IuTpAGMP5RnRWejnwxm+rvENG+b8C7M4EAgIh9w/4yEbwF5wsSipwP76mz/ko04YpaTFASuo+3lk&#10;VlDSfNeo4JdJloWJjJds9jnFi72N7G8j+qgeAGd4gutkeDRDvm8GU1pQr7gLq9AVQ0xz7F1QP5gP&#10;vh973CUuVquYhDNomN/oreGhdGA1MLzrXpk1Fxk86vcEwyiy/J0afW6vx+roQdZRqsBzz+qFfpzf&#10;KPZl18KC3N5j1ts/wvI3AAAA//8DAFBLAwQUAAYACAAAACEACwAg2eMAAAALAQAADwAAAGRycy9k&#10;b3ducmV2LnhtbEyPwU7DMBBE70j8g7VI3KiTENo0jVNVkSokRA8tvXBzYjeJsNchdtvA17Oc4Lia&#10;p9k3xXqyhl306HuHAuJZBExj41SPrYDj2/YhA+aDRCWNQy3gS3tYl7c3hcyVu+JeXw6hZVSCPpcC&#10;uhCGnHPfdNpKP3ODRspObrQy0Dm2XI3ySuXW8CSK5tzKHulDJwdddbr5OJytgJdqu5P7OrHZt6me&#10;X0+b4fP4/iTE/d20WQELegp/MPzqkzqU5FS7MyrPjIDHNEsJpWARL4ARkcZLGlMLSOJ5Brws+P8N&#10;5Q8AAAD//wMAUEsBAi0AFAAGAAgAAAAhALaDOJL+AAAA4QEAABMAAAAAAAAAAAAAAAAAAAAAAFtD&#10;b250ZW50X1R5cGVzXS54bWxQSwECLQAUAAYACAAAACEAOP0h/9YAAACUAQAACwAAAAAAAAAAAAAA&#10;AAAvAQAAX3JlbHMvLnJlbHNQSwECLQAUAAYACAAAACEAS7YUFzACAABZBAAADgAAAAAAAAAAAAAA&#10;AAAuAgAAZHJzL2Uyb0RvYy54bWxQSwECLQAUAAYACAAAACEACwAg2eMAAAALAQAADwAAAAAAAAAA&#10;AAAAAACKBAAAZHJzL2Rvd25yZXYueG1sUEsFBgAAAAAEAAQA8wAAAJoFAAAAAA==&#10;" filled="f" stroked="f" strokeweight=".5pt">
                      <v:textbox>
                        <w:txbxContent>
                          <w:p w:rsidR="00D529DB" w:rsidRPr="007D3E57" w:rsidRDefault="00D529DB" w:rsidP="00205FD7">
                            <w:pPr>
                              <w:rPr>
                                <w:b/>
                                <w:color w:val="0070C0"/>
                                <w:sz w:val="20"/>
                              </w:rPr>
                            </w:pPr>
                            <w:r w:rsidRPr="007D3E57">
                              <w:rPr>
                                <w:b/>
                                <w:color w:val="0070C0"/>
                                <w:sz w:val="20"/>
                              </w:rPr>
                              <w:t>OS</w:t>
                            </w:r>
                          </w:p>
                        </w:txbxContent>
                      </v:textbox>
                    </v:shape>
                  </w:pict>
                </mc:Fallback>
              </mc:AlternateContent>
            </w:r>
            <w:r w:rsidRPr="007F33F1">
              <w:rPr>
                <w:noProof/>
                <w:lang w:val="en-AU"/>
              </w:rPr>
              <w:drawing>
                <wp:inline distT="0" distB="0" distL="0" distR="0" wp14:anchorId="55CCBB27" wp14:editId="2E319DD7">
                  <wp:extent cx="2865090" cy="2326234"/>
                  <wp:effectExtent l="0" t="0" r="0" b="0"/>
                  <wp:docPr id="56" name="Picture 56" title="Figure 3: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1124" cy="2331133"/>
                          </a:xfrm>
                          <a:prstGeom prst="rect">
                            <a:avLst/>
                          </a:prstGeom>
                          <a:noFill/>
                        </pic:spPr>
                      </pic:pic>
                    </a:graphicData>
                  </a:graphic>
                </wp:inline>
              </w:drawing>
            </w:r>
          </w:p>
        </w:tc>
      </w:tr>
      <w:tr w:rsidR="00205FD7" w:rsidRPr="007F33F1" w:rsidTr="00205FD7">
        <w:tc>
          <w:tcPr>
            <w:tcW w:w="9040" w:type="dxa"/>
            <w:gridSpan w:val="2"/>
            <w:shd w:val="clear" w:color="auto" w:fill="BFBFBF" w:themeFill="background1" w:themeFillShade="BF"/>
            <w:vAlign w:val="center"/>
          </w:tcPr>
          <w:p w:rsidR="00205FD7" w:rsidRPr="007F33F1" w:rsidRDefault="00205FD7" w:rsidP="0047221E">
            <w:pPr>
              <w:pStyle w:val="In-tableHeading"/>
              <w:keepLines/>
              <w:jc w:val="center"/>
              <w:rPr>
                <w:lang w:val="en-AU" w:eastAsia="zh-CN"/>
              </w:rPr>
            </w:pPr>
            <w:r w:rsidRPr="007F33F1">
              <w:rPr>
                <w:lang w:val="en-AU" w:eastAsia="zh-CN"/>
              </w:rPr>
              <w:t>R/R population</w:t>
            </w:r>
          </w:p>
        </w:tc>
      </w:tr>
      <w:tr w:rsidR="00205FD7" w:rsidRPr="007F33F1" w:rsidTr="00205FD7">
        <w:tc>
          <w:tcPr>
            <w:tcW w:w="4520" w:type="dxa"/>
          </w:tcPr>
          <w:p w:rsidR="00205FD7" w:rsidRPr="007F33F1" w:rsidRDefault="00205FD7" w:rsidP="0047221E">
            <w:pPr>
              <w:pStyle w:val="In-tableHeading"/>
              <w:keepLines/>
              <w:rPr>
                <w:lang w:val="en-AU" w:eastAsia="zh-CN"/>
              </w:rPr>
            </w:pPr>
            <w:r w:rsidRPr="007F33F1">
              <w:rPr>
                <w:noProof/>
                <w:lang w:val="en-AU"/>
              </w:rPr>
              <mc:AlternateContent>
                <mc:Choice Requires="wps">
                  <w:drawing>
                    <wp:anchor distT="0" distB="0" distL="114300" distR="114300" simplePos="0" relativeHeight="251676672" behindDoc="0" locked="0" layoutInCell="1" allowOverlap="1" wp14:anchorId="3FE95D36" wp14:editId="76A9A6F9">
                      <wp:simplePos x="0" y="0"/>
                      <wp:positionH relativeFrom="column">
                        <wp:posOffset>2267723</wp:posOffset>
                      </wp:positionH>
                      <wp:positionV relativeFrom="paragraph">
                        <wp:posOffset>620727</wp:posOffset>
                      </wp:positionV>
                      <wp:extent cx="381662" cy="373712"/>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381662" cy="373712"/>
                              </a:xfrm>
                              <a:prstGeom prst="rect">
                                <a:avLst/>
                              </a:prstGeom>
                              <a:solidFill>
                                <a:schemeClr val="lt1"/>
                              </a:solidFill>
                              <a:ln w="6350">
                                <a:noFill/>
                              </a:ln>
                            </wps:spPr>
                            <wps:txbx>
                              <w:txbxContent>
                                <w:p w:rsidR="00D529DB" w:rsidRPr="007D3E57" w:rsidRDefault="00D529DB" w:rsidP="00205FD7">
                                  <w:pPr>
                                    <w:rPr>
                                      <w:b/>
                                    </w:rPr>
                                  </w:pPr>
                                  <w:r w:rsidRPr="007D3E57">
                                    <w:rPr>
                                      <w:b/>
                                      <w:color w:val="F79646" w:themeColor="accent6"/>
                                      <w:sz w:val="20"/>
                                    </w:rP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95D36" id="Text Box 30" o:spid="_x0000_s1030" type="#_x0000_t202" style="position:absolute;margin-left:178.55pt;margin-top:48.9pt;width:30.05pt;height:2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WvRAIAAIEEAAAOAAAAZHJzL2Uyb0RvYy54bWysVMGO2jAQvVfqP1i+lxBgYRsRVpQVVSW0&#10;uxJUezaOTSI5Htc2JPTrO3YIS7c9Vb2Y8czkeea9GeYPba3ISVhXgc5pOhhSIjSHotKHnH7frT/d&#10;U+I80wVToEVOz8LRh8XHD/PGZGIEJahCWIIg2mWNyWnpvcmSxPFS1MwNwAiNQQm2Zh6v9pAUljWI&#10;XqtkNBxOkwZsYSxw4Rx6H7sgXUR8KQX3z1I64YnKKdbm42njuQ9nspiz7GCZKSt+KYP9QxU1qzQ+&#10;eoV6ZJ6Ro63+gKorbsGB9AMOdQJSVlzEHrCbdPium23JjIi9IDnOXGly/w+WP51eLKmKnI6RHs1q&#10;1GgnWk++QEvQhfw0xmWYtjWY6Fv0o86936EztN1KW4dfbIhgHKHOV3YDGkfn+D6dTkeUcAyNZ+NZ&#10;OgooydvHxjr/VUBNgpFTi+JFTtlp43yX2qeEtxyoqlhXSsVLGBixUpacGEqtfCwRwX/LUpo0OZ2O&#10;74YRWEP4vENWGmsJrXYtBcu3+zZSM+nb3UNxRhYsdHPkDF9XWOuGOf/CLA4ONo7L4J/xkArwLbhY&#10;lJRgf/7NH/JRT4xS0uAg5tT9ODIrKFHfNCr9OZ1MwuTGy+RuNsKLvY3sbyP6WK8ACUhx7QyPZsj3&#10;qjelhfoVd2YZXsUQ0xzfzqnvzZXv1gN3jovlMibhrBrmN3preIAOhAcldu0rs+Yil0edn6AfWZa9&#10;U63LDV9qWB49yCpKGnjuWL3Qj3Meh+Kyk2GRbu8x6+2fY/ELAAD//wMAUEsDBBQABgAIAAAAIQD6&#10;Rs7M4QAAAAoBAAAPAAAAZHJzL2Rvd25yZXYueG1sTI/LToRAEEX3Jv5Dp0zcGKdhkEGRZmKMj8Sd&#10;g4+466FLINLVhO4B/HvLlS4rdXLvucV2sb2YcPSdIwXxKgKBVDvTUaPgpbo/vwThgyaje0eo4Bs9&#10;bMvjo0Lnxs30jNMuNIJDyOdaQRvCkEvp6xat9is3IPHv041WBz7HRppRzxxue7mOoo20uiNuaPWA&#10;ty3WX7uDVfBx1rw/+eXhdU7SZLh7nKrszVRKnZ4sN9cgAi7hD4ZffVaHkp327kDGi15BkmYxowqu&#10;Mp7AwEWcrUHsmUw3GciykP8nlD8AAAD//wMAUEsBAi0AFAAGAAgAAAAhALaDOJL+AAAA4QEAABMA&#10;AAAAAAAAAAAAAAAAAAAAAFtDb250ZW50X1R5cGVzXS54bWxQSwECLQAUAAYACAAAACEAOP0h/9YA&#10;AACUAQAACwAAAAAAAAAAAAAAAAAvAQAAX3JlbHMvLnJlbHNQSwECLQAUAAYACAAAACEATxLlr0QC&#10;AACBBAAADgAAAAAAAAAAAAAAAAAuAgAAZHJzL2Uyb0RvYy54bWxQSwECLQAUAAYACAAAACEA+kbO&#10;zOEAAAAKAQAADwAAAAAAAAAAAAAAAACeBAAAZHJzL2Rvd25yZXYueG1sUEsFBgAAAAAEAAQA8wAA&#10;AKwFAAAAAA==&#10;" fillcolor="white [3201]" stroked="f" strokeweight=".5pt">
                      <v:textbox>
                        <w:txbxContent>
                          <w:p w:rsidR="00D529DB" w:rsidRPr="007D3E57" w:rsidRDefault="00D529DB" w:rsidP="00205FD7">
                            <w:pPr>
                              <w:rPr>
                                <w:b/>
                              </w:rPr>
                            </w:pPr>
                            <w:r w:rsidRPr="007D3E57">
                              <w:rPr>
                                <w:b/>
                                <w:color w:val="F79646" w:themeColor="accent6"/>
                                <w:sz w:val="20"/>
                              </w:rPr>
                              <w:t>PFS</w:t>
                            </w:r>
                          </w:p>
                        </w:txbxContent>
                      </v:textbox>
                    </v:shape>
                  </w:pict>
                </mc:Fallback>
              </mc:AlternateContent>
            </w:r>
            <w:r w:rsidRPr="007F33F1">
              <w:rPr>
                <w:noProof/>
                <w:lang w:val="en-AU"/>
              </w:rPr>
              <w:drawing>
                <wp:inline distT="0" distB="0" distL="0" distR="0" wp14:anchorId="65778DCC" wp14:editId="3687C851">
                  <wp:extent cx="2849880" cy="2141220"/>
                  <wp:effectExtent l="0" t="0" r="7620" b="0"/>
                  <wp:docPr id="57" name="Picture 57" title="Figure 3: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2141220"/>
                          </a:xfrm>
                          <a:prstGeom prst="rect">
                            <a:avLst/>
                          </a:prstGeom>
                          <a:noFill/>
                        </pic:spPr>
                      </pic:pic>
                    </a:graphicData>
                  </a:graphic>
                </wp:inline>
              </w:drawing>
            </w:r>
          </w:p>
        </w:tc>
        <w:tc>
          <w:tcPr>
            <w:tcW w:w="4520" w:type="dxa"/>
          </w:tcPr>
          <w:p w:rsidR="00205FD7" w:rsidRPr="007F33F1" w:rsidRDefault="00205FD7" w:rsidP="0047221E">
            <w:pPr>
              <w:pStyle w:val="In-tableHeading"/>
              <w:keepLines/>
              <w:rPr>
                <w:lang w:val="en-AU" w:eastAsia="zh-CN"/>
              </w:rPr>
            </w:pPr>
            <w:r w:rsidRPr="007F33F1">
              <w:rPr>
                <w:noProof/>
                <w:lang w:val="en-AU"/>
              </w:rPr>
              <mc:AlternateContent>
                <mc:Choice Requires="wps">
                  <w:drawing>
                    <wp:anchor distT="0" distB="0" distL="114300" distR="114300" simplePos="0" relativeHeight="251677696" behindDoc="0" locked="0" layoutInCell="1" allowOverlap="1" wp14:anchorId="121C92E9" wp14:editId="6D3CB30F">
                      <wp:simplePos x="0" y="0"/>
                      <wp:positionH relativeFrom="column">
                        <wp:posOffset>2307700</wp:posOffset>
                      </wp:positionH>
                      <wp:positionV relativeFrom="paragraph">
                        <wp:posOffset>628678</wp:posOffset>
                      </wp:positionV>
                      <wp:extent cx="453224" cy="286246"/>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53224" cy="286246"/>
                              </a:xfrm>
                              <a:prstGeom prst="rect">
                                <a:avLst/>
                              </a:prstGeom>
                              <a:noFill/>
                              <a:ln w="6350">
                                <a:noFill/>
                              </a:ln>
                            </wps:spPr>
                            <wps:txbx>
                              <w:txbxContent>
                                <w:p w:rsidR="00D529DB" w:rsidRPr="007D3E57" w:rsidRDefault="00D529DB" w:rsidP="00205FD7">
                                  <w:pPr>
                                    <w:rPr>
                                      <w:b/>
                                      <w:color w:val="0070C0"/>
                                      <w:sz w:val="20"/>
                                    </w:rPr>
                                  </w:pPr>
                                  <w:r w:rsidRPr="007D3E57">
                                    <w:rPr>
                                      <w:b/>
                                      <w:color w:val="0070C0"/>
                                      <w:sz w:val="20"/>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C92E9" id="Text Box 32" o:spid="_x0000_s1031" type="#_x0000_t202" style="position:absolute;margin-left:181.7pt;margin-top:49.5pt;width:35.7pt;height:2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SNMQIAAFkEAAAOAAAAZHJzL2Uyb0RvYy54bWysVMGO2jAQvVfqP1i+l0AIdBsRVnRXVJXQ&#10;7kpQ7dk4NokUe1zbkNCv79ghLNr2VPVixjOTGb/3Zljcd6ohJ2FdDbqgk9GYEqE5lLU+FPTHbv3p&#10;jhLnmS5ZA1oU9CwcvV9+/LBoTS5SqKAphSVYRLu8NQWtvDd5kjheCcXcCIzQGJRgFfN4tYektKzF&#10;6qpJ0vF4nrRgS2OBC+fQ+9gH6TLWl1Jw/yylE540BcW3+XjaeO7DmSwXLD9YZqqaX57B/uEVitUa&#10;m15LPTLPyNHWf5RSNbfgQPoRB5WAlDUXEQOimYzfodlWzIiIBclx5kqT+39l+dPpxZK6LOg0pUQz&#10;hRrtROfJV+gIupCf1rgc07YGE32HftR58Dt0BtidtCr8IiCCcWT6fGU3VOPozGbTNM0o4RhK7+Zp&#10;Ng9VkrePjXX+mwBFglFQi+JFTtlp43yfOqSEXhrWddNEARtN2oLOp7Nx/OAaweKNxh4BQv/UYPlu&#10;30XIswHGHsozorPQz4czfF3jGzbM+RdmcSAQEA65f8ZDNoC94GJRUoH99Td/yEedMEpJiwNWUPfz&#10;yKygpPmuUcEvkywLExkv2exzihd7G9nfRvRRPQDO8ATXyfBohnzfDKa0oF5xF1ahK4aY5ti7oH4w&#10;H3w/9rhLXKxWMQln0DC/0VvDQ+nAamB4170yay4yeNTvCYZRZPk7NfrcXo/V0YOso1SB557VC/04&#10;v1Hsy66FBbm9x6y3f4TlbwAAAP//AwBQSwMEFAAGAAgAAAAhAJO4o9LhAAAACgEAAA8AAABkcnMv&#10;ZG93bnJldi54bWxMj01PwkAURfcm/ofJI3EnU+hIoHZKSBNiYnQBsnE37TzahvmonQGqv97nCpcv&#10;7+Tec/P1aA274BA67yTMpgkwdLXXnWskHD62j0tgISqnlfEOJXxjgHVxf5erTPur2+FlHxtGIS5k&#10;SkIbY59xHuoWrQpT36Oj39EPVkU6h4brQV0p3Bo+T5IFt6pz1NCqHssW69P+bCW8ltt3tavmdvlj&#10;ype346b/Onw+SfkwGTfPwCKO8QbDnz6pQ0FOlT87HZiRkC5SQaiE1Yo2ESBSQVsqIoWYAS9y/n9C&#10;8QsAAP//AwBQSwECLQAUAAYACAAAACEAtoM4kv4AAADhAQAAEwAAAAAAAAAAAAAAAAAAAAAAW0Nv&#10;bnRlbnRfVHlwZXNdLnhtbFBLAQItABQABgAIAAAAIQA4/SH/1gAAAJQBAAALAAAAAAAAAAAAAAAA&#10;AC8BAABfcmVscy8ucmVsc1BLAQItABQABgAIAAAAIQBq6VSNMQIAAFkEAAAOAAAAAAAAAAAAAAAA&#10;AC4CAABkcnMvZTJvRG9jLnhtbFBLAQItABQABgAIAAAAIQCTuKPS4QAAAAoBAAAPAAAAAAAAAAAA&#10;AAAAAIsEAABkcnMvZG93bnJldi54bWxQSwUGAAAAAAQABADzAAAAmQUAAAAA&#10;" filled="f" stroked="f" strokeweight=".5pt">
                      <v:textbox>
                        <w:txbxContent>
                          <w:p w:rsidR="00D529DB" w:rsidRPr="007D3E57" w:rsidRDefault="00D529DB" w:rsidP="00205FD7">
                            <w:pPr>
                              <w:rPr>
                                <w:b/>
                                <w:color w:val="0070C0"/>
                                <w:sz w:val="20"/>
                              </w:rPr>
                            </w:pPr>
                            <w:r w:rsidRPr="007D3E57">
                              <w:rPr>
                                <w:b/>
                                <w:color w:val="0070C0"/>
                                <w:sz w:val="20"/>
                              </w:rPr>
                              <w:t>OS</w:t>
                            </w:r>
                          </w:p>
                        </w:txbxContent>
                      </v:textbox>
                    </v:shape>
                  </w:pict>
                </mc:Fallback>
              </mc:AlternateContent>
            </w:r>
            <w:r w:rsidRPr="007F33F1">
              <w:rPr>
                <w:noProof/>
                <w:lang w:val="en-AU"/>
              </w:rPr>
              <w:drawing>
                <wp:inline distT="0" distB="0" distL="0" distR="0" wp14:anchorId="4CAE2C0D" wp14:editId="50DCD440">
                  <wp:extent cx="2811780" cy="2141220"/>
                  <wp:effectExtent l="0" t="0" r="7620" b="0"/>
                  <wp:docPr id="58" name="Picture 58" title="Figure 3: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1780" cy="2141220"/>
                          </a:xfrm>
                          <a:prstGeom prst="rect">
                            <a:avLst/>
                          </a:prstGeom>
                          <a:noFill/>
                        </pic:spPr>
                      </pic:pic>
                    </a:graphicData>
                  </a:graphic>
                </wp:inline>
              </w:drawing>
            </w:r>
          </w:p>
        </w:tc>
      </w:tr>
    </w:tbl>
    <w:p w:rsidR="00205FD7" w:rsidRPr="007F33F1" w:rsidRDefault="00205FD7" w:rsidP="0047221E">
      <w:pPr>
        <w:keepNext/>
        <w:keepLines/>
        <w:rPr>
          <w:rFonts w:ascii="Arial Narrow" w:hAnsi="Arial Narrow"/>
          <w:sz w:val="18"/>
          <w:szCs w:val="18"/>
        </w:rPr>
      </w:pPr>
      <w:r w:rsidRPr="007F33F1">
        <w:rPr>
          <w:rFonts w:ascii="Arial Narrow" w:hAnsi="Arial Narrow"/>
          <w:sz w:val="18"/>
          <w:szCs w:val="18"/>
        </w:rPr>
        <w:t>Source: Figure 2.14, p100, Figure 2.15, p101, Figure 2.18, p104, Figure 2.19, p104 of the submission, Figure 14.2.1.5.4, p1658 of the ASPEN CSR.</w:t>
      </w:r>
      <w:r w:rsidR="0047221E">
        <w:rPr>
          <w:rFonts w:ascii="Arial Narrow" w:hAnsi="Arial Narrow"/>
          <w:sz w:val="18"/>
          <w:szCs w:val="18"/>
        </w:rPr>
        <w:t xml:space="preserve"> Abbreviations: </w:t>
      </w:r>
      <w:r w:rsidR="0047221E" w:rsidRPr="0047221E">
        <w:rPr>
          <w:rFonts w:ascii="Arial Narrow" w:hAnsi="Arial Narrow"/>
          <w:sz w:val="18"/>
          <w:szCs w:val="18"/>
        </w:rPr>
        <w:t>ITT=intention to treat, KM=Kaplan-Meier, PFS=progression free survival, OS=overall survival.</w:t>
      </w:r>
    </w:p>
    <w:p w:rsidR="00205FD7" w:rsidRPr="007F33F1" w:rsidRDefault="00205FD7" w:rsidP="0047221E">
      <w:pPr>
        <w:pStyle w:val="3-BodyText"/>
      </w:pPr>
      <w:r w:rsidRPr="007F33F1">
        <w:t xml:space="preserve">After a median follow up of approximately 20 months, neither median PFS nor OS had been reached for any population or trial arm in ASPEN-Cohort 1. </w:t>
      </w:r>
      <w:r w:rsidR="000C6D74" w:rsidRPr="007F33F1">
        <w:t xml:space="preserve">The ESC noted that </w:t>
      </w:r>
      <w:r w:rsidRPr="007F33F1">
        <w:t xml:space="preserve">there appeared to be no difference between </w:t>
      </w:r>
      <w:r w:rsidR="00BE77FA" w:rsidRPr="007F33F1">
        <w:t>zanubrutinib</w:t>
      </w:r>
      <w:r w:rsidRPr="007F33F1">
        <w:t xml:space="preserve"> and </w:t>
      </w:r>
      <w:r w:rsidR="00BE77FA" w:rsidRPr="007F33F1">
        <w:t>ibrutinib</w:t>
      </w:r>
      <w:r w:rsidR="000C6D74" w:rsidRPr="007F33F1">
        <w:t xml:space="preserve"> in the ITT and R/R population and that </w:t>
      </w:r>
      <w:r w:rsidR="00BE77FA" w:rsidRPr="007F33F1">
        <w:t>ibrutinib</w:t>
      </w:r>
      <w:r w:rsidR="000C6D74" w:rsidRPr="007F33F1">
        <w:t xml:space="preserve"> appeared to have better PFS and OS compared to </w:t>
      </w:r>
      <w:r w:rsidR="00BE77FA" w:rsidRPr="007F33F1">
        <w:t>zanubrutinib</w:t>
      </w:r>
      <w:r w:rsidR="000C6D74" w:rsidRPr="007F33F1">
        <w:t xml:space="preserve"> in the TN population</w:t>
      </w:r>
      <w:r w:rsidRPr="007F33F1">
        <w:t>.</w:t>
      </w:r>
      <w:r w:rsidR="0066347C" w:rsidRPr="007F33F1">
        <w:t xml:space="preserve"> However, the ESC </w:t>
      </w:r>
      <w:r w:rsidR="00F724AC" w:rsidRPr="007F33F1">
        <w:t xml:space="preserve">noted that </w:t>
      </w:r>
      <w:r w:rsidR="0066347C" w:rsidRPr="007F33F1">
        <w:t xml:space="preserve">no reliable conclusions </w:t>
      </w:r>
      <w:r w:rsidR="005143CE" w:rsidRPr="007F33F1">
        <w:t>regarding</w:t>
      </w:r>
      <w:r w:rsidR="0066347C" w:rsidRPr="007F33F1">
        <w:t xml:space="preserve"> survival outcomes could be drawn </w:t>
      </w:r>
      <w:r w:rsidR="004D7C23" w:rsidRPr="007F33F1">
        <w:t>given the data were</w:t>
      </w:r>
      <w:r w:rsidR="0066347C" w:rsidRPr="007F33F1">
        <w:t xml:space="preserve"> immature and observed differences were driven by a small number of events.</w:t>
      </w:r>
      <w:r w:rsidR="00EF2438" w:rsidRPr="007F33F1">
        <w:t xml:space="preserve"> </w:t>
      </w:r>
    </w:p>
    <w:p w:rsidR="00205FD7" w:rsidRPr="007F33F1" w:rsidRDefault="00205FD7" w:rsidP="0047221E">
      <w:pPr>
        <w:pStyle w:val="3-BodyText"/>
      </w:pPr>
      <w:r w:rsidRPr="007F33F1">
        <w:t xml:space="preserve">The submission did not present survival outcomes for the remaining included studies. Results from these studies (plus comparable results from </w:t>
      </w:r>
      <w:r w:rsidR="00BE77FA" w:rsidRPr="007F33F1">
        <w:t>zanubrutinib</w:t>
      </w:r>
      <w:r w:rsidRPr="007F33F1">
        <w:t>) were summarised during the evaluation.</w:t>
      </w:r>
    </w:p>
    <w:p w:rsidR="00205FD7" w:rsidRPr="007F33F1" w:rsidRDefault="00517BE8" w:rsidP="0047221E">
      <w:pPr>
        <w:pStyle w:val="3-BodyText"/>
      </w:pPr>
      <w:r w:rsidRPr="007F33F1">
        <w:t xml:space="preserve">The </w:t>
      </w:r>
      <w:r w:rsidR="00D67021" w:rsidRPr="007F33F1">
        <w:t xml:space="preserve">PFS </w:t>
      </w:r>
      <w:r w:rsidRPr="007F33F1">
        <w:t xml:space="preserve">results </w:t>
      </w:r>
      <w:r w:rsidR="00D67021" w:rsidRPr="007F33F1">
        <w:t xml:space="preserve">appeared numerically higher in those treated with </w:t>
      </w:r>
      <w:r w:rsidR="00BE77FA" w:rsidRPr="007F33F1">
        <w:t>zanubrutinib</w:t>
      </w:r>
      <w:r w:rsidR="00E14531" w:rsidRPr="007F33F1">
        <w:t xml:space="preserve"> or </w:t>
      </w:r>
      <w:r w:rsidR="00BE77FA" w:rsidRPr="007F33F1">
        <w:t>ibrutinib</w:t>
      </w:r>
      <w:r w:rsidR="00D67021" w:rsidRPr="007F33F1">
        <w:t xml:space="preserve"> than Rm or BR (</w:t>
      </w:r>
      <w:r w:rsidR="007E1EEF" w:rsidRPr="007F33F1">
        <w:sym w:font="Symbol" w:char="F0BB"/>
      </w:r>
      <w:r w:rsidR="00D67021" w:rsidRPr="007F33F1">
        <w:t>80%</w:t>
      </w:r>
      <w:r w:rsidR="00E14531" w:rsidRPr="007F33F1">
        <w:t xml:space="preserve"> </w:t>
      </w:r>
      <w:r w:rsidRPr="007F33F1">
        <w:t xml:space="preserve">for </w:t>
      </w:r>
      <w:r w:rsidR="00BE77FA" w:rsidRPr="007F33F1">
        <w:t>zanubrutinib</w:t>
      </w:r>
      <w:r w:rsidR="00E14531" w:rsidRPr="007F33F1">
        <w:t xml:space="preserve"> </w:t>
      </w:r>
      <w:r w:rsidRPr="007F33F1">
        <w:t>and</w:t>
      </w:r>
      <w:r w:rsidR="00E14531" w:rsidRPr="007F33F1">
        <w:t xml:space="preserve"> </w:t>
      </w:r>
      <w:r w:rsidR="00BE77FA" w:rsidRPr="007F33F1">
        <w:t>ibrutinib</w:t>
      </w:r>
      <w:r w:rsidR="00D67021" w:rsidRPr="007F33F1">
        <w:t xml:space="preserve"> vs </w:t>
      </w:r>
      <w:r w:rsidR="00D67021" w:rsidRPr="007F33F1">
        <w:sym w:font="Symbol" w:char="F0BB"/>
      </w:r>
      <w:r w:rsidR="00E14531" w:rsidRPr="007F33F1">
        <w:t xml:space="preserve">40% </w:t>
      </w:r>
      <w:r w:rsidRPr="007F33F1">
        <w:t xml:space="preserve">for </w:t>
      </w:r>
      <w:r w:rsidR="00E14531" w:rsidRPr="007F33F1">
        <w:t xml:space="preserve">Rm </w:t>
      </w:r>
      <w:r w:rsidRPr="007F33F1">
        <w:t>and</w:t>
      </w:r>
      <w:r w:rsidR="00D67021" w:rsidRPr="007F33F1">
        <w:t xml:space="preserve"> </w:t>
      </w:r>
      <w:r w:rsidR="00D67021" w:rsidRPr="007F33F1">
        <w:sym w:font="Symbol" w:char="F0BB"/>
      </w:r>
      <w:r w:rsidR="00D67021" w:rsidRPr="007F33F1">
        <w:t xml:space="preserve">60% </w:t>
      </w:r>
      <w:r w:rsidR="00E14531" w:rsidRPr="007F33F1">
        <w:t xml:space="preserve">BR </w:t>
      </w:r>
      <w:r w:rsidR="007E1EEF" w:rsidRPr="007F33F1">
        <w:t xml:space="preserve">were event free </w:t>
      </w:r>
      <w:r w:rsidR="00D67021" w:rsidRPr="007F33F1">
        <w:t>at 30 month</w:t>
      </w:r>
      <w:r w:rsidR="005A7DF6" w:rsidRPr="007F33F1">
        <w:t>s). H</w:t>
      </w:r>
      <w:r w:rsidR="00D67021" w:rsidRPr="007F33F1">
        <w:t>owever</w:t>
      </w:r>
      <w:r w:rsidR="005A7DF6" w:rsidRPr="007F33F1">
        <w:t>,</w:t>
      </w:r>
      <w:r w:rsidR="00D67021" w:rsidRPr="007F33F1">
        <w:t xml:space="preserve"> these comparisons </w:t>
      </w:r>
      <w:r w:rsidR="00AB3494" w:rsidRPr="007F33F1">
        <w:t>were</w:t>
      </w:r>
      <w:r w:rsidR="00D67021" w:rsidRPr="007F33F1">
        <w:t xml:space="preserve"> uncertain due to </w:t>
      </w:r>
      <w:r w:rsidR="005A7DF6" w:rsidRPr="007F33F1">
        <w:t xml:space="preserve">differences </w:t>
      </w:r>
      <w:r w:rsidR="00413EDA" w:rsidRPr="007F33F1">
        <w:t xml:space="preserve">across </w:t>
      </w:r>
      <w:r w:rsidR="005A7DF6" w:rsidRPr="007F33F1">
        <w:t xml:space="preserve">the </w:t>
      </w:r>
      <w:r w:rsidR="00413EDA" w:rsidRPr="007F33F1">
        <w:t>stud</w:t>
      </w:r>
      <w:r w:rsidR="005A7DF6" w:rsidRPr="007F33F1">
        <w:t>ies</w:t>
      </w:r>
      <w:r w:rsidR="00413EDA" w:rsidRPr="007F33F1">
        <w:t xml:space="preserve"> and</w:t>
      </w:r>
      <w:r w:rsidR="007C66CE" w:rsidRPr="007F33F1">
        <w:t xml:space="preserve"> </w:t>
      </w:r>
      <w:r w:rsidR="00413EDA" w:rsidRPr="007F33F1">
        <w:t xml:space="preserve">immature </w:t>
      </w:r>
      <w:r w:rsidR="007C66CE" w:rsidRPr="007F33F1">
        <w:t xml:space="preserve">PFS </w:t>
      </w:r>
      <w:r w:rsidR="00413EDA" w:rsidRPr="007F33F1">
        <w:t>dat</w:t>
      </w:r>
      <w:r w:rsidR="007C66CE" w:rsidRPr="007F33F1">
        <w:t>a (particularly for</w:t>
      </w:r>
      <w:r w:rsidR="00413EDA" w:rsidRPr="007F33F1">
        <w:t xml:space="preserve"> ASPEN)</w:t>
      </w:r>
      <w:r w:rsidR="007E1EEF" w:rsidRPr="007F33F1">
        <w:t>.</w:t>
      </w:r>
    </w:p>
    <w:p w:rsidR="00205FD7" w:rsidRPr="007F33F1" w:rsidRDefault="00517BE8" w:rsidP="0047221E">
      <w:pPr>
        <w:pStyle w:val="3-BodyText"/>
      </w:pPr>
      <w:r w:rsidRPr="007F33F1">
        <w:t xml:space="preserve">The </w:t>
      </w:r>
      <w:r w:rsidR="00413EDA" w:rsidRPr="007F33F1">
        <w:t xml:space="preserve">OS </w:t>
      </w:r>
      <w:r w:rsidR="006A01B6" w:rsidRPr="007F33F1">
        <w:t>results</w:t>
      </w:r>
      <w:r w:rsidR="00413EDA" w:rsidRPr="007F33F1">
        <w:t xml:space="preserve"> from the included studies were </w:t>
      </w:r>
      <w:r w:rsidR="007C66CE" w:rsidRPr="007F33F1">
        <w:t xml:space="preserve">also </w:t>
      </w:r>
      <w:r w:rsidR="00413EDA" w:rsidRPr="007F33F1">
        <w:t>difficult to com</w:t>
      </w:r>
      <w:r w:rsidR="007C66CE" w:rsidRPr="007F33F1">
        <w:t>pare given data</w:t>
      </w:r>
      <w:r w:rsidR="00167D74" w:rsidRPr="007F33F1">
        <w:t xml:space="preserve"> </w:t>
      </w:r>
      <w:r w:rsidR="007C66CE" w:rsidRPr="007F33F1">
        <w:t xml:space="preserve">immaturity. </w:t>
      </w:r>
      <w:r w:rsidR="007E1EEF" w:rsidRPr="007F33F1">
        <w:t>T</w:t>
      </w:r>
      <w:r w:rsidR="00413EDA" w:rsidRPr="007F33F1">
        <w:t xml:space="preserve">he median OS </w:t>
      </w:r>
      <w:r w:rsidR="007E1EEF" w:rsidRPr="007F33F1">
        <w:t xml:space="preserve">was not reached </w:t>
      </w:r>
      <w:r w:rsidR="00413EDA" w:rsidRPr="007F33F1">
        <w:t>in any study, with</w:t>
      </w:r>
      <w:r w:rsidR="007E1EEF" w:rsidRPr="007F33F1">
        <w:t xml:space="preserve"> &gt;90% still alive for </w:t>
      </w:r>
      <w:r w:rsidR="00BE77FA" w:rsidRPr="007F33F1">
        <w:t>zanubrutinib</w:t>
      </w:r>
      <w:r w:rsidR="007E1EEF" w:rsidRPr="007F33F1">
        <w:t xml:space="preserve">, </w:t>
      </w:r>
      <w:r w:rsidR="00BE77FA" w:rsidRPr="007F33F1">
        <w:t>ibrutinib</w:t>
      </w:r>
      <w:r w:rsidR="00086F5D" w:rsidRPr="007F33F1">
        <w:t xml:space="preserve"> and </w:t>
      </w:r>
      <w:r w:rsidR="00BE77FA" w:rsidRPr="007F33F1">
        <w:t>ibrutinib</w:t>
      </w:r>
      <w:r w:rsidR="00086F5D" w:rsidRPr="007F33F1">
        <w:t xml:space="preserve">+R </w:t>
      </w:r>
      <w:r w:rsidR="007E1EEF" w:rsidRPr="007F33F1">
        <w:t>and Rm</w:t>
      </w:r>
      <w:r w:rsidR="00C361FD" w:rsidRPr="007F33F1">
        <w:t>,</w:t>
      </w:r>
      <w:r w:rsidR="007E1EEF" w:rsidRPr="007F33F1">
        <w:t xml:space="preserve"> and &gt;72% still alive for BR at 30</w:t>
      </w:r>
      <w:r w:rsidR="00C361FD" w:rsidRPr="007F33F1">
        <w:t xml:space="preserve"> </w:t>
      </w:r>
      <w:r w:rsidR="007E1EEF" w:rsidRPr="007F33F1">
        <w:t>month</w:t>
      </w:r>
      <w:r w:rsidR="00C361FD" w:rsidRPr="007F33F1">
        <w:t>s</w:t>
      </w:r>
      <w:r w:rsidR="007E1EEF" w:rsidRPr="007F33F1">
        <w:t xml:space="preserve"> </w:t>
      </w:r>
      <w:r w:rsidR="00C361FD" w:rsidRPr="007F33F1">
        <w:t xml:space="preserve">in </w:t>
      </w:r>
      <w:r w:rsidR="006B1E3B" w:rsidRPr="007F33F1">
        <w:t>Tedeschi </w:t>
      </w:r>
      <w:r w:rsidR="00086F5D" w:rsidRPr="007F33F1">
        <w:t>2015</w:t>
      </w:r>
      <w:r w:rsidR="00413EDA" w:rsidRPr="007F33F1">
        <w:t xml:space="preserve">. </w:t>
      </w:r>
      <w:r w:rsidR="007C66CE" w:rsidRPr="007F33F1">
        <w:t>There was also significant crossover post</w:t>
      </w:r>
      <w:r w:rsidR="00C361FD" w:rsidRPr="007F33F1">
        <w:t>-</w:t>
      </w:r>
      <w:r w:rsidR="007C66CE" w:rsidRPr="007F33F1">
        <w:t xml:space="preserve">progression from Rm to </w:t>
      </w:r>
      <w:r w:rsidR="00BE77FA" w:rsidRPr="007F33F1">
        <w:t>ibrutinib</w:t>
      </w:r>
      <w:r w:rsidR="007C66CE" w:rsidRPr="007F33F1">
        <w:t>+R</w:t>
      </w:r>
      <w:r w:rsidR="00241EF6" w:rsidRPr="007F33F1">
        <w:t xml:space="preserve"> (40%)</w:t>
      </w:r>
      <w:r w:rsidR="007C66CE" w:rsidRPr="007F33F1">
        <w:t xml:space="preserve"> </w:t>
      </w:r>
      <w:r w:rsidR="00C361FD" w:rsidRPr="007F33F1">
        <w:t xml:space="preserve">in iNNOVATE, </w:t>
      </w:r>
      <w:r w:rsidR="007C66CE" w:rsidRPr="007F33F1">
        <w:t xml:space="preserve">making the comparison </w:t>
      </w:r>
      <w:r w:rsidR="00BF7707" w:rsidRPr="007F33F1">
        <w:t>problematic</w:t>
      </w:r>
      <w:r w:rsidR="007C66CE" w:rsidRPr="007F33F1">
        <w:t>.</w:t>
      </w:r>
    </w:p>
    <w:p w:rsidR="006B1E3B" w:rsidRPr="007F33F1" w:rsidRDefault="006B1E3B" w:rsidP="0047221E">
      <w:pPr>
        <w:pStyle w:val="Heading4"/>
        <w:rPr>
          <w:iCs/>
        </w:rPr>
      </w:pPr>
      <w:r w:rsidRPr="007F33F1">
        <w:rPr>
          <w:iCs/>
        </w:rPr>
        <w:t>Quality of Life</w:t>
      </w:r>
    </w:p>
    <w:p w:rsidR="00205FD7" w:rsidRPr="007F33F1" w:rsidRDefault="00205FD7" w:rsidP="0047221E">
      <w:pPr>
        <w:pStyle w:val="3-BodyText"/>
      </w:pPr>
      <w:r w:rsidRPr="007F33F1">
        <w:t>ASPEN was the only study reporting quality of life (QoL) outcomes</w:t>
      </w:r>
      <w:r w:rsidR="00703566" w:rsidRPr="007F33F1">
        <w:t xml:space="preserve"> (measured using the EQ-5D-5L and EORTC QLQ-C30 questionnaires)</w:t>
      </w:r>
      <w:r w:rsidRPr="007F33F1">
        <w:t xml:space="preserve">. There were no statistically significant differences between the two treatment arms for any of the QoL measures. However, </w:t>
      </w:r>
      <w:r w:rsidR="00BE77FA" w:rsidRPr="007F33F1">
        <w:t>zanubrutinib</w:t>
      </w:r>
      <w:r w:rsidRPr="007F33F1">
        <w:t xml:space="preserve"> trended towards greater improvement in most measures compared to </w:t>
      </w:r>
      <w:r w:rsidR="00BE77FA" w:rsidRPr="007F33F1">
        <w:t>ibrutinib</w:t>
      </w:r>
      <w:r w:rsidRPr="007F33F1">
        <w:t>, particularly when analysed over the first year on treatment in patients who achieved VGPR.</w:t>
      </w:r>
    </w:p>
    <w:p w:rsidR="00205FD7" w:rsidRPr="007F33F1" w:rsidRDefault="00205FD7" w:rsidP="0047221E">
      <w:pPr>
        <w:pStyle w:val="4-SubsectionHeading"/>
      </w:pPr>
      <w:bookmarkStart w:id="44" w:name="_Toc22897642"/>
      <w:bookmarkStart w:id="45" w:name="_Toc71450284"/>
      <w:bookmarkStart w:id="46" w:name="_Toc72421789"/>
      <w:r w:rsidRPr="007F33F1">
        <w:t>Comparative harms</w:t>
      </w:r>
      <w:bookmarkEnd w:id="44"/>
      <w:bookmarkEnd w:id="45"/>
      <w:bookmarkEnd w:id="46"/>
    </w:p>
    <w:p w:rsidR="00205FD7" w:rsidRPr="007F33F1" w:rsidRDefault="00205FD7" w:rsidP="0047221E">
      <w:pPr>
        <w:pStyle w:val="3-BodyText"/>
      </w:pPr>
      <w:r w:rsidRPr="007F33F1">
        <w:t xml:space="preserve">A summary of key adverse events is presented in </w:t>
      </w:r>
      <w:r w:rsidR="00015997" w:rsidRPr="007F33F1">
        <w:t xml:space="preserve">Table </w:t>
      </w:r>
      <w:r w:rsidR="00015997">
        <w:t>6</w:t>
      </w:r>
      <w:r w:rsidRPr="007F33F1">
        <w:t xml:space="preserve">. </w:t>
      </w:r>
    </w:p>
    <w:p w:rsidR="00205FD7" w:rsidRPr="007F33F1" w:rsidRDefault="00205FD7" w:rsidP="0047221E">
      <w:pPr>
        <w:pStyle w:val="TableFigureHeading"/>
        <w:rPr>
          <w:rStyle w:val="CommentReference"/>
          <w:b/>
          <w:szCs w:val="24"/>
        </w:rPr>
      </w:pPr>
      <w:bookmarkStart w:id="47" w:name="_Ref71309625"/>
      <w:r w:rsidRPr="007F33F1">
        <w:t xml:space="preserve">Table </w:t>
      </w:r>
      <w:r w:rsidR="00015997">
        <w:rPr>
          <w:noProof/>
        </w:rPr>
        <w:t>6</w:t>
      </w:r>
      <w:bookmarkEnd w:id="47"/>
      <w:r w:rsidRPr="007F33F1">
        <w:t xml:space="preserve">: </w:t>
      </w:r>
      <w:r w:rsidRPr="007F33F1">
        <w:rPr>
          <w:rStyle w:val="CommentReference"/>
          <w:b/>
          <w:szCs w:val="24"/>
        </w:rPr>
        <w:t xml:space="preserve">Summary of key adverse events in the </w:t>
      </w:r>
      <w:r w:rsidR="00095920" w:rsidRPr="007F33F1">
        <w:rPr>
          <w:rStyle w:val="CommentReference"/>
          <w:b/>
          <w:szCs w:val="24"/>
        </w:rPr>
        <w:t>studies</w:t>
      </w:r>
    </w:p>
    <w:tbl>
      <w:tblPr>
        <w:tblStyle w:val="TableTheme"/>
        <w:tblW w:w="5015" w:type="pct"/>
        <w:tblLayout w:type="fixed"/>
        <w:tblCellMar>
          <w:left w:w="28" w:type="dxa"/>
          <w:right w:w="28" w:type="dxa"/>
        </w:tblCellMar>
        <w:tblLook w:val="04A0" w:firstRow="1" w:lastRow="0" w:firstColumn="1" w:lastColumn="0" w:noHBand="0" w:noVBand="1"/>
        <w:tblCaption w:val="Table 6: Summary of key adverse events in the studies"/>
      </w:tblPr>
      <w:tblGrid>
        <w:gridCol w:w="2973"/>
        <w:gridCol w:w="1133"/>
        <w:gridCol w:w="1045"/>
        <w:gridCol w:w="776"/>
        <w:gridCol w:w="843"/>
        <w:gridCol w:w="901"/>
        <w:gridCol w:w="607"/>
        <w:gridCol w:w="11"/>
        <w:gridCol w:w="778"/>
      </w:tblGrid>
      <w:tr w:rsidR="00205FD7" w:rsidRPr="007F33F1" w:rsidTr="00C74050">
        <w:trPr>
          <w:tblHeader/>
        </w:trPr>
        <w:tc>
          <w:tcPr>
            <w:tcW w:w="1639" w:type="pct"/>
            <w:vMerge w:val="restart"/>
            <w:vAlign w:val="center"/>
          </w:tcPr>
          <w:p w:rsidR="00205FD7" w:rsidRPr="007F33F1" w:rsidRDefault="00205FD7" w:rsidP="0047221E">
            <w:pPr>
              <w:pStyle w:val="TableText0"/>
              <w:keepLines/>
              <w:jc w:val="left"/>
              <w:rPr>
                <w:b/>
                <w:bCs w:val="0"/>
                <w:szCs w:val="20"/>
              </w:rPr>
            </w:pPr>
            <w:r w:rsidRPr="007F33F1">
              <w:rPr>
                <w:b/>
                <w:bCs w:val="0"/>
                <w:szCs w:val="20"/>
              </w:rPr>
              <w:t>AEs n (%)</w:t>
            </w:r>
          </w:p>
        </w:tc>
        <w:tc>
          <w:tcPr>
            <w:tcW w:w="625" w:type="pct"/>
            <w:vAlign w:val="center"/>
          </w:tcPr>
          <w:p w:rsidR="00205FD7" w:rsidRPr="007F33F1" w:rsidRDefault="00205FD7" w:rsidP="0047221E">
            <w:pPr>
              <w:pStyle w:val="TableText0"/>
              <w:keepLines/>
              <w:jc w:val="center"/>
              <w:rPr>
                <w:b/>
                <w:bCs w:val="0"/>
                <w:szCs w:val="20"/>
              </w:rPr>
            </w:pPr>
            <w:r w:rsidRPr="007F33F1">
              <w:rPr>
                <w:b/>
                <w:bCs w:val="0"/>
                <w:szCs w:val="20"/>
              </w:rPr>
              <w:t>Study AU-003</w:t>
            </w:r>
          </w:p>
        </w:tc>
        <w:tc>
          <w:tcPr>
            <w:tcW w:w="576" w:type="pct"/>
            <w:tcBorders>
              <w:right w:val="nil"/>
            </w:tcBorders>
            <w:vAlign w:val="center"/>
          </w:tcPr>
          <w:p w:rsidR="00205FD7" w:rsidRPr="007F33F1" w:rsidRDefault="00205FD7" w:rsidP="0047221E">
            <w:pPr>
              <w:pStyle w:val="TableText0"/>
              <w:keepLines/>
              <w:jc w:val="center"/>
              <w:rPr>
                <w:b/>
                <w:bCs w:val="0"/>
                <w:szCs w:val="20"/>
              </w:rPr>
            </w:pPr>
          </w:p>
        </w:tc>
        <w:tc>
          <w:tcPr>
            <w:tcW w:w="428" w:type="pct"/>
            <w:tcBorders>
              <w:left w:val="nil"/>
              <w:right w:val="nil"/>
            </w:tcBorders>
            <w:vAlign w:val="center"/>
          </w:tcPr>
          <w:p w:rsidR="00205FD7" w:rsidRPr="007F33F1" w:rsidRDefault="00205FD7" w:rsidP="0047221E">
            <w:pPr>
              <w:pStyle w:val="TableText0"/>
              <w:keepLines/>
              <w:jc w:val="center"/>
              <w:rPr>
                <w:b/>
                <w:bCs w:val="0"/>
                <w:szCs w:val="20"/>
              </w:rPr>
            </w:pPr>
            <w:r w:rsidRPr="007F33F1">
              <w:rPr>
                <w:b/>
                <w:bCs w:val="0"/>
                <w:szCs w:val="20"/>
              </w:rPr>
              <w:t>ASPEN</w:t>
            </w:r>
          </w:p>
        </w:tc>
        <w:tc>
          <w:tcPr>
            <w:tcW w:w="465" w:type="pct"/>
            <w:tcBorders>
              <w:left w:val="nil"/>
            </w:tcBorders>
            <w:vAlign w:val="center"/>
          </w:tcPr>
          <w:p w:rsidR="00205FD7" w:rsidRPr="007F33F1" w:rsidRDefault="00205FD7" w:rsidP="0047221E">
            <w:pPr>
              <w:pStyle w:val="TableText0"/>
              <w:keepLines/>
              <w:jc w:val="center"/>
              <w:rPr>
                <w:b/>
                <w:bCs w:val="0"/>
                <w:szCs w:val="20"/>
              </w:rPr>
            </w:pPr>
          </w:p>
        </w:tc>
        <w:tc>
          <w:tcPr>
            <w:tcW w:w="832" w:type="pct"/>
            <w:gridSpan w:val="2"/>
            <w:vAlign w:val="center"/>
          </w:tcPr>
          <w:p w:rsidR="00205FD7" w:rsidRPr="007F33F1" w:rsidRDefault="00205FD7" w:rsidP="0047221E">
            <w:pPr>
              <w:pStyle w:val="TableText0"/>
              <w:keepLines/>
              <w:jc w:val="center"/>
              <w:rPr>
                <w:b/>
                <w:bCs w:val="0"/>
                <w:szCs w:val="20"/>
              </w:rPr>
            </w:pPr>
            <w:r w:rsidRPr="007F33F1">
              <w:rPr>
                <w:b/>
                <w:bCs w:val="0"/>
                <w:szCs w:val="20"/>
              </w:rPr>
              <w:t>iNNOVATE</w:t>
            </w:r>
          </w:p>
        </w:tc>
        <w:tc>
          <w:tcPr>
            <w:tcW w:w="435" w:type="pct"/>
            <w:gridSpan w:val="2"/>
            <w:vAlign w:val="center"/>
          </w:tcPr>
          <w:p w:rsidR="00205FD7" w:rsidRPr="007F33F1" w:rsidRDefault="00205FD7" w:rsidP="0047221E">
            <w:pPr>
              <w:pStyle w:val="TableText0"/>
              <w:keepLines/>
              <w:jc w:val="center"/>
              <w:rPr>
                <w:b/>
                <w:bCs w:val="0"/>
                <w:szCs w:val="20"/>
              </w:rPr>
            </w:pPr>
            <w:r w:rsidRPr="007F33F1">
              <w:rPr>
                <w:b/>
                <w:bCs w:val="0"/>
                <w:szCs w:val="20"/>
              </w:rPr>
              <w:t>Tedeschi 2015</w:t>
            </w:r>
          </w:p>
        </w:tc>
      </w:tr>
      <w:tr w:rsidR="00205FD7" w:rsidRPr="007F33F1" w:rsidTr="00C74050">
        <w:tc>
          <w:tcPr>
            <w:tcW w:w="1639" w:type="pct"/>
            <w:vMerge/>
            <w:vAlign w:val="center"/>
          </w:tcPr>
          <w:p w:rsidR="00205FD7" w:rsidRPr="007F33F1" w:rsidRDefault="00205FD7" w:rsidP="0047221E">
            <w:pPr>
              <w:pStyle w:val="TableText0"/>
              <w:keepLines/>
              <w:jc w:val="left"/>
              <w:rPr>
                <w:b/>
                <w:bCs w:val="0"/>
                <w:szCs w:val="20"/>
              </w:rPr>
            </w:pPr>
          </w:p>
        </w:tc>
        <w:tc>
          <w:tcPr>
            <w:tcW w:w="625" w:type="pct"/>
            <w:vAlign w:val="center"/>
          </w:tcPr>
          <w:p w:rsidR="00205FD7" w:rsidRPr="007F33F1" w:rsidRDefault="00205FD7" w:rsidP="0047221E">
            <w:pPr>
              <w:pStyle w:val="TableText0"/>
              <w:keepLines/>
              <w:jc w:val="center"/>
              <w:rPr>
                <w:b/>
                <w:bCs w:val="0"/>
                <w:szCs w:val="20"/>
              </w:rPr>
            </w:pPr>
            <w:r w:rsidRPr="007F33F1">
              <w:rPr>
                <w:b/>
                <w:bCs w:val="0"/>
                <w:szCs w:val="20"/>
              </w:rPr>
              <w:t>ZANU</w:t>
            </w:r>
          </w:p>
          <w:p w:rsidR="00205FD7" w:rsidRPr="007F33F1" w:rsidRDefault="00205FD7" w:rsidP="0047221E">
            <w:pPr>
              <w:pStyle w:val="TableText0"/>
              <w:keepLines/>
              <w:jc w:val="center"/>
              <w:rPr>
                <w:b/>
                <w:bCs w:val="0"/>
                <w:szCs w:val="20"/>
              </w:rPr>
            </w:pPr>
          </w:p>
          <w:p w:rsidR="00205FD7" w:rsidRPr="007F33F1" w:rsidRDefault="00205FD7" w:rsidP="0047221E">
            <w:pPr>
              <w:pStyle w:val="TableText0"/>
              <w:keepLines/>
              <w:jc w:val="center"/>
              <w:rPr>
                <w:b/>
                <w:bCs w:val="0"/>
                <w:szCs w:val="20"/>
              </w:rPr>
            </w:pPr>
            <w:r w:rsidRPr="007F33F1">
              <w:rPr>
                <w:b/>
                <w:bCs w:val="0"/>
                <w:szCs w:val="20"/>
              </w:rPr>
              <w:t>N=78</w:t>
            </w:r>
          </w:p>
        </w:tc>
        <w:tc>
          <w:tcPr>
            <w:tcW w:w="576" w:type="pct"/>
            <w:vAlign w:val="center"/>
          </w:tcPr>
          <w:p w:rsidR="00205FD7" w:rsidRPr="007F33F1" w:rsidRDefault="00205FD7" w:rsidP="0047221E">
            <w:pPr>
              <w:pStyle w:val="TableText0"/>
              <w:keepLines/>
              <w:jc w:val="center"/>
              <w:rPr>
                <w:b/>
                <w:bCs w:val="0"/>
                <w:szCs w:val="20"/>
              </w:rPr>
            </w:pPr>
            <w:r w:rsidRPr="007F33F1">
              <w:rPr>
                <w:b/>
                <w:bCs w:val="0"/>
                <w:szCs w:val="20"/>
              </w:rPr>
              <w:t>ZANU</w:t>
            </w:r>
          </w:p>
          <w:p w:rsidR="00205FD7" w:rsidRPr="007F33F1" w:rsidRDefault="00205FD7" w:rsidP="0047221E">
            <w:pPr>
              <w:pStyle w:val="TableText0"/>
              <w:keepLines/>
              <w:jc w:val="center"/>
              <w:rPr>
                <w:b/>
                <w:bCs w:val="0"/>
                <w:szCs w:val="20"/>
              </w:rPr>
            </w:pPr>
            <w:r w:rsidRPr="007F33F1">
              <w:rPr>
                <w:b/>
                <w:bCs w:val="0"/>
                <w:szCs w:val="20"/>
              </w:rPr>
              <w:t>Cohort 1 N=101</w:t>
            </w:r>
          </w:p>
        </w:tc>
        <w:tc>
          <w:tcPr>
            <w:tcW w:w="428" w:type="pct"/>
            <w:vAlign w:val="center"/>
          </w:tcPr>
          <w:p w:rsidR="00205FD7" w:rsidRPr="007F33F1" w:rsidRDefault="00205FD7" w:rsidP="0047221E">
            <w:pPr>
              <w:pStyle w:val="TableText0"/>
              <w:keepLines/>
              <w:jc w:val="center"/>
              <w:rPr>
                <w:b/>
                <w:bCs w:val="0"/>
                <w:szCs w:val="20"/>
              </w:rPr>
            </w:pPr>
            <w:r w:rsidRPr="007F33F1">
              <w:rPr>
                <w:b/>
                <w:bCs w:val="0"/>
                <w:szCs w:val="20"/>
              </w:rPr>
              <w:t>ZANU Cohort 2 N=28</w:t>
            </w:r>
          </w:p>
        </w:tc>
        <w:tc>
          <w:tcPr>
            <w:tcW w:w="465" w:type="pct"/>
            <w:vAlign w:val="center"/>
          </w:tcPr>
          <w:p w:rsidR="00205FD7" w:rsidRPr="007F33F1" w:rsidRDefault="00205FD7" w:rsidP="0047221E">
            <w:pPr>
              <w:pStyle w:val="TableText0"/>
              <w:keepLines/>
              <w:jc w:val="center"/>
              <w:rPr>
                <w:b/>
                <w:bCs w:val="0"/>
                <w:szCs w:val="20"/>
              </w:rPr>
            </w:pPr>
            <w:r w:rsidRPr="007F33F1">
              <w:rPr>
                <w:b/>
                <w:bCs w:val="0"/>
                <w:szCs w:val="20"/>
              </w:rPr>
              <w:t>IBRU</w:t>
            </w:r>
          </w:p>
          <w:p w:rsidR="00205FD7" w:rsidRPr="007F33F1" w:rsidRDefault="00205FD7" w:rsidP="0047221E">
            <w:pPr>
              <w:pStyle w:val="TableText0"/>
              <w:keepLines/>
              <w:jc w:val="center"/>
              <w:rPr>
                <w:b/>
                <w:bCs w:val="0"/>
                <w:szCs w:val="20"/>
              </w:rPr>
            </w:pPr>
            <w:r w:rsidRPr="007F33F1">
              <w:rPr>
                <w:b/>
                <w:bCs w:val="0"/>
                <w:szCs w:val="20"/>
              </w:rPr>
              <w:t>Cohort 1 N=98</w:t>
            </w:r>
          </w:p>
        </w:tc>
        <w:tc>
          <w:tcPr>
            <w:tcW w:w="497" w:type="pct"/>
            <w:vAlign w:val="center"/>
          </w:tcPr>
          <w:p w:rsidR="00205FD7" w:rsidRPr="007F33F1" w:rsidRDefault="00205FD7" w:rsidP="0047221E">
            <w:pPr>
              <w:pStyle w:val="TableText0"/>
              <w:keepLines/>
              <w:jc w:val="center"/>
              <w:rPr>
                <w:b/>
                <w:bCs w:val="0"/>
                <w:szCs w:val="20"/>
              </w:rPr>
            </w:pPr>
            <w:r w:rsidRPr="007F33F1">
              <w:rPr>
                <w:b/>
                <w:bCs w:val="0"/>
                <w:szCs w:val="20"/>
              </w:rPr>
              <w:t>IBRU+R</w:t>
            </w:r>
          </w:p>
          <w:p w:rsidR="00205FD7" w:rsidRPr="007F33F1" w:rsidRDefault="00205FD7" w:rsidP="0047221E">
            <w:pPr>
              <w:pStyle w:val="TableText0"/>
              <w:keepLines/>
              <w:jc w:val="center"/>
              <w:rPr>
                <w:b/>
                <w:bCs w:val="0"/>
                <w:szCs w:val="20"/>
              </w:rPr>
            </w:pPr>
          </w:p>
          <w:p w:rsidR="00205FD7" w:rsidRPr="007F33F1" w:rsidRDefault="00205FD7" w:rsidP="0047221E">
            <w:pPr>
              <w:pStyle w:val="TableText0"/>
              <w:keepLines/>
              <w:jc w:val="center"/>
              <w:rPr>
                <w:b/>
                <w:bCs w:val="0"/>
                <w:szCs w:val="20"/>
              </w:rPr>
            </w:pPr>
            <w:r w:rsidRPr="007F33F1">
              <w:rPr>
                <w:b/>
                <w:bCs w:val="0"/>
                <w:szCs w:val="20"/>
              </w:rPr>
              <w:t>N=75</w:t>
            </w:r>
          </w:p>
        </w:tc>
        <w:tc>
          <w:tcPr>
            <w:tcW w:w="335" w:type="pct"/>
            <w:vAlign w:val="center"/>
          </w:tcPr>
          <w:p w:rsidR="00205FD7" w:rsidRPr="007F33F1" w:rsidRDefault="00205FD7" w:rsidP="0047221E">
            <w:pPr>
              <w:pStyle w:val="TableText0"/>
              <w:keepLines/>
              <w:jc w:val="center"/>
              <w:rPr>
                <w:b/>
                <w:bCs w:val="0"/>
                <w:szCs w:val="20"/>
              </w:rPr>
            </w:pPr>
            <w:r w:rsidRPr="007F33F1">
              <w:rPr>
                <w:b/>
                <w:bCs w:val="0"/>
                <w:szCs w:val="20"/>
              </w:rPr>
              <w:t xml:space="preserve">Rm </w:t>
            </w:r>
          </w:p>
          <w:p w:rsidR="00205FD7" w:rsidRPr="007F33F1" w:rsidRDefault="00205FD7" w:rsidP="0047221E">
            <w:pPr>
              <w:pStyle w:val="TableText0"/>
              <w:keepLines/>
              <w:jc w:val="center"/>
              <w:rPr>
                <w:b/>
                <w:bCs w:val="0"/>
                <w:szCs w:val="20"/>
              </w:rPr>
            </w:pPr>
          </w:p>
          <w:p w:rsidR="00205FD7" w:rsidRPr="007F33F1" w:rsidRDefault="00205FD7" w:rsidP="0047221E">
            <w:pPr>
              <w:pStyle w:val="TableText0"/>
              <w:keepLines/>
              <w:jc w:val="center"/>
              <w:rPr>
                <w:b/>
                <w:bCs w:val="0"/>
                <w:szCs w:val="20"/>
              </w:rPr>
            </w:pPr>
            <w:r w:rsidRPr="007F33F1">
              <w:rPr>
                <w:b/>
                <w:bCs w:val="0"/>
                <w:szCs w:val="20"/>
              </w:rPr>
              <w:t>N=75</w:t>
            </w:r>
          </w:p>
        </w:tc>
        <w:tc>
          <w:tcPr>
            <w:tcW w:w="435" w:type="pct"/>
            <w:gridSpan w:val="2"/>
            <w:vAlign w:val="center"/>
          </w:tcPr>
          <w:p w:rsidR="00205FD7" w:rsidRPr="007F33F1" w:rsidRDefault="00205FD7" w:rsidP="0047221E">
            <w:pPr>
              <w:pStyle w:val="TableText0"/>
              <w:keepLines/>
              <w:jc w:val="center"/>
              <w:rPr>
                <w:b/>
                <w:bCs w:val="0"/>
                <w:szCs w:val="20"/>
              </w:rPr>
            </w:pPr>
            <w:r w:rsidRPr="007F33F1">
              <w:rPr>
                <w:b/>
                <w:bCs w:val="0"/>
                <w:szCs w:val="20"/>
              </w:rPr>
              <w:t>BR</w:t>
            </w:r>
          </w:p>
          <w:p w:rsidR="00205FD7" w:rsidRPr="007F33F1" w:rsidRDefault="00205FD7" w:rsidP="0047221E">
            <w:pPr>
              <w:pStyle w:val="TableText0"/>
              <w:keepLines/>
              <w:jc w:val="center"/>
              <w:rPr>
                <w:b/>
                <w:bCs w:val="0"/>
                <w:szCs w:val="20"/>
              </w:rPr>
            </w:pPr>
          </w:p>
          <w:p w:rsidR="00205FD7" w:rsidRPr="007F33F1" w:rsidRDefault="00205FD7" w:rsidP="0047221E">
            <w:pPr>
              <w:pStyle w:val="TableText0"/>
              <w:keepLines/>
              <w:jc w:val="center"/>
              <w:rPr>
                <w:b/>
                <w:bCs w:val="0"/>
                <w:szCs w:val="20"/>
              </w:rPr>
            </w:pPr>
            <w:r w:rsidRPr="007F33F1">
              <w:rPr>
                <w:b/>
                <w:bCs w:val="0"/>
                <w:szCs w:val="20"/>
              </w:rPr>
              <w:t>N=71</w:t>
            </w:r>
          </w:p>
        </w:tc>
      </w:tr>
      <w:tr w:rsidR="00205FD7" w:rsidRPr="007F33F1" w:rsidTr="00C74050">
        <w:tc>
          <w:tcPr>
            <w:tcW w:w="1639" w:type="pct"/>
            <w:vAlign w:val="center"/>
          </w:tcPr>
          <w:p w:rsidR="00205FD7" w:rsidRPr="007F33F1" w:rsidRDefault="00205FD7" w:rsidP="0047221E">
            <w:pPr>
              <w:pStyle w:val="TableText0"/>
              <w:keepLines/>
              <w:jc w:val="left"/>
              <w:rPr>
                <w:b/>
                <w:bCs w:val="0"/>
                <w:szCs w:val="20"/>
              </w:rPr>
            </w:pPr>
            <w:r w:rsidRPr="007F33F1">
              <w:rPr>
                <w:b/>
                <w:bCs w:val="0"/>
                <w:szCs w:val="20"/>
              </w:rPr>
              <w:t>Patients ≥1 AE</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78 (100.0)</w:t>
            </w:r>
          </w:p>
        </w:tc>
        <w:tc>
          <w:tcPr>
            <w:tcW w:w="576"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98 (97.0)</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24 (85.7)</w:t>
            </w:r>
          </w:p>
        </w:tc>
        <w:tc>
          <w:tcPr>
            <w:tcW w:w="46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97 (99.0)</w:t>
            </w:r>
          </w:p>
        </w:tc>
        <w:tc>
          <w:tcPr>
            <w:tcW w:w="497"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keepLines/>
              <w:jc w:val="center"/>
              <w:rPr>
                <w:rFonts w:cstheme="minorBidi"/>
                <w:szCs w:val="20"/>
              </w:rPr>
            </w:pPr>
            <w:r w:rsidRPr="007F33F1">
              <w:rPr>
                <w:rFonts w:cstheme="minorBidi"/>
                <w:szCs w:val="20"/>
              </w:rPr>
              <w:t>NR</w:t>
            </w:r>
          </w:p>
        </w:tc>
      </w:tr>
      <w:tr w:rsidR="00205FD7" w:rsidRPr="007F33F1" w:rsidTr="00205FD7">
        <w:tc>
          <w:tcPr>
            <w:tcW w:w="4571" w:type="pct"/>
            <w:gridSpan w:val="8"/>
            <w:vAlign w:val="center"/>
          </w:tcPr>
          <w:p w:rsidR="00205FD7" w:rsidRPr="007F33F1" w:rsidRDefault="00205FD7" w:rsidP="0047221E">
            <w:pPr>
              <w:pStyle w:val="TableText0"/>
              <w:keepLines/>
              <w:jc w:val="left"/>
              <w:rPr>
                <w:rFonts w:cstheme="minorBidi"/>
                <w:b/>
                <w:bCs w:val="0"/>
                <w:szCs w:val="20"/>
              </w:rPr>
            </w:pPr>
            <w:r w:rsidRPr="007F33F1">
              <w:rPr>
                <w:rFonts w:cstheme="minorBidi"/>
                <w:b/>
                <w:bCs w:val="0"/>
                <w:szCs w:val="20"/>
              </w:rPr>
              <w:t>Most common AEs of interest in either group</w:t>
            </w:r>
          </w:p>
        </w:tc>
        <w:tc>
          <w:tcPr>
            <w:tcW w:w="429" w:type="pct"/>
            <w:vAlign w:val="center"/>
          </w:tcPr>
          <w:p w:rsidR="00205FD7" w:rsidRPr="007F33F1" w:rsidRDefault="00205FD7" w:rsidP="0047221E">
            <w:pPr>
              <w:pStyle w:val="TableText0"/>
              <w:keepLines/>
              <w:jc w:val="center"/>
              <w:rPr>
                <w:rFonts w:cstheme="minorBidi"/>
                <w:b/>
                <w:bCs w:val="0"/>
                <w:szCs w:val="20"/>
              </w:rPr>
            </w:pP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Infusion-related reactions</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szCs w:val="20"/>
              </w:rPr>
              <w:t>32 (43)</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szCs w:val="20"/>
              </w:rPr>
              <w:t>44 (59)</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szCs w:val="20"/>
              </w:rPr>
              <w:t>5 (7)</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Atrial fibrillation and flutter (any grade)</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2 (2.0)</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15 (15.3)</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rPr>
                <w:szCs w:val="20"/>
              </w:rPr>
            </w:pPr>
            <w:r w:rsidRPr="007F33F1">
              <w:rPr>
                <w:szCs w:val="20"/>
              </w:rPr>
              <w:t>All haemorrhage</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49 (62.8)</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49 (48.5)</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11 (39)</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58 (59.2)</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Arthralgia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18 (24)</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8 (11)</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Anaemia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6 (21)</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shd w:val="clear" w:color="auto" w:fill="FFFFFF" w:themeFill="background1"/>
            <w:vAlign w:val="center"/>
          </w:tcPr>
          <w:p w:rsidR="00205FD7" w:rsidRPr="007F33F1" w:rsidRDefault="00205FD7" w:rsidP="0047221E">
            <w:pPr>
              <w:pStyle w:val="TableText0"/>
              <w:keepLines/>
              <w:jc w:val="center"/>
              <w:rPr>
                <w:szCs w:val="20"/>
              </w:rPr>
            </w:pPr>
            <w:r w:rsidRPr="007F33F1">
              <w:rPr>
                <w:szCs w:val="20"/>
              </w:rPr>
              <w:t>14 (19)</w:t>
            </w:r>
          </w:p>
        </w:tc>
        <w:tc>
          <w:tcPr>
            <w:tcW w:w="335" w:type="pct"/>
            <w:shd w:val="clear" w:color="auto" w:fill="FFFFFF" w:themeFill="background1"/>
            <w:vAlign w:val="center"/>
          </w:tcPr>
          <w:p w:rsidR="00205FD7" w:rsidRPr="007F33F1" w:rsidRDefault="00205FD7" w:rsidP="0047221E">
            <w:pPr>
              <w:pStyle w:val="TableText0"/>
              <w:keepLines/>
              <w:jc w:val="center"/>
              <w:rPr>
                <w:szCs w:val="20"/>
              </w:rPr>
            </w:pPr>
            <w:r w:rsidRPr="007F33F1">
              <w:rPr>
                <w:szCs w:val="20"/>
              </w:rPr>
              <w:t>22 (29)</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Fatigue</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4 (14)</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shd w:val="clear" w:color="auto" w:fill="FFFFFF" w:themeFill="background1"/>
            <w:vAlign w:val="center"/>
          </w:tcPr>
          <w:p w:rsidR="00205FD7" w:rsidRPr="007F33F1" w:rsidRDefault="00205FD7" w:rsidP="0047221E">
            <w:pPr>
              <w:pStyle w:val="TableText0"/>
              <w:keepLines/>
              <w:jc w:val="center"/>
              <w:rPr>
                <w:b/>
                <w:szCs w:val="20"/>
              </w:rPr>
            </w:pPr>
            <w:r w:rsidRPr="007F33F1">
              <w:rPr>
                <w:b/>
                <w:szCs w:val="20"/>
              </w:rPr>
              <w:t>10 (13)</w:t>
            </w:r>
          </w:p>
        </w:tc>
        <w:tc>
          <w:tcPr>
            <w:tcW w:w="335" w:type="pct"/>
            <w:shd w:val="clear" w:color="auto" w:fill="FFFFFF" w:themeFill="background1"/>
            <w:vAlign w:val="center"/>
          </w:tcPr>
          <w:p w:rsidR="00205FD7" w:rsidRPr="007F33F1" w:rsidRDefault="00205FD7" w:rsidP="0047221E">
            <w:pPr>
              <w:pStyle w:val="TableText0"/>
              <w:keepLines/>
              <w:jc w:val="center"/>
              <w:rPr>
                <w:b/>
                <w:szCs w:val="20"/>
              </w:rPr>
            </w:pPr>
            <w:r w:rsidRPr="007F33F1">
              <w:rPr>
                <w:b/>
                <w:szCs w:val="20"/>
              </w:rPr>
              <w:t>20 (27)</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IgM Flare</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shd w:val="clear" w:color="auto" w:fill="FFFFFF" w:themeFill="background1"/>
            <w:vAlign w:val="center"/>
          </w:tcPr>
          <w:p w:rsidR="00205FD7" w:rsidRPr="007F33F1" w:rsidRDefault="00205FD7" w:rsidP="0047221E">
            <w:pPr>
              <w:pStyle w:val="TableText0"/>
              <w:keepLines/>
              <w:jc w:val="center"/>
              <w:rPr>
                <w:b/>
                <w:szCs w:val="20"/>
              </w:rPr>
            </w:pPr>
            <w:r w:rsidRPr="007F33F1">
              <w:rPr>
                <w:b/>
                <w:szCs w:val="20"/>
              </w:rPr>
              <w:t>6 (8)</w:t>
            </w:r>
          </w:p>
        </w:tc>
        <w:tc>
          <w:tcPr>
            <w:tcW w:w="335" w:type="pct"/>
            <w:shd w:val="clear" w:color="auto" w:fill="FFFFFF" w:themeFill="background1"/>
            <w:vAlign w:val="center"/>
          </w:tcPr>
          <w:p w:rsidR="00205FD7" w:rsidRPr="007F33F1" w:rsidRDefault="00205FD7" w:rsidP="0047221E">
            <w:pPr>
              <w:pStyle w:val="TableText0"/>
              <w:keepLines/>
              <w:jc w:val="center"/>
              <w:rPr>
                <w:b/>
                <w:szCs w:val="20"/>
              </w:rPr>
            </w:pPr>
            <w:r w:rsidRPr="007F33F1">
              <w:rPr>
                <w:b/>
                <w:szCs w:val="20"/>
              </w:rPr>
              <w:t>35 (47)</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Neutropenia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11 (14.1)</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25 (24.8)</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5 (18)</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12 (12.2)</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Upper respiratory tract infection</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40 (51.3)</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24 (23.8)</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6 (21)</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28 (28.6)</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Diarrhoea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15 (19.2)</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21 (20.8)</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8 (29)</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31 (31.6)</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21 (28)</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11 (15)</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Contusion</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25 (32.1)</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13 (12.9)</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6 (21)</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23 (23.5)</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Muscle spasms</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10 (9.9)</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4 (14)</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23 (23.5)</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Urinary tract infection</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15 (19.2)</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4 (14)</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Cough</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18 (23.1)</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5 (18)</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bCs w:val="0"/>
                <w:szCs w:val="20"/>
              </w:rPr>
            </w:pPr>
            <w:r w:rsidRPr="007F33F1">
              <w:rPr>
                <w:bCs w:val="0"/>
                <w:szCs w:val="20"/>
              </w:rPr>
              <w:t>Any Grade 3 or higher</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45 (59.0)</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59 (58.4)</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18 (64)</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62 (63.3)</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szCs w:val="20"/>
              </w:rPr>
              <w:t>45 (60)</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szCs w:val="20"/>
              </w:rPr>
              <w:t>46 (61)</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p>
        </w:tc>
      </w:tr>
      <w:tr w:rsidR="00205FD7" w:rsidRPr="007F33F1" w:rsidTr="00205FD7">
        <w:tc>
          <w:tcPr>
            <w:tcW w:w="5000" w:type="pct"/>
            <w:gridSpan w:val="9"/>
            <w:vAlign w:val="center"/>
          </w:tcPr>
          <w:p w:rsidR="00205FD7" w:rsidRPr="007F33F1" w:rsidRDefault="00205FD7" w:rsidP="0047221E">
            <w:pPr>
              <w:pStyle w:val="TableText0"/>
              <w:keepLines/>
              <w:jc w:val="left"/>
              <w:rPr>
                <w:rFonts w:cstheme="minorBidi"/>
                <w:b/>
                <w:bCs w:val="0"/>
                <w:szCs w:val="20"/>
              </w:rPr>
            </w:pPr>
            <w:r w:rsidRPr="007F33F1">
              <w:rPr>
                <w:rFonts w:cstheme="minorBidi"/>
                <w:b/>
                <w:bCs w:val="0"/>
                <w:szCs w:val="20"/>
              </w:rPr>
              <w:t>Most common Grade 3 or higher in either group</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Neutropenia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9 (11.5)</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16 (15.8)</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3 (11)</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8 (8.2)</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szCs w:val="20"/>
              </w:rPr>
              <w:t>7 (9)</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szCs w:val="20"/>
              </w:rPr>
              <w:t>2 (3)</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szCs w:val="20"/>
              </w:rPr>
              <w:t>25 (35.2)</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Hypertension</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3 (3.8)</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6 (5.9)</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3 (11)</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11 (11.2)</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10 (13)</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3 (4)</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Thrombocytopenia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1 (1.3)</w:t>
            </w:r>
          </w:p>
        </w:tc>
        <w:tc>
          <w:tcPr>
            <w:tcW w:w="576"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6 (5.9)</w:t>
            </w:r>
          </w:p>
        </w:tc>
        <w:tc>
          <w:tcPr>
            <w:tcW w:w="428"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2 (7)</w:t>
            </w:r>
          </w:p>
        </w:tc>
        <w:tc>
          <w:tcPr>
            <w:tcW w:w="465" w:type="pct"/>
            <w:shd w:val="clear" w:color="auto" w:fill="FFFFFF" w:themeFill="background1"/>
            <w:vAlign w:val="center"/>
          </w:tcPr>
          <w:p w:rsidR="00205FD7" w:rsidRPr="007F33F1" w:rsidRDefault="00205FD7" w:rsidP="0047221E">
            <w:pPr>
              <w:pStyle w:val="TableText0"/>
              <w:keepLines/>
              <w:jc w:val="center"/>
              <w:rPr>
                <w:rFonts w:cstheme="minorBidi"/>
                <w:szCs w:val="20"/>
              </w:rPr>
            </w:pPr>
            <w:r w:rsidRPr="007F33F1">
              <w:rPr>
                <w:rFonts w:cstheme="minorBidi"/>
                <w:szCs w:val="20"/>
              </w:rPr>
              <w:t>3 (3.1)</w:t>
            </w:r>
          </w:p>
        </w:tc>
        <w:tc>
          <w:tcPr>
            <w:tcW w:w="497"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0</w:t>
            </w:r>
          </w:p>
        </w:tc>
        <w:tc>
          <w:tcPr>
            <w:tcW w:w="335" w:type="pct"/>
            <w:shd w:val="clear" w:color="auto" w:fill="FFFFFF" w:themeFill="background1"/>
            <w:vAlign w:val="center"/>
          </w:tcPr>
          <w:p w:rsidR="00205FD7" w:rsidRPr="007F33F1" w:rsidRDefault="00205FD7" w:rsidP="0047221E">
            <w:pPr>
              <w:pStyle w:val="TableText0"/>
              <w:keepLines/>
              <w:jc w:val="center"/>
              <w:rPr>
                <w:rFonts w:cstheme="minorBidi"/>
                <w:b/>
                <w:szCs w:val="20"/>
              </w:rPr>
            </w:pPr>
            <w:r w:rsidRPr="007F33F1">
              <w:rPr>
                <w:b/>
                <w:szCs w:val="20"/>
              </w:rPr>
              <w:t>4 (5)</w:t>
            </w:r>
          </w:p>
        </w:tc>
        <w:tc>
          <w:tcPr>
            <w:tcW w:w="435" w:type="pct"/>
            <w:gridSpan w:val="2"/>
            <w:shd w:val="clear" w:color="auto" w:fill="FFFFFF" w:themeFill="background1"/>
            <w:vAlign w:val="center"/>
          </w:tcPr>
          <w:p w:rsidR="00205FD7" w:rsidRPr="007F33F1" w:rsidRDefault="00205FD7" w:rsidP="0047221E">
            <w:pPr>
              <w:pStyle w:val="TableText0"/>
              <w:keepLines/>
              <w:jc w:val="center"/>
              <w:rPr>
                <w:szCs w:val="20"/>
              </w:rPr>
            </w:pPr>
            <w:r w:rsidRPr="007F33F1">
              <w:rPr>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Anaemia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7 (9.0)</w:t>
            </w:r>
          </w:p>
        </w:tc>
        <w:tc>
          <w:tcPr>
            <w:tcW w:w="576"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5 (5.0)</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3 (11)</w:t>
            </w:r>
          </w:p>
        </w:tc>
        <w:tc>
          <w:tcPr>
            <w:tcW w:w="46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5 (5.1)</w:t>
            </w:r>
          </w:p>
        </w:tc>
        <w:tc>
          <w:tcPr>
            <w:tcW w:w="497" w:type="pct"/>
            <w:vAlign w:val="center"/>
          </w:tcPr>
          <w:p w:rsidR="00205FD7" w:rsidRPr="007F33F1" w:rsidRDefault="00205FD7" w:rsidP="0047221E">
            <w:pPr>
              <w:pStyle w:val="TableText0"/>
              <w:keepLines/>
              <w:jc w:val="center"/>
              <w:rPr>
                <w:rFonts w:cstheme="minorBidi"/>
                <w:szCs w:val="20"/>
              </w:rPr>
            </w:pPr>
            <w:r w:rsidRPr="007F33F1">
              <w:rPr>
                <w:szCs w:val="20"/>
              </w:rPr>
              <w:t>8 (11)</w:t>
            </w:r>
          </w:p>
        </w:tc>
        <w:tc>
          <w:tcPr>
            <w:tcW w:w="335" w:type="pct"/>
            <w:vAlign w:val="center"/>
          </w:tcPr>
          <w:p w:rsidR="00205FD7" w:rsidRPr="007F33F1" w:rsidRDefault="00205FD7" w:rsidP="0047221E">
            <w:pPr>
              <w:pStyle w:val="TableText0"/>
              <w:keepLines/>
              <w:jc w:val="center"/>
              <w:rPr>
                <w:rFonts w:cstheme="minorBidi"/>
                <w:szCs w:val="20"/>
              </w:rPr>
            </w:pPr>
            <w:r w:rsidRPr="007F33F1">
              <w:rPr>
                <w:szCs w:val="20"/>
              </w:rPr>
              <w:t>13 (17)</w:t>
            </w:r>
          </w:p>
        </w:tc>
        <w:tc>
          <w:tcPr>
            <w:tcW w:w="435" w:type="pct"/>
            <w:gridSpan w:val="2"/>
            <w:vAlign w:val="center"/>
          </w:tcPr>
          <w:p w:rsidR="00205FD7" w:rsidRPr="007F33F1" w:rsidRDefault="00205FD7" w:rsidP="0047221E">
            <w:pPr>
              <w:pStyle w:val="TableText0"/>
              <w:keepLines/>
              <w:jc w:val="center"/>
              <w:rPr>
                <w:szCs w:val="20"/>
              </w:rPr>
            </w:pPr>
            <w:r w:rsidRPr="007F33F1">
              <w:rPr>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Pneumonia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3 (3.8)</w:t>
            </w:r>
          </w:p>
        </w:tc>
        <w:tc>
          <w:tcPr>
            <w:tcW w:w="576" w:type="pct"/>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1 (1.0)</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2 (7)</w:t>
            </w:r>
          </w:p>
        </w:tc>
        <w:tc>
          <w:tcPr>
            <w:tcW w:w="465" w:type="pct"/>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7 (7.1)</w:t>
            </w:r>
          </w:p>
        </w:tc>
        <w:tc>
          <w:tcPr>
            <w:tcW w:w="497" w:type="pct"/>
            <w:vAlign w:val="center"/>
          </w:tcPr>
          <w:p w:rsidR="00205FD7" w:rsidRPr="007F33F1" w:rsidRDefault="00205FD7" w:rsidP="0047221E">
            <w:pPr>
              <w:pStyle w:val="TableText0"/>
              <w:keepLines/>
              <w:jc w:val="center"/>
              <w:rPr>
                <w:rFonts w:cstheme="minorBidi"/>
                <w:szCs w:val="20"/>
              </w:rPr>
            </w:pPr>
            <w:r w:rsidRPr="007F33F1">
              <w:rPr>
                <w:szCs w:val="20"/>
              </w:rPr>
              <w:t>7 (9)</w:t>
            </w:r>
          </w:p>
        </w:tc>
        <w:tc>
          <w:tcPr>
            <w:tcW w:w="335" w:type="pct"/>
            <w:vAlign w:val="center"/>
          </w:tcPr>
          <w:p w:rsidR="00205FD7" w:rsidRPr="007F33F1" w:rsidRDefault="00205FD7" w:rsidP="0047221E">
            <w:pPr>
              <w:pStyle w:val="TableText0"/>
              <w:keepLines/>
              <w:jc w:val="center"/>
              <w:rPr>
                <w:rFonts w:cstheme="minorBidi"/>
                <w:szCs w:val="20"/>
              </w:rPr>
            </w:pPr>
            <w:r w:rsidRPr="007F33F1">
              <w:rPr>
                <w:szCs w:val="20"/>
              </w:rPr>
              <w:t>2 (3)</w:t>
            </w:r>
          </w:p>
        </w:tc>
        <w:tc>
          <w:tcPr>
            <w:tcW w:w="435" w:type="pct"/>
            <w:gridSpan w:val="2"/>
            <w:vAlign w:val="center"/>
          </w:tcPr>
          <w:p w:rsidR="00205FD7" w:rsidRPr="007F33F1" w:rsidRDefault="00205FD7" w:rsidP="0047221E">
            <w:pPr>
              <w:pStyle w:val="TableText0"/>
              <w:keepLines/>
              <w:jc w:val="center"/>
              <w:rPr>
                <w:szCs w:val="20"/>
              </w:rPr>
            </w:pPr>
            <w:r w:rsidRPr="007F33F1">
              <w:rPr>
                <w:szCs w:val="20"/>
              </w:rPr>
              <w:t>4 (5.6)</w:t>
            </w:r>
          </w:p>
        </w:tc>
      </w:tr>
      <w:tr w:rsidR="00205FD7" w:rsidRPr="007F33F1" w:rsidTr="00C74050">
        <w:trPr>
          <w:trHeight w:val="56"/>
        </w:trPr>
        <w:tc>
          <w:tcPr>
            <w:tcW w:w="1639" w:type="pct"/>
            <w:vAlign w:val="center"/>
          </w:tcPr>
          <w:p w:rsidR="00205FD7" w:rsidRPr="007F33F1" w:rsidRDefault="00205FD7" w:rsidP="0047221E">
            <w:pPr>
              <w:pStyle w:val="TableText0"/>
              <w:keepLines/>
              <w:jc w:val="left"/>
              <w:rPr>
                <w:szCs w:val="20"/>
              </w:rPr>
            </w:pPr>
            <w:r w:rsidRPr="007F33F1">
              <w:rPr>
                <w:szCs w:val="20"/>
              </w:rPr>
              <w:t>Atrial fibrillation and flutter</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0 (0.0)</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keepLines/>
              <w:jc w:val="center"/>
              <w:rPr>
                <w:rFonts w:cstheme="minorBidi"/>
                <w:b/>
                <w:szCs w:val="20"/>
              </w:rPr>
            </w:pPr>
            <w:r w:rsidRPr="007F33F1">
              <w:rPr>
                <w:rFonts w:cstheme="minorBidi"/>
                <w:b/>
                <w:szCs w:val="20"/>
              </w:rPr>
              <w:t>4 (4.1)</w:t>
            </w:r>
          </w:p>
        </w:tc>
        <w:tc>
          <w:tcPr>
            <w:tcW w:w="497" w:type="pct"/>
            <w:vAlign w:val="center"/>
          </w:tcPr>
          <w:p w:rsidR="00205FD7" w:rsidRPr="007F33F1" w:rsidRDefault="00205FD7" w:rsidP="0047221E">
            <w:pPr>
              <w:pStyle w:val="TableText0"/>
              <w:keepLines/>
              <w:jc w:val="center"/>
              <w:rPr>
                <w:rFonts w:cstheme="minorBidi"/>
                <w:b/>
                <w:szCs w:val="20"/>
              </w:rPr>
            </w:pPr>
            <w:r w:rsidRPr="007F33F1">
              <w:rPr>
                <w:b/>
                <w:szCs w:val="20"/>
              </w:rPr>
              <w:t>9 (12)</w:t>
            </w:r>
          </w:p>
        </w:tc>
        <w:tc>
          <w:tcPr>
            <w:tcW w:w="335" w:type="pct"/>
            <w:vAlign w:val="center"/>
          </w:tcPr>
          <w:p w:rsidR="00205FD7" w:rsidRPr="007F33F1" w:rsidRDefault="00205FD7" w:rsidP="0047221E">
            <w:pPr>
              <w:pStyle w:val="TableText0"/>
              <w:keepLines/>
              <w:jc w:val="center"/>
              <w:rPr>
                <w:rFonts w:cstheme="minorBidi"/>
                <w:b/>
                <w:szCs w:val="20"/>
              </w:rPr>
            </w:pPr>
            <w:r w:rsidRPr="007F33F1">
              <w:rPr>
                <w:b/>
                <w:szCs w:val="20"/>
              </w:rPr>
              <w:t>1 (1)</w:t>
            </w:r>
          </w:p>
        </w:tc>
        <w:tc>
          <w:tcPr>
            <w:tcW w:w="435" w:type="pct"/>
            <w:gridSpan w:val="2"/>
            <w:vAlign w:val="center"/>
          </w:tcPr>
          <w:p w:rsidR="00205FD7" w:rsidRPr="007F33F1" w:rsidRDefault="00205FD7" w:rsidP="0047221E">
            <w:pPr>
              <w:pStyle w:val="TableText0"/>
              <w:keepLines/>
              <w:jc w:val="center"/>
              <w:rPr>
                <w:szCs w:val="20"/>
              </w:rPr>
            </w:pPr>
            <w:r w:rsidRPr="007F33F1">
              <w:rPr>
                <w:rFonts w:cstheme="minorBidi"/>
                <w:szCs w:val="20"/>
              </w:rPr>
              <w:t>-</w:t>
            </w:r>
          </w:p>
        </w:tc>
      </w:tr>
      <w:tr w:rsidR="00205FD7" w:rsidRPr="007F33F1" w:rsidTr="00C74050">
        <w:trPr>
          <w:trHeight w:val="56"/>
        </w:trPr>
        <w:tc>
          <w:tcPr>
            <w:tcW w:w="1639" w:type="pct"/>
            <w:vAlign w:val="center"/>
          </w:tcPr>
          <w:p w:rsidR="00205FD7" w:rsidRPr="007F33F1" w:rsidRDefault="00205FD7" w:rsidP="0047221E">
            <w:pPr>
              <w:pStyle w:val="TableText0"/>
              <w:keepLines/>
              <w:rPr>
                <w:szCs w:val="20"/>
              </w:rPr>
            </w:pPr>
            <w:r w:rsidRPr="007F33F1">
              <w:rPr>
                <w:szCs w:val="20"/>
              </w:rPr>
              <w:t>Major haemorrhage</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4 (5.1)</w:t>
            </w:r>
          </w:p>
        </w:tc>
        <w:tc>
          <w:tcPr>
            <w:tcW w:w="576"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6 (5.9)</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2 (7)</w:t>
            </w:r>
          </w:p>
        </w:tc>
        <w:tc>
          <w:tcPr>
            <w:tcW w:w="46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9 (9.2)</w:t>
            </w:r>
          </w:p>
        </w:tc>
        <w:tc>
          <w:tcPr>
            <w:tcW w:w="497" w:type="pct"/>
            <w:vAlign w:val="center"/>
          </w:tcPr>
          <w:p w:rsidR="00205FD7" w:rsidRPr="007F33F1" w:rsidRDefault="00205FD7" w:rsidP="0047221E">
            <w:pPr>
              <w:pStyle w:val="TableText0"/>
              <w:keepLines/>
              <w:jc w:val="center"/>
              <w:rPr>
                <w:szCs w:val="20"/>
              </w:rPr>
            </w:pPr>
            <w:r w:rsidRPr="007F33F1">
              <w:rPr>
                <w:szCs w:val="20"/>
              </w:rPr>
              <w:t>3 (4)</w:t>
            </w:r>
          </w:p>
        </w:tc>
        <w:tc>
          <w:tcPr>
            <w:tcW w:w="335" w:type="pct"/>
            <w:vAlign w:val="center"/>
          </w:tcPr>
          <w:p w:rsidR="00205FD7" w:rsidRPr="007F33F1" w:rsidRDefault="00205FD7" w:rsidP="0047221E">
            <w:pPr>
              <w:pStyle w:val="TableText0"/>
              <w:keepLines/>
              <w:jc w:val="center"/>
              <w:rPr>
                <w:szCs w:val="20"/>
              </w:rPr>
            </w:pPr>
            <w:r w:rsidRPr="007F33F1">
              <w:rPr>
                <w:szCs w:val="20"/>
              </w:rPr>
              <w:t>3 (4)</w:t>
            </w:r>
          </w:p>
        </w:tc>
        <w:tc>
          <w:tcPr>
            <w:tcW w:w="435" w:type="pct"/>
            <w:gridSpan w:val="2"/>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Cellulitis</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4 (5.1)</w:t>
            </w:r>
          </w:p>
        </w:tc>
        <w:tc>
          <w:tcPr>
            <w:tcW w:w="576"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Basal cell carcinoma</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4 (5.1)</w:t>
            </w:r>
          </w:p>
        </w:tc>
        <w:tc>
          <w:tcPr>
            <w:tcW w:w="576"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szCs w:val="20"/>
              </w:rPr>
            </w:pPr>
            <w:r w:rsidRPr="007F33F1">
              <w:rPr>
                <w:szCs w:val="20"/>
              </w:rPr>
              <w:t>Infusion related reaction</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576"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97" w:type="pct"/>
            <w:vAlign w:val="center"/>
          </w:tcPr>
          <w:p w:rsidR="00205FD7" w:rsidRPr="007F33F1" w:rsidRDefault="00205FD7" w:rsidP="0047221E">
            <w:pPr>
              <w:pStyle w:val="TableText0"/>
              <w:keepLines/>
              <w:jc w:val="center"/>
              <w:rPr>
                <w:rFonts w:cstheme="minorBidi"/>
                <w:b/>
                <w:szCs w:val="20"/>
              </w:rPr>
            </w:pPr>
            <w:r w:rsidRPr="007F33F1">
              <w:rPr>
                <w:b/>
                <w:szCs w:val="20"/>
              </w:rPr>
              <w:t>1 (1)</w:t>
            </w:r>
          </w:p>
        </w:tc>
        <w:tc>
          <w:tcPr>
            <w:tcW w:w="335" w:type="pct"/>
            <w:vAlign w:val="center"/>
          </w:tcPr>
          <w:p w:rsidR="00205FD7" w:rsidRPr="007F33F1" w:rsidRDefault="00205FD7" w:rsidP="0047221E">
            <w:pPr>
              <w:pStyle w:val="TableText0"/>
              <w:keepLines/>
              <w:jc w:val="center"/>
              <w:rPr>
                <w:rFonts w:cstheme="minorBidi"/>
                <w:b/>
                <w:szCs w:val="20"/>
              </w:rPr>
            </w:pPr>
            <w:r w:rsidRPr="007F33F1">
              <w:rPr>
                <w:b/>
                <w:szCs w:val="20"/>
              </w:rPr>
              <w:t>12 (16)</w:t>
            </w:r>
          </w:p>
        </w:tc>
        <w:tc>
          <w:tcPr>
            <w:tcW w:w="435" w:type="pct"/>
            <w:gridSpan w:val="2"/>
            <w:vAlign w:val="center"/>
          </w:tcPr>
          <w:p w:rsidR="00205FD7" w:rsidRPr="007F33F1" w:rsidRDefault="00205FD7" w:rsidP="0047221E">
            <w:pPr>
              <w:pStyle w:val="TableText0"/>
              <w:keepLines/>
              <w:jc w:val="center"/>
              <w:rPr>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keepLines/>
              <w:jc w:val="left"/>
              <w:rPr>
                <w:b/>
                <w:bCs w:val="0"/>
                <w:szCs w:val="20"/>
              </w:rPr>
            </w:pPr>
            <w:r w:rsidRPr="007F33F1">
              <w:rPr>
                <w:b/>
                <w:bCs w:val="0"/>
                <w:szCs w:val="20"/>
              </w:rPr>
              <w:t>Patients ≥ 1 TRAE</w:t>
            </w:r>
          </w:p>
        </w:tc>
        <w:tc>
          <w:tcPr>
            <w:tcW w:w="62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59 (75.6)</w:t>
            </w:r>
          </w:p>
        </w:tc>
        <w:tc>
          <w:tcPr>
            <w:tcW w:w="576"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80 (79.2)</w:t>
            </w:r>
          </w:p>
        </w:tc>
        <w:tc>
          <w:tcPr>
            <w:tcW w:w="428"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84 (85.7)</w:t>
            </w:r>
          </w:p>
        </w:tc>
        <w:tc>
          <w:tcPr>
            <w:tcW w:w="497"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335" w:type="pct"/>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keepLines/>
              <w:jc w:val="center"/>
              <w:rPr>
                <w:rFonts w:cstheme="minorBidi"/>
                <w:szCs w:val="20"/>
              </w:rPr>
            </w:pPr>
            <w:r w:rsidRPr="007F33F1">
              <w:rPr>
                <w:rFonts w:cstheme="minorBidi"/>
                <w:szCs w:val="20"/>
              </w:rPr>
              <w:t>-</w:t>
            </w:r>
          </w:p>
        </w:tc>
      </w:tr>
      <w:tr w:rsidR="00205FD7" w:rsidRPr="007F33F1" w:rsidTr="00205FD7">
        <w:tc>
          <w:tcPr>
            <w:tcW w:w="5000" w:type="pct"/>
            <w:gridSpan w:val="9"/>
            <w:vAlign w:val="center"/>
          </w:tcPr>
          <w:p w:rsidR="00205FD7" w:rsidRPr="007F33F1" w:rsidRDefault="00205FD7" w:rsidP="0047221E">
            <w:pPr>
              <w:pStyle w:val="TableText0"/>
              <w:keepLines/>
              <w:jc w:val="left"/>
              <w:rPr>
                <w:rFonts w:cstheme="minorBidi"/>
                <w:b/>
                <w:bCs w:val="0"/>
                <w:szCs w:val="20"/>
              </w:rPr>
            </w:pPr>
            <w:r w:rsidRPr="007F33F1">
              <w:rPr>
                <w:rFonts w:cstheme="minorBidi"/>
                <w:b/>
                <w:bCs w:val="0"/>
                <w:szCs w:val="20"/>
              </w:rPr>
              <w:t>Most common treatment-emergent AE (TEAE)</w:t>
            </w:r>
          </w:p>
        </w:tc>
      </w:tr>
      <w:tr w:rsidR="00205FD7" w:rsidRPr="007F33F1" w:rsidTr="00C74050">
        <w:tc>
          <w:tcPr>
            <w:tcW w:w="1639" w:type="pct"/>
            <w:vAlign w:val="center"/>
          </w:tcPr>
          <w:p w:rsidR="00205FD7" w:rsidRPr="007F33F1" w:rsidRDefault="00205FD7" w:rsidP="0047221E">
            <w:pPr>
              <w:pStyle w:val="TableText0"/>
              <w:jc w:val="left"/>
              <w:rPr>
                <w:szCs w:val="20"/>
              </w:rPr>
            </w:pPr>
            <w:r w:rsidRPr="007F33F1">
              <w:rPr>
                <w:szCs w:val="20"/>
              </w:rPr>
              <w:t>Neutropenia</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8 (10.3)</w:t>
            </w:r>
          </w:p>
        </w:tc>
        <w:tc>
          <w:tcPr>
            <w:tcW w:w="576" w:type="pct"/>
            <w:vAlign w:val="center"/>
          </w:tcPr>
          <w:p w:rsidR="00205FD7" w:rsidRPr="007F33F1" w:rsidRDefault="00205FD7" w:rsidP="0047221E">
            <w:pPr>
              <w:pStyle w:val="TableText0"/>
              <w:jc w:val="center"/>
              <w:rPr>
                <w:rFonts w:cstheme="minorBidi"/>
                <w:b/>
                <w:szCs w:val="20"/>
              </w:rPr>
            </w:pPr>
            <w:r w:rsidRPr="007F33F1">
              <w:rPr>
                <w:rFonts w:cstheme="minorBidi"/>
                <w:b/>
                <w:szCs w:val="20"/>
              </w:rPr>
              <w:t>22 (21.8)</w:t>
            </w:r>
          </w:p>
        </w:tc>
        <w:tc>
          <w:tcPr>
            <w:tcW w:w="428" w:type="pct"/>
          </w:tcPr>
          <w:p w:rsidR="00205FD7" w:rsidRPr="007F33F1" w:rsidRDefault="00205FD7" w:rsidP="0047221E">
            <w:pPr>
              <w:pStyle w:val="TableText0"/>
              <w:jc w:val="center"/>
              <w:rPr>
                <w:rFonts w:cstheme="minorBidi"/>
                <w:szCs w:val="20"/>
              </w:rPr>
            </w:pPr>
            <w:r w:rsidRPr="007F33F1">
              <w:rPr>
                <w:rFonts w:cstheme="minorBidi"/>
                <w:szCs w:val="20"/>
              </w:rPr>
              <w:t>5 (18)</w:t>
            </w:r>
          </w:p>
        </w:tc>
        <w:tc>
          <w:tcPr>
            <w:tcW w:w="465" w:type="pct"/>
            <w:vAlign w:val="center"/>
          </w:tcPr>
          <w:p w:rsidR="00205FD7" w:rsidRPr="007F33F1" w:rsidRDefault="00205FD7" w:rsidP="0047221E">
            <w:pPr>
              <w:pStyle w:val="TableText0"/>
              <w:jc w:val="center"/>
              <w:rPr>
                <w:rFonts w:cstheme="minorBidi"/>
                <w:b/>
                <w:szCs w:val="20"/>
              </w:rPr>
            </w:pPr>
            <w:r w:rsidRPr="007F33F1">
              <w:rPr>
                <w:rFonts w:cstheme="minorBidi"/>
                <w:b/>
                <w:szCs w:val="20"/>
              </w:rPr>
              <w:t>11 (11.2)</w:t>
            </w:r>
          </w:p>
        </w:tc>
        <w:tc>
          <w:tcPr>
            <w:tcW w:w="832" w:type="pct"/>
            <w:gridSpan w:val="2"/>
            <w:vMerge w:val="restart"/>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szCs w:val="20"/>
              </w:rPr>
            </w:pPr>
            <w:r w:rsidRPr="007F33F1">
              <w:rPr>
                <w:szCs w:val="20"/>
              </w:rPr>
              <w:t>Diarrhoea</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5 (6.4)</w:t>
            </w:r>
          </w:p>
        </w:tc>
        <w:tc>
          <w:tcPr>
            <w:tcW w:w="576" w:type="pct"/>
            <w:vAlign w:val="center"/>
          </w:tcPr>
          <w:p w:rsidR="00205FD7" w:rsidRPr="007F33F1" w:rsidRDefault="00205FD7" w:rsidP="0047221E">
            <w:pPr>
              <w:pStyle w:val="TableText0"/>
              <w:jc w:val="center"/>
              <w:rPr>
                <w:rFonts w:cstheme="minorBidi"/>
                <w:b/>
                <w:szCs w:val="20"/>
              </w:rPr>
            </w:pPr>
            <w:r w:rsidRPr="007F33F1">
              <w:rPr>
                <w:rFonts w:cstheme="minorBidi"/>
                <w:b/>
                <w:szCs w:val="20"/>
              </w:rPr>
              <w:t>11 (10.9)</w:t>
            </w:r>
          </w:p>
        </w:tc>
        <w:tc>
          <w:tcPr>
            <w:tcW w:w="428" w:type="pct"/>
          </w:tcPr>
          <w:p w:rsidR="00205FD7" w:rsidRPr="007F33F1" w:rsidRDefault="00205FD7" w:rsidP="0047221E">
            <w:pPr>
              <w:pStyle w:val="TableText0"/>
              <w:jc w:val="center"/>
              <w:rPr>
                <w:rFonts w:cstheme="minorBidi"/>
                <w:b/>
                <w:bCs w:val="0"/>
                <w:szCs w:val="20"/>
              </w:rPr>
            </w:pPr>
            <w:r w:rsidRPr="007F33F1">
              <w:rPr>
                <w:rFonts w:cstheme="minorBidi"/>
                <w:szCs w:val="20"/>
              </w:rPr>
              <w:t>8 (29)</w:t>
            </w:r>
          </w:p>
        </w:tc>
        <w:tc>
          <w:tcPr>
            <w:tcW w:w="465" w:type="pct"/>
            <w:vAlign w:val="center"/>
          </w:tcPr>
          <w:p w:rsidR="00205FD7" w:rsidRPr="007F33F1" w:rsidRDefault="00205FD7" w:rsidP="0047221E">
            <w:pPr>
              <w:pStyle w:val="TableText0"/>
              <w:jc w:val="center"/>
              <w:rPr>
                <w:rFonts w:cstheme="minorBidi"/>
                <w:b/>
                <w:szCs w:val="20"/>
              </w:rPr>
            </w:pPr>
            <w:r w:rsidRPr="007F33F1">
              <w:rPr>
                <w:rFonts w:cstheme="minorBidi"/>
                <w:b/>
                <w:szCs w:val="20"/>
              </w:rPr>
              <w:t>23 (23.5)</w:t>
            </w:r>
          </w:p>
        </w:tc>
        <w:tc>
          <w:tcPr>
            <w:tcW w:w="832" w:type="pct"/>
            <w:gridSpan w:val="2"/>
            <w:vMerge/>
            <w:vAlign w:val="center"/>
          </w:tcPr>
          <w:p w:rsidR="00205FD7" w:rsidRPr="007F33F1" w:rsidRDefault="00205FD7" w:rsidP="0047221E">
            <w:pPr>
              <w:pStyle w:val="TableText0"/>
              <w:jc w:val="center"/>
              <w:rPr>
                <w:rFonts w:cstheme="minorBidi"/>
                <w:szCs w:val="20"/>
              </w:rPr>
            </w:pP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szCs w:val="20"/>
              </w:rPr>
            </w:pPr>
            <w:r w:rsidRPr="007F33F1">
              <w:rPr>
                <w:szCs w:val="20"/>
              </w:rPr>
              <w:t>Fatigue</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c>
          <w:tcPr>
            <w:tcW w:w="576" w:type="pct"/>
            <w:vAlign w:val="center"/>
          </w:tcPr>
          <w:p w:rsidR="00205FD7" w:rsidRPr="007F33F1" w:rsidRDefault="00205FD7" w:rsidP="0047221E">
            <w:pPr>
              <w:pStyle w:val="TableText0"/>
              <w:jc w:val="center"/>
              <w:rPr>
                <w:rFonts w:cstheme="minorBidi"/>
                <w:szCs w:val="20"/>
              </w:rPr>
            </w:pPr>
            <w:r w:rsidRPr="007F33F1">
              <w:rPr>
                <w:rFonts w:cstheme="minorBidi"/>
                <w:szCs w:val="20"/>
              </w:rPr>
              <w:t>11 (10.9)</w:t>
            </w:r>
          </w:p>
        </w:tc>
        <w:tc>
          <w:tcPr>
            <w:tcW w:w="428" w:type="pct"/>
          </w:tcPr>
          <w:p w:rsidR="00205FD7" w:rsidRPr="007F33F1" w:rsidRDefault="00205FD7" w:rsidP="0047221E">
            <w:pPr>
              <w:pStyle w:val="TableText0"/>
              <w:jc w:val="center"/>
              <w:rPr>
                <w:rFonts w:cstheme="minorBidi"/>
                <w:szCs w:val="20"/>
              </w:rPr>
            </w:pPr>
            <w:r w:rsidRPr="007F33F1">
              <w:rPr>
                <w:rFonts w:cstheme="minorBidi"/>
                <w:szCs w:val="20"/>
              </w:rPr>
              <w:t>4 (14)</w:t>
            </w:r>
          </w:p>
        </w:tc>
        <w:tc>
          <w:tcPr>
            <w:tcW w:w="465" w:type="pct"/>
            <w:vAlign w:val="center"/>
          </w:tcPr>
          <w:p w:rsidR="00205FD7" w:rsidRPr="007F33F1" w:rsidRDefault="00205FD7" w:rsidP="0047221E">
            <w:pPr>
              <w:pStyle w:val="TableText0"/>
              <w:jc w:val="center"/>
              <w:rPr>
                <w:rFonts w:cstheme="minorBidi"/>
                <w:szCs w:val="20"/>
              </w:rPr>
            </w:pPr>
            <w:r w:rsidRPr="007F33F1">
              <w:rPr>
                <w:rFonts w:cstheme="minorBidi"/>
                <w:szCs w:val="20"/>
              </w:rPr>
              <w:t>9 (9.2)</w:t>
            </w:r>
          </w:p>
        </w:tc>
        <w:tc>
          <w:tcPr>
            <w:tcW w:w="832" w:type="pct"/>
            <w:gridSpan w:val="2"/>
            <w:vMerge/>
            <w:vAlign w:val="center"/>
          </w:tcPr>
          <w:p w:rsidR="00205FD7" w:rsidRPr="007F33F1" w:rsidRDefault="00205FD7" w:rsidP="0047221E">
            <w:pPr>
              <w:pStyle w:val="TableText0"/>
              <w:jc w:val="center"/>
              <w:rPr>
                <w:rFonts w:cstheme="minorBidi"/>
                <w:szCs w:val="20"/>
              </w:rPr>
            </w:pP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szCs w:val="20"/>
              </w:rPr>
            </w:pPr>
            <w:r w:rsidRPr="007F33F1">
              <w:rPr>
                <w:szCs w:val="20"/>
              </w:rPr>
              <w:t>Contusion</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19 (24.4)</w:t>
            </w:r>
          </w:p>
        </w:tc>
        <w:tc>
          <w:tcPr>
            <w:tcW w:w="576" w:type="pct"/>
            <w:vAlign w:val="center"/>
          </w:tcPr>
          <w:p w:rsidR="00205FD7" w:rsidRPr="007F33F1" w:rsidRDefault="00205FD7" w:rsidP="0047221E">
            <w:pPr>
              <w:pStyle w:val="TableText0"/>
              <w:jc w:val="center"/>
              <w:rPr>
                <w:rFonts w:cstheme="minorBidi"/>
                <w:b/>
                <w:szCs w:val="20"/>
              </w:rPr>
            </w:pPr>
            <w:r w:rsidRPr="007F33F1">
              <w:rPr>
                <w:rFonts w:cstheme="minorBidi"/>
                <w:b/>
                <w:szCs w:val="20"/>
              </w:rPr>
              <w:t>10 (9.9)</w:t>
            </w:r>
          </w:p>
        </w:tc>
        <w:tc>
          <w:tcPr>
            <w:tcW w:w="428" w:type="pct"/>
          </w:tcPr>
          <w:p w:rsidR="00205FD7" w:rsidRPr="007F33F1" w:rsidRDefault="00205FD7" w:rsidP="0047221E">
            <w:pPr>
              <w:pStyle w:val="TableText0"/>
              <w:jc w:val="center"/>
              <w:rPr>
                <w:rFonts w:cstheme="minorBidi"/>
                <w:szCs w:val="20"/>
              </w:rPr>
            </w:pPr>
            <w:r w:rsidRPr="007F33F1">
              <w:rPr>
                <w:rFonts w:cstheme="minorBidi"/>
                <w:szCs w:val="20"/>
              </w:rPr>
              <w:t>6 (21)</w:t>
            </w:r>
          </w:p>
        </w:tc>
        <w:tc>
          <w:tcPr>
            <w:tcW w:w="465" w:type="pct"/>
            <w:vAlign w:val="center"/>
          </w:tcPr>
          <w:p w:rsidR="00205FD7" w:rsidRPr="007F33F1" w:rsidRDefault="00205FD7" w:rsidP="0047221E">
            <w:pPr>
              <w:pStyle w:val="TableText0"/>
              <w:jc w:val="center"/>
              <w:rPr>
                <w:rFonts w:cstheme="minorBidi"/>
                <w:b/>
                <w:szCs w:val="20"/>
              </w:rPr>
            </w:pPr>
            <w:r w:rsidRPr="007F33F1">
              <w:rPr>
                <w:rFonts w:cstheme="minorBidi"/>
                <w:b/>
                <w:szCs w:val="20"/>
              </w:rPr>
              <w:t>22 (22.4)</w:t>
            </w:r>
          </w:p>
        </w:tc>
        <w:tc>
          <w:tcPr>
            <w:tcW w:w="832" w:type="pct"/>
            <w:gridSpan w:val="2"/>
            <w:vMerge/>
            <w:vAlign w:val="center"/>
          </w:tcPr>
          <w:p w:rsidR="00205FD7" w:rsidRPr="007F33F1" w:rsidRDefault="00205FD7" w:rsidP="0047221E">
            <w:pPr>
              <w:pStyle w:val="TableText0"/>
              <w:jc w:val="center"/>
              <w:rPr>
                <w:rFonts w:cstheme="minorBidi"/>
                <w:szCs w:val="20"/>
              </w:rPr>
            </w:pP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szCs w:val="20"/>
              </w:rPr>
            </w:pPr>
            <w:r w:rsidRPr="007F33F1">
              <w:rPr>
                <w:szCs w:val="20"/>
              </w:rPr>
              <w:t>Epistaxis</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c>
          <w:tcPr>
            <w:tcW w:w="576" w:type="pct"/>
            <w:vAlign w:val="center"/>
          </w:tcPr>
          <w:p w:rsidR="00205FD7" w:rsidRPr="007F33F1" w:rsidRDefault="00205FD7" w:rsidP="0047221E">
            <w:pPr>
              <w:pStyle w:val="TableText0"/>
              <w:jc w:val="center"/>
              <w:rPr>
                <w:rFonts w:cstheme="minorBidi"/>
                <w:szCs w:val="20"/>
              </w:rPr>
            </w:pPr>
            <w:r w:rsidRPr="007F33F1">
              <w:rPr>
                <w:rFonts w:cstheme="minorBidi"/>
                <w:szCs w:val="20"/>
              </w:rPr>
              <w:t>7 (6.9)</w:t>
            </w:r>
          </w:p>
        </w:tc>
        <w:tc>
          <w:tcPr>
            <w:tcW w:w="428" w:type="pct"/>
          </w:tcPr>
          <w:p w:rsidR="00205FD7" w:rsidRPr="007F33F1" w:rsidRDefault="00205FD7" w:rsidP="0047221E">
            <w:pPr>
              <w:pStyle w:val="TableText0"/>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jc w:val="center"/>
              <w:rPr>
                <w:rFonts w:cstheme="minorBidi"/>
                <w:szCs w:val="20"/>
              </w:rPr>
            </w:pPr>
            <w:r w:rsidRPr="007F33F1">
              <w:rPr>
                <w:rFonts w:cstheme="minorBidi"/>
                <w:szCs w:val="20"/>
              </w:rPr>
              <w:t>14 (14.3)</w:t>
            </w:r>
          </w:p>
        </w:tc>
        <w:tc>
          <w:tcPr>
            <w:tcW w:w="832" w:type="pct"/>
            <w:gridSpan w:val="2"/>
            <w:vMerge/>
            <w:vAlign w:val="center"/>
          </w:tcPr>
          <w:p w:rsidR="00205FD7" w:rsidRPr="007F33F1" w:rsidRDefault="00205FD7" w:rsidP="0047221E">
            <w:pPr>
              <w:pStyle w:val="TableText0"/>
              <w:jc w:val="center"/>
              <w:rPr>
                <w:rFonts w:cstheme="minorBidi"/>
                <w:szCs w:val="20"/>
              </w:rPr>
            </w:pP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rFonts w:cstheme="minorBidi"/>
                <w:bCs w:val="0"/>
                <w:szCs w:val="20"/>
              </w:rPr>
            </w:pPr>
            <w:r w:rsidRPr="007F33F1">
              <w:rPr>
                <w:rFonts w:cstheme="minorBidi"/>
                <w:bCs w:val="0"/>
                <w:szCs w:val="20"/>
              </w:rPr>
              <w:t>Patients with any TE SAE</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c>
          <w:tcPr>
            <w:tcW w:w="576" w:type="pct"/>
            <w:vAlign w:val="center"/>
          </w:tcPr>
          <w:p w:rsidR="00205FD7" w:rsidRPr="007F33F1" w:rsidRDefault="00205FD7" w:rsidP="0047221E">
            <w:pPr>
              <w:pStyle w:val="TableText0"/>
              <w:jc w:val="center"/>
              <w:rPr>
                <w:rFonts w:cstheme="minorBidi"/>
                <w:szCs w:val="20"/>
              </w:rPr>
            </w:pPr>
            <w:r w:rsidRPr="007F33F1">
              <w:rPr>
                <w:rFonts w:cstheme="minorBidi"/>
                <w:szCs w:val="20"/>
              </w:rPr>
              <w:t>40 (39.6)</w:t>
            </w:r>
          </w:p>
        </w:tc>
        <w:tc>
          <w:tcPr>
            <w:tcW w:w="428" w:type="pct"/>
            <w:vAlign w:val="center"/>
          </w:tcPr>
          <w:p w:rsidR="00205FD7" w:rsidRPr="007F33F1" w:rsidRDefault="00205FD7" w:rsidP="0047221E">
            <w:pPr>
              <w:pStyle w:val="TableText0"/>
              <w:jc w:val="center"/>
              <w:rPr>
                <w:rFonts w:cstheme="minorBidi"/>
                <w:szCs w:val="20"/>
              </w:rPr>
            </w:pPr>
            <w:r w:rsidRPr="007F33F1">
              <w:rPr>
                <w:rFonts w:cstheme="minorBidi"/>
                <w:szCs w:val="20"/>
              </w:rPr>
              <w:t>11 (39)</w:t>
            </w:r>
          </w:p>
        </w:tc>
        <w:tc>
          <w:tcPr>
            <w:tcW w:w="465" w:type="pct"/>
            <w:vAlign w:val="center"/>
          </w:tcPr>
          <w:p w:rsidR="00205FD7" w:rsidRPr="007F33F1" w:rsidRDefault="00205FD7" w:rsidP="0047221E">
            <w:pPr>
              <w:pStyle w:val="TableText0"/>
              <w:jc w:val="center"/>
              <w:rPr>
                <w:rFonts w:cstheme="minorBidi"/>
                <w:szCs w:val="20"/>
              </w:rPr>
            </w:pPr>
            <w:r w:rsidRPr="007F33F1">
              <w:rPr>
                <w:rFonts w:cstheme="minorBidi"/>
                <w:szCs w:val="20"/>
              </w:rPr>
              <w:t>40 (40.8)</w:t>
            </w:r>
          </w:p>
        </w:tc>
        <w:tc>
          <w:tcPr>
            <w:tcW w:w="497" w:type="pct"/>
            <w:vAlign w:val="center"/>
          </w:tcPr>
          <w:p w:rsidR="00205FD7" w:rsidRPr="007F33F1" w:rsidRDefault="00205FD7" w:rsidP="0047221E">
            <w:pPr>
              <w:pStyle w:val="TableText0"/>
              <w:jc w:val="center"/>
              <w:rPr>
                <w:rFonts w:cstheme="minorBidi"/>
                <w:szCs w:val="20"/>
              </w:rPr>
            </w:pPr>
            <w:r w:rsidRPr="007F33F1">
              <w:rPr>
                <w:szCs w:val="20"/>
              </w:rPr>
              <w:t>32 (43)</w:t>
            </w:r>
          </w:p>
        </w:tc>
        <w:tc>
          <w:tcPr>
            <w:tcW w:w="335" w:type="pct"/>
            <w:vAlign w:val="center"/>
          </w:tcPr>
          <w:p w:rsidR="00205FD7" w:rsidRPr="007F33F1" w:rsidRDefault="00205FD7" w:rsidP="0047221E">
            <w:pPr>
              <w:pStyle w:val="TableText0"/>
              <w:jc w:val="center"/>
              <w:rPr>
                <w:rFonts w:cstheme="minorBidi"/>
                <w:szCs w:val="20"/>
              </w:rPr>
            </w:pPr>
            <w:r w:rsidRPr="007F33F1">
              <w:rPr>
                <w:szCs w:val="20"/>
              </w:rPr>
              <w:t>25 (33)</w:t>
            </w:r>
          </w:p>
        </w:tc>
        <w:tc>
          <w:tcPr>
            <w:tcW w:w="435" w:type="pct"/>
            <w:gridSpan w:val="2"/>
            <w:vAlign w:val="center"/>
          </w:tcPr>
          <w:p w:rsidR="00205FD7" w:rsidRPr="007F33F1" w:rsidRDefault="00205FD7" w:rsidP="0047221E">
            <w:pPr>
              <w:pStyle w:val="TableText0"/>
              <w:jc w:val="center"/>
              <w:rPr>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bCs w:val="0"/>
                <w:szCs w:val="20"/>
              </w:rPr>
            </w:pPr>
            <w:r w:rsidRPr="007F33F1">
              <w:rPr>
                <w:bCs w:val="0"/>
                <w:szCs w:val="20"/>
              </w:rPr>
              <w:t>TE SAE ≥ Grade 3</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39 (50.0)</w:t>
            </w:r>
          </w:p>
        </w:tc>
        <w:tc>
          <w:tcPr>
            <w:tcW w:w="576" w:type="pct"/>
            <w:vAlign w:val="center"/>
          </w:tcPr>
          <w:p w:rsidR="00205FD7" w:rsidRPr="007F33F1" w:rsidRDefault="00205FD7" w:rsidP="0047221E">
            <w:pPr>
              <w:pStyle w:val="TableText0"/>
              <w:jc w:val="center"/>
              <w:rPr>
                <w:rFonts w:cstheme="minorBidi"/>
                <w:szCs w:val="20"/>
              </w:rPr>
            </w:pPr>
            <w:r w:rsidRPr="007F33F1">
              <w:rPr>
                <w:rFonts w:cstheme="minorBidi"/>
                <w:szCs w:val="20"/>
              </w:rPr>
              <w:t>59 (58.4)</w:t>
            </w:r>
          </w:p>
        </w:tc>
        <w:tc>
          <w:tcPr>
            <w:tcW w:w="428" w:type="pct"/>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jc w:val="center"/>
              <w:rPr>
                <w:rFonts w:cstheme="minorBidi"/>
                <w:szCs w:val="20"/>
              </w:rPr>
            </w:pPr>
            <w:r w:rsidRPr="007F33F1">
              <w:rPr>
                <w:rFonts w:cstheme="minorBidi"/>
                <w:szCs w:val="20"/>
              </w:rPr>
              <w:t>62 (63.3)</w:t>
            </w:r>
          </w:p>
        </w:tc>
        <w:tc>
          <w:tcPr>
            <w:tcW w:w="497" w:type="pct"/>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335" w:type="pct"/>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rFonts w:cstheme="minorBidi"/>
                <w:bCs w:val="0"/>
                <w:szCs w:val="20"/>
              </w:rPr>
            </w:pPr>
            <w:r w:rsidRPr="007F33F1">
              <w:rPr>
                <w:rFonts w:cstheme="minorBidi"/>
                <w:bCs w:val="0"/>
                <w:szCs w:val="20"/>
              </w:rPr>
              <w:t>TR TE SAE</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c>
          <w:tcPr>
            <w:tcW w:w="576" w:type="pct"/>
            <w:vAlign w:val="center"/>
          </w:tcPr>
          <w:p w:rsidR="00205FD7" w:rsidRPr="007F33F1" w:rsidRDefault="00205FD7" w:rsidP="0047221E">
            <w:pPr>
              <w:pStyle w:val="TableText0"/>
              <w:jc w:val="center"/>
              <w:rPr>
                <w:rFonts w:cstheme="minorBidi"/>
                <w:color w:val="231F20"/>
                <w:szCs w:val="20"/>
              </w:rPr>
            </w:pPr>
            <w:r w:rsidRPr="007F33F1">
              <w:rPr>
                <w:rFonts w:cstheme="minorBidi"/>
                <w:color w:val="231F20"/>
                <w:szCs w:val="20"/>
              </w:rPr>
              <w:t>16 (15.8)</w:t>
            </w:r>
          </w:p>
        </w:tc>
        <w:tc>
          <w:tcPr>
            <w:tcW w:w="428" w:type="pct"/>
            <w:vAlign w:val="center"/>
          </w:tcPr>
          <w:p w:rsidR="00205FD7" w:rsidRPr="007F33F1" w:rsidRDefault="00205FD7" w:rsidP="0047221E">
            <w:pPr>
              <w:pStyle w:val="TableText0"/>
              <w:jc w:val="center"/>
              <w:rPr>
                <w:rFonts w:cstheme="minorBidi"/>
                <w:color w:val="231F20"/>
                <w:szCs w:val="20"/>
              </w:rPr>
            </w:pPr>
            <w:r w:rsidRPr="007F33F1">
              <w:rPr>
                <w:rFonts w:cstheme="minorBidi"/>
                <w:color w:val="231F20"/>
                <w:szCs w:val="20"/>
              </w:rPr>
              <w:t>-</w:t>
            </w:r>
          </w:p>
        </w:tc>
        <w:tc>
          <w:tcPr>
            <w:tcW w:w="465" w:type="pct"/>
            <w:vAlign w:val="center"/>
          </w:tcPr>
          <w:p w:rsidR="00205FD7" w:rsidRPr="007F33F1" w:rsidRDefault="00205FD7" w:rsidP="0047221E">
            <w:pPr>
              <w:pStyle w:val="TableText0"/>
              <w:jc w:val="center"/>
              <w:rPr>
                <w:rFonts w:cstheme="minorBidi"/>
                <w:szCs w:val="20"/>
              </w:rPr>
            </w:pPr>
            <w:r w:rsidRPr="007F33F1">
              <w:rPr>
                <w:rFonts w:cstheme="minorBidi"/>
                <w:color w:val="231F20"/>
                <w:szCs w:val="20"/>
              </w:rPr>
              <w:t>20 (20.4)</w:t>
            </w:r>
          </w:p>
        </w:tc>
        <w:tc>
          <w:tcPr>
            <w:tcW w:w="497" w:type="pct"/>
            <w:vAlign w:val="center"/>
          </w:tcPr>
          <w:p w:rsidR="00205FD7" w:rsidRPr="007F33F1" w:rsidRDefault="00205FD7" w:rsidP="0047221E">
            <w:pPr>
              <w:pStyle w:val="TableText0"/>
              <w:jc w:val="center"/>
              <w:rPr>
                <w:rFonts w:cstheme="minorBidi"/>
                <w:b/>
                <w:bCs w:val="0"/>
                <w:color w:val="231F20"/>
                <w:szCs w:val="20"/>
              </w:rPr>
            </w:pPr>
            <w:r w:rsidRPr="007F33F1">
              <w:rPr>
                <w:rFonts w:cstheme="minorBidi"/>
                <w:szCs w:val="20"/>
              </w:rPr>
              <w:t>-</w:t>
            </w:r>
          </w:p>
        </w:tc>
        <w:tc>
          <w:tcPr>
            <w:tcW w:w="335" w:type="pct"/>
            <w:vAlign w:val="center"/>
          </w:tcPr>
          <w:p w:rsidR="00205FD7" w:rsidRPr="007F33F1" w:rsidRDefault="00205FD7" w:rsidP="0047221E">
            <w:pPr>
              <w:pStyle w:val="TableText0"/>
              <w:jc w:val="center"/>
              <w:rPr>
                <w:rFonts w:cstheme="minorBidi"/>
                <w:b/>
                <w:bCs w:val="0"/>
                <w:color w:val="231F20"/>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c>
          <w:tcPr>
            <w:tcW w:w="1639" w:type="pct"/>
            <w:vAlign w:val="center"/>
          </w:tcPr>
          <w:p w:rsidR="00205FD7" w:rsidRPr="007F33F1" w:rsidRDefault="00205FD7" w:rsidP="0047221E">
            <w:pPr>
              <w:pStyle w:val="TableText0"/>
              <w:jc w:val="left"/>
              <w:rPr>
                <w:bCs w:val="0"/>
                <w:szCs w:val="20"/>
              </w:rPr>
            </w:pPr>
            <w:r w:rsidRPr="007F33F1">
              <w:rPr>
                <w:bCs w:val="0"/>
                <w:szCs w:val="20"/>
              </w:rPr>
              <w:t>AE leading to treatment discontinuation</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11 (14.1)</w:t>
            </w:r>
          </w:p>
        </w:tc>
        <w:tc>
          <w:tcPr>
            <w:tcW w:w="576" w:type="pct"/>
            <w:vAlign w:val="center"/>
          </w:tcPr>
          <w:p w:rsidR="00205FD7" w:rsidRPr="007F33F1" w:rsidRDefault="00205FD7" w:rsidP="0047221E">
            <w:pPr>
              <w:pStyle w:val="TableText0"/>
              <w:jc w:val="center"/>
              <w:rPr>
                <w:rFonts w:cstheme="minorBidi"/>
                <w:szCs w:val="20"/>
              </w:rPr>
            </w:pPr>
            <w:r w:rsidRPr="007F33F1">
              <w:rPr>
                <w:rFonts w:cstheme="minorBidi"/>
                <w:szCs w:val="20"/>
              </w:rPr>
              <w:t>4 (4.0)</w:t>
            </w:r>
          </w:p>
        </w:tc>
        <w:tc>
          <w:tcPr>
            <w:tcW w:w="428" w:type="pct"/>
            <w:vAlign w:val="center"/>
          </w:tcPr>
          <w:p w:rsidR="00205FD7" w:rsidRPr="007F33F1" w:rsidRDefault="00205FD7" w:rsidP="0047221E">
            <w:pPr>
              <w:pStyle w:val="TableText0"/>
              <w:jc w:val="center"/>
              <w:rPr>
                <w:rFonts w:cstheme="minorBidi"/>
                <w:szCs w:val="20"/>
              </w:rPr>
            </w:pPr>
            <w:r w:rsidRPr="007F33F1">
              <w:rPr>
                <w:rFonts w:cstheme="minorBidi"/>
                <w:szCs w:val="20"/>
              </w:rPr>
              <w:t>2 (7.1)</w:t>
            </w:r>
          </w:p>
        </w:tc>
        <w:tc>
          <w:tcPr>
            <w:tcW w:w="465" w:type="pct"/>
            <w:vAlign w:val="center"/>
          </w:tcPr>
          <w:p w:rsidR="00205FD7" w:rsidRPr="007F33F1" w:rsidRDefault="00205FD7" w:rsidP="0047221E">
            <w:pPr>
              <w:pStyle w:val="TableText0"/>
              <w:jc w:val="center"/>
              <w:rPr>
                <w:rFonts w:cstheme="minorBidi"/>
                <w:szCs w:val="20"/>
              </w:rPr>
            </w:pPr>
            <w:r w:rsidRPr="007F33F1">
              <w:rPr>
                <w:rFonts w:cstheme="minorBidi"/>
                <w:szCs w:val="20"/>
              </w:rPr>
              <w:t>9 (9.2)</w:t>
            </w:r>
          </w:p>
        </w:tc>
        <w:tc>
          <w:tcPr>
            <w:tcW w:w="497" w:type="pct"/>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335" w:type="pct"/>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10 (14)</w:t>
            </w:r>
          </w:p>
        </w:tc>
      </w:tr>
      <w:tr w:rsidR="00205FD7" w:rsidRPr="007F33F1" w:rsidTr="00C74050">
        <w:tc>
          <w:tcPr>
            <w:tcW w:w="1639" w:type="pct"/>
            <w:shd w:val="clear" w:color="auto" w:fill="auto"/>
            <w:vAlign w:val="center"/>
          </w:tcPr>
          <w:p w:rsidR="00205FD7" w:rsidRPr="007F33F1" w:rsidRDefault="00205FD7" w:rsidP="0047221E">
            <w:pPr>
              <w:pStyle w:val="TableText0"/>
              <w:jc w:val="left"/>
              <w:rPr>
                <w:bCs w:val="0"/>
                <w:szCs w:val="20"/>
              </w:rPr>
            </w:pPr>
            <w:r w:rsidRPr="007F33F1">
              <w:rPr>
                <w:bCs w:val="0"/>
                <w:szCs w:val="20"/>
              </w:rPr>
              <w:t>AE leading to death</w:t>
            </w:r>
          </w:p>
        </w:tc>
        <w:tc>
          <w:tcPr>
            <w:tcW w:w="625"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5 (6.4)</w:t>
            </w:r>
          </w:p>
        </w:tc>
        <w:tc>
          <w:tcPr>
            <w:tcW w:w="576"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1 (1.0)</w:t>
            </w:r>
          </w:p>
        </w:tc>
        <w:tc>
          <w:tcPr>
            <w:tcW w:w="428"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0 (0)</w:t>
            </w:r>
          </w:p>
        </w:tc>
        <w:tc>
          <w:tcPr>
            <w:tcW w:w="465"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4 (4.1)</w:t>
            </w:r>
          </w:p>
        </w:tc>
        <w:tc>
          <w:tcPr>
            <w:tcW w:w="497" w:type="pct"/>
            <w:shd w:val="clear" w:color="auto" w:fill="auto"/>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335" w:type="pct"/>
            <w:shd w:val="clear" w:color="auto" w:fill="auto"/>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435" w:type="pct"/>
            <w:gridSpan w:val="2"/>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1 (1.4)</w:t>
            </w:r>
          </w:p>
        </w:tc>
      </w:tr>
      <w:tr w:rsidR="00205FD7" w:rsidRPr="007F33F1" w:rsidTr="00C74050">
        <w:tc>
          <w:tcPr>
            <w:tcW w:w="1639" w:type="pct"/>
            <w:shd w:val="clear" w:color="auto" w:fill="auto"/>
            <w:vAlign w:val="center"/>
          </w:tcPr>
          <w:p w:rsidR="00205FD7" w:rsidRPr="007F33F1" w:rsidRDefault="00205FD7" w:rsidP="0047221E">
            <w:pPr>
              <w:pStyle w:val="TableText0"/>
              <w:jc w:val="left"/>
              <w:rPr>
                <w:bCs w:val="0"/>
                <w:szCs w:val="20"/>
              </w:rPr>
            </w:pPr>
            <w:r w:rsidRPr="007F33F1">
              <w:rPr>
                <w:bCs w:val="0"/>
                <w:szCs w:val="20"/>
              </w:rPr>
              <w:t>AE Leading to dose reduction</w:t>
            </w:r>
          </w:p>
        </w:tc>
        <w:tc>
          <w:tcPr>
            <w:tcW w:w="625"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7 (9.0)</w:t>
            </w:r>
          </w:p>
        </w:tc>
        <w:tc>
          <w:tcPr>
            <w:tcW w:w="576"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14 (13.9)</w:t>
            </w:r>
          </w:p>
        </w:tc>
        <w:tc>
          <w:tcPr>
            <w:tcW w:w="428"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2 (7.1)</w:t>
            </w:r>
          </w:p>
        </w:tc>
        <w:tc>
          <w:tcPr>
            <w:tcW w:w="465" w:type="pct"/>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23 (23.5)</w:t>
            </w:r>
          </w:p>
        </w:tc>
        <w:tc>
          <w:tcPr>
            <w:tcW w:w="497" w:type="pct"/>
            <w:shd w:val="clear" w:color="auto" w:fill="auto"/>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335" w:type="pct"/>
            <w:shd w:val="clear" w:color="auto" w:fill="auto"/>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435" w:type="pct"/>
            <w:gridSpan w:val="2"/>
            <w:shd w:val="clear" w:color="auto" w:fill="auto"/>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r w:rsidR="00205FD7" w:rsidRPr="007F33F1" w:rsidTr="00C74050">
        <w:trPr>
          <w:trHeight w:val="41"/>
        </w:trPr>
        <w:tc>
          <w:tcPr>
            <w:tcW w:w="1639" w:type="pct"/>
            <w:vAlign w:val="center"/>
          </w:tcPr>
          <w:p w:rsidR="00205FD7" w:rsidRPr="007F33F1" w:rsidRDefault="00205FD7" w:rsidP="0047221E">
            <w:pPr>
              <w:pStyle w:val="TableText0"/>
              <w:jc w:val="left"/>
              <w:rPr>
                <w:bCs w:val="0"/>
                <w:szCs w:val="20"/>
              </w:rPr>
            </w:pPr>
            <w:r w:rsidRPr="007F33F1">
              <w:rPr>
                <w:bCs w:val="0"/>
                <w:szCs w:val="20"/>
              </w:rPr>
              <w:t>Patients with ≥ 1 AE of special interest</w:t>
            </w:r>
          </w:p>
        </w:tc>
        <w:tc>
          <w:tcPr>
            <w:tcW w:w="625" w:type="pct"/>
            <w:vAlign w:val="center"/>
          </w:tcPr>
          <w:p w:rsidR="00205FD7" w:rsidRPr="007F33F1" w:rsidRDefault="00205FD7" w:rsidP="0047221E">
            <w:pPr>
              <w:pStyle w:val="TableText0"/>
              <w:jc w:val="center"/>
              <w:rPr>
                <w:rFonts w:cstheme="minorBidi"/>
                <w:szCs w:val="20"/>
              </w:rPr>
            </w:pPr>
            <w:r w:rsidRPr="007F33F1">
              <w:rPr>
                <w:rFonts w:cstheme="minorBidi"/>
                <w:szCs w:val="20"/>
              </w:rPr>
              <w:t>76 (97.4)</w:t>
            </w:r>
          </w:p>
        </w:tc>
        <w:tc>
          <w:tcPr>
            <w:tcW w:w="576" w:type="pct"/>
            <w:vAlign w:val="center"/>
          </w:tcPr>
          <w:p w:rsidR="00205FD7" w:rsidRPr="007F33F1" w:rsidRDefault="00205FD7" w:rsidP="0047221E">
            <w:pPr>
              <w:pStyle w:val="TableText0"/>
              <w:jc w:val="center"/>
              <w:rPr>
                <w:rFonts w:cstheme="minorBidi"/>
                <w:szCs w:val="20"/>
              </w:rPr>
            </w:pPr>
            <w:r w:rsidRPr="007F33F1">
              <w:rPr>
                <w:rFonts w:cstheme="minorBidi"/>
                <w:szCs w:val="20"/>
              </w:rPr>
              <w:t>86 (85.1)</w:t>
            </w:r>
          </w:p>
        </w:tc>
        <w:tc>
          <w:tcPr>
            <w:tcW w:w="428" w:type="pct"/>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c>
          <w:tcPr>
            <w:tcW w:w="465" w:type="pct"/>
            <w:vAlign w:val="center"/>
          </w:tcPr>
          <w:p w:rsidR="00205FD7" w:rsidRPr="007F33F1" w:rsidRDefault="00205FD7" w:rsidP="0047221E">
            <w:pPr>
              <w:pStyle w:val="TableText0"/>
              <w:jc w:val="center"/>
              <w:rPr>
                <w:rFonts w:cstheme="minorBidi"/>
                <w:szCs w:val="20"/>
              </w:rPr>
            </w:pPr>
            <w:r w:rsidRPr="007F33F1">
              <w:rPr>
                <w:rFonts w:cstheme="minorBidi"/>
                <w:szCs w:val="20"/>
              </w:rPr>
              <w:t>81 (82.7)</w:t>
            </w:r>
          </w:p>
        </w:tc>
        <w:tc>
          <w:tcPr>
            <w:tcW w:w="497" w:type="pct"/>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335" w:type="pct"/>
            <w:vAlign w:val="center"/>
          </w:tcPr>
          <w:p w:rsidR="00205FD7" w:rsidRPr="007F33F1" w:rsidRDefault="00205FD7" w:rsidP="0047221E">
            <w:pPr>
              <w:pStyle w:val="TableText0"/>
              <w:jc w:val="center"/>
              <w:rPr>
                <w:rFonts w:cstheme="minorBidi"/>
                <w:b/>
                <w:bCs w:val="0"/>
                <w:szCs w:val="20"/>
              </w:rPr>
            </w:pPr>
            <w:r w:rsidRPr="007F33F1">
              <w:rPr>
                <w:rFonts w:cstheme="minorBidi"/>
                <w:szCs w:val="20"/>
              </w:rPr>
              <w:t>-</w:t>
            </w:r>
          </w:p>
        </w:tc>
        <w:tc>
          <w:tcPr>
            <w:tcW w:w="435" w:type="pct"/>
            <w:gridSpan w:val="2"/>
            <w:vAlign w:val="center"/>
          </w:tcPr>
          <w:p w:rsidR="00205FD7" w:rsidRPr="007F33F1" w:rsidRDefault="00205FD7" w:rsidP="0047221E">
            <w:pPr>
              <w:pStyle w:val="TableText0"/>
              <w:jc w:val="center"/>
              <w:rPr>
                <w:rFonts w:cstheme="minorBidi"/>
                <w:szCs w:val="20"/>
              </w:rPr>
            </w:pPr>
            <w:r w:rsidRPr="007F33F1">
              <w:rPr>
                <w:rFonts w:cstheme="minorBidi"/>
                <w:szCs w:val="20"/>
              </w:rPr>
              <w:t>-</w:t>
            </w:r>
          </w:p>
        </w:tc>
      </w:tr>
    </w:tbl>
    <w:p w:rsidR="00DF44E5" w:rsidRPr="007F33F1" w:rsidRDefault="00DF44E5" w:rsidP="0047221E">
      <w:pPr>
        <w:pStyle w:val="TableFigureFooter"/>
      </w:pPr>
      <w:r w:rsidRPr="007F33F1">
        <w:rPr>
          <w:b/>
        </w:rPr>
        <w:t>Bold</w:t>
      </w:r>
      <w:r w:rsidRPr="007F33F1">
        <w:t xml:space="preserve"> typography indicates statistically significant differences between trial treatment arms, conducted during evaluation using STATA16.</w:t>
      </w:r>
    </w:p>
    <w:p w:rsidR="00205FD7" w:rsidRPr="007F33F1" w:rsidRDefault="00205FD7" w:rsidP="0047221E">
      <w:pPr>
        <w:pStyle w:val="TableFigureFooter"/>
      </w:pPr>
      <w:r w:rsidRPr="007F33F1">
        <w:t>Source: Table 2.55, pp120-121; Table 2.58, p123, Table 2.59, pp125-126; Table 34 and Table 35, pp115-116 Study AU003 CSR; iNNOVATE and Tedeschi 2015 publications.</w:t>
      </w:r>
    </w:p>
    <w:p w:rsidR="00205FD7" w:rsidRPr="007F33F1" w:rsidRDefault="00205FD7" w:rsidP="0047221E">
      <w:pPr>
        <w:pStyle w:val="TableFigureFooter"/>
        <w:rPr>
          <w:rFonts w:eastAsia="Calibri"/>
        </w:rPr>
      </w:pPr>
      <w:r w:rsidRPr="007F33F1">
        <w:rPr>
          <w:rFonts w:eastAsia="Calibri"/>
        </w:rPr>
        <w:t>AE=adverse event, BR=bendamustine+rituximab</w:t>
      </w:r>
      <w:r w:rsidR="003D741C" w:rsidRPr="007F33F1">
        <w:rPr>
          <w:rFonts w:eastAsia="Calibri"/>
        </w:rPr>
        <w:t>, CI=confidence interval,</w:t>
      </w:r>
      <w:r w:rsidRPr="007F33F1">
        <w:rPr>
          <w:rFonts w:eastAsia="Calibri"/>
        </w:rPr>
        <w:t xml:space="preserve"> IBRU=ibrutinib</w:t>
      </w:r>
      <w:r w:rsidR="005F4E53" w:rsidRPr="007F33F1">
        <w:rPr>
          <w:rFonts w:eastAsia="Calibri"/>
        </w:rPr>
        <w:t>,</w:t>
      </w:r>
      <w:r w:rsidRPr="007F33F1">
        <w:rPr>
          <w:rFonts w:eastAsia="Calibri"/>
        </w:rPr>
        <w:t xml:space="preserve"> n=number</w:t>
      </w:r>
      <w:r w:rsidR="003D741C" w:rsidRPr="007F33F1">
        <w:rPr>
          <w:rFonts w:eastAsia="Calibri"/>
        </w:rPr>
        <w:t xml:space="preserve"> of participants reporting data,</w:t>
      </w:r>
      <w:r w:rsidRPr="007F33F1">
        <w:rPr>
          <w:rFonts w:eastAsia="Calibri"/>
        </w:rPr>
        <w:t xml:space="preserve"> N=total participants, ZANU=zanubrutinib, TEAE=treatment emergent adverse event, TE SAE=treatment emergent severe adverse event, TR=Treatment related.</w:t>
      </w:r>
    </w:p>
    <w:p w:rsidR="00205FD7" w:rsidRPr="007F33F1" w:rsidRDefault="008C3362" w:rsidP="0047221E">
      <w:pPr>
        <w:pStyle w:val="3-BodyText"/>
        <w:rPr>
          <w:iCs/>
        </w:rPr>
      </w:pPr>
      <w:bookmarkStart w:id="48" w:name="_Ref75011145"/>
      <w:r w:rsidRPr="007F33F1">
        <w:rPr>
          <w:iCs/>
        </w:rPr>
        <w:t xml:space="preserve">The safety profile of </w:t>
      </w:r>
      <w:r w:rsidR="00205FD7" w:rsidRPr="007F33F1">
        <w:rPr>
          <w:iCs/>
        </w:rPr>
        <w:t xml:space="preserve">BTKis </w:t>
      </w:r>
      <w:r w:rsidRPr="007F33F1">
        <w:rPr>
          <w:iCs/>
        </w:rPr>
        <w:t xml:space="preserve">is </w:t>
      </w:r>
      <w:r w:rsidR="00205FD7" w:rsidRPr="007F33F1">
        <w:rPr>
          <w:iCs/>
        </w:rPr>
        <w:t xml:space="preserve">very different compared to either BR or Rm. For example, infusion-related adverse events occurred in more than half of patients </w:t>
      </w:r>
      <w:r w:rsidRPr="007F33F1">
        <w:rPr>
          <w:iCs/>
        </w:rPr>
        <w:t xml:space="preserve">treated with </w:t>
      </w:r>
      <w:r w:rsidR="00205FD7" w:rsidRPr="007F33F1">
        <w:rPr>
          <w:iCs/>
        </w:rPr>
        <w:t xml:space="preserve">Rm in iNNOVATE (but none for </w:t>
      </w:r>
      <w:r w:rsidR="00BE77FA" w:rsidRPr="007F33F1">
        <w:rPr>
          <w:iCs/>
        </w:rPr>
        <w:t>zanubrutinib</w:t>
      </w:r>
      <w:r w:rsidR="00205FD7" w:rsidRPr="007F33F1">
        <w:rPr>
          <w:iCs/>
        </w:rPr>
        <w:t xml:space="preserve"> or </w:t>
      </w:r>
      <w:r w:rsidR="00BE77FA" w:rsidRPr="007F33F1">
        <w:rPr>
          <w:iCs/>
        </w:rPr>
        <w:t>ibrutinib</w:t>
      </w:r>
      <w:r w:rsidR="00205FD7" w:rsidRPr="007F33F1">
        <w:rPr>
          <w:iCs/>
        </w:rPr>
        <w:t xml:space="preserve"> since they </w:t>
      </w:r>
      <w:r w:rsidRPr="007F33F1">
        <w:rPr>
          <w:iCs/>
        </w:rPr>
        <w:t xml:space="preserve">are </w:t>
      </w:r>
      <w:r w:rsidR="00205FD7" w:rsidRPr="007F33F1">
        <w:rPr>
          <w:iCs/>
        </w:rPr>
        <w:t>oral treatments), and IgM flares</w:t>
      </w:r>
      <w:r w:rsidRPr="007F33F1">
        <w:rPr>
          <w:iCs/>
        </w:rPr>
        <w:t>, a commonly reported AE for Rm,</w:t>
      </w:r>
      <w:r w:rsidR="00205FD7" w:rsidRPr="007F33F1">
        <w:rPr>
          <w:iCs/>
        </w:rPr>
        <w:t xml:space="preserve"> occurred in almost half of patients treated with Rm, but were not reported for </w:t>
      </w:r>
      <w:r w:rsidR="00BE77FA" w:rsidRPr="007F33F1">
        <w:rPr>
          <w:iCs/>
        </w:rPr>
        <w:t>zanubrutinib</w:t>
      </w:r>
      <w:r w:rsidR="00205FD7" w:rsidRPr="007F33F1">
        <w:rPr>
          <w:iCs/>
        </w:rPr>
        <w:t xml:space="preserve"> or </w:t>
      </w:r>
      <w:r w:rsidR="00BE77FA" w:rsidRPr="007F33F1">
        <w:rPr>
          <w:iCs/>
        </w:rPr>
        <w:t>ibrutinib</w:t>
      </w:r>
      <w:r w:rsidR="00205FD7" w:rsidRPr="007F33F1">
        <w:rPr>
          <w:iCs/>
        </w:rPr>
        <w:t>.</w:t>
      </w:r>
      <w:bookmarkEnd w:id="48"/>
    </w:p>
    <w:p w:rsidR="00146E75" w:rsidRPr="007F33F1" w:rsidRDefault="00205FD7" w:rsidP="0047221E">
      <w:pPr>
        <w:pStyle w:val="3-BodyText"/>
        <w:rPr>
          <w:iCs/>
        </w:rPr>
      </w:pPr>
      <w:bookmarkStart w:id="49" w:name="_Ref75011156"/>
      <w:r w:rsidRPr="007F33F1">
        <w:rPr>
          <w:iCs/>
        </w:rPr>
        <w:t xml:space="preserve">Conversely, BTKis are more likely to be associated with AEs such as atrial fibrillation and flutter (AF), neutropenia and major haemorrhage (although rates of major haemorrhage were equal in both arms of iNNOVATE, see paragraph below). While </w:t>
      </w:r>
      <w:r w:rsidR="00BE77FA" w:rsidRPr="007F33F1">
        <w:rPr>
          <w:iCs/>
        </w:rPr>
        <w:t>zanubrutinib</w:t>
      </w:r>
      <w:r w:rsidRPr="007F33F1">
        <w:rPr>
          <w:iCs/>
        </w:rPr>
        <w:t xml:space="preserve"> appeared to have reduced AF events</w:t>
      </w:r>
      <w:r w:rsidR="00FE05D0" w:rsidRPr="007F33F1">
        <w:rPr>
          <w:iCs/>
        </w:rPr>
        <w:t xml:space="preserve"> compared to </w:t>
      </w:r>
      <w:r w:rsidR="00BE77FA" w:rsidRPr="007F33F1">
        <w:rPr>
          <w:iCs/>
        </w:rPr>
        <w:t>ibrutinib</w:t>
      </w:r>
      <w:r w:rsidRPr="007F33F1">
        <w:rPr>
          <w:iCs/>
        </w:rPr>
        <w:t xml:space="preserve">, it was associated with an increase in neutropenia (including grade 3-4 neutropenia) and reported similar incidence of </w:t>
      </w:r>
      <w:r w:rsidR="00FE05D0" w:rsidRPr="007F33F1">
        <w:rPr>
          <w:iCs/>
        </w:rPr>
        <w:t xml:space="preserve">all </w:t>
      </w:r>
      <w:r w:rsidRPr="007F33F1">
        <w:rPr>
          <w:iCs/>
        </w:rPr>
        <w:t>haemorrhage, including 12/207</w:t>
      </w:r>
      <w:r w:rsidR="009671D6" w:rsidRPr="007F33F1">
        <w:rPr>
          <w:iCs/>
        </w:rPr>
        <w:t xml:space="preserve"> patients</w:t>
      </w:r>
      <w:r w:rsidRPr="007F33F1">
        <w:rPr>
          <w:iCs/>
        </w:rPr>
        <w:t xml:space="preserve"> (6% of total </w:t>
      </w:r>
      <w:r w:rsidR="00BE77FA" w:rsidRPr="007F33F1">
        <w:rPr>
          <w:iCs/>
        </w:rPr>
        <w:t>zanubrutinib</w:t>
      </w:r>
      <w:r w:rsidRPr="007F33F1">
        <w:rPr>
          <w:iCs/>
        </w:rPr>
        <w:t xml:space="preserve"> patients from included studies) experiencing grade 3-4 major haemorrhage. </w:t>
      </w:r>
      <w:r w:rsidR="00AC045F" w:rsidRPr="007F33F1">
        <w:rPr>
          <w:iCs/>
        </w:rPr>
        <w:t xml:space="preserve">The ESC </w:t>
      </w:r>
      <w:r w:rsidR="00F63948" w:rsidRPr="007F33F1">
        <w:rPr>
          <w:iCs/>
        </w:rPr>
        <w:t>considered</w:t>
      </w:r>
      <w:r w:rsidR="00AC045F" w:rsidRPr="007F33F1">
        <w:rPr>
          <w:iCs/>
        </w:rPr>
        <w:t xml:space="preserve"> that the safety profile for BTKis was generally manageable.</w:t>
      </w:r>
      <w:bookmarkEnd w:id="49"/>
      <w:r w:rsidR="00AC045F" w:rsidRPr="007F33F1">
        <w:rPr>
          <w:iCs/>
        </w:rPr>
        <w:t xml:space="preserve"> </w:t>
      </w:r>
    </w:p>
    <w:p w:rsidR="00146E75" w:rsidRPr="007F33F1" w:rsidRDefault="00146E75" w:rsidP="0047221E">
      <w:pPr>
        <w:pStyle w:val="3-BodyText"/>
        <w:rPr>
          <w:iCs/>
        </w:rPr>
      </w:pPr>
      <w:r w:rsidRPr="007F33F1">
        <w:rPr>
          <w:iCs/>
        </w:rPr>
        <w:t xml:space="preserve">It is unclear how the addition of rituximab to </w:t>
      </w:r>
      <w:r w:rsidR="00BE77FA" w:rsidRPr="007F33F1">
        <w:rPr>
          <w:iCs/>
        </w:rPr>
        <w:t>ibrutinib</w:t>
      </w:r>
      <w:r w:rsidRPr="007F33F1">
        <w:rPr>
          <w:iCs/>
        </w:rPr>
        <w:t xml:space="preserve"> affect</w:t>
      </w:r>
      <w:r w:rsidR="009671D6" w:rsidRPr="007F33F1">
        <w:rPr>
          <w:iCs/>
        </w:rPr>
        <w:t>ed</w:t>
      </w:r>
      <w:r w:rsidRPr="007F33F1">
        <w:rPr>
          <w:iCs/>
        </w:rPr>
        <w:t xml:space="preserve"> the safety profile of the individual drugs. It is possible that rituximab may</w:t>
      </w:r>
      <w:r w:rsidR="0013409F" w:rsidRPr="007F33F1">
        <w:rPr>
          <w:iCs/>
        </w:rPr>
        <w:t xml:space="preserve"> have resulted in increased AEs</w:t>
      </w:r>
      <w:r w:rsidRPr="007F33F1">
        <w:rPr>
          <w:iCs/>
        </w:rPr>
        <w:t xml:space="preserve">; for example, anaemia rates in the </w:t>
      </w:r>
      <w:r w:rsidR="00BE77FA" w:rsidRPr="007F33F1">
        <w:rPr>
          <w:iCs/>
        </w:rPr>
        <w:t>ibrutinib</w:t>
      </w:r>
      <w:r w:rsidRPr="007F33F1">
        <w:rPr>
          <w:iCs/>
        </w:rPr>
        <w:t xml:space="preserve">+R arm of iNNOVATE are double those seen in the </w:t>
      </w:r>
      <w:r w:rsidR="00BE77FA" w:rsidRPr="007F33F1">
        <w:rPr>
          <w:iCs/>
        </w:rPr>
        <w:t>ibrutinib</w:t>
      </w:r>
      <w:r w:rsidRPr="007F33F1">
        <w:rPr>
          <w:iCs/>
        </w:rPr>
        <w:t xml:space="preserve"> arm of ASPEN (11% vs 5%, respectively) and are closer to those in the Rm arm of iNNOVATE (17%). Similarly, the rate of Grade ≥3 AF for </w:t>
      </w:r>
      <w:r w:rsidR="00BE77FA" w:rsidRPr="007F33F1">
        <w:rPr>
          <w:iCs/>
        </w:rPr>
        <w:t>ibrutinib</w:t>
      </w:r>
      <w:r w:rsidRPr="007F33F1">
        <w:rPr>
          <w:iCs/>
        </w:rPr>
        <w:t xml:space="preserve">+R was much greater than that for </w:t>
      </w:r>
      <w:r w:rsidR="00BE77FA" w:rsidRPr="007F33F1">
        <w:rPr>
          <w:iCs/>
        </w:rPr>
        <w:t>ibrutinib</w:t>
      </w:r>
      <w:r w:rsidRPr="007F33F1">
        <w:rPr>
          <w:iCs/>
        </w:rPr>
        <w:t xml:space="preserve"> alone and Rm (12% vs 4% and</w:t>
      </w:r>
      <w:r w:rsidR="0013409F" w:rsidRPr="007F33F1">
        <w:rPr>
          <w:iCs/>
        </w:rPr>
        <w:t xml:space="preserve"> </w:t>
      </w:r>
      <w:r w:rsidRPr="007F33F1">
        <w:rPr>
          <w:iCs/>
        </w:rPr>
        <w:t xml:space="preserve">1%, respectively). Conversely, rates of major haemorrhage were equal in the </w:t>
      </w:r>
      <w:r w:rsidR="00BE77FA" w:rsidRPr="007F33F1">
        <w:rPr>
          <w:iCs/>
        </w:rPr>
        <w:t>ibrutinib</w:t>
      </w:r>
      <w:r w:rsidRPr="007F33F1">
        <w:rPr>
          <w:iCs/>
        </w:rPr>
        <w:t xml:space="preserve">+R and Rm arms (4%) of iNNOVATE and much higher in the </w:t>
      </w:r>
      <w:r w:rsidR="00BE77FA" w:rsidRPr="007F33F1">
        <w:rPr>
          <w:iCs/>
        </w:rPr>
        <w:t>ibrutinib</w:t>
      </w:r>
      <w:r w:rsidRPr="007F33F1">
        <w:rPr>
          <w:iCs/>
        </w:rPr>
        <w:t xml:space="preserve"> monotherapy arm of ASPEN (9.2%). The possibility of other toxicity interactions in patients treated with </w:t>
      </w:r>
      <w:r w:rsidR="00BE77FA" w:rsidRPr="007F33F1">
        <w:rPr>
          <w:iCs/>
        </w:rPr>
        <w:t>ibrutinib</w:t>
      </w:r>
      <w:r w:rsidRPr="007F33F1">
        <w:rPr>
          <w:iCs/>
        </w:rPr>
        <w:t xml:space="preserve">+R remains a source of bias and may impact the safety results in the ITC given </w:t>
      </w:r>
      <w:r w:rsidR="00BE77FA" w:rsidRPr="007F33F1">
        <w:rPr>
          <w:iCs/>
        </w:rPr>
        <w:t>ibrutinib</w:t>
      </w:r>
      <w:r w:rsidRPr="007F33F1">
        <w:rPr>
          <w:iCs/>
        </w:rPr>
        <w:t>/</w:t>
      </w:r>
      <w:r w:rsidR="00BE77FA" w:rsidRPr="007F33F1">
        <w:rPr>
          <w:iCs/>
        </w:rPr>
        <w:t>ibrutinib</w:t>
      </w:r>
      <w:r w:rsidRPr="007F33F1">
        <w:rPr>
          <w:iCs/>
        </w:rPr>
        <w:t>+R was the common comparator.</w:t>
      </w:r>
      <w:r w:rsidR="00E140B7" w:rsidRPr="007F33F1">
        <w:rPr>
          <w:iCs/>
        </w:rPr>
        <w:t xml:space="preserve"> </w:t>
      </w:r>
    </w:p>
    <w:p w:rsidR="00205FD7" w:rsidRPr="007F33F1" w:rsidRDefault="00205FD7" w:rsidP="0047221E">
      <w:pPr>
        <w:pStyle w:val="3-BodyText"/>
        <w:rPr>
          <w:iCs/>
        </w:rPr>
      </w:pPr>
      <w:r w:rsidRPr="007F33F1">
        <w:rPr>
          <w:iCs/>
        </w:rPr>
        <w:t>The submission did not present safety results for</w:t>
      </w:r>
      <w:r w:rsidR="005F4E53" w:rsidRPr="007F33F1">
        <w:rPr>
          <w:iCs/>
        </w:rPr>
        <w:t xml:space="preserve"> </w:t>
      </w:r>
      <w:r w:rsidR="00BE77FA" w:rsidRPr="007F33F1">
        <w:rPr>
          <w:iCs/>
        </w:rPr>
        <w:t>zanubrutinib</w:t>
      </w:r>
      <w:r w:rsidR="005F4E53" w:rsidRPr="007F33F1">
        <w:rPr>
          <w:iCs/>
        </w:rPr>
        <w:t>-treated patients in ASPEN-</w:t>
      </w:r>
      <w:r w:rsidRPr="007F33F1">
        <w:rPr>
          <w:iCs/>
        </w:rPr>
        <w:t xml:space="preserve">Cohort 2. These patients were more likely to discontinue treatment because of AEs compared to </w:t>
      </w:r>
      <w:r w:rsidR="00BE77FA" w:rsidRPr="007F33F1">
        <w:rPr>
          <w:iCs/>
        </w:rPr>
        <w:t>zanubrutinib</w:t>
      </w:r>
      <w:r w:rsidR="00C74050" w:rsidRPr="007F33F1">
        <w:rPr>
          <w:iCs/>
        </w:rPr>
        <w:t xml:space="preserve"> </w:t>
      </w:r>
      <w:r w:rsidRPr="007F33F1">
        <w:rPr>
          <w:iCs/>
        </w:rPr>
        <w:t>patients in Cohort 1 and</w:t>
      </w:r>
      <w:r w:rsidR="00C74050" w:rsidRPr="007F33F1">
        <w:rPr>
          <w:iCs/>
        </w:rPr>
        <w:t xml:space="preserve"> they</w:t>
      </w:r>
      <w:r w:rsidRPr="007F33F1">
        <w:rPr>
          <w:iCs/>
        </w:rPr>
        <w:t xml:space="preserve"> reported higher rates of </w:t>
      </w:r>
      <w:r w:rsidR="00597B31" w:rsidRPr="007F33F1">
        <w:rPr>
          <w:iCs/>
        </w:rPr>
        <w:t>diarrhoea</w:t>
      </w:r>
      <w:r w:rsidRPr="007F33F1">
        <w:rPr>
          <w:iCs/>
        </w:rPr>
        <w:t xml:space="preserve">, </w:t>
      </w:r>
      <w:r w:rsidR="00681665" w:rsidRPr="007F33F1">
        <w:rPr>
          <w:iCs/>
        </w:rPr>
        <w:t>contusion,</w:t>
      </w:r>
      <w:r w:rsidRPr="007F33F1">
        <w:rPr>
          <w:iCs/>
        </w:rPr>
        <w:t xml:space="preserve"> and muscle spasms. They also experienced more Grade ≥3 AE</w:t>
      </w:r>
      <w:r w:rsidR="005F4E53" w:rsidRPr="007F33F1">
        <w:rPr>
          <w:iCs/>
        </w:rPr>
        <w:t>s</w:t>
      </w:r>
      <w:r w:rsidRPr="007F33F1">
        <w:rPr>
          <w:iCs/>
        </w:rPr>
        <w:t xml:space="preserve"> (64% vs 58%) and had higher rates in all of the most common </w:t>
      </w:r>
      <w:r w:rsidR="005F4E53" w:rsidRPr="007F33F1">
        <w:rPr>
          <w:iCs/>
        </w:rPr>
        <w:t>Grade</w:t>
      </w:r>
      <w:r w:rsidRPr="007F33F1">
        <w:rPr>
          <w:iCs/>
        </w:rPr>
        <w:t xml:space="preserve"> ≥3 AEs (except for neutropenia) compared to </w:t>
      </w:r>
      <w:r w:rsidR="00BE77FA" w:rsidRPr="007F33F1">
        <w:rPr>
          <w:iCs/>
        </w:rPr>
        <w:t>zanubrutinib</w:t>
      </w:r>
      <w:r w:rsidRPr="007F33F1">
        <w:rPr>
          <w:iCs/>
        </w:rPr>
        <w:t xml:space="preserve"> patients in Cohort 1. While in Cohort 1 some AEs were lower in </w:t>
      </w:r>
      <w:r w:rsidR="00BE77FA" w:rsidRPr="007F33F1">
        <w:rPr>
          <w:iCs/>
        </w:rPr>
        <w:t>zanubrutinib</w:t>
      </w:r>
      <w:r w:rsidRPr="007F33F1">
        <w:rPr>
          <w:iCs/>
        </w:rPr>
        <w:t xml:space="preserve"> than in </w:t>
      </w:r>
      <w:r w:rsidR="00BE77FA" w:rsidRPr="007F33F1">
        <w:rPr>
          <w:iCs/>
        </w:rPr>
        <w:t>ibrutinib</w:t>
      </w:r>
      <w:r w:rsidRPr="007F33F1">
        <w:rPr>
          <w:iCs/>
        </w:rPr>
        <w:t xml:space="preserve">, these differences were minimal between </w:t>
      </w:r>
      <w:r w:rsidR="00BE77FA" w:rsidRPr="007F33F1">
        <w:rPr>
          <w:iCs/>
        </w:rPr>
        <w:t>zanubrutinib</w:t>
      </w:r>
      <w:r w:rsidRPr="007F33F1">
        <w:rPr>
          <w:iCs/>
        </w:rPr>
        <w:t xml:space="preserve"> patients in Cohort</w:t>
      </w:r>
      <w:r w:rsidR="00C13F44" w:rsidRPr="007F33F1">
        <w:rPr>
          <w:iCs/>
        </w:rPr>
        <w:t> </w:t>
      </w:r>
      <w:r w:rsidR="005B76FB" w:rsidRPr="007F33F1">
        <w:rPr>
          <w:iCs/>
        </w:rPr>
        <w:t xml:space="preserve">2 and </w:t>
      </w:r>
      <w:r w:rsidR="00BE77FA" w:rsidRPr="007F33F1">
        <w:rPr>
          <w:iCs/>
        </w:rPr>
        <w:t>ibrutinib</w:t>
      </w:r>
      <w:r w:rsidR="005B76FB" w:rsidRPr="007F33F1">
        <w:rPr>
          <w:iCs/>
        </w:rPr>
        <w:t>.</w:t>
      </w:r>
    </w:p>
    <w:p w:rsidR="00205FD7" w:rsidRPr="007F33F1" w:rsidRDefault="00205FD7" w:rsidP="0047221E">
      <w:pPr>
        <w:pStyle w:val="4-SubsectionHeading"/>
      </w:pPr>
      <w:bookmarkStart w:id="50" w:name="_Toc71450285"/>
      <w:bookmarkStart w:id="51" w:name="_Toc72421790"/>
      <w:r w:rsidRPr="007F33F1">
        <w:t>Indirect treatment comparisons</w:t>
      </w:r>
      <w:bookmarkEnd w:id="50"/>
      <w:bookmarkEnd w:id="51"/>
    </w:p>
    <w:p w:rsidR="00205FD7" w:rsidRPr="007F33F1" w:rsidRDefault="001940C2" w:rsidP="0047221E">
      <w:pPr>
        <w:pStyle w:val="3-BodyText"/>
      </w:pPr>
      <w:r w:rsidRPr="007F33F1">
        <w:t>The ESC noted t</w:t>
      </w:r>
      <w:r w:rsidR="00205FD7" w:rsidRPr="007F33F1">
        <w:t xml:space="preserve">here </w:t>
      </w:r>
      <w:r w:rsidR="005F033F" w:rsidRPr="007F33F1">
        <w:t xml:space="preserve">were </w:t>
      </w:r>
      <w:r w:rsidR="00D71F9F" w:rsidRPr="007F33F1">
        <w:t xml:space="preserve">considerable </w:t>
      </w:r>
      <w:r w:rsidR="00205FD7" w:rsidRPr="007F33F1">
        <w:t xml:space="preserve">inconsistencies in the submission’s approach to the ITCs, with the comparisons in the TN population conducted only for response outcomes (i.e., MRR, ORR, VGPR, MR) and the comparisons in the R/R population conducted for </w:t>
      </w:r>
      <w:r w:rsidRPr="007F33F1">
        <w:t xml:space="preserve">both </w:t>
      </w:r>
      <w:r w:rsidR="00205FD7" w:rsidRPr="007F33F1">
        <w:t>response</w:t>
      </w:r>
      <w:r w:rsidRPr="007F33F1">
        <w:t xml:space="preserve"> outcomes</w:t>
      </w:r>
      <w:r w:rsidR="00205FD7" w:rsidRPr="007F33F1">
        <w:t xml:space="preserve"> (using naïve ITC) and PFS/OS (using MAIC). </w:t>
      </w:r>
      <w:r w:rsidR="00205FD7" w:rsidRPr="007F33F1" w:rsidDel="00D32941">
        <w:t>Furthermore, despite no PFS/OS comparison in the ITC for the TN population, the modelled economic evaluation (a partition</w:t>
      </w:r>
      <w:r w:rsidR="004B1AD8" w:rsidRPr="007F33F1" w:rsidDel="00D32941">
        <w:t>ed</w:t>
      </w:r>
      <w:r w:rsidR="00205FD7" w:rsidRPr="007F33F1" w:rsidDel="00D32941">
        <w:t xml:space="preserve"> survival model) was entirely based on those outcomes. </w:t>
      </w:r>
      <w:r w:rsidR="00205FD7" w:rsidRPr="007F33F1">
        <w:t xml:space="preserve">The ITCs for the TN population </w:t>
      </w:r>
      <w:r w:rsidR="005F033F" w:rsidRPr="007F33F1">
        <w:t xml:space="preserve">were </w:t>
      </w:r>
      <w:r w:rsidR="00205FD7" w:rsidRPr="007F33F1">
        <w:t>also based on data for the ITT population (</w:t>
      </w:r>
      <w:r w:rsidR="003B01DC" w:rsidRPr="007F33F1">
        <w:t xml:space="preserve">see paragraph </w:t>
      </w:r>
      <w:r w:rsidR="00015997">
        <w:t>6.39</w:t>
      </w:r>
      <w:r w:rsidR="003B01DC" w:rsidRPr="007F33F1">
        <w:t xml:space="preserve"> below)</w:t>
      </w:r>
      <w:r w:rsidR="00205FD7" w:rsidRPr="007F33F1">
        <w:t>. The modelled economic evaluation</w:t>
      </w:r>
      <w:r w:rsidR="00915A83" w:rsidRPr="007F33F1">
        <w:t xml:space="preserve"> for the TN population</w:t>
      </w:r>
      <w:r w:rsidR="00205FD7" w:rsidRPr="007F33F1">
        <w:t xml:space="preserve"> applied PFS data for Rm from iNNOVATE but OS data from Tedeschi 2015 for BR (</w:t>
      </w:r>
      <w:r w:rsidR="00915A83" w:rsidRPr="007F33F1">
        <w:t xml:space="preserve">as proxy for OS for Rm, </w:t>
      </w:r>
      <w:r w:rsidR="00205FD7" w:rsidRPr="007F33F1">
        <w:t>see</w:t>
      </w:r>
      <w:r w:rsidR="00486D19" w:rsidRPr="007F33F1">
        <w:t xml:space="preserve"> </w:t>
      </w:r>
      <w:r w:rsidR="00486D19" w:rsidRPr="007F33F1">
        <w:rPr>
          <w:i/>
          <w:iCs/>
        </w:rPr>
        <w:t>Economic analysis</w:t>
      </w:r>
      <w:r w:rsidR="00486D19" w:rsidRPr="007F33F1">
        <w:t xml:space="preserve"> for further discussion</w:t>
      </w:r>
      <w:r w:rsidR="00205FD7" w:rsidRPr="007F33F1">
        <w:t>).</w:t>
      </w:r>
      <w:r w:rsidR="006029E4" w:rsidRPr="007F33F1">
        <w:t xml:space="preserve"> </w:t>
      </w:r>
      <w:r w:rsidR="006C1F78" w:rsidRPr="007F33F1">
        <w:t xml:space="preserve">The ESC considered </w:t>
      </w:r>
      <w:r w:rsidR="00B513AE" w:rsidRPr="007F33F1">
        <w:t>the</w:t>
      </w:r>
      <w:r w:rsidR="00A22004" w:rsidRPr="007F33F1">
        <w:t>se</w:t>
      </w:r>
      <w:r w:rsidR="00B513AE" w:rsidRPr="007F33F1">
        <w:t xml:space="preserve"> inconsistencies</w:t>
      </w:r>
      <w:r w:rsidR="00DF4BDA" w:rsidRPr="007F33F1">
        <w:t xml:space="preserve"> </w:t>
      </w:r>
      <w:r w:rsidR="006C1F78" w:rsidRPr="007F33F1">
        <w:t>hampered the interpretation of comparative outcomes.</w:t>
      </w:r>
    </w:p>
    <w:p w:rsidR="00205FD7" w:rsidRPr="007F33F1" w:rsidRDefault="00B178EA" w:rsidP="0047221E">
      <w:pPr>
        <w:pStyle w:val="5-SubsectionSubheading"/>
        <w:rPr>
          <w:i/>
          <w:iCs/>
        </w:rPr>
      </w:pPr>
      <w:bookmarkStart w:id="52" w:name="_Toc71450286"/>
      <w:bookmarkStart w:id="53" w:name="_Toc72421791"/>
      <w:r w:rsidRPr="007F33F1">
        <w:rPr>
          <w:i/>
          <w:iCs/>
        </w:rPr>
        <w:t xml:space="preserve">ITC </w:t>
      </w:r>
      <w:r w:rsidR="00BE77FA" w:rsidRPr="007F33F1">
        <w:rPr>
          <w:i/>
          <w:iCs/>
        </w:rPr>
        <w:t>zanubrutinib</w:t>
      </w:r>
      <w:r w:rsidRPr="007F33F1">
        <w:rPr>
          <w:i/>
          <w:iCs/>
        </w:rPr>
        <w:t xml:space="preserve"> vs</w:t>
      </w:r>
      <w:r w:rsidR="00205FD7" w:rsidRPr="007F33F1">
        <w:rPr>
          <w:i/>
          <w:iCs/>
        </w:rPr>
        <w:t xml:space="preserve"> Rm</w:t>
      </w:r>
      <w:bookmarkEnd w:id="52"/>
      <w:bookmarkEnd w:id="53"/>
    </w:p>
    <w:p w:rsidR="00205FD7" w:rsidRPr="007F33F1" w:rsidRDefault="00205FD7" w:rsidP="0047221E">
      <w:pPr>
        <w:pStyle w:val="3-BodyText"/>
      </w:pPr>
      <w:r w:rsidRPr="007F33F1">
        <w:t xml:space="preserve">The submission presented an ITC comparing </w:t>
      </w:r>
      <w:r w:rsidR="00BE77FA" w:rsidRPr="007F33F1">
        <w:t>zanubrutinib</w:t>
      </w:r>
      <w:r w:rsidRPr="007F33F1">
        <w:t xml:space="preserve"> and Rm via the Bucher method </w:t>
      </w:r>
      <w:bookmarkStart w:id="54" w:name="_Hlk79066327"/>
      <w:r w:rsidRPr="007F33F1">
        <w:t xml:space="preserve">using commonly reported response outcomes and safety results </w:t>
      </w:r>
      <w:r w:rsidR="00C20994" w:rsidRPr="007F33F1">
        <w:t xml:space="preserve">between </w:t>
      </w:r>
      <w:r w:rsidRPr="007F33F1">
        <w:t xml:space="preserve">ASPEN and iNNOVATE, using </w:t>
      </w:r>
      <w:r w:rsidR="00BE77FA" w:rsidRPr="007F33F1">
        <w:t>ibrutinib</w:t>
      </w:r>
      <w:r w:rsidRPr="007F33F1">
        <w:t>/</w:t>
      </w:r>
      <w:r w:rsidR="00BE77FA" w:rsidRPr="007F33F1">
        <w:t>ibrutinib</w:t>
      </w:r>
      <w:r w:rsidRPr="007F33F1">
        <w:t>+R</w:t>
      </w:r>
      <w:r w:rsidRPr="007F33F1" w:rsidDel="00D26E13">
        <w:t xml:space="preserve"> </w:t>
      </w:r>
      <w:r w:rsidR="001E70CF" w:rsidRPr="007F33F1">
        <w:t xml:space="preserve">arms </w:t>
      </w:r>
      <w:r w:rsidRPr="007F33F1">
        <w:t>as</w:t>
      </w:r>
      <w:r w:rsidR="001E70CF" w:rsidRPr="007F33F1">
        <w:t xml:space="preserve"> a</w:t>
      </w:r>
      <w:r w:rsidRPr="007F33F1">
        <w:t xml:space="preserve"> ‘common’ reference.</w:t>
      </w:r>
      <w:bookmarkEnd w:id="54"/>
      <w:r w:rsidRPr="007F33F1">
        <w:t xml:space="preserve"> The ITT trial populations were used as iNNOVATE did not report separate response outcomes for TN or R/R</w:t>
      </w:r>
      <w:r w:rsidR="003B01DC" w:rsidRPr="007F33F1">
        <w:t xml:space="preserve"> subgroups</w:t>
      </w:r>
      <w:r w:rsidRPr="007F33F1">
        <w:t xml:space="preserve">. This may limit the applicability to the TN population. </w:t>
      </w:r>
    </w:p>
    <w:p w:rsidR="004E1C3F" w:rsidRPr="007F33F1" w:rsidRDefault="00205FD7" w:rsidP="0047221E">
      <w:pPr>
        <w:pStyle w:val="3-BodyText"/>
      </w:pPr>
      <w:bookmarkStart w:id="55" w:name="_Ref75010506"/>
      <w:r w:rsidRPr="007F33F1">
        <w:t>As discussed above</w:t>
      </w:r>
      <w:r w:rsidR="00B9413F" w:rsidRPr="007F33F1">
        <w:t xml:space="preserve"> (see paragraph </w:t>
      </w:r>
      <w:r w:rsidR="00015997">
        <w:t>6.12</w:t>
      </w:r>
      <w:r w:rsidR="00B9413F" w:rsidRPr="007F33F1">
        <w:t>)</w:t>
      </w:r>
      <w:r w:rsidRPr="007F33F1">
        <w:t>, there were important differences between ASPEN and iNNOVATE impacting transitivity</w:t>
      </w:r>
      <w:r w:rsidR="00A22004" w:rsidRPr="007F33F1">
        <w:t>.</w:t>
      </w:r>
      <w:r w:rsidR="006B1FE2" w:rsidRPr="007F33F1">
        <w:t xml:space="preserve"> </w:t>
      </w:r>
      <w:bookmarkEnd w:id="55"/>
    </w:p>
    <w:p w:rsidR="00205FD7" w:rsidRPr="007F33F1" w:rsidRDefault="00205FD7" w:rsidP="0047221E">
      <w:pPr>
        <w:pStyle w:val="TableFigureHeading"/>
      </w:pPr>
      <w:r w:rsidRPr="007F33F1">
        <w:t xml:space="preserve">Table </w:t>
      </w:r>
      <w:r w:rsidR="00015997">
        <w:rPr>
          <w:noProof/>
        </w:rPr>
        <w:t>7</w:t>
      </w:r>
      <w:r w:rsidRPr="007F33F1">
        <w:rPr>
          <w:rStyle w:val="CommentReference"/>
          <w:b/>
          <w:bCs w:val="0"/>
          <w:szCs w:val="24"/>
        </w:rPr>
        <w:t>: ITC response outcomes for</w:t>
      </w:r>
      <w:r w:rsidRPr="007F33F1">
        <w:t xml:space="preserve"> ZANU vs Rm (Bucher method) – a combined TN/RR population</w:t>
      </w:r>
      <w:r w:rsidR="007675A3" w:rsidRPr="007F33F1">
        <w:t xml:space="preserve"> (proxy for TN population)</w:t>
      </w:r>
    </w:p>
    <w:tbl>
      <w:tblPr>
        <w:tblStyle w:val="TableTheme"/>
        <w:tblW w:w="5000" w:type="pct"/>
        <w:tblCellMar>
          <w:left w:w="28" w:type="dxa"/>
          <w:right w:w="28" w:type="dxa"/>
        </w:tblCellMar>
        <w:tblLook w:val="04A0" w:firstRow="1" w:lastRow="0" w:firstColumn="1" w:lastColumn="0" w:noHBand="0" w:noVBand="1"/>
        <w:tblCaption w:val="Table 7: ITC response outcomes for ZANU vs Rm (Bucher method) – a combined TN/RR population (proxy for TN population)"/>
      </w:tblPr>
      <w:tblGrid>
        <w:gridCol w:w="859"/>
        <w:gridCol w:w="938"/>
        <w:gridCol w:w="1012"/>
        <w:gridCol w:w="1345"/>
        <w:gridCol w:w="978"/>
        <w:gridCol w:w="963"/>
        <w:gridCol w:w="1388"/>
        <w:gridCol w:w="1557"/>
      </w:tblGrid>
      <w:tr w:rsidR="00205FD7" w:rsidRPr="007F33F1" w:rsidTr="002F7BC5">
        <w:trPr>
          <w:tblHeader/>
        </w:trPr>
        <w:tc>
          <w:tcPr>
            <w:tcW w:w="466" w:type="pct"/>
            <w:tcBorders>
              <w:bottom w:val="nil"/>
            </w:tcBorders>
          </w:tcPr>
          <w:p w:rsidR="00205FD7" w:rsidRPr="007F33F1" w:rsidRDefault="00205FD7" w:rsidP="0047221E">
            <w:pPr>
              <w:pStyle w:val="TableText0"/>
            </w:pPr>
          </w:p>
        </w:tc>
        <w:tc>
          <w:tcPr>
            <w:tcW w:w="1826" w:type="pct"/>
            <w:gridSpan w:val="3"/>
            <w:vAlign w:val="center"/>
          </w:tcPr>
          <w:p w:rsidR="00205FD7" w:rsidRPr="007F33F1" w:rsidRDefault="00205FD7" w:rsidP="0047221E">
            <w:pPr>
              <w:pStyle w:val="TableText0"/>
              <w:jc w:val="center"/>
              <w:rPr>
                <w:b/>
              </w:rPr>
            </w:pPr>
            <w:r w:rsidRPr="007F33F1">
              <w:rPr>
                <w:b/>
              </w:rPr>
              <w:t>ASPEN</w:t>
            </w:r>
          </w:p>
        </w:tc>
        <w:tc>
          <w:tcPr>
            <w:tcW w:w="1845" w:type="pct"/>
            <w:gridSpan w:val="3"/>
            <w:vAlign w:val="center"/>
          </w:tcPr>
          <w:p w:rsidR="00205FD7" w:rsidRPr="007F33F1" w:rsidRDefault="00205FD7" w:rsidP="0047221E">
            <w:pPr>
              <w:pStyle w:val="TableText0"/>
              <w:jc w:val="center"/>
              <w:rPr>
                <w:b/>
              </w:rPr>
            </w:pPr>
            <w:r w:rsidRPr="007F33F1">
              <w:rPr>
                <w:b/>
              </w:rPr>
              <w:t>iNNOVATE</w:t>
            </w:r>
          </w:p>
        </w:tc>
        <w:tc>
          <w:tcPr>
            <w:tcW w:w="862" w:type="pct"/>
            <w:vAlign w:val="center"/>
          </w:tcPr>
          <w:p w:rsidR="00205FD7" w:rsidRPr="007F33F1" w:rsidRDefault="00205FD7" w:rsidP="0047221E">
            <w:pPr>
              <w:pStyle w:val="TableText0"/>
              <w:jc w:val="center"/>
              <w:rPr>
                <w:b/>
              </w:rPr>
            </w:pPr>
            <w:r w:rsidRPr="007F33F1">
              <w:rPr>
                <w:b/>
              </w:rPr>
              <w:t>ITC (ZANU v Rm)*</w:t>
            </w:r>
          </w:p>
        </w:tc>
      </w:tr>
      <w:tr w:rsidR="00205FD7" w:rsidRPr="007F33F1" w:rsidTr="00205FD7">
        <w:tc>
          <w:tcPr>
            <w:tcW w:w="466" w:type="pct"/>
            <w:tcBorders>
              <w:top w:val="nil"/>
            </w:tcBorders>
          </w:tcPr>
          <w:p w:rsidR="00205FD7" w:rsidRPr="007F33F1" w:rsidRDefault="00205FD7" w:rsidP="0047221E">
            <w:pPr>
              <w:pStyle w:val="TableText0"/>
            </w:pPr>
            <w:r w:rsidRPr="007F33F1">
              <w:rPr>
                <w:b/>
              </w:rPr>
              <w:t>Outcomes</w:t>
            </w:r>
          </w:p>
        </w:tc>
        <w:tc>
          <w:tcPr>
            <w:tcW w:w="520" w:type="pct"/>
            <w:shd w:val="clear" w:color="auto" w:fill="DBE5F1" w:themeFill="accent1" w:themeFillTint="33"/>
            <w:vAlign w:val="center"/>
          </w:tcPr>
          <w:p w:rsidR="00205FD7" w:rsidRPr="007F33F1" w:rsidRDefault="00205FD7" w:rsidP="0047221E">
            <w:pPr>
              <w:pStyle w:val="TableText0"/>
              <w:jc w:val="center"/>
              <w:rPr>
                <w:b/>
                <w:color w:val="000000"/>
              </w:rPr>
            </w:pPr>
            <w:r w:rsidRPr="007F33F1">
              <w:rPr>
                <w:b/>
                <w:color w:val="000000"/>
              </w:rPr>
              <w:t>IBRU</w:t>
            </w:r>
          </w:p>
          <w:p w:rsidR="00205FD7" w:rsidRPr="007F33F1" w:rsidRDefault="00205FD7" w:rsidP="0047221E">
            <w:pPr>
              <w:pStyle w:val="TableText0"/>
              <w:jc w:val="center"/>
              <w:rPr>
                <w:b/>
              </w:rPr>
            </w:pPr>
            <w:r w:rsidRPr="007F33F1">
              <w:rPr>
                <w:b/>
                <w:color w:val="000000"/>
              </w:rPr>
              <w:t>n/N (%)</w:t>
            </w:r>
          </w:p>
        </w:tc>
        <w:tc>
          <w:tcPr>
            <w:tcW w:w="561" w:type="pct"/>
            <w:vAlign w:val="center"/>
          </w:tcPr>
          <w:p w:rsidR="00205FD7" w:rsidRPr="007F33F1" w:rsidRDefault="00205FD7" w:rsidP="0047221E">
            <w:pPr>
              <w:pStyle w:val="TableText0"/>
              <w:jc w:val="center"/>
              <w:rPr>
                <w:b/>
                <w:color w:val="000000"/>
              </w:rPr>
            </w:pPr>
            <w:r w:rsidRPr="007F33F1">
              <w:rPr>
                <w:b/>
                <w:color w:val="000000"/>
              </w:rPr>
              <w:t>ZANU</w:t>
            </w:r>
          </w:p>
          <w:p w:rsidR="00205FD7" w:rsidRPr="007F33F1" w:rsidRDefault="00205FD7" w:rsidP="0047221E">
            <w:pPr>
              <w:pStyle w:val="TableText0"/>
              <w:jc w:val="center"/>
              <w:rPr>
                <w:b/>
              </w:rPr>
            </w:pPr>
            <w:r w:rsidRPr="007F33F1">
              <w:rPr>
                <w:b/>
                <w:color w:val="000000"/>
              </w:rPr>
              <w:t>n/N (%)</w:t>
            </w:r>
          </w:p>
        </w:tc>
        <w:tc>
          <w:tcPr>
            <w:tcW w:w="745" w:type="pct"/>
            <w:vAlign w:val="center"/>
          </w:tcPr>
          <w:p w:rsidR="00205FD7" w:rsidRPr="007F33F1" w:rsidRDefault="00205FD7" w:rsidP="0047221E">
            <w:pPr>
              <w:pStyle w:val="TableText0"/>
              <w:jc w:val="center"/>
              <w:rPr>
                <w:b/>
                <w:color w:val="000000"/>
              </w:rPr>
            </w:pPr>
            <w:r w:rsidRPr="007F33F1">
              <w:rPr>
                <w:b/>
                <w:color w:val="000000"/>
              </w:rPr>
              <w:t>IBRU v ZANU</w:t>
            </w:r>
          </w:p>
          <w:p w:rsidR="00205FD7" w:rsidRPr="007F33F1" w:rsidRDefault="00205FD7" w:rsidP="0047221E">
            <w:pPr>
              <w:pStyle w:val="TableText0"/>
              <w:jc w:val="center"/>
              <w:rPr>
                <w:b/>
              </w:rPr>
            </w:pPr>
            <w:r w:rsidRPr="007F33F1">
              <w:rPr>
                <w:b/>
                <w:color w:val="000000"/>
              </w:rPr>
              <w:t>RR (95%CI)</w:t>
            </w:r>
            <w:r w:rsidRPr="007F33F1" w:rsidDel="00656B04">
              <w:rPr>
                <w:b/>
                <w:color w:val="000000"/>
              </w:rPr>
              <w:t xml:space="preserve"> </w:t>
            </w:r>
          </w:p>
        </w:tc>
        <w:tc>
          <w:tcPr>
            <w:tcW w:w="542" w:type="pct"/>
            <w:shd w:val="clear" w:color="auto" w:fill="DBE5F1" w:themeFill="accent1" w:themeFillTint="33"/>
            <w:vAlign w:val="center"/>
          </w:tcPr>
          <w:p w:rsidR="00205FD7" w:rsidRPr="007F33F1" w:rsidRDefault="00205FD7" w:rsidP="0047221E">
            <w:pPr>
              <w:pStyle w:val="TableText0"/>
              <w:jc w:val="center"/>
              <w:rPr>
                <w:b/>
                <w:color w:val="000000"/>
              </w:rPr>
            </w:pPr>
            <w:r w:rsidRPr="007F33F1">
              <w:rPr>
                <w:b/>
                <w:color w:val="000000"/>
              </w:rPr>
              <w:t>IBRU+R</w:t>
            </w:r>
          </w:p>
          <w:p w:rsidR="00205FD7" w:rsidRPr="007F33F1" w:rsidRDefault="00205FD7" w:rsidP="0047221E">
            <w:pPr>
              <w:pStyle w:val="TableText0"/>
              <w:jc w:val="center"/>
              <w:rPr>
                <w:b/>
              </w:rPr>
            </w:pPr>
            <w:r w:rsidRPr="007F33F1">
              <w:rPr>
                <w:b/>
                <w:color w:val="000000"/>
              </w:rPr>
              <w:t>n/N (%)</w:t>
            </w:r>
          </w:p>
        </w:tc>
        <w:tc>
          <w:tcPr>
            <w:tcW w:w="534" w:type="pct"/>
            <w:vAlign w:val="center"/>
          </w:tcPr>
          <w:p w:rsidR="00205FD7" w:rsidRPr="007F33F1" w:rsidRDefault="00205FD7" w:rsidP="0047221E">
            <w:pPr>
              <w:pStyle w:val="TableText0"/>
              <w:jc w:val="center"/>
              <w:rPr>
                <w:b/>
                <w:color w:val="000000"/>
              </w:rPr>
            </w:pPr>
            <w:r w:rsidRPr="007F33F1">
              <w:rPr>
                <w:b/>
                <w:color w:val="000000"/>
              </w:rPr>
              <w:t>Rm</w:t>
            </w:r>
          </w:p>
          <w:p w:rsidR="00205FD7" w:rsidRPr="007F33F1" w:rsidRDefault="00205FD7" w:rsidP="0047221E">
            <w:pPr>
              <w:pStyle w:val="TableText0"/>
              <w:jc w:val="center"/>
              <w:rPr>
                <w:b/>
              </w:rPr>
            </w:pPr>
            <w:r w:rsidRPr="007F33F1">
              <w:rPr>
                <w:b/>
                <w:color w:val="000000"/>
              </w:rPr>
              <w:t>n/N (%)</w:t>
            </w:r>
          </w:p>
        </w:tc>
        <w:tc>
          <w:tcPr>
            <w:tcW w:w="769" w:type="pct"/>
            <w:vAlign w:val="center"/>
          </w:tcPr>
          <w:p w:rsidR="00205FD7" w:rsidRPr="007F33F1" w:rsidRDefault="00205FD7" w:rsidP="0047221E">
            <w:pPr>
              <w:pStyle w:val="TableText0"/>
              <w:jc w:val="center"/>
              <w:rPr>
                <w:b/>
                <w:color w:val="000000"/>
              </w:rPr>
            </w:pPr>
            <w:r w:rsidRPr="007F33F1">
              <w:rPr>
                <w:b/>
                <w:color w:val="000000"/>
              </w:rPr>
              <w:t>IBRU+R v Rm</w:t>
            </w:r>
          </w:p>
          <w:p w:rsidR="00205FD7" w:rsidRPr="007F33F1" w:rsidRDefault="00205FD7" w:rsidP="0047221E">
            <w:pPr>
              <w:pStyle w:val="TableText0"/>
              <w:jc w:val="center"/>
              <w:rPr>
                <w:b/>
                <w:color w:val="000000"/>
              </w:rPr>
            </w:pPr>
            <w:r w:rsidRPr="007F33F1">
              <w:rPr>
                <w:b/>
                <w:color w:val="000000"/>
              </w:rPr>
              <w:t>RR (95%CI)</w:t>
            </w:r>
          </w:p>
        </w:tc>
        <w:tc>
          <w:tcPr>
            <w:tcW w:w="862" w:type="pct"/>
            <w:vAlign w:val="center"/>
          </w:tcPr>
          <w:p w:rsidR="00205FD7" w:rsidRPr="007F33F1" w:rsidRDefault="00205FD7" w:rsidP="0047221E">
            <w:pPr>
              <w:pStyle w:val="TableText0"/>
              <w:jc w:val="center"/>
              <w:rPr>
                <w:b/>
              </w:rPr>
            </w:pPr>
            <w:r w:rsidRPr="007F33F1">
              <w:rPr>
                <w:b/>
              </w:rPr>
              <w:t>RR (95% CI)</w:t>
            </w:r>
          </w:p>
          <w:p w:rsidR="00205FD7" w:rsidRPr="007F33F1" w:rsidRDefault="00205FD7" w:rsidP="0047221E">
            <w:pPr>
              <w:pStyle w:val="TableText0"/>
              <w:jc w:val="center"/>
              <w:rPr>
                <w:b/>
              </w:rPr>
            </w:pPr>
            <w:r w:rsidRPr="007F33F1">
              <w:rPr>
                <w:b/>
              </w:rPr>
              <w:t>p value</w:t>
            </w:r>
          </w:p>
        </w:tc>
      </w:tr>
      <w:tr w:rsidR="00205FD7" w:rsidRPr="007F33F1" w:rsidTr="00205FD7">
        <w:tc>
          <w:tcPr>
            <w:tcW w:w="466" w:type="pct"/>
            <w:vAlign w:val="center"/>
          </w:tcPr>
          <w:p w:rsidR="00205FD7" w:rsidRPr="007F33F1" w:rsidRDefault="00205FD7" w:rsidP="0047221E">
            <w:pPr>
              <w:pStyle w:val="TableText0"/>
              <w:jc w:val="left"/>
            </w:pPr>
            <w:r w:rsidRPr="007F33F1">
              <w:t>MRR</w:t>
            </w:r>
          </w:p>
        </w:tc>
        <w:tc>
          <w:tcPr>
            <w:tcW w:w="520" w:type="pct"/>
            <w:shd w:val="clear" w:color="auto" w:fill="DBE5F1" w:themeFill="accent1" w:themeFillTint="33"/>
            <w:vAlign w:val="center"/>
          </w:tcPr>
          <w:p w:rsidR="00205FD7" w:rsidRPr="007F33F1" w:rsidRDefault="00205FD7" w:rsidP="0047221E">
            <w:pPr>
              <w:pStyle w:val="TableText0"/>
              <w:jc w:val="center"/>
            </w:pPr>
            <w:r w:rsidRPr="007F33F1">
              <w:rPr>
                <w:color w:val="000000"/>
              </w:rPr>
              <w:t>77/99 (78)</w:t>
            </w:r>
          </w:p>
        </w:tc>
        <w:tc>
          <w:tcPr>
            <w:tcW w:w="561" w:type="pct"/>
            <w:vAlign w:val="center"/>
          </w:tcPr>
          <w:p w:rsidR="00205FD7" w:rsidRPr="007F33F1" w:rsidRDefault="00205FD7" w:rsidP="0047221E">
            <w:pPr>
              <w:pStyle w:val="TableText0"/>
              <w:jc w:val="center"/>
            </w:pPr>
            <w:r w:rsidRPr="007F33F1">
              <w:rPr>
                <w:color w:val="000000"/>
              </w:rPr>
              <w:t>79/102 (77)</w:t>
            </w:r>
          </w:p>
        </w:tc>
        <w:tc>
          <w:tcPr>
            <w:tcW w:w="745" w:type="pct"/>
            <w:vAlign w:val="center"/>
          </w:tcPr>
          <w:p w:rsidR="00205FD7" w:rsidRPr="007F33F1" w:rsidRDefault="00205FD7" w:rsidP="0047221E">
            <w:pPr>
              <w:pStyle w:val="TableText0"/>
              <w:jc w:val="center"/>
            </w:pPr>
            <w:r w:rsidRPr="007F33F1">
              <w:rPr>
                <w:color w:val="000000"/>
              </w:rPr>
              <w:t>1.00 (0.87, 1.17)</w:t>
            </w:r>
          </w:p>
        </w:tc>
        <w:tc>
          <w:tcPr>
            <w:tcW w:w="542" w:type="pct"/>
            <w:shd w:val="clear" w:color="auto" w:fill="DBE5F1" w:themeFill="accent1" w:themeFillTint="33"/>
            <w:vAlign w:val="center"/>
          </w:tcPr>
          <w:p w:rsidR="00205FD7" w:rsidRPr="007F33F1" w:rsidRDefault="00205FD7" w:rsidP="0047221E">
            <w:pPr>
              <w:pStyle w:val="TableText0"/>
              <w:jc w:val="center"/>
            </w:pPr>
            <w:r w:rsidRPr="007F33F1">
              <w:rPr>
                <w:color w:val="000000"/>
              </w:rPr>
              <w:t>54/75 (72)</w:t>
            </w:r>
          </w:p>
        </w:tc>
        <w:tc>
          <w:tcPr>
            <w:tcW w:w="534" w:type="pct"/>
            <w:vAlign w:val="center"/>
          </w:tcPr>
          <w:p w:rsidR="00205FD7" w:rsidRPr="007F33F1" w:rsidRDefault="00205FD7" w:rsidP="0047221E">
            <w:pPr>
              <w:pStyle w:val="TableText0"/>
              <w:jc w:val="center"/>
            </w:pPr>
            <w:r w:rsidRPr="007F33F1">
              <w:rPr>
                <w:color w:val="000000"/>
              </w:rPr>
              <w:t>24/75 (32)</w:t>
            </w:r>
          </w:p>
        </w:tc>
        <w:tc>
          <w:tcPr>
            <w:tcW w:w="769" w:type="pct"/>
            <w:vAlign w:val="center"/>
          </w:tcPr>
          <w:p w:rsidR="00205FD7" w:rsidRPr="007F33F1" w:rsidRDefault="00205FD7" w:rsidP="0047221E">
            <w:pPr>
              <w:pStyle w:val="TableText0"/>
              <w:jc w:val="center"/>
              <w:rPr>
                <w:b/>
                <w:color w:val="000000"/>
              </w:rPr>
            </w:pPr>
            <w:r w:rsidRPr="007F33F1">
              <w:rPr>
                <w:b/>
                <w:color w:val="000000"/>
              </w:rPr>
              <w:t>2.25 (1.57, 3.22)</w:t>
            </w:r>
          </w:p>
        </w:tc>
        <w:tc>
          <w:tcPr>
            <w:tcW w:w="862" w:type="pct"/>
            <w:vAlign w:val="center"/>
          </w:tcPr>
          <w:p w:rsidR="00205FD7" w:rsidRPr="007F33F1" w:rsidRDefault="00205FD7" w:rsidP="0047221E">
            <w:pPr>
              <w:pStyle w:val="TableText0"/>
              <w:jc w:val="center"/>
              <w:rPr>
                <w:rFonts w:cstheme="minorBidi"/>
                <w:b/>
                <w:color w:val="000000" w:themeColor="text1"/>
              </w:rPr>
            </w:pPr>
            <w:r w:rsidRPr="007F33F1">
              <w:rPr>
                <w:b/>
                <w:color w:val="000000"/>
              </w:rPr>
              <w:t>2.24 (</w:t>
            </w:r>
            <w:r w:rsidRPr="007F33F1">
              <w:rPr>
                <w:rFonts w:cstheme="minorBidi"/>
                <w:b/>
                <w:color w:val="000000" w:themeColor="text1"/>
              </w:rPr>
              <w:t>1.52, 3.3)</w:t>
            </w:r>
          </w:p>
          <w:p w:rsidR="00205FD7" w:rsidRPr="007F33F1" w:rsidRDefault="00205FD7" w:rsidP="0047221E">
            <w:pPr>
              <w:pStyle w:val="TableText0"/>
              <w:jc w:val="center"/>
              <w:rPr>
                <w:rFonts w:cstheme="minorBidi"/>
                <w:b/>
              </w:rPr>
            </w:pPr>
            <w:r w:rsidRPr="007F33F1">
              <w:rPr>
                <w:rFonts w:cstheme="minorBidi"/>
                <w:b/>
                <w:color w:val="000000" w:themeColor="text1"/>
              </w:rPr>
              <w:t>p ≤ 0.0001</w:t>
            </w:r>
          </w:p>
        </w:tc>
      </w:tr>
      <w:tr w:rsidR="00205FD7" w:rsidRPr="007F33F1" w:rsidTr="00205FD7">
        <w:tc>
          <w:tcPr>
            <w:tcW w:w="466" w:type="pct"/>
            <w:vAlign w:val="center"/>
          </w:tcPr>
          <w:p w:rsidR="00205FD7" w:rsidRPr="007F33F1" w:rsidRDefault="00205FD7" w:rsidP="0047221E">
            <w:pPr>
              <w:pStyle w:val="TableText0"/>
              <w:jc w:val="left"/>
            </w:pPr>
            <w:r w:rsidRPr="007F33F1">
              <w:t>ORR</w:t>
            </w:r>
          </w:p>
        </w:tc>
        <w:tc>
          <w:tcPr>
            <w:tcW w:w="520" w:type="pct"/>
            <w:shd w:val="clear" w:color="auto" w:fill="DBE5F1" w:themeFill="accent1" w:themeFillTint="33"/>
            <w:vAlign w:val="center"/>
          </w:tcPr>
          <w:p w:rsidR="00205FD7" w:rsidRPr="007F33F1" w:rsidRDefault="00205FD7" w:rsidP="0047221E">
            <w:pPr>
              <w:pStyle w:val="TableText0"/>
              <w:jc w:val="center"/>
            </w:pPr>
            <w:r w:rsidRPr="007F33F1">
              <w:rPr>
                <w:color w:val="000000"/>
              </w:rPr>
              <w:t>92/99 (93)</w:t>
            </w:r>
          </w:p>
        </w:tc>
        <w:tc>
          <w:tcPr>
            <w:tcW w:w="561" w:type="pct"/>
            <w:vAlign w:val="center"/>
          </w:tcPr>
          <w:p w:rsidR="00205FD7" w:rsidRPr="007F33F1" w:rsidRDefault="00205FD7" w:rsidP="0047221E">
            <w:pPr>
              <w:pStyle w:val="TableText0"/>
              <w:jc w:val="center"/>
            </w:pPr>
            <w:r w:rsidRPr="007F33F1">
              <w:rPr>
                <w:color w:val="000000"/>
              </w:rPr>
              <w:t>96/102 (94)</w:t>
            </w:r>
          </w:p>
        </w:tc>
        <w:tc>
          <w:tcPr>
            <w:tcW w:w="745" w:type="pct"/>
            <w:vAlign w:val="center"/>
          </w:tcPr>
          <w:p w:rsidR="00205FD7" w:rsidRPr="007F33F1" w:rsidRDefault="00205FD7" w:rsidP="0047221E">
            <w:pPr>
              <w:pStyle w:val="TableText0"/>
              <w:jc w:val="center"/>
            </w:pPr>
            <w:r w:rsidRPr="007F33F1">
              <w:rPr>
                <w:color w:val="000000"/>
              </w:rPr>
              <w:t>0.99 (0.92, 1.06)</w:t>
            </w:r>
          </w:p>
        </w:tc>
        <w:tc>
          <w:tcPr>
            <w:tcW w:w="542" w:type="pct"/>
            <w:shd w:val="clear" w:color="auto" w:fill="DBE5F1" w:themeFill="accent1" w:themeFillTint="33"/>
            <w:vAlign w:val="center"/>
          </w:tcPr>
          <w:p w:rsidR="00205FD7" w:rsidRPr="007F33F1" w:rsidRDefault="00205FD7" w:rsidP="0047221E">
            <w:pPr>
              <w:pStyle w:val="TableText0"/>
              <w:jc w:val="center"/>
            </w:pPr>
            <w:r w:rsidRPr="007F33F1">
              <w:rPr>
                <w:color w:val="000000"/>
              </w:rPr>
              <w:t>69/75 (92)</w:t>
            </w:r>
          </w:p>
        </w:tc>
        <w:tc>
          <w:tcPr>
            <w:tcW w:w="534" w:type="pct"/>
            <w:vAlign w:val="center"/>
          </w:tcPr>
          <w:p w:rsidR="00205FD7" w:rsidRPr="007F33F1" w:rsidRDefault="00205FD7" w:rsidP="0047221E">
            <w:pPr>
              <w:pStyle w:val="TableText0"/>
              <w:jc w:val="center"/>
            </w:pPr>
            <w:r w:rsidRPr="007F33F1">
              <w:rPr>
                <w:color w:val="000000"/>
              </w:rPr>
              <w:t>35/75 (47)</w:t>
            </w:r>
          </w:p>
        </w:tc>
        <w:tc>
          <w:tcPr>
            <w:tcW w:w="769" w:type="pct"/>
            <w:vAlign w:val="center"/>
          </w:tcPr>
          <w:p w:rsidR="00205FD7" w:rsidRPr="007F33F1" w:rsidRDefault="00205FD7" w:rsidP="0047221E">
            <w:pPr>
              <w:pStyle w:val="TableText0"/>
              <w:jc w:val="center"/>
              <w:rPr>
                <w:b/>
              </w:rPr>
            </w:pPr>
            <w:r w:rsidRPr="007F33F1">
              <w:rPr>
                <w:b/>
                <w:color w:val="000000"/>
              </w:rPr>
              <w:t>1.97 (1.53, 2.53)</w:t>
            </w:r>
          </w:p>
        </w:tc>
        <w:tc>
          <w:tcPr>
            <w:tcW w:w="862" w:type="pct"/>
            <w:vAlign w:val="center"/>
          </w:tcPr>
          <w:p w:rsidR="00205FD7" w:rsidRPr="007F33F1" w:rsidRDefault="00205FD7" w:rsidP="0047221E">
            <w:pPr>
              <w:pStyle w:val="TableText0"/>
              <w:jc w:val="center"/>
              <w:rPr>
                <w:rFonts w:cstheme="minorBidi"/>
                <w:b/>
                <w:color w:val="000000" w:themeColor="text1"/>
              </w:rPr>
            </w:pPr>
            <w:r w:rsidRPr="007F33F1">
              <w:rPr>
                <w:b/>
                <w:color w:val="000000"/>
              </w:rPr>
              <w:t>2.0 (</w:t>
            </w:r>
            <w:r w:rsidRPr="007F33F1">
              <w:rPr>
                <w:rFonts w:cstheme="minorBidi"/>
                <w:b/>
                <w:color w:val="000000" w:themeColor="text1"/>
              </w:rPr>
              <w:t>1.54, 2.59)</w:t>
            </w:r>
          </w:p>
          <w:p w:rsidR="00205FD7" w:rsidRPr="007F33F1" w:rsidRDefault="00205FD7" w:rsidP="0047221E">
            <w:pPr>
              <w:pStyle w:val="TableText0"/>
              <w:jc w:val="center"/>
              <w:rPr>
                <w:rFonts w:cstheme="minorBidi"/>
                <w:b/>
              </w:rPr>
            </w:pPr>
            <w:r w:rsidRPr="007F33F1">
              <w:rPr>
                <w:rFonts w:cstheme="minorBidi"/>
                <w:b/>
                <w:color w:val="000000" w:themeColor="text1"/>
              </w:rPr>
              <w:t>p ≤ 0.0001</w:t>
            </w:r>
          </w:p>
        </w:tc>
      </w:tr>
      <w:tr w:rsidR="00205FD7" w:rsidRPr="007F33F1" w:rsidTr="00205FD7">
        <w:tc>
          <w:tcPr>
            <w:tcW w:w="466" w:type="pct"/>
            <w:vAlign w:val="center"/>
          </w:tcPr>
          <w:p w:rsidR="00205FD7" w:rsidRPr="007F33F1" w:rsidRDefault="00205FD7" w:rsidP="0047221E">
            <w:pPr>
              <w:pStyle w:val="TableText0"/>
              <w:jc w:val="left"/>
            </w:pPr>
            <w:r w:rsidRPr="007F33F1">
              <w:t>VGPR</w:t>
            </w:r>
          </w:p>
        </w:tc>
        <w:tc>
          <w:tcPr>
            <w:tcW w:w="520" w:type="pct"/>
            <w:shd w:val="clear" w:color="auto" w:fill="DBE5F1" w:themeFill="accent1" w:themeFillTint="33"/>
            <w:vAlign w:val="center"/>
          </w:tcPr>
          <w:p w:rsidR="00205FD7" w:rsidRPr="007F33F1" w:rsidRDefault="00205FD7" w:rsidP="0047221E">
            <w:pPr>
              <w:pStyle w:val="TableText0"/>
              <w:jc w:val="center"/>
            </w:pPr>
            <w:r w:rsidRPr="007F33F1">
              <w:rPr>
                <w:color w:val="000000"/>
              </w:rPr>
              <w:t>19/99 (19)</w:t>
            </w:r>
          </w:p>
        </w:tc>
        <w:tc>
          <w:tcPr>
            <w:tcW w:w="561" w:type="pct"/>
            <w:vAlign w:val="center"/>
          </w:tcPr>
          <w:p w:rsidR="00205FD7" w:rsidRPr="007F33F1" w:rsidRDefault="00205FD7" w:rsidP="0047221E">
            <w:pPr>
              <w:pStyle w:val="TableText0"/>
              <w:jc w:val="center"/>
            </w:pPr>
            <w:r w:rsidRPr="007F33F1">
              <w:rPr>
                <w:color w:val="000000"/>
              </w:rPr>
              <w:t>29/102 (28)</w:t>
            </w:r>
          </w:p>
        </w:tc>
        <w:tc>
          <w:tcPr>
            <w:tcW w:w="745" w:type="pct"/>
            <w:vAlign w:val="center"/>
          </w:tcPr>
          <w:p w:rsidR="00205FD7" w:rsidRPr="007F33F1" w:rsidRDefault="00205FD7" w:rsidP="0047221E">
            <w:pPr>
              <w:pStyle w:val="TableText0"/>
              <w:jc w:val="center"/>
            </w:pPr>
            <w:r w:rsidRPr="007F33F1">
              <w:rPr>
                <w:color w:val="000000"/>
              </w:rPr>
              <w:t>0.67 (0.41, 1.12)</w:t>
            </w:r>
          </w:p>
        </w:tc>
        <w:tc>
          <w:tcPr>
            <w:tcW w:w="542" w:type="pct"/>
            <w:shd w:val="clear" w:color="auto" w:fill="DBE5F1" w:themeFill="accent1" w:themeFillTint="33"/>
            <w:vAlign w:val="center"/>
          </w:tcPr>
          <w:p w:rsidR="00205FD7" w:rsidRPr="007F33F1" w:rsidRDefault="00205FD7" w:rsidP="0047221E">
            <w:pPr>
              <w:pStyle w:val="TableText0"/>
              <w:jc w:val="center"/>
            </w:pPr>
            <w:r w:rsidRPr="007F33F1">
              <w:rPr>
                <w:color w:val="000000"/>
              </w:rPr>
              <w:t>17/75 (23)</w:t>
            </w:r>
          </w:p>
        </w:tc>
        <w:tc>
          <w:tcPr>
            <w:tcW w:w="534" w:type="pct"/>
            <w:vAlign w:val="center"/>
          </w:tcPr>
          <w:p w:rsidR="00205FD7" w:rsidRPr="007F33F1" w:rsidRDefault="00205FD7" w:rsidP="0047221E">
            <w:pPr>
              <w:pStyle w:val="TableText0"/>
              <w:jc w:val="center"/>
            </w:pPr>
            <w:r w:rsidRPr="007F33F1">
              <w:rPr>
                <w:color w:val="000000"/>
              </w:rPr>
              <w:t>3/75 (4)</w:t>
            </w:r>
          </w:p>
        </w:tc>
        <w:tc>
          <w:tcPr>
            <w:tcW w:w="769" w:type="pct"/>
            <w:vAlign w:val="center"/>
          </w:tcPr>
          <w:p w:rsidR="00205FD7" w:rsidRPr="007F33F1" w:rsidRDefault="00205FD7" w:rsidP="0047221E">
            <w:pPr>
              <w:pStyle w:val="TableText0"/>
              <w:jc w:val="center"/>
              <w:rPr>
                <w:b/>
              </w:rPr>
            </w:pPr>
            <w:r w:rsidRPr="007F33F1">
              <w:rPr>
                <w:b/>
                <w:color w:val="000000"/>
              </w:rPr>
              <w:t>5.67 (1.73, 18.53)</w:t>
            </w:r>
          </w:p>
        </w:tc>
        <w:tc>
          <w:tcPr>
            <w:tcW w:w="862" w:type="pct"/>
            <w:vAlign w:val="center"/>
          </w:tcPr>
          <w:p w:rsidR="00205FD7" w:rsidRPr="007F33F1" w:rsidRDefault="00205FD7" w:rsidP="0047221E">
            <w:pPr>
              <w:pStyle w:val="TableText0"/>
              <w:jc w:val="center"/>
              <w:rPr>
                <w:b/>
                <w:color w:val="000000"/>
              </w:rPr>
            </w:pPr>
            <w:r w:rsidRPr="007F33F1">
              <w:rPr>
                <w:b/>
                <w:color w:val="000000"/>
              </w:rPr>
              <w:t>8.4 (2.31, 30.48)</w:t>
            </w:r>
          </w:p>
          <w:p w:rsidR="00205FD7" w:rsidRPr="007F33F1" w:rsidRDefault="00205FD7" w:rsidP="0047221E">
            <w:pPr>
              <w:pStyle w:val="TableText0"/>
              <w:jc w:val="center"/>
              <w:rPr>
                <w:b/>
              </w:rPr>
            </w:pPr>
            <w:r w:rsidRPr="007F33F1">
              <w:rPr>
                <w:b/>
                <w:color w:val="000000"/>
              </w:rPr>
              <w:t>p = 0.0012</w:t>
            </w:r>
          </w:p>
        </w:tc>
      </w:tr>
      <w:tr w:rsidR="00205FD7" w:rsidRPr="007F33F1" w:rsidTr="00205FD7">
        <w:tc>
          <w:tcPr>
            <w:tcW w:w="466" w:type="pct"/>
            <w:vAlign w:val="center"/>
          </w:tcPr>
          <w:p w:rsidR="00205FD7" w:rsidRPr="007F33F1" w:rsidRDefault="00205FD7" w:rsidP="0047221E">
            <w:pPr>
              <w:pStyle w:val="TableText0"/>
              <w:jc w:val="left"/>
            </w:pPr>
            <w:r w:rsidRPr="007F33F1">
              <w:t>MR</w:t>
            </w:r>
          </w:p>
        </w:tc>
        <w:tc>
          <w:tcPr>
            <w:tcW w:w="520" w:type="pct"/>
            <w:shd w:val="clear" w:color="auto" w:fill="DBE5F1" w:themeFill="accent1" w:themeFillTint="33"/>
            <w:vAlign w:val="center"/>
          </w:tcPr>
          <w:p w:rsidR="00205FD7" w:rsidRPr="007F33F1" w:rsidRDefault="00205FD7" w:rsidP="0047221E">
            <w:pPr>
              <w:pStyle w:val="TableText0"/>
              <w:jc w:val="center"/>
            </w:pPr>
            <w:r w:rsidRPr="007F33F1">
              <w:rPr>
                <w:color w:val="000000"/>
              </w:rPr>
              <w:t>15/99 (15)</w:t>
            </w:r>
          </w:p>
        </w:tc>
        <w:tc>
          <w:tcPr>
            <w:tcW w:w="561" w:type="pct"/>
            <w:vAlign w:val="center"/>
          </w:tcPr>
          <w:p w:rsidR="00205FD7" w:rsidRPr="007F33F1" w:rsidRDefault="00205FD7" w:rsidP="0047221E">
            <w:pPr>
              <w:pStyle w:val="TableText0"/>
              <w:jc w:val="center"/>
            </w:pPr>
            <w:r w:rsidRPr="007F33F1">
              <w:rPr>
                <w:color w:val="000000"/>
              </w:rPr>
              <w:t>17/102 (17)</w:t>
            </w:r>
          </w:p>
        </w:tc>
        <w:tc>
          <w:tcPr>
            <w:tcW w:w="745" w:type="pct"/>
            <w:vAlign w:val="center"/>
          </w:tcPr>
          <w:p w:rsidR="00205FD7" w:rsidRPr="007F33F1" w:rsidRDefault="00205FD7" w:rsidP="0047221E">
            <w:pPr>
              <w:pStyle w:val="TableText0"/>
              <w:jc w:val="center"/>
            </w:pPr>
            <w:r w:rsidRPr="007F33F1">
              <w:rPr>
                <w:color w:val="000000"/>
              </w:rPr>
              <w:t>0.91 (0.48, 1.72)</w:t>
            </w:r>
          </w:p>
        </w:tc>
        <w:tc>
          <w:tcPr>
            <w:tcW w:w="542" w:type="pct"/>
            <w:shd w:val="clear" w:color="auto" w:fill="DBE5F1" w:themeFill="accent1" w:themeFillTint="33"/>
            <w:vAlign w:val="center"/>
          </w:tcPr>
          <w:p w:rsidR="00205FD7" w:rsidRPr="007F33F1" w:rsidRDefault="00205FD7" w:rsidP="0047221E">
            <w:pPr>
              <w:pStyle w:val="TableText0"/>
              <w:jc w:val="center"/>
            </w:pPr>
            <w:r w:rsidRPr="007F33F1">
              <w:rPr>
                <w:color w:val="000000"/>
              </w:rPr>
              <w:t>20/75 (27)</w:t>
            </w:r>
          </w:p>
        </w:tc>
        <w:tc>
          <w:tcPr>
            <w:tcW w:w="534" w:type="pct"/>
            <w:vAlign w:val="center"/>
          </w:tcPr>
          <w:p w:rsidR="00205FD7" w:rsidRPr="007F33F1" w:rsidRDefault="00205FD7" w:rsidP="0047221E">
            <w:pPr>
              <w:pStyle w:val="TableText0"/>
              <w:jc w:val="center"/>
            </w:pPr>
            <w:r w:rsidRPr="007F33F1">
              <w:rPr>
                <w:color w:val="000000"/>
              </w:rPr>
              <w:t>15/75 (20)</w:t>
            </w:r>
          </w:p>
        </w:tc>
        <w:tc>
          <w:tcPr>
            <w:tcW w:w="769" w:type="pct"/>
            <w:vAlign w:val="center"/>
          </w:tcPr>
          <w:p w:rsidR="00205FD7" w:rsidRPr="007F33F1" w:rsidRDefault="00205FD7" w:rsidP="0047221E">
            <w:pPr>
              <w:pStyle w:val="TableText0"/>
              <w:jc w:val="center"/>
            </w:pPr>
            <w:r w:rsidRPr="007F33F1">
              <w:rPr>
                <w:color w:val="000000"/>
              </w:rPr>
              <w:t>1.33 (0.741, 2.40)</w:t>
            </w:r>
          </w:p>
        </w:tc>
        <w:tc>
          <w:tcPr>
            <w:tcW w:w="862" w:type="pct"/>
            <w:vAlign w:val="center"/>
          </w:tcPr>
          <w:p w:rsidR="00205FD7" w:rsidRPr="007F33F1" w:rsidRDefault="00205FD7" w:rsidP="0047221E">
            <w:pPr>
              <w:pStyle w:val="TableText0"/>
              <w:jc w:val="center"/>
              <w:rPr>
                <w:color w:val="000000"/>
              </w:rPr>
            </w:pPr>
            <w:r w:rsidRPr="007F33F1">
              <w:rPr>
                <w:color w:val="000000"/>
              </w:rPr>
              <w:t>1.47 (0.62, 3.49)</w:t>
            </w:r>
          </w:p>
          <w:p w:rsidR="00205FD7" w:rsidRPr="007F33F1" w:rsidRDefault="00205FD7" w:rsidP="0047221E">
            <w:pPr>
              <w:pStyle w:val="TableText0"/>
              <w:jc w:val="center"/>
            </w:pPr>
            <w:r w:rsidRPr="007F33F1">
              <w:rPr>
                <w:color w:val="000000"/>
              </w:rPr>
              <w:t>p = 0.3865</w:t>
            </w:r>
          </w:p>
        </w:tc>
      </w:tr>
    </w:tbl>
    <w:p w:rsidR="00205FD7" w:rsidRPr="007F33F1" w:rsidRDefault="00205FD7" w:rsidP="0047221E">
      <w:pPr>
        <w:pStyle w:val="TableFigureFooter"/>
      </w:pPr>
      <w:r w:rsidRPr="007F33F1">
        <w:t>Highlighted cells represent the ‘common’ comparator arm</w:t>
      </w:r>
      <w:r w:rsidR="005D1BB9" w:rsidRPr="007F33F1">
        <w:t>.</w:t>
      </w:r>
    </w:p>
    <w:p w:rsidR="00205FD7" w:rsidRPr="007F33F1" w:rsidRDefault="00205FD7" w:rsidP="0047221E">
      <w:pPr>
        <w:pStyle w:val="TableFigureFooter"/>
      </w:pPr>
      <w:r w:rsidRPr="007F33F1">
        <w:t>Source: Table 2.61, p129 of the submission</w:t>
      </w:r>
      <w:r w:rsidR="005D1BB9" w:rsidRPr="007F33F1">
        <w:t>.</w:t>
      </w:r>
    </w:p>
    <w:p w:rsidR="00205FD7" w:rsidRPr="007F33F1" w:rsidRDefault="00205FD7" w:rsidP="0047221E">
      <w:pPr>
        <w:pStyle w:val="TableFigureFooter"/>
      </w:pPr>
      <w:r w:rsidRPr="007F33F1">
        <w:t xml:space="preserve">CI=confidence interval, </w:t>
      </w:r>
      <w:r w:rsidR="005D1BB9" w:rsidRPr="007F33F1">
        <w:t>IBRU</w:t>
      </w:r>
      <w:r w:rsidRPr="007F33F1">
        <w:t xml:space="preserve">=ibrutinib, ITC=indirect treatment comparison, MR=minor response, </w:t>
      </w:r>
      <w:r w:rsidR="005D1BB9" w:rsidRPr="007F33F1">
        <w:t>MR</w:t>
      </w:r>
      <w:r w:rsidRPr="007F33F1">
        <w:t>R=major response rate, ORR=overall response rate, Rm=rituximab monotherapy, RR=risk ratio, VGPR=very good partial response, ZANU=zanubrutinib</w:t>
      </w:r>
      <w:r w:rsidR="005D1BB9" w:rsidRPr="007F33F1">
        <w:t>.</w:t>
      </w:r>
    </w:p>
    <w:p w:rsidR="00205FD7" w:rsidRPr="007F33F1" w:rsidRDefault="00205FD7" w:rsidP="0047221E">
      <w:pPr>
        <w:pStyle w:val="TableFigureFooter"/>
      </w:pPr>
      <w:r w:rsidRPr="007F33F1">
        <w:t>* Indirect estimate of effect adjusted for the common reference, numbers have been rounded.</w:t>
      </w:r>
    </w:p>
    <w:p w:rsidR="00205FD7" w:rsidRPr="007F33F1" w:rsidRDefault="00205FD7" w:rsidP="0047221E">
      <w:pPr>
        <w:pStyle w:val="TableFigureHeading"/>
      </w:pPr>
      <w:r w:rsidRPr="007F33F1">
        <w:t xml:space="preserve">Table </w:t>
      </w:r>
      <w:r w:rsidR="00015997">
        <w:rPr>
          <w:noProof/>
        </w:rPr>
        <w:t>8</w:t>
      </w:r>
      <w:r w:rsidRPr="007F33F1">
        <w:t>: ITC safety outcomes for ZANU vs Rm (Bucher method) – a combined TN/RR population</w:t>
      </w:r>
      <w:r w:rsidR="007675A3" w:rsidRPr="007F33F1">
        <w:t xml:space="preserve"> (proxy for TN population)</w:t>
      </w:r>
    </w:p>
    <w:tbl>
      <w:tblPr>
        <w:tblStyle w:val="TableTheme"/>
        <w:tblW w:w="5000" w:type="pct"/>
        <w:tblCellMar>
          <w:left w:w="28" w:type="dxa"/>
          <w:right w:w="28" w:type="dxa"/>
        </w:tblCellMar>
        <w:tblLook w:val="04A0" w:firstRow="1" w:lastRow="0" w:firstColumn="1" w:lastColumn="0" w:noHBand="0" w:noVBand="1"/>
        <w:tblCaption w:val="Table 8: ITC safety outcomes for ZANU vs Rm (Bucher method) – a combined TN/RR population (proxy for TN population)"/>
      </w:tblPr>
      <w:tblGrid>
        <w:gridCol w:w="1551"/>
        <w:gridCol w:w="848"/>
        <w:gridCol w:w="989"/>
        <w:gridCol w:w="1130"/>
        <w:gridCol w:w="848"/>
        <w:gridCol w:w="848"/>
        <w:gridCol w:w="1273"/>
        <w:gridCol w:w="1553"/>
      </w:tblGrid>
      <w:tr w:rsidR="00205FD7" w:rsidRPr="007F33F1" w:rsidTr="002F7BC5">
        <w:trPr>
          <w:tblHeader/>
        </w:trPr>
        <w:tc>
          <w:tcPr>
            <w:tcW w:w="858" w:type="pct"/>
            <w:tcBorders>
              <w:bottom w:val="nil"/>
            </w:tcBorders>
            <w:vAlign w:val="center"/>
          </w:tcPr>
          <w:p w:rsidR="00205FD7" w:rsidRPr="007F33F1" w:rsidRDefault="00205FD7" w:rsidP="0047221E">
            <w:pPr>
              <w:pStyle w:val="TableText0"/>
              <w:jc w:val="left"/>
              <w:rPr>
                <w:b/>
                <w:bCs w:val="0"/>
              </w:rPr>
            </w:pPr>
          </w:p>
        </w:tc>
        <w:tc>
          <w:tcPr>
            <w:tcW w:w="1641" w:type="pct"/>
            <w:gridSpan w:val="3"/>
            <w:vAlign w:val="center"/>
          </w:tcPr>
          <w:p w:rsidR="00205FD7" w:rsidRPr="007F33F1" w:rsidRDefault="00205FD7" w:rsidP="0047221E">
            <w:pPr>
              <w:pStyle w:val="TableText0"/>
              <w:jc w:val="center"/>
              <w:rPr>
                <w:b/>
                <w:bCs w:val="0"/>
              </w:rPr>
            </w:pPr>
            <w:r w:rsidRPr="007F33F1">
              <w:rPr>
                <w:b/>
                <w:bCs w:val="0"/>
              </w:rPr>
              <w:t>ASPEN</w:t>
            </w:r>
          </w:p>
        </w:tc>
        <w:tc>
          <w:tcPr>
            <w:tcW w:w="1642" w:type="pct"/>
            <w:gridSpan w:val="3"/>
            <w:vAlign w:val="center"/>
          </w:tcPr>
          <w:p w:rsidR="00205FD7" w:rsidRPr="007F33F1" w:rsidRDefault="00205FD7" w:rsidP="0047221E">
            <w:pPr>
              <w:pStyle w:val="TableText0"/>
              <w:jc w:val="center"/>
              <w:rPr>
                <w:b/>
                <w:bCs w:val="0"/>
              </w:rPr>
            </w:pPr>
            <w:r w:rsidRPr="007F33F1">
              <w:rPr>
                <w:b/>
                <w:bCs w:val="0"/>
              </w:rPr>
              <w:t>iNNOVATE</w:t>
            </w:r>
          </w:p>
        </w:tc>
        <w:tc>
          <w:tcPr>
            <w:tcW w:w="859" w:type="pct"/>
            <w:vAlign w:val="center"/>
          </w:tcPr>
          <w:p w:rsidR="00205FD7" w:rsidRPr="007F33F1" w:rsidRDefault="00205FD7" w:rsidP="0047221E">
            <w:pPr>
              <w:pStyle w:val="TableText0"/>
              <w:jc w:val="center"/>
              <w:rPr>
                <w:b/>
                <w:bCs w:val="0"/>
              </w:rPr>
            </w:pPr>
            <w:r w:rsidRPr="007F33F1">
              <w:rPr>
                <w:b/>
                <w:bCs w:val="0"/>
              </w:rPr>
              <w:t>ITC</w:t>
            </w:r>
            <w:r w:rsidR="00A22004" w:rsidRPr="007F33F1">
              <w:t xml:space="preserve"> (</w:t>
            </w:r>
            <w:r w:rsidR="00A22004" w:rsidRPr="007F33F1">
              <w:rPr>
                <w:b/>
                <w:bCs w:val="0"/>
              </w:rPr>
              <w:t>ZANU vs Rm)*</w:t>
            </w:r>
          </w:p>
        </w:tc>
      </w:tr>
      <w:tr w:rsidR="00205FD7" w:rsidRPr="007F33F1" w:rsidTr="00205FD7">
        <w:tc>
          <w:tcPr>
            <w:tcW w:w="858" w:type="pct"/>
            <w:tcBorders>
              <w:top w:val="nil"/>
            </w:tcBorders>
            <w:vAlign w:val="center"/>
          </w:tcPr>
          <w:p w:rsidR="00205FD7" w:rsidRPr="007F33F1" w:rsidRDefault="00205FD7" w:rsidP="0047221E">
            <w:pPr>
              <w:pStyle w:val="TableText0"/>
              <w:jc w:val="left"/>
            </w:pPr>
            <w:r w:rsidRPr="007F33F1">
              <w:rPr>
                <w:b/>
              </w:rPr>
              <w:t>Outcomes</w:t>
            </w:r>
          </w:p>
        </w:tc>
        <w:tc>
          <w:tcPr>
            <w:tcW w:w="469" w:type="pct"/>
            <w:shd w:val="clear" w:color="auto" w:fill="DBE5F1" w:themeFill="accent1" w:themeFillTint="33"/>
            <w:vAlign w:val="center"/>
          </w:tcPr>
          <w:p w:rsidR="00205FD7" w:rsidRPr="007F33F1" w:rsidRDefault="00205FD7" w:rsidP="0047221E">
            <w:pPr>
              <w:pStyle w:val="TableText0"/>
              <w:jc w:val="center"/>
              <w:rPr>
                <w:b/>
                <w:color w:val="000000"/>
              </w:rPr>
            </w:pPr>
            <w:r w:rsidRPr="007F33F1">
              <w:rPr>
                <w:b/>
                <w:color w:val="000000"/>
              </w:rPr>
              <w:t>IBRU</w:t>
            </w:r>
          </w:p>
          <w:p w:rsidR="00205FD7" w:rsidRPr="007F33F1" w:rsidRDefault="00205FD7" w:rsidP="0047221E">
            <w:pPr>
              <w:pStyle w:val="TableText0"/>
              <w:jc w:val="center"/>
            </w:pPr>
            <w:r w:rsidRPr="007F33F1">
              <w:rPr>
                <w:b/>
                <w:color w:val="000000"/>
              </w:rPr>
              <w:t>n/N (%)</w:t>
            </w:r>
          </w:p>
        </w:tc>
        <w:tc>
          <w:tcPr>
            <w:tcW w:w="547" w:type="pct"/>
            <w:vAlign w:val="center"/>
          </w:tcPr>
          <w:p w:rsidR="00205FD7" w:rsidRPr="007F33F1" w:rsidRDefault="00205FD7" w:rsidP="0047221E">
            <w:pPr>
              <w:pStyle w:val="TableText0"/>
              <w:jc w:val="center"/>
              <w:rPr>
                <w:b/>
                <w:color w:val="000000"/>
              </w:rPr>
            </w:pPr>
            <w:r w:rsidRPr="007F33F1">
              <w:rPr>
                <w:b/>
                <w:color w:val="000000"/>
              </w:rPr>
              <w:t>ZANU</w:t>
            </w:r>
          </w:p>
          <w:p w:rsidR="00205FD7" w:rsidRPr="007F33F1" w:rsidRDefault="00205FD7" w:rsidP="0047221E">
            <w:pPr>
              <w:pStyle w:val="TableText0"/>
              <w:jc w:val="center"/>
            </w:pPr>
            <w:r w:rsidRPr="007F33F1">
              <w:rPr>
                <w:b/>
                <w:color w:val="000000"/>
              </w:rPr>
              <w:t>n/N (%)</w:t>
            </w:r>
          </w:p>
        </w:tc>
        <w:tc>
          <w:tcPr>
            <w:tcW w:w="625" w:type="pct"/>
            <w:vAlign w:val="center"/>
          </w:tcPr>
          <w:p w:rsidR="00205FD7" w:rsidRPr="007F33F1" w:rsidRDefault="00205FD7" w:rsidP="0047221E">
            <w:pPr>
              <w:pStyle w:val="TableText0"/>
              <w:jc w:val="center"/>
              <w:rPr>
                <w:b/>
                <w:color w:val="000000"/>
              </w:rPr>
            </w:pPr>
            <w:r w:rsidRPr="007F33F1">
              <w:rPr>
                <w:b/>
                <w:color w:val="000000"/>
              </w:rPr>
              <w:t>IBRU v ZANU</w:t>
            </w:r>
          </w:p>
          <w:p w:rsidR="00205FD7" w:rsidRPr="007F33F1" w:rsidRDefault="00205FD7" w:rsidP="0047221E">
            <w:pPr>
              <w:pStyle w:val="TableText0"/>
              <w:jc w:val="center"/>
            </w:pPr>
            <w:r w:rsidRPr="007F33F1">
              <w:rPr>
                <w:b/>
                <w:color w:val="000000"/>
              </w:rPr>
              <w:t>RR</w:t>
            </w:r>
            <w:r w:rsidRPr="007F33F1">
              <w:rPr>
                <w:b/>
              </w:rPr>
              <w:t xml:space="preserve"> (95% CI)</w:t>
            </w:r>
          </w:p>
        </w:tc>
        <w:tc>
          <w:tcPr>
            <w:tcW w:w="469" w:type="pct"/>
            <w:shd w:val="clear" w:color="auto" w:fill="DBE5F1" w:themeFill="accent1" w:themeFillTint="33"/>
            <w:vAlign w:val="center"/>
          </w:tcPr>
          <w:p w:rsidR="00205FD7" w:rsidRPr="007F33F1" w:rsidRDefault="00205FD7" w:rsidP="0047221E">
            <w:pPr>
              <w:pStyle w:val="TableText0"/>
              <w:jc w:val="center"/>
              <w:rPr>
                <w:b/>
                <w:color w:val="000000"/>
              </w:rPr>
            </w:pPr>
            <w:r w:rsidRPr="007F33F1">
              <w:rPr>
                <w:b/>
                <w:color w:val="000000"/>
              </w:rPr>
              <w:t>IBRU+R</w:t>
            </w:r>
          </w:p>
          <w:p w:rsidR="00205FD7" w:rsidRPr="007F33F1" w:rsidRDefault="00205FD7" w:rsidP="0047221E">
            <w:pPr>
              <w:pStyle w:val="TableText0"/>
              <w:jc w:val="center"/>
            </w:pPr>
            <w:r w:rsidRPr="007F33F1">
              <w:rPr>
                <w:b/>
                <w:color w:val="000000"/>
              </w:rPr>
              <w:t>n/N (%)</w:t>
            </w:r>
          </w:p>
        </w:tc>
        <w:tc>
          <w:tcPr>
            <w:tcW w:w="469" w:type="pct"/>
            <w:vAlign w:val="center"/>
          </w:tcPr>
          <w:p w:rsidR="00205FD7" w:rsidRPr="007F33F1" w:rsidRDefault="00205FD7" w:rsidP="0047221E">
            <w:pPr>
              <w:pStyle w:val="TableText0"/>
              <w:jc w:val="center"/>
              <w:rPr>
                <w:b/>
                <w:color w:val="000000"/>
              </w:rPr>
            </w:pPr>
            <w:r w:rsidRPr="007F33F1">
              <w:rPr>
                <w:b/>
                <w:color w:val="000000"/>
              </w:rPr>
              <w:t>Rm</w:t>
            </w:r>
          </w:p>
          <w:p w:rsidR="00205FD7" w:rsidRPr="007F33F1" w:rsidRDefault="00205FD7" w:rsidP="0047221E">
            <w:pPr>
              <w:pStyle w:val="TableText0"/>
              <w:jc w:val="center"/>
            </w:pPr>
            <w:r w:rsidRPr="007F33F1">
              <w:rPr>
                <w:b/>
                <w:color w:val="000000"/>
              </w:rPr>
              <w:t>n/N (%)</w:t>
            </w:r>
          </w:p>
        </w:tc>
        <w:tc>
          <w:tcPr>
            <w:tcW w:w="704" w:type="pct"/>
            <w:vAlign w:val="center"/>
          </w:tcPr>
          <w:p w:rsidR="00205FD7" w:rsidRPr="007F33F1" w:rsidRDefault="00205FD7" w:rsidP="0047221E">
            <w:pPr>
              <w:pStyle w:val="TableText0"/>
              <w:jc w:val="center"/>
              <w:rPr>
                <w:b/>
                <w:color w:val="000000"/>
              </w:rPr>
            </w:pPr>
            <w:r w:rsidRPr="007F33F1">
              <w:rPr>
                <w:b/>
                <w:color w:val="000000"/>
              </w:rPr>
              <w:t>IBRU+R vs Rm</w:t>
            </w:r>
          </w:p>
          <w:p w:rsidR="00205FD7" w:rsidRPr="007F33F1" w:rsidRDefault="00205FD7" w:rsidP="0047221E">
            <w:pPr>
              <w:pStyle w:val="TableText0"/>
              <w:jc w:val="center"/>
            </w:pPr>
            <w:r w:rsidRPr="007F33F1">
              <w:rPr>
                <w:b/>
                <w:color w:val="000000"/>
              </w:rPr>
              <w:t>RR (95%CI)</w:t>
            </w:r>
          </w:p>
        </w:tc>
        <w:tc>
          <w:tcPr>
            <w:tcW w:w="859" w:type="pct"/>
            <w:vAlign w:val="center"/>
          </w:tcPr>
          <w:p w:rsidR="00205FD7" w:rsidRPr="007F33F1" w:rsidRDefault="00205FD7" w:rsidP="0047221E">
            <w:pPr>
              <w:pStyle w:val="TableText0"/>
              <w:jc w:val="center"/>
              <w:rPr>
                <w:b/>
              </w:rPr>
            </w:pPr>
            <w:r w:rsidRPr="007F33F1">
              <w:rPr>
                <w:b/>
              </w:rPr>
              <w:t>RR (95% CI)</w:t>
            </w:r>
          </w:p>
          <w:p w:rsidR="00205FD7" w:rsidRPr="007F33F1" w:rsidRDefault="00205FD7" w:rsidP="0047221E">
            <w:pPr>
              <w:pStyle w:val="TableText0"/>
              <w:jc w:val="center"/>
            </w:pPr>
            <w:r w:rsidRPr="007F33F1">
              <w:rPr>
                <w:b/>
              </w:rPr>
              <w:t>p value</w:t>
            </w:r>
          </w:p>
        </w:tc>
      </w:tr>
      <w:tr w:rsidR="00205FD7" w:rsidRPr="007F33F1" w:rsidTr="00205FD7">
        <w:tc>
          <w:tcPr>
            <w:tcW w:w="858" w:type="pct"/>
            <w:vAlign w:val="center"/>
          </w:tcPr>
          <w:p w:rsidR="00205FD7" w:rsidRPr="007F33F1" w:rsidRDefault="00205FD7" w:rsidP="0047221E">
            <w:pPr>
              <w:pStyle w:val="TableText0"/>
              <w:jc w:val="left"/>
            </w:pPr>
            <w:r w:rsidRPr="007F33F1">
              <w:rPr>
                <w:color w:val="000000"/>
              </w:rPr>
              <w:t>Hypertension</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12/99 (12)</w:t>
            </w:r>
          </w:p>
        </w:tc>
        <w:tc>
          <w:tcPr>
            <w:tcW w:w="547" w:type="pct"/>
            <w:vAlign w:val="center"/>
          </w:tcPr>
          <w:p w:rsidR="00205FD7" w:rsidRPr="007F33F1" w:rsidRDefault="00205FD7" w:rsidP="0047221E">
            <w:pPr>
              <w:pStyle w:val="TableText0"/>
              <w:jc w:val="center"/>
              <w:rPr>
                <w:color w:val="000000"/>
              </w:rPr>
            </w:pPr>
            <w:r w:rsidRPr="007F33F1">
              <w:rPr>
                <w:color w:val="000000"/>
              </w:rPr>
              <w:t>6/102 (6)</w:t>
            </w:r>
          </w:p>
        </w:tc>
        <w:tc>
          <w:tcPr>
            <w:tcW w:w="625" w:type="pct"/>
            <w:vAlign w:val="center"/>
          </w:tcPr>
          <w:p w:rsidR="00205FD7" w:rsidRPr="007F33F1" w:rsidRDefault="00205FD7" w:rsidP="0047221E">
            <w:pPr>
              <w:pStyle w:val="TableText0"/>
              <w:jc w:val="center"/>
              <w:rPr>
                <w:color w:val="000000"/>
              </w:rPr>
            </w:pPr>
            <w:r w:rsidRPr="007F33F1">
              <w:rPr>
                <w:color w:val="000000"/>
              </w:rPr>
              <w:t>2.06</w:t>
            </w:r>
          </w:p>
          <w:p w:rsidR="00205FD7" w:rsidRPr="007F33F1" w:rsidRDefault="00205FD7" w:rsidP="0047221E">
            <w:pPr>
              <w:pStyle w:val="TableText0"/>
              <w:jc w:val="center"/>
              <w:rPr>
                <w:color w:val="000000"/>
              </w:rPr>
            </w:pPr>
            <w:r w:rsidRPr="007F33F1">
              <w:rPr>
                <w:color w:val="000000"/>
              </w:rPr>
              <w:t>(0.81, 5.28)</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10/75 (13)</w:t>
            </w:r>
          </w:p>
        </w:tc>
        <w:tc>
          <w:tcPr>
            <w:tcW w:w="469" w:type="pct"/>
            <w:vAlign w:val="center"/>
          </w:tcPr>
          <w:p w:rsidR="00205FD7" w:rsidRPr="007F33F1" w:rsidRDefault="00205FD7" w:rsidP="0047221E">
            <w:pPr>
              <w:pStyle w:val="TableText0"/>
              <w:jc w:val="center"/>
              <w:rPr>
                <w:color w:val="000000"/>
              </w:rPr>
            </w:pPr>
            <w:r w:rsidRPr="007F33F1">
              <w:rPr>
                <w:color w:val="000000"/>
              </w:rPr>
              <w:t>3/75 (4)</w:t>
            </w:r>
          </w:p>
        </w:tc>
        <w:tc>
          <w:tcPr>
            <w:tcW w:w="704" w:type="pct"/>
            <w:vAlign w:val="center"/>
          </w:tcPr>
          <w:p w:rsidR="00205FD7" w:rsidRPr="007F33F1" w:rsidRDefault="00205FD7" w:rsidP="0047221E">
            <w:pPr>
              <w:pStyle w:val="TableText0"/>
              <w:jc w:val="center"/>
              <w:rPr>
                <w:color w:val="000000"/>
              </w:rPr>
            </w:pPr>
            <w:r w:rsidRPr="007F33F1">
              <w:rPr>
                <w:color w:val="000000"/>
              </w:rPr>
              <w:t>3.33</w:t>
            </w:r>
          </w:p>
          <w:p w:rsidR="00205FD7" w:rsidRPr="007F33F1" w:rsidRDefault="00205FD7" w:rsidP="0047221E">
            <w:pPr>
              <w:pStyle w:val="TableText0"/>
              <w:jc w:val="center"/>
              <w:rPr>
                <w:color w:val="000000"/>
              </w:rPr>
            </w:pPr>
            <w:r w:rsidRPr="007F33F1">
              <w:rPr>
                <w:color w:val="000000"/>
              </w:rPr>
              <w:t>(0.96, 11.63)</w:t>
            </w:r>
          </w:p>
        </w:tc>
        <w:tc>
          <w:tcPr>
            <w:tcW w:w="859" w:type="pct"/>
            <w:vAlign w:val="center"/>
          </w:tcPr>
          <w:p w:rsidR="00205FD7" w:rsidRPr="007F33F1" w:rsidRDefault="00205FD7" w:rsidP="0047221E">
            <w:pPr>
              <w:pStyle w:val="TableText0"/>
              <w:jc w:val="center"/>
              <w:rPr>
                <w:color w:val="000000"/>
              </w:rPr>
            </w:pPr>
            <w:r w:rsidRPr="007F33F1">
              <w:rPr>
                <w:color w:val="000000"/>
              </w:rPr>
              <w:t>1.62 (0.34, 7.73)</w:t>
            </w:r>
          </w:p>
          <w:p w:rsidR="00205FD7" w:rsidRPr="007F33F1" w:rsidRDefault="00205FD7" w:rsidP="0047221E">
            <w:pPr>
              <w:pStyle w:val="TableText0"/>
              <w:jc w:val="center"/>
            </w:pPr>
            <w:r w:rsidRPr="007F33F1">
              <w:rPr>
                <w:color w:val="000000"/>
              </w:rPr>
              <w:t>p=0.5467</w:t>
            </w:r>
          </w:p>
        </w:tc>
      </w:tr>
      <w:tr w:rsidR="00205FD7" w:rsidRPr="007F33F1" w:rsidTr="00205FD7">
        <w:tc>
          <w:tcPr>
            <w:tcW w:w="858" w:type="pct"/>
            <w:vAlign w:val="center"/>
          </w:tcPr>
          <w:p w:rsidR="00205FD7" w:rsidRPr="007F33F1" w:rsidRDefault="00205FD7" w:rsidP="0047221E">
            <w:pPr>
              <w:pStyle w:val="TableText0"/>
              <w:jc w:val="left"/>
            </w:pPr>
            <w:r w:rsidRPr="007F33F1">
              <w:rPr>
                <w:color w:val="000000"/>
              </w:rPr>
              <w:t>AF</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3/99 (3)</w:t>
            </w:r>
          </w:p>
        </w:tc>
        <w:tc>
          <w:tcPr>
            <w:tcW w:w="547" w:type="pct"/>
            <w:vAlign w:val="center"/>
          </w:tcPr>
          <w:p w:rsidR="00205FD7" w:rsidRPr="007F33F1" w:rsidRDefault="00205FD7" w:rsidP="0047221E">
            <w:pPr>
              <w:pStyle w:val="TableText0"/>
              <w:jc w:val="center"/>
              <w:rPr>
                <w:color w:val="000000"/>
              </w:rPr>
            </w:pPr>
            <w:r w:rsidRPr="007F33F1">
              <w:rPr>
                <w:color w:val="000000"/>
              </w:rPr>
              <w:t>0/102 (0)</w:t>
            </w:r>
          </w:p>
        </w:tc>
        <w:tc>
          <w:tcPr>
            <w:tcW w:w="625" w:type="pct"/>
            <w:vAlign w:val="center"/>
          </w:tcPr>
          <w:p w:rsidR="00205FD7" w:rsidRPr="007F33F1" w:rsidRDefault="00205FD7" w:rsidP="0047221E">
            <w:pPr>
              <w:pStyle w:val="TableText0"/>
              <w:jc w:val="center"/>
              <w:rPr>
                <w:color w:val="000000"/>
              </w:rPr>
            </w:pPr>
            <w:r w:rsidRPr="007F33F1">
              <w:rPr>
                <w:color w:val="000000"/>
              </w:rPr>
              <w:t>7.21</w:t>
            </w:r>
          </w:p>
          <w:p w:rsidR="00205FD7" w:rsidRPr="007F33F1" w:rsidRDefault="00205FD7" w:rsidP="0047221E">
            <w:pPr>
              <w:pStyle w:val="TableText0"/>
              <w:jc w:val="center"/>
              <w:rPr>
                <w:color w:val="000000"/>
              </w:rPr>
            </w:pPr>
            <w:r w:rsidRPr="007F33F1">
              <w:rPr>
                <w:color w:val="000000"/>
              </w:rPr>
              <w:t>(0.38, 137.81)</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9/75 (12)</w:t>
            </w:r>
          </w:p>
        </w:tc>
        <w:tc>
          <w:tcPr>
            <w:tcW w:w="469" w:type="pct"/>
            <w:vAlign w:val="center"/>
          </w:tcPr>
          <w:p w:rsidR="00205FD7" w:rsidRPr="007F33F1" w:rsidRDefault="00205FD7" w:rsidP="0047221E">
            <w:pPr>
              <w:pStyle w:val="TableText0"/>
              <w:jc w:val="center"/>
              <w:rPr>
                <w:color w:val="000000"/>
              </w:rPr>
            </w:pPr>
            <w:r w:rsidRPr="007F33F1">
              <w:rPr>
                <w:color w:val="000000"/>
              </w:rPr>
              <w:t>1/75 (1)</w:t>
            </w:r>
          </w:p>
        </w:tc>
        <w:tc>
          <w:tcPr>
            <w:tcW w:w="704" w:type="pct"/>
            <w:vAlign w:val="center"/>
          </w:tcPr>
          <w:p w:rsidR="00205FD7" w:rsidRPr="007F33F1" w:rsidRDefault="00205FD7" w:rsidP="0047221E">
            <w:pPr>
              <w:pStyle w:val="TableText0"/>
              <w:jc w:val="center"/>
              <w:rPr>
                <w:color w:val="000000"/>
              </w:rPr>
            </w:pPr>
            <w:r w:rsidRPr="007F33F1">
              <w:rPr>
                <w:color w:val="000000"/>
              </w:rPr>
              <w:t>9.0</w:t>
            </w:r>
          </w:p>
          <w:p w:rsidR="00205FD7" w:rsidRPr="007F33F1" w:rsidRDefault="00205FD7" w:rsidP="0047221E">
            <w:pPr>
              <w:pStyle w:val="TableText0"/>
              <w:jc w:val="center"/>
              <w:rPr>
                <w:color w:val="000000"/>
              </w:rPr>
            </w:pPr>
            <w:r w:rsidRPr="007F33F1">
              <w:rPr>
                <w:color w:val="000000"/>
              </w:rPr>
              <w:t>(1.17, 69.29)</w:t>
            </w:r>
          </w:p>
        </w:tc>
        <w:tc>
          <w:tcPr>
            <w:tcW w:w="859" w:type="pct"/>
            <w:vAlign w:val="center"/>
          </w:tcPr>
          <w:p w:rsidR="00205FD7" w:rsidRPr="007F33F1" w:rsidRDefault="00205FD7" w:rsidP="0047221E">
            <w:pPr>
              <w:pStyle w:val="TableText0"/>
              <w:jc w:val="center"/>
              <w:rPr>
                <w:color w:val="000000"/>
              </w:rPr>
            </w:pPr>
            <w:r w:rsidRPr="007F33F1">
              <w:rPr>
                <w:color w:val="000000"/>
              </w:rPr>
              <w:t>1.25 (0.03, 45.12)</w:t>
            </w:r>
          </w:p>
          <w:p w:rsidR="00205FD7" w:rsidRPr="007F33F1" w:rsidRDefault="00205FD7" w:rsidP="0047221E">
            <w:pPr>
              <w:pStyle w:val="TableText0"/>
              <w:jc w:val="center"/>
            </w:pPr>
            <w:r w:rsidRPr="007F33F1">
              <w:rPr>
                <w:color w:val="000000"/>
              </w:rPr>
              <w:t>p=0.9036</w:t>
            </w:r>
          </w:p>
        </w:tc>
      </w:tr>
      <w:tr w:rsidR="00205FD7" w:rsidRPr="007F33F1" w:rsidTr="00205FD7">
        <w:tc>
          <w:tcPr>
            <w:tcW w:w="858" w:type="pct"/>
            <w:vAlign w:val="center"/>
          </w:tcPr>
          <w:p w:rsidR="00205FD7" w:rsidRPr="007F33F1" w:rsidRDefault="00205FD7" w:rsidP="0047221E">
            <w:pPr>
              <w:pStyle w:val="TableText0"/>
              <w:jc w:val="left"/>
            </w:pPr>
            <w:r w:rsidRPr="007F33F1">
              <w:rPr>
                <w:color w:val="000000"/>
              </w:rPr>
              <w:t>Anaemia</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5/99 (5)</w:t>
            </w:r>
          </w:p>
        </w:tc>
        <w:tc>
          <w:tcPr>
            <w:tcW w:w="547" w:type="pct"/>
            <w:vAlign w:val="center"/>
          </w:tcPr>
          <w:p w:rsidR="00205FD7" w:rsidRPr="007F33F1" w:rsidRDefault="00205FD7" w:rsidP="0047221E">
            <w:pPr>
              <w:pStyle w:val="TableText0"/>
              <w:jc w:val="center"/>
              <w:rPr>
                <w:color w:val="000000"/>
              </w:rPr>
            </w:pPr>
            <w:r w:rsidRPr="007F33F1">
              <w:rPr>
                <w:color w:val="000000"/>
              </w:rPr>
              <w:t>5/102 (5)</w:t>
            </w:r>
          </w:p>
        </w:tc>
        <w:tc>
          <w:tcPr>
            <w:tcW w:w="625" w:type="pct"/>
            <w:vAlign w:val="center"/>
          </w:tcPr>
          <w:p w:rsidR="00205FD7" w:rsidRPr="007F33F1" w:rsidRDefault="00205FD7" w:rsidP="0047221E">
            <w:pPr>
              <w:pStyle w:val="TableText0"/>
              <w:jc w:val="center"/>
              <w:rPr>
                <w:color w:val="000000"/>
              </w:rPr>
            </w:pPr>
            <w:r w:rsidRPr="007F33F1">
              <w:rPr>
                <w:color w:val="000000"/>
              </w:rPr>
              <w:t>1.03</w:t>
            </w:r>
          </w:p>
          <w:p w:rsidR="00205FD7" w:rsidRPr="007F33F1" w:rsidRDefault="00205FD7" w:rsidP="0047221E">
            <w:pPr>
              <w:pStyle w:val="TableText0"/>
              <w:jc w:val="center"/>
              <w:rPr>
                <w:color w:val="000000"/>
              </w:rPr>
            </w:pPr>
            <w:r w:rsidRPr="007F33F1">
              <w:rPr>
                <w:color w:val="000000"/>
              </w:rPr>
              <w:t>(0.31, 3.45)</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8/75 (11)</w:t>
            </w:r>
          </w:p>
        </w:tc>
        <w:tc>
          <w:tcPr>
            <w:tcW w:w="469" w:type="pct"/>
            <w:vAlign w:val="center"/>
          </w:tcPr>
          <w:p w:rsidR="00205FD7" w:rsidRPr="007F33F1" w:rsidRDefault="00205FD7" w:rsidP="0047221E">
            <w:pPr>
              <w:pStyle w:val="TableText0"/>
              <w:jc w:val="center"/>
              <w:rPr>
                <w:color w:val="000000"/>
              </w:rPr>
            </w:pPr>
            <w:r w:rsidRPr="007F33F1">
              <w:rPr>
                <w:color w:val="000000"/>
              </w:rPr>
              <w:t>13/75 (17)</w:t>
            </w:r>
          </w:p>
        </w:tc>
        <w:tc>
          <w:tcPr>
            <w:tcW w:w="704" w:type="pct"/>
            <w:vAlign w:val="center"/>
          </w:tcPr>
          <w:p w:rsidR="00205FD7" w:rsidRPr="007F33F1" w:rsidRDefault="00205FD7" w:rsidP="0047221E">
            <w:pPr>
              <w:pStyle w:val="TableText0"/>
              <w:jc w:val="center"/>
              <w:rPr>
                <w:color w:val="000000"/>
              </w:rPr>
            </w:pPr>
            <w:r w:rsidRPr="007F33F1">
              <w:rPr>
                <w:color w:val="000000"/>
              </w:rPr>
              <w:t>0.61</w:t>
            </w:r>
          </w:p>
          <w:p w:rsidR="00205FD7" w:rsidRPr="007F33F1" w:rsidRDefault="00205FD7" w:rsidP="0047221E">
            <w:pPr>
              <w:pStyle w:val="TableText0"/>
              <w:jc w:val="center"/>
              <w:rPr>
                <w:color w:val="000000"/>
              </w:rPr>
            </w:pPr>
            <w:r w:rsidRPr="007F33F1">
              <w:rPr>
                <w:color w:val="000000"/>
              </w:rPr>
              <w:t>(0.27, 1.40)</w:t>
            </w:r>
          </w:p>
        </w:tc>
        <w:tc>
          <w:tcPr>
            <w:tcW w:w="859" w:type="pct"/>
            <w:vAlign w:val="center"/>
          </w:tcPr>
          <w:p w:rsidR="00205FD7" w:rsidRPr="007F33F1" w:rsidRDefault="00205FD7" w:rsidP="0047221E">
            <w:pPr>
              <w:pStyle w:val="TableText0"/>
              <w:jc w:val="center"/>
              <w:rPr>
                <w:color w:val="000000"/>
              </w:rPr>
            </w:pPr>
            <w:r w:rsidRPr="007F33F1">
              <w:rPr>
                <w:color w:val="000000"/>
              </w:rPr>
              <w:t>0.6 (0.14, 2.57)</w:t>
            </w:r>
          </w:p>
          <w:p w:rsidR="00205FD7" w:rsidRPr="007F33F1" w:rsidRDefault="00205FD7" w:rsidP="0047221E">
            <w:pPr>
              <w:pStyle w:val="TableText0"/>
              <w:jc w:val="center"/>
            </w:pPr>
            <w:r w:rsidRPr="007F33F1">
              <w:rPr>
                <w:color w:val="000000"/>
              </w:rPr>
              <w:t>p=0.4893</w:t>
            </w:r>
          </w:p>
        </w:tc>
      </w:tr>
      <w:tr w:rsidR="00205FD7" w:rsidRPr="007F33F1" w:rsidTr="00205FD7">
        <w:tc>
          <w:tcPr>
            <w:tcW w:w="858" w:type="pct"/>
            <w:vAlign w:val="center"/>
          </w:tcPr>
          <w:p w:rsidR="00205FD7" w:rsidRPr="007F33F1" w:rsidRDefault="00205FD7" w:rsidP="0047221E">
            <w:pPr>
              <w:pStyle w:val="TableText0"/>
              <w:jc w:val="left"/>
            </w:pPr>
            <w:r w:rsidRPr="007F33F1">
              <w:rPr>
                <w:color w:val="000000"/>
              </w:rPr>
              <w:t>Neutropenia</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8/99 (8)</w:t>
            </w:r>
          </w:p>
        </w:tc>
        <w:tc>
          <w:tcPr>
            <w:tcW w:w="547" w:type="pct"/>
            <w:vAlign w:val="center"/>
          </w:tcPr>
          <w:p w:rsidR="00205FD7" w:rsidRPr="007F33F1" w:rsidRDefault="00205FD7" w:rsidP="0047221E">
            <w:pPr>
              <w:pStyle w:val="TableText0"/>
              <w:jc w:val="center"/>
              <w:rPr>
                <w:color w:val="000000"/>
              </w:rPr>
            </w:pPr>
            <w:r w:rsidRPr="007F33F1">
              <w:rPr>
                <w:color w:val="000000"/>
              </w:rPr>
              <w:t>16/102 (16)</w:t>
            </w:r>
          </w:p>
        </w:tc>
        <w:tc>
          <w:tcPr>
            <w:tcW w:w="625" w:type="pct"/>
            <w:vAlign w:val="center"/>
          </w:tcPr>
          <w:p w:rsidR="00205FD7" w:rsidRPr="007F33F1" w:rsidRDefault="00205FD7" w:rsidP="0047221E">
            <w:pPr>
              <w:pStyle w:val="TableText0"/>
              <w:jc w:val="center"/>
              <w:rPr>
                <w:color w:val="000000"/>
              </w:rPr>
            </w:pPr>
            <w:r w:rsidRPr="007F33F1">
              <w:rPr>
                <w:color w:val="000000"/>
              </w:rPr>
              <w:t>0.51</w:t>
            </w:r>
          </w:p>
          <w:p w:rsidR="00205FD7" w:rsidRPr="007F33F1" w:rsidRDefault="00205FD7" w:rsidP="0047221E">
            <w:pPr>
              <w:pStyle w:val="TableText0"/>
              <w:jc w:val="center"/>
              <w:rPr>
                <w:color w:val="000000"/>
              </w:rPr>
            </w:pPr>
            <w:r w:rsidRPr="007F33F1">
              <w:rPr>
                <w:color w:val="000000"/>
              </w:rPr>
              <w:t>(0.23, 1.15)</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7/75 (9)</w:t>
            </w:r>
          </w:p>
        </w:tc>
        <w:tc>
          <w:tcPr>
            <w:tcW w:w="469" w:type="pct"/>
            <w:vAlign w:val="center"/>
          </w:tcPr>
          <w:p w:rsidR="00205FD7" w:rsidRPr="007F33F1" w:rsidRDefault="00205FD7" w:rsidP="0047221E">
            <w:pPr>
              <w:pStyle w:val="TableText0"/>
              <w:jc w:val="center"/>
              <w:rPr>
                <w:color w:val="000000"/>
              </w:rPr>
            </w:pPr>
            <w:r w:rsidRPr="007F33F1">
              <w:rPr>
                <w:color w:val="000000"/>
              </w:rPr>
              <w:t>2/75 (3)</w:t>
            </w:r>
          </w:p>
        </w:tc>
        <w:tc>
          <w:tcPr>
            <w:tcW w:w="704" w:type="pct"/>
            <w:vAlign w:val="center"/>
          </w:tcPr>
          <w:p w:rsidR="00205FD7" w:rsidRPr="007F33F1" w:rsidRDefault="00205FD7" w:rsidP="0047221E">
            <w:pPr>
              <w:pStyle w:val="TableText0"/>
              <w:jc w:val="center"/>
              <w:rPr>
                <w:color w:val="000000"/>
              </w:rPr>
            </w:pPr>
            <w:r w:rsidRPr="007F33F1">
              <w:rPr>
                <w:color w:val="000000"/>
              </w:rPr>
              <w:t>3.5</w:t>
            </w:r>
          </w:p>
          <w:p w:rsidR="00205FD7" w:rsidRPr="007F33F1" w:rsidRDefault="00205FD7" w:rsidP="0047221E">
            <w:pPr>
              <w:pStyle w:val="TableText0"/>
              <w:jc w:val="center"/>
              <w:rPr>
                <w:color w:val="000000"/>
              </w:rPr>
            </w:pPr>
            <w:r w:rsidRPr="007F33F1">
              <w:rPr>
                <w:color w:val="000000"/>
              </w:rPr>
              <w:t>(0.75, 16.30)</w:t>
            </w:r>
          </w:p>
        </w:tc>
        <w:tc>
          <w:tcPr>
            <w:tcW w:w="859" w:type="pct"/>
            <w:vAlign w:val="center"/>
          </w:tcPr>
          <w:p w:rsidR="00205FD7" w:rsidRPr="007F33F1" w:rsidRDefault="00205FD7" w:rsidP="0047221E">
            <w:pPr>
              <w:pStyle w:val="TableText0"/>
              <w:jc w:val="center"/>
              <w:rPr>
                <w:color w:val="000000"/>
              </w:rPr>
            </w:pPr>
            <w:r w:rsidRPr="007F33F1">
              <w:rPr>
                <w:color w:val="000000"/>
              </w:rPr>
              <w:t>6.79 (1.2, 38.52)</w:t>
            </w:r>
          </w:p>
          <w:p w:rsidR="00205FD7" w:rsidRPr="007F33F1" w:rsidRDefault="00205FD7" w:rsidP="0047221E">
            <w:pPr>
              <w:pStyle w:val="TableText0"/>
              <w:jc w:val="center"/>
            </w:pPr>
            <w:r w:rsidRPr="007F33F1">
              <w:rPr>
                <w:color w:val="000000"/>
              </w:rPr>
              <w:t>p=0.0305</w:t>
            </w:r>
          </w:p>
        </w:tc>
      </w:tr>
      <w:tr w:rsidR="00205FD7" w:rsidRPr="007F33F1" w:rsidTr="00205FD7">
        <w:tc>
          <w:tcPr>
            <w:tcW w:w="858" w:type="pct"/>
            <w:vAlign w:val="center"/>
          </w:tcPr>
          <w:p w:rsidR="00205FD7" w:rsidRPr="007F33F1" w:rsidRDefault="00205FD7" w:rsidP="0047221E">
            <w:pPr>
              <w:pStyle w:val="TableText0"/>
              <w:jc w:val="left"/>
            </w:pPr>
            <w:r w:rsidRPr="007F33F1">
              <w:rPr>
                <w:color w:val="000000"/>
              </w:rPr>
              <w:t>Pneumonia</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7/99 (7)</w:t>
            </w:r>
          </w:p>
        </w:tc>
        <w:tc>
          <w:tcPr>
            <w:tcW w:w="547" w:type="pct"/>
            <w:vAlign w:val="center"/>
          </w:tcPr>
          <w:p w:rsidR="00205FD7" w:rsidRPr="007F33F1" w:rsidRDefault="00205FD7" w:rsidP="0047221E">
            <w:pPr>
              <w:pStyle w:val="TableText0"/>
              <w:jc w:val="center"/>
              <w:rPr>
                <w:color w:val="000000"/>
              </w:rPr>
            </w:pPr>
            <w:r w:rsidRPr="007F33F1">
              <w:rPr>
                <w:color w:val="000000"/>
              </w:rPr>
              <w:t>1/102 (1)</w:t>
            </w:r>
          </w:p>
        </w:tc>
        <w:tc>
          <w:tcPr>
            <w:tcW w:w="625" w:type="pct"/>
            <w:vAlign w:val="center"/>
          </w:tcPr>
          <w:p w:rsidR="00205FD7" w:rsidRPr="007F33F1" w:rsidRDefault="00205FD7" w:rsidP="0047221E">
            <w:pPr>
              <w:pStyle w:val="TableText0"/>
              <w:jc w:val="center"/>
              <w:rPr>
                <w:color w:val="000000"/>
              </w:rPr>
            </w:pPr>
            <w:r w:rsidRPr="007F33F1">
              <w:rPr>
                <w:color w:val="000000"/>
              </w:rPr>
              <w:t>7.21</w:t>
            </w:r>
          </w:p>
          <w:p w:rsidR="00205FD7" w:rsidRPr="007F33F1" w:rsidRDefault="00205FD7" w:rsidP="0047221E">
            <w:pPr>
              <w:pStyle w:val="TableText0"/>
              <w:jc w:val="center"/>
              <w:rPr>
                <w:color w:val="000000"/>
              </w:rPr>
            </w:pPr>
            <w:r w:rsidRPr="007F33F1">
              <w:rPr>
                <w:color w:val="000000"/>
              </w:rPr>
              <w:t>(0.91, 57.56)</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7/75 (9)</w:t>
            </w:r>
          </w:p>
        </w:tc>
        <w:tc>
          <w:tcPr>
            <w:tcW w:w="469" w:type="pct"/>
            <w:vAlign w:val="center"/>
          </w:tcPr>
          <w:p w:rsidR="00205FD7" w:rsidRPr="007F33F1" w:rsidRDefault="00205FD7" w:rsidP="0047221E">
            <w:pPr>
              <w:pStyle w:val="TableText0"/>
              <w:jc w:val="center"/>
              <w:rPr>
                <w:color w:val="000000"/>
              </w:rPr>
            </w:pPr>
            <w:r w:rsidRPr="007F33F1">
              <w:rPr>
                <w:color w:val="000000"/>
              </w:rPr>
              <w:t>2/75 (3)</w:t>
            </w:r>
          </w:p>
        </w:tc>
        <w:tc>
          <w:tcPr>
            <w:tcW w:w="704" w:type="pct"/>
            <w:vAlign w:val="center"/>
          </w:tcPr>
          <w:p w:rsidR="00205FD7" w:rsidRPr="007F33F1" w:rsidRDefault="00205FD7" w:rsidP="0047221E">
            <w:pPr>
              <w:pStyle w:val="TableText0"/>
              <w:jc w:val="center"/>
              <w:rPr>
                <w:color w:val="000000"/>
              </w:rPr>
            </w:pPr>
            <w:r w:rsidRPr="007F33F1">
              <w:rPr>
                <w:color w:val="000000"/>
              </w:rPr>
              <w:t>3.5</w:t>
            </w:r>
          </w:p>
          <w:p w:rsidR="00205FD7" w:rsidRPr="007F33F1" w:rsidRDefault="00205FD7" w:rsidP="0047221E">
            <w:pPr>
              <w:pStyle w:val="TableText0"/>
              <w:jc w:val="center"/>
              <w:rPr>
                <w:color w:val="000000"/>
              </w:rPr>
            </w:pPr>
            <w:r w:rsidRPr="007F33F1">
              <w:rPr>
                <w:color w:val="000000"/>
              </w:rPr>
              <w:t>(0.75, 16.30)</w:t>
            </w:r>
          </w:p>
        </w:tc>
        <w:tc>
          <w:tcPr>
            <w:tcW w:w="859" w:type="pct"/>
            <w:vAlign w:val="center"/>
          </w:tcPr>
          <w:p w:rsidR="00205FD7" w:rsidRPr="007F33F1" w:rsidRDefault="00205FD7" w:rsidP="0047221E">
            <w:pPr>
              <w:pStyle w:val="TableText0"/>
              <w:jc w:val="center"/>
              <w:rPr>
                <w:color w:val="000000"/>
              </w:rPr>
            </w:pPr>
            <w:r w:rsidRPr="007F33F1">
              <w:rPr>
                <w:color w:val="000000"/>
              </w:rPr>
              <w:t>0.49 (0.04, 6.44)</w:t>
            </w:r>
          </w:p>
          <w:p w:rsidR="00205FD7" w:rsidRPr="007F33F1" w:rsidRDefault="00205FD7" w:rsidP="0047221E">
            <w:pPr>
              <w:pStyle w:val="TableText0"/>
              <w:jc w:val="center"/>
            </w:pPr>
            <w:r w:rsidRPr="007F33F1">
              <w:rPr>
                <w:color w:val="000000"/>
              </w:rPr>
              <w:t>p=0.5835</w:t>
            </w:r>
          </w:p>
        </w:tc>
      </w:tr>
      <w:tr w:rsidR="00205FD7" w:rsidRPr="007F33F1" w:rsidTr="00205FD7">
        <w:tc>
          <w:tcPr>
            <w:tcW w:w="858" w:type="pct"/>
            <w:vAlign w:val="center"/>
          </w:tcPr>
          <w:p w:rsidR="00205FD7" w:rsidRPr="007F33F1" w:rsidRDefault="00205FD7" w:rsidP="0047221E">
            <w:pPr>
              <w:pStyle w:val="TableText0"/>
              <w:jc w:val="left"/>
              <w:rPr>
                <w:rFonts w:cstheme="minorBidi"/>
              </w:rPr>
            </w:pPr>
            <w:r w:rsidRPr="007F33F1">
              <w:rPr>
                <w:rFonts w:cstheme="minorBidi"/>
                <w:color w:val="000000" w:themeColor="text1"/>
              </w:rPr>
              <w:t>Thrombocytopenia</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3/99 (3)</w:t>
            </w:r>
          </w:p>
        </w:tc>
        <w:tc>
          <w:tcPr>
            <w:tcW w:w="547" w:type="pct"/>
            <w:vAlign w:val="center"/>
          </w:tcPr>
          <w:p w:rsidR="00205FD7" w:rsidRPr="007F33F1" w:rsidRDefault="00205FD7" w:rsidP="0047221E">
            <w:pPr>
              <w:pStyle w:val="TableText0"/>
              <w:jc w:val="center"/>
              <w:rPr>
                <w:color w:val="000000"/>
              </w:rPr>
            </w:pPr>
            <w:r w:rsidRPr="007F33F1">
              <w:rPr>
                <w:color w:val="000000"/>
              </w:rPr>
              <w:t>6/102 (6)</w:t>
            </w:r>
          </w:p>
        </w:tc>
        <w:tc>
          <w:tcPr>
            <w:tcW w:w="625" w:type="pct"/>
            <w:vAlign w:val="center"/>
          </w:tcPr>
          <w:p w:rsidR="00205FD7" w:rsidRPr="007F33F1" w:rsidRDefault="00205FD7" w:rsidP="0047221E">
            <w:pPr>
              <w:pStyle w:val="TableText0"/>
              <w:jc w:val="center"/>
              <w:rPr>
                <w:color w:val="000000"/>
              </w:rPr>
            </w:pPr>
            <w:r w:rsidRPr="007F33F1">
              <w:rPr>
                <w:color w:val="000000"/>
              </w:rPr>
              <w:t>0.52</w:t>
            </w:r>
          </w:p>
          <w:p w:rsidR="00205FD7" w:rsidRPr="007F33F1" w:rsidRDefault="00205FD7" w:rsidP="0047221E">
            <w:pPr>
              <w:pStyle w:val="TableText0"/>
              <w:jc w:val="center"/>
              <w:rPr>
                <w:color w:val="000000"/>
              </w:rPr>
            </w:pPr>
            <w:r w:rsidRPr="007F33F1">
              <w:rPr>
                <w:color w:val="000000"/>
              </w:rPr>
              <w:t>(0.13, 2.00)</w:t>
            </w:r>
          </w:p>
        </w:tc>
        <w:tc>
          <w:tcPr>
            <w:tcW w:w="469" w:type="pct"/>
            <w:shd w:val="clear" w:color="auto" w:fill="DBE5F1" w:themeFill="accent1" w:themeFillTint="33"/>
            <w:vAlign w:val="center"/>
          </w:tcPr>
          <w:p w:rsidR="00205FD7" w:rsidRPr="007F33F1" w:rsidRDefault="00205FD7" w:rsidP="0047221E">
            <w:pPr>
              <w:pStyle w:val="TableText0"/>
              <w:jc w:val="center"/>
              <w:rPr>
                <w:color w:val="000000"/>
              </w:rPr>
            </w:pPr>
            <w:r w:rsidRPr="007F33F1">
              <w:rPr>
                <w:color w:val="000000"/>
              </w:rPr>
              <w:t>0/75 (0)</w:t>
            </w:r>
          </w:p>
        </w:tc>
        <w:tc>
          <w:tcPr>
            <w:tcW w:w="469" w:type="pct"/>
            <w:vAlign w:val="center"/>
          </w:tcPr>
          <w:p w:rsidR="00205FD7" w:rsidRPr="007F33F1" w:rsidRDefault="00205FD7" w:rsidP="0047221E">
            <w:pPr>
              <w:pStyle w:val="TableText0"/>
              <w:jc w:val="center"/>
              <w:rPr>
                <w:color w:val="000000"/>
              </w:rPr>
            </w:pPr>
            <w:r w:rsidRPr="007F33F1">
              <w:rPr>
                <w:color w:val="000000"/>
              </w:rPr>
              <w:t>4/75 (5)</w:t>
            </w:r>
          </w:p>
        </w:tc>
        <w:tc>
          <w:tcPr>
            <w:tcW w:w="704" w:type="pct"/>
            <w:vAlign w:val="center"/>
          </w:tcPr>
          <w:p w:rsidR="00205FD7" w:rsidRPr="007F33F1" w:rsidRDefault="00205FD7" w:rsidP="0047221E">
            <w:pPr>
              <w:pStyle w:val="TableText0"/>
              <w:jc w:val="center"/>
              <w:rPr>
                <w:color w:val="000000"/>
              </w:rPr>
            </w:pPr>
            <w:r w:rsidRPr="007F33F1">
              <w:rPr>
                <w:color w:val="000000"/>
              </w:rPr>
              <w:t>0.11</w:t>
            </w:r>
          </w:p>
          <w:p w:rsidR="00205FD7" w:rsidRPr="007F33F1" w:rsidRDefault="00205FD7" w:rsidP="0047221E">
            <w:pPr>
              <w:pStyle w:val="TableText0"/>
              <w:jc w:val="center"/>
              <w:rPr>
                <w:color w:val="000000"/>
              </w:rPr>
            </w:pPr>
            <w:r w:rsidRPr="007F33F1">
              <w:rPr>
                <w:color w:val="000000"/>
              </w:rPr>
              <w:t>(0.01, 2.03)</w:t>
            </w:r>
          </w:p>
        </w:tc>
        <w:tc>
          <w:tcPr>
            <w:tcW w:w="859" w:type="pct"/>
            <w:vAlign w:val="center"/>
          </w:tcPr>
          <w:p w:rsidR="00205FD7" w:rsidRPr="007F33F1" w:rsidRDefault="00205FD7" w:rsidP="0047221E">
            <w:pPr>
              <w:pStyle w:val="TableText0"/>
              <w:jc w:val="center"/>
              <w:rPr>
                <w:color w:val="000000"/>
              </w:rPr>
            </w:pPr>
            <w:r w:rsidRPr="007F33F1">
              <w:rPr>
                <w:color w:val="000000"/>
              </w:rPr>
              <w:t>0.22 (0.01, 5.32)</w:t>
            </w:r>
          </w:p>
          <w:p w:rsidR="00205FD7" w:rsidRPr="007F33F1" w:rsidRDefault="00205FD7" w:rsidP="0047221E">
            <w:pPr>
              <w:pStyle w:val="TableText0"/>
              <w:jc w:val="center"/>
            </w:pPr>
            <w:r w:rsidRPr="007F33F1">
              <w:rPr>
                <w:color w:val="000000"/>
              </w:rPr>
              <w:t>p=0.3482</w:t>
            </w:r>
          </w:p>
        </w:tc>
      </w:tr>
    </w:tbl>
    <w:p w:rsidR="00205FD7" w:rsidRPr="007F33F1" w:rsidRDefault="00205FD7" w:rsidP="0047221E">
      <w:pPr>
        <w:pStyle w:val="TableFigureFooter"/>
      </w:pPr>
      <w:r w:rsidRPr="007F33F1">
        <w:t>Highlighted cells represent the ‘common’ comparator arm</w:t>
      </w:r>
      <w:r w:rsidR="005D1BB9" w:rsidRPr="007F33F1">
        <w:t>.</w:t>
      </w:r>
    </w:p>
    <w:p w:rsidR="00205FD7" w:rsidRPr="007F33F1" w:rsidRDefault="00205FD7" w:rsidP="0047221E">
      <w:pPr>
        <w:pStyle w:val="TableFigureFooter"/>
      </w:pPr>
      <w:r w:rsidRPr="007F33F1">
        <w:t>Source: Table 2.62, p130 of the submission.</w:t>
      </w:r>
    </w:p>
    <w:p w:rsidR="005D1BB9" w:rsidRPr="007F33F1" w:rsidRDefault="005D1BB9" w:rsidP="0047221E">
      <w:pPr>
        <w:pStyle w:val="TableFigureFooter"/>
      </w:pPr>
      <w:r w:rsidRPr="007F33F1">
        <w:t>CI=confidence interval, IBRU=ibrutinib, ITC=indirect treatment comparison, Rm=rituximab monotherapy, RR=risk ratio, ZANU=zanubrutinib.</w:t>
      </w:r>
    </w:p>
    <w:p w:rsidR="00205FD7" w:rsidRPr="007F33F1" w:rsidRDefault="00205FD7" w:rsidP="0047221E">
      <w:pPr>
        <w:pStyle w:val="TableFigureFooter"/>
      </w:pPr>
      <w:r w:rsidRPr="007F33F1">
        <w:t>* Indirect estimate of effect adjusted for the common reference.</w:t>
      </w:r>
    </w:p>
    <w:p w:rsidR="00205FD7" w:rsidRPr="007F33F1" w:rsidRDefault="00205FD7" w:rsidP="0047221E">
      <w:pPr>
        <w:pStyle w:val="3-BodyText"/>
        <w:rPr>
          <w:iCs/>
        </w:rPr>
      </w:pPr>
      <w:bookmarkStart w:id="56" w:name="_Ref75259533"/>
      <w:r w:rsidRPr="007F33F1">
        <w:rPr>
          <w:iCs/>
        </w:rPr>
        <w:t>The results of the ITC may not be applicable to the requested TN population since the combined TN/RR population was used as proxy for the TN population. However,</w:t>
      </w:r>
      <w:r w:rsidR="0028368A" w:rsidRPr="007F33F1">
        <w:rPr>
          <w:iCs/>
        </w:rPr>
        <w:t xml:space="preserve"> use of the ITT instead of the TN population may have had minimal impact on the ITC</w:t>
      </w:r>
      <w:r w:rsidRPr="007F33F1">
        <w:rPr>
          <w:iCs/>
        </w:rPr>
        <w:t xml:space="preserve"> as the reported response outcomes for </w:t>
      </w:r>
      <w:r w:rsidR="00BE77FA" w:rsidRPr="007F33F1">
        <w:rPr>
          <w:iCs/>
        </w:rPr>
        <w:t>zanubrutinib</w:t>
      </w:r>
      <w:r w:rsidRPr="007F33F1">
        <w:rPr>
          <w:iCs/>
        </w:rPr>
        <w:t xml:space="preserve"> appeared to be reasonably consistent in the ITT/TN/RR populations for MRR, ORR, VGPR and MR.</w:t>
      </w:r>
      <w:bookmarkEnd w:id="56"/>
    </w:p>
    <w:p w:rsidR="00205FD7" w:rsidRPr="007F33F1" w:rsidRDefault="00205FD7" w:rsidP="0047221E">
      <w:pPr>
        <w:pStyle w:val="3-BodyText"/>
        <w:rPr>
          <w:iCs/>
        </w:rPr>
      </w:pPr>
      <w:r w:rsidRPr="007F33F1">
        <w:rPr>
          <w:rFonts w:eastAsia="Calibri"/>
          <w:iCs/>
        </w:rPr>
        <w:t xml:space="preserve">Overall, the submission concluded that the ITCs supported a clinical claim of superior efficacy of </w:t>
      </w:r>
      <w:r w:rsidR="00BE77FA" w:rsidRPr="007F33F1">
        <w:rPr>
          <w:rFonts w:eastAsia="Calibri"/>
          <w:iCs/>
        </w:rPr>
        <w:t>zanubrutinib</w:t>
      </w:r>
      <w:r w:rsidRPr="007F33F1">
        <w:rPr>
          <w:rFonts w:eastAsia="Calibri"/>
          <w:iCs/>
        </w:rPr>
        <w:t xml:space="preserve"> compared to Rm. Despite the caveats noted</w:t>
      </w:r>
      <w:r w:rsidR="00CF378D" w:rsidRPr="007F33F1">
        <w:rPr>
          <w:rFonts w:eastAsia="Calibri"/>
          <w:iCs/>
        </w:rPr>
        <w:t>,</w:t>
      </w:r>
      <w:r w:rsidR="006B1FE2" w:rsidRPr="007F33F1">
        <w:rPr>
          <w:rFonts w:eastAsia="Calibri"/>
          <w:iCs/>
        </w:rPr>
        <w:t xml:space="preserve"> </w:t>
      </w:r>
      <w:r w:rsidRPr="007F33F1">
        <w:rPr>
          <w:rFonts w:eastAsia="Calibri"/>
          <w:iCs/>
        </w:rPr>
        <w:t xml:space="preserve">this claim may be reasonable in terms of response outcomes </w:t>
      </w:r>
      <w:bookmarkStart w:id="57" w:name="_Hlk79070865"/>
      <w:r w:rsidRPr="007F33F1">
        <w:rPr>
          <w:rFonts w:eastAsia="Calibri"/>
          <w:iCs/>
        </w:rPr>
        <w:t xml:space="preserve">given </w:t>
      </w:r>
      <w:bookmarkStart w:id="58" w:name="_Hlk79599387"/>
      <w:r w:rsidRPr="007F33F1">
        <w:rPr>
          <w:rFonts w:eastAsia="Calibri"/>
          <w:iCs/>
        </w:rPr>
        <w:t xml:space="preserve">iNNOVATE found </w:t>
      </w:r>
      <w:r w:rsidR="00BE77FA" w:rsidRPr="007F33F1">
        <w:rPr>
          <w:rFonts w:eastAsia="Calibri"/>
          <w:iCs/>
        </w:rPr>
        <w:t>ibrutinib</w:t>
      </w:r>
      <w:r w:rsidRPr="007F33F1">
        <w:rPr>
          <w:rFonts w:eastAsia="Calibri"/>
          <w:iCs/>
        </w:rPr>
        <w:t xml:space="preserve">+R to be superior to Rm and ASPEN found </w:t>
      </w:r>
      <w:r w:rsidR="00BE77FA" w:rsidRPr="007F33F1">
        <w:rPr>
          <w:rFonts w:eastAsia="Calibri"/>
          <w:iCs/>
        </w:rPr>
        <w:t>zanubrutinib</w:t>
      </w:r>
      <w:r w:rsidRPr="007F33F1">
        <w:rPr>
          <w:rFonts w:eastAsia="Calibri"/>
          <w:iCs/>
        </w:rPr>
        <w:t xml:space="preserve"> to be </w:t>
      </w:r>
      <w:r w:rsidR="00B324A0" w:rsidRPr="007F33F1">
        <w:rPr>
          <w:rFonts w:eastAsia="Calibri"/>
          <w:iCs/>
        </w:rPr>
        <w:t xml:space="preserve">likely </w:t>
      </w:r>
      <w:r w:rsidRPr="007F33F1">
        <w:rPr>
          <w:rFonts w:eastAsia="Calibri"/>
          <w:iCs/>
        </w:rPr>
        <w:t xml:space="preserve">noninferior to </w:t>
      </w:r>
      <w:r w:rsidR="00BE77FA" w:rsidRPr="007F33F1">
        <w:rPr>
          <w:rFonts w:eastAsia="Calibri"/>
          <w:iCs/>
        </w:rPr>
        <w:t>ibrutinib</w:t>
      </w:r>
      <w:r w:rsidRPr="007F33F1">
        <w:rPr>
          <w:rFonts w:eastAsia="Calibri"/>
          <w:iCs/>
        </w:rPr>
        <w:t xml:space="preserve">, and the size of the effect difference between </w:t>
      </w:r>
      <w:r w:rsidR="00BE77FA" w:rsidRPr="007F33F1">
        <w:rPr>
          <w:rFonts w:eastAsia="Calibri"/>
          <w:iCs/>
        </w:rPr>
        <w:t>ibrutinib</w:t>
      </w:r>
      <w:r w:rsidRPr="007F33F1">
        <w:rPr>
          <w:rFonts w:eastAsia="Calibri"/>
          <w:iCs/>
        </w:rPr>
        <w:t>+R and Rm was reasonably large in iNNOVATE.</w:t>
      </w:r>
      <w:r w:rsidR="00E140B7" w:rsidRPr="007F33F1">
        <w:rPr>
          <w:rFonts w:eastAsia="Calibri"/>
          <w:iCs/>
        </w:rPr>
        <w:t xml:space="preserve"> </w:t>
      </w:r>
      <w:bookmarkEnd w:id="57"/>
    </w:p>
    <w:bookmarkEnd w:id="58"/>
    <w:p w:rsidR="00205FD7" w:rsidRPr="007F33F1" w:rsidRDefault="00205FD7" w:rsidP="0047221E">
      <w:pPr>
        <w:pStyle w:val="3-BodyText"/>
        <w:rPr>
          <w:iCs/>
        </w:rPr>
      </w:pPr>
      <w:r w:rsidRPr="007F33F1">
        <w:rPr>
          <w:rFonts w:eastAsia="Calibri"/>
          <w:iCs/>
        </w:rPr>
        <w:t xml:space="preserve">This conclusion however may not extend to survival outcomes, given the submission did not present an ITC for </w:t>
      </w:r>
      <w:r w:rsidR="007C66CE" w:rsidRPr="007F33F1">
        <w:rPr>
          <w:rFonts w:eastAsia="Calibri"/>
          <w:iCs/>
        </w:rPr>
        <w:t>PFS and</w:t>
      </w:r>
      <w:r w:rsidRPr="007F33F1">
        <w:rPr>
          <w:rFonts w:eastAsia="Calibri"/>
          <w:iCs/>
        </w:rPr>
        <w:t xml:space="preserve"> OS</w:t>
      </w:r>
      <w:r w:rsidR="008A2538" w:rsidRPr="007F33F1">
        <w:rPr>
          <w:rFonts w:eastAsia="Calibri"/>
          <w:iCs/>
        </w:rPr>
        <w:t>,</w:t>
      </w:r>
      <w:r w:rsidR="004E1C3F" w:rsidRPr="007F33F1">
        <w:rPr>
          <w:rFonts w:eastAsia="Calibri"/>
          <w:iCs/>
        </w:rPr>
        <w:t xml:space="preserve"> the survival data were immature</w:t>
      </w:r>
      <w:r w:rsidR="008A2538" w:rsidRPr="007F33F1">
        <w:rPr>
          <w:rFonts w:eastAsia="Calibri"/>
          <w:iCs/>
        </w:rPr>
        <w:t xml:space="preserve"> and response outcomes appear to be poor surrogates for survival outcomes in WM</w:t>
      </w:r>
      <w:r w:rsidRPr="007F33F1">
        <w:rPr>
          <w:rFonts w:eastAsia="Calibri"/>
          <w:iCs/>
        </w:rPr>
        <w:t>. Also, given patients are likely to switch to alternate treatments following relapse, OS will also be influenced by subsequent treatments.</w:t>
      </w:r>
    </w:p>
    <w:p w:rsidR="00205FD7" w:rsidRPr="007F33F1" w:rsidRDefault="00205FD7" w:rsidP="0047221E">
      <w:pPr>
        <w:pStyle w:val="3-BodyText"/>
        <w:rPr>
          <w:iCs/>
        </w:rPr>
      </w:pPr>
      <w:r w:rsidRPr="007F33F1">
        <w:rPr>
          <w:iCs/>
        </w:rPr>
        <w:t xml:space="preserve">The submission’s ITC for </w:t>
      </w:r>
      <w:bookmarkStart w:id="59" w:name="_Hlk79155854"/>
      <w:r w:rsidRPr="007F33F1">
        <w:rPr>
          <w:iCs/>
        </w:rPr>
        <w:t>commonly reported safety outcomes</w:t>
      </w:r>
      <w:bookmarkEnd w:id="59"/>
      <w:r w:rsidRPr="007F33F1">
        <w:rPr>
          <w:iCs/>
        </w:rPr>
        <w:t xml:space="preserve"> in ASPEN and iNNOVATE using </w:t>
      </w:r>
      <w:r w:rsidR="00BE77FA" w:rsidRPr="007F33F1">
        <w:rPr>
          <w:iCs/>
        </w:rPr>
        <w:t>ibrutinib</w:t>
      </w:r>
      <w:r w:rsidRPr="007F33F1">
        <w:rPr>
          <w:iCs/>
        </w:rPr>
        <w:t>/</w:t>
      </w:r>
      <w:r w:rsidR="00BE77FA" w:rsidRPr="007F33F1">
        <w:rPr>
          <w:iCs/>
        </w:rPr>
        <w:t>ibrutinib</w:t>
      </w:r>
      <w:r w:rsidRPr="007F33F1">
        <w:rPr>
          <w:iCs/>
        </w:rPr>
        <w:t xml:space="preserve">+R as common comparator </w:t>
      </w:r>
      <w:r w:rsidR="00704691" w:rsidRPr="007F33F1">
        <w:rPr>
          <w:iCs/>
        </w:rPr>
        <w:t>was</w:t>
      </w:r>
      <w:r w:rsidRPr="007F33F1">
        <w:rPr>
          <w:iCs/>
        </w:rPr>
        <w:t xml:space="preserve"> not considered informative </w:t>
      </w:r>
      <w:r w:rsidR="00DD5B40" w:rsidRPr="007F33F1">
        <w:rPr>
          <w:iCs/>
        </w:rPr>
        <w:t xml:space="preserve">by the evaluation </w:t>
      </w:r>
      <w:r w:rsidRPr="007F33F1">
        <w:rPr>
          <w:iCs/>
        </w:rPr>
        <w:t>because of the very different safety profile of Rm (</w:t>
      </w:r>
      <w:r w:rsidR="0087682E" w:rsidRPr="007F33F1">
        <w:rPr>
          <w:iCs/>
        </w:rPr>
        <w:t xml:space="preserve">see paragraphs </w:t>
      </w:r>
      <w:r w:rsidR="00015997">
        <w:rPr>
          <w:iCs/>
        </w:rPr>
        <w:t>6.32</w:t>
      </w:r>
      <w:r w:rsidR="005E00EE" w:rsidRPr="007F33F1">
        <w:rPr>
          <w:iCs/>
        </w:rPr>
        <w:t xml:space="preserve"> </w:t>
      </w:r>
      <w:r w:rsidR="0087682E" w:rsidRPr="007F33F1">
        <w:rPr>
          <w:iCs/>
        </w:rPr>
        <w:t xml:space="preserve">and </w:t>
      </w:r>
      <w:r w:rsidR="00015997">
        <w:rPr>
          <w:iCs/>
        </w:rPr>
        <w:t>6.33</w:t>
      </w:r>
      <w:r w:rsidRPr="007F33F1">
        <w:rPr>
          <w:iCs/>
        </w:rPr>
        <w:t xml:space="preserve">). Also, the </w:t>
      </w:r>
      <w:r w:rsidR="00BE77FA" w:rsidRPr="007F33F1">
        <w:rPr>
          <w:iCs/>
        </w:rPr>
        <w:t>ibrutinib</w:t>
      </w:r>
      <w:r w:rsidRPr="007F33F1">
        <w:rPr>
          <w:iCs/>
        </w:rPr>
        <w:t xml:space="preserve">+R combination appeared to </w:t>
      </w:r>
      <w:r w:rsidR="003611F1" w:rsidRPr="007F33F1">
        <w:rPr>
          <w:iCs/>
        </w:rPr>
        <w:t>be different to the</w:t>
      </w:r>
      <w:r w:rsidR="001A0B56" w:rsidRPr="007F33F1">
        <w:rPr>
          <w:iCs/>
        </w:rPr>
        <w:t xml:space="preserve"> </w:t>
      </w:r>
      <w:r w:rsidRPr="007F33F1">
        <w:rPr>
          <w:iCs/>
        </w:rPr>
        <w:t xml:space="preserve">AE profile of </w:t>
      </w:r>
      <w:r w:rsidR="00BE77FA" w:rsidRPr="007F33F1">
        <w:rPr>
          <w:iCs/>
        </w:rPr>
        <w:t>ibrutinib</w:t>
      </w:r>
      <w:r w:rsidRPr="007F33F1">
        <w:rPr>
          <w:iCs/>
        </w:rPr>
        <w:t xml:space="preserve"> monotherapy.</w:t>
      </w:r>
    </w:p>
    <w:p w:rsidR="00205FD7" w:rsidRPr="007F33F1" w:rsidRDefault="00205FD7" w:rsidP="0047221E">
      <w:pPr>
        <w:pStyle w:val="3-BodyText"/>
        <w:rPr>
          <w:iCs/>
        </w:rPr>
      </w:pPr>
      <w:r w:rsidRPr="007F33F1">
        <w:rPr>
          <w:rFonts w:eastAsia="Calibri"/>
          <w:iCs/>
        </w:rPr>
        <w:t xml:space="preserve">The submission </w:t>
      </w:r>
      <w:r w:rsidR="00BD409E" w:rsidRPr="007F33F1">
        <w:rPr>
          <w:rFonts w:eastAsia="Calibri"/>
          <w:iCs/>
        </w:rPr>
        <w:t>did not</w:t>
      </w:r>
      <w:r w:rsidRPr="007F33F1">
        <w:rPr>
          <w:rFonts w:eastAsia="Calibri"/>
          <w:iCs/>
        </w:rPr>
        <w:t xml:space="preserve"> discuss other important and severe AEs for </w:t>
      </w:r>
      <w:r w:rsidR="00BE77FA" w:rsidRPr="007F33F1">
        <w:rPr>
          <w:rFonts w:eastAsia="Calibri"/>
          <w:iCs/>
        </w:rPr>
        <w:t>zanubrutinib</w:t>
      </w:r>
      <w:r w:rsidRPr="007F33F1">
        <w:rPr>
          <w:rFonts w:eastAsia="Calibri"/>
          <w:iCs/>
        </w:rPr>
        <w:t xml:space="preserve"> </w:t>
      </w:r>
      <w:r w:rsidR="004E1C3F" w:rsidRPr="007F33F1">
        <w:rPr>
          <w:rFonts w:eastAsia="Calibri"/>
          <w:iCs/>
        </w:rPr>
        <w:t xml:space="preserve">in the ITC </w:t>
      </w:r>
      <w:r w:rsidR="00225FF3" w:rsidRPr="007F33F1">
        <w:rPr>
          <w:rFonts w:eastAsia="Calibri"/>
          <w:iCs/>
        </w:rPr>
        <w:t>such as G</w:t>
      </w:r>
      <w:r w:rsidRPr="007F33F1">
        <w:rPr>
          <w:rFonts w:eastAsia="Calibri"/>
          <w:iCs/>
        </w:rPr>
        <w:t xml:space="preserve">rade 3 major haemorrhage, which occurred in approximately 6% of patients treated with </w:t>
      </w:r>
      <w:r w:rsidR="00BE77FA" w:rsidRPr="007F33F1">
        <w:rPr>
          <w:rFonts w:eastAsia="Calibri"/>
          <w:iCs/>
        </w:rPr>
        <w:t>zanubrutinib</w:t>
      </w:r>
      <w:r w:rsidRPr="007F33F1">
        <w:rPr>
          <w:rFonts w:eastAsia="Calibri"/>
          <w:iCs/>
        </w:rPr>
        <w:t>. The submission also did not discuss the implications of the</w:t>
      </w:r>
      <w:r w:rsidRPr="007F33F1">
        <w:rPr>
          <w:rFonts w:eastAsia="Calibri"/>
        </w:rPr>
        <w:t xml:space="preserve"> difference in duration of treatment between the two regimens, given </w:t>
      </w:r>
      <w:r w:rsidR="00BE77FA" w:rsidRPr="007F33F1">
        <w:rPr>
          <w:rFonts w:eastAsia="Calibri"/>
        </w:rPr>
        <w:t>zanubrutinib</w:t>
      </w:r>
      <w:r w:rsidRPr="007F33F1">
        <w:rPr>
          <w:rFonts w:eastAsia="Calibri"/>
        </w:rPr>
        <w:t xml:space="preserve"> is an indefinite-duration therapy. As WM is an indolent cancer, there is a potential for increased long-term toxicity compared with Rm, which was not investigated by the included studies due to their limited follow-up.</w:t>
      </w:r>
      <w:r w:rsidR="003611F1" w:rsidRPr="007F33F1">
        <w:t xml:space="preserve"> The ESC considered </w:t>
      </w:r>
      <w:r w:rsidR="000A7D66" w:rsidRPr="007F33F1">
        <w:t>it was difficult to assess comparative safety,</w:t>
      </w:r>
      <w:r w:rsidR="001A0B56" w:rsidRPr="007F33F1">
        <w:t xml:space="preserve"> given the considerable differences in safety profile between BTKis and Rm, the omission of important AEs from the ITC, potential safety implications associated with the addition of rituximab to </w:t>
      </w:r>
      <w:r w:rsidR="00BE77FA" w:rsidRPr="007F33F1">
        <w:t>ibrutinib</w:t>
      </w:r>
      <w:r w:rsidR="001A0B56" w:rsidRPr="007F33F1">
        <w:t>, and the absence of direct</w:t>
      </w:r>
      <w:r w:rsidR="00A369F9" w:rsidRPr="007F33F1">
        <w:t xml:space="preserve"> </w:t>
      </w:r>
      <w:r w:rsidR="001A0B56" w:rsidRPr="007F33F1">
        <w:t>comparative data</w:t>
      </w:r>
      <w:r w:rsidR="000A7D66" w:rsidRPr="007F33F1">
        <w:t>.</w:t>
      </w:r>
      <w:r w:rsidR="001A0B56" w:rsidRPr="007F33F1">
        <w:rPr>
          <w:i/>
          <w:iCs/>
        </w:rPr>
        <w:t xml:space="preserve"> </w:t>
      </w:r>
    </w:p>
    <w:p w:rsidR="00205FD7" w:rsidRPr="007F33F1" w:rsidRDefault="00205FD7" w:rsidP="0047221E">
      <w:pPr>
        <w:pStyle w:val="5-SubsectionSubheading"/>
        <w:rPr>
          <w:i/>
          <w:iCs/>
        </w:rPr>
      </w:pPr>
      <w:bookmarkStart w:id="60" w:name="_Toc71450287"/>
      <w:bookmarkStart w:id="61" w:name="_Toc72421792"/>
      <w:r w:rsidRPr="007F33F1">
        <w:rPr>
          <w:i/>
          <w:iCs/>
        </w:rPr>
        <w:t xml:space="preserve">ITC </w:t>
      </w:r>
      <w:r w:rsidR="00BE77FA" w:rsidRPr="007F33F1">
        <w:rPr>
          <w:i/>
          <w:iCs/>
        </w:rPr>
        <w:t>zanubrutinib</w:t>
      </w:r>
      <w:r w:rsidRPr="007F33F1">
        <w:rPr>
          <w:i/>
          <w:iCs/>
        </w:rPr>
        <w:t xml:space="preserve"> vs BR</w:t>
      </w:r>
      <w:bookmarkEnd w:id="60"/>
      <w:bookmarkEnd w:id="61"/>
    </w:p>
    <w:p w:rsidR="008A7021" w:rsidRPr="007F33F1" w:rsidRDefault="00205FD7" w:rsidP="0047221E">
      <w:pPr>
        <w:pStyle w:val="3-BodyText"/>
      </w:pPr>
      <w:r w:rsidRPr="007F33F1">
        <w:t xml:space="preserve">Given the lack of a common comparator linking </w:t>
      </w:r>
      <w:r w:rsidR="00BE77FA" w:rsidRPr="007F33F1">
        <w:t>zanubrutinib</w:t>
      </w:r>
      <w:r w:rsidRPr="007F33F1">
        <w:t xml:space="preserve"> and BR, the submission conducted two unanchored MAICs, </w:t>
      </w:r>
      <w:r w:rsidRPr="007F33F1">
        <w:rPr>
          <w:rFonts w:cstheme="minorHAnsi"/>
        </w:rPr>
        <w:t xml:space="preserve">for the ITT and RR populations, </w:t>
      </w:r>
      <w:r w:rsidRPr="007F33F1">
        <w:t xml:space="preserve">using individual patient-level data (IPD) for </w:t>
      </w:r>
      <w:r w:rsidR="00BE77FA" w:rsidRPr="007F33F1">
        <w:t>zanubrutinib</w:t>
      </w:r>
      <w:r w:rsidRPr="007F33F1">
        <w:t xml:space="preserve"> from Cohort 1 of ASPEN matched to the population treated with BR in </w:t>
      </w:r>
      <w:bookmarkStart w:id="62" w:name="_Hlk79142962"/>
      <w:r w:rsidRPr="007F33F1">
        <w:t>Tedeschi 2015</w:t>
      </w:r>
      <w:bookmarkEnd w:id="62"/>
      <w:r w:rsidRPr="007F33F1">
        <w:t>.</w:t>
      </w:r>
      <w:r w:rsidR="008A7021" w:rsidRPr="007F33F1">
        <w:t xml:space="preserve"> </w:t>
      </w:r>
      <w:r w:rsidR="008A7021" w:rsidRPr="007F33F1">
        <w:rPr>
          <w:snapToGrid/>
        </w:rPr>
        <w:t>The ESC noted that unanchored MAICs can be more prone to uncertainty than anchored MAICs in that they do not use within-study randomised data, and are prone to confounding due to unaccounted for differences in prognostic factors across single arms of different studies.</w:t>
      </w:r>
    </w:p>
    <w:p w:rsidR="00205FD7" w:rsidRPr="007F33F1" w:rsidRDefault="00205FD7" w:rsidP="0047221E">
      <w:pPr>
        <w:pStyle w:val="TableFigureHeading"/>
        <w:keepLines/>
      </w:pPr>
      <w:r w:rsidRPr="007F33F1">
        <w:t xml:space="preserve">Table </w:t>
      </w:r>
      <w:r w:rsidR="00015997">
        <w:rPr>
          <w:noProof/>
        </w:rPr>
        <w:t>9</w:t>
      </w:r>
      <w:r w:rsidRPr="007F33F1">
        <w:t>: Pairwise MAIC</w:t>
      </w:r>
      <w:r w:rsidR="005E6BD2">
        <w:t>*</w:t>
      </w:r>
      <w:r w:rsidRPr="007F33F1">
        <w:t xml:space="preserve"> presented in the submission</w:t>
      </w:r>
    </w:p>
    <w:tbl>
      <w:tblPr>
        <w:tblStyle w:val="TableTheme"/>
        <w:tblW w:w="5000" w:type="pct"/>
        <w:tblCellMar>
          <w:left w:w="28" w:type="dxa"/>
          <w:right w:w="28" w:type="dxa"/>
        </w:tblCellMar>
        <w:tblLook w:val="04E0" w:firstRow="1" w:lastRow="1" w:firstColumn="1" w:lastColumn="0" w:noHBand="0" w:noVBand="1"/>
        <w:tblCaption w:val="Table 9: Pairwise MAIC* presented in the submission"/>
      </w:tblPr>
      <w:tblGrid>
        <w:gridCol w:w="309"/>
        <w:gridCol w:w="2804"/>
        <w:gridCol w:w="3262"/>
        <w:gridCol w:w="2665"/>
      </w:tblGrid>
      <w:tr w:rsidR="00205FD7" w:rsidRPr="007F33F1" w:rsidTr="002F7BC5">
        <w:trPr>
          <w:trHeight w:val="143"/>
          <w:tblHeader/>
        </w:trPr>
        <w:tc>
          <w:tcPr>
            <w:tcW w:w="171" w:type="pct"/>
            <w:hideMark/>
          </w:tcPr>
          <w:p w:rsidR="00205FD7" w:rsidRPr="007F33F1" w:rsidRDefault="00205FD7" w:rsidP="0047221E">
            <w:pPr>
              <w:pStyle w:val="Tabletext"/>
              <w:keepNext/>
              <w:keepLines/>
              <w:rPr>
                <w:b/>
                <w:bCs/>
              </w:rPr>
            </w:pPr>
          </w:p>
        </w:tc>
        <w:tc>
          <w:tcPr>
            <w:tcW w:w="1551" w:type="pct"/>
            <w:hideMark/>
          </w:tcPr>
          <w:p w:rsidR="00205FD7" w:rsidRPr="007F33F1" w:rsidRDefault="00205FD7" w:rsidP="0047221E">
            <w:pPr>
              <w:pStyle w:val="Tabletext"/>
              <w:keepNext/>
              <w:keepLines/>
              <w:rPr>
                <w:b/>
                <w:bCs/>
              </w:rPr>
            </w:pPr>
            <w:r w:rsidRPr="007F33F1">
              <w:rPr>
                <w:b/>
                <w:bCs/>
              </w:rPr>
              <w:t>ZANU population (ASPEN)</w:t>
            </w:r>
          </w:p>
        </w:tc>
        <w:tc>
          <w:tcPr>
            <w:tcW w:w="1804" w:type="pct"/>
          </w:tcPr>
          <w:p w:rsidR="00205FD7" w:rsidRPr="007F33F1" w:rsidRDefault="00205FD7" w:rsidP="0047221E">
            <w:pPr>
              <w:pStyle w:val="Tabletext"/>
              <w:keepNext/>
              <w:keepLines/>
              <w:rPr>
                <w:b/>
                <w:bCs/>
              </w:rPr>
            </w:pPr>
            <w:r w:rsidRPr="007F33F1">
              <w:rPr>
                <w:b/>
                <w:bCs/>
              </w:rPr>
              <w:t>Comparator population (Tedeschi 2015)</w:t>
            </w:r>
          </w:p>
        </w:tc>
        <w:tc>
          <w:tcPr>
            <w:tcW w:w="1474" w:type="pct"/>
          </w:tcPr>
          <w:p w:rsidR="00205FD7" w:rsidRPr="007F33F1" w:rsidRDefault="00205FD7" w:rsidP="0047221E">
            <w:pPr>
              <w:pStyle w:val="Tabletext"/>
              <w:keepNext/>
              <w:keepLines/>
              <w:jc w:val="center"/>
              <w:rPr>
                <w:b/>
                <w:bCs/>
              </w:rPr>
            </w:pPr>
            <w:r w:rsidRPr="007F33F1">
              <w:rPr>
                <w:b/>
                <w:bCs/>
              </w:rPr>
              <w:t>Outcomes compared</w:t>
            </w:r>
          </w:p>
        </w:tc>
      </w:tr>
      <w:tr w:rsidR="00205FD7" w:rsidRPr="007F33F1" w:rsidTr="00205FD7">
        <w:trPr>
          <w:trHeight w:val="20"/>
        </w:trPr>
        <w:tc>
          <w:tcPr>
            <w:tcW w:w="171" w:type="pct"/>
          </w:tcPr>
          <w:p w:rsidR="00205FD7" w:rsidRPr="007F33F1" w:rsidRDefault="00205FD7" w:rsidP="0047221E">
            <w:pPr>
              <w:pStyle w:val="Tabletext"/>
              <w:keepNext/>
              <w:keepLines/>
            </w:pPr>
            <w:r w:rsidRPr="007F33F1">
              <w:t>1</w:t>
            </w:r>
          </w:p>
        </w:tc>
        <w:tc>
          <w:tcPr>
            <w:tcW w:w="1551" w:type="pct"/>
          </w:tcPr>
          <w:p w:rsidR="00205FD7" w:rsidRPr="007F33F1" w:rsidRDefault="00205FD7" w:rsidP="0047221E">
            <w:pPr>
              <w:pStyle w:val="Tabletext"/>
              <w:keepNext/>
              <w:keepLines/>
            </w:pPr>
            <w:r w:rsidRPr="007F33F1">
              <w:t>102 patients with WM (ITT Analysis)</w:t>
            </w:r>
          </w:p>
        </w:tc>
        <w:tc>
          <w:tcPr>
            <w:tcW w:w="1804" w:type="pct"/>
          </w:tcPr>
          <w:p w:rsidR="00205FD7" w:rsidRPr="007F33F1" w:rsidRDefault="00205FD7" w:rsidP="0047221E">
            <w:pPr>
              <w:pStyle w:val="Tabletext"/>
              <w:keepNext/>
              <w:keepLines/>
            </w:pPr>
            <w:r w:rsidRPr="007F33F1">
              <w:t>71 R/R patients in the trial for BR</w:t>
            </w:r>
          </w:p>
        </w:tc>
        <w:tc>
          <w:tcPr>
            <w:tcW w:w="1474" w:type="pct"/>
          </w:tcPr>
          <w:p w:rsidR="00205FD7" w:rsidRPr="007F33F1" w:rsidRDefault="00205FD7" w:rsidP="0047221E">
            <w:pPr>
              <w:pStyle w:val="Tabletext"/>
              <w:keepNext/>
              <w:keepLines/>
            </w:pPr>
            <w:r w:rsidRPr="007F33F1">
              <w:t>PFS, OS, common safety outcomes</w:t>
            </w:r>
          </w:p>
        </w:tc>
      </w:tr>
      <w:tr w:rsidR="00205FD7" w:rsidRPr="007F33F1" w:rsidTr="00205FD7">
        <w:trPr>
          <w:trHeight w:val="20"/>
        </w:trPr>
        <w:tc>
          <w:tcPr>
            <w:tcW w:w="171" w:type="pct"/>
          </w:tcPr>
          <w:p w:rsidR="00205FD7" w:rsidRPr="007F33F1" w:rsidRDefault="00205FD7" w:rsidP="0047221E">
            <w:pPr>
              <w:pStyle w:val="Tabletext"/>
              <w:keepNext/>
              <w:keepLines/>
            </w:pPr>
            <w:r w:rsidRPr="007F33F1">
              <w:t>2</w:t>
            </w:r>
          </w:p>
        </w:tc>
        <w:tc>
          <w:tcPr>
            <w:tcW w:w="1551" w:type="pct"/>
          </w:tcPr>
          <w:p w:rsidR="00205FD7" w:rsidRPr="007F33F1" w:rsidRDefault="00205FD7" w:rsidP="0047221E">
            <w:pPr>
              <w:pStyle w:val="Tabletext"/>
              <w:keepNext/>
              <w:keepLines/>
            </w:pPr>
            <w:r w:rsidRPr="007F33F1">
              <w:t>83 patients in the R/R subgroup</w:t>
            </w:r>
          </w:p>
        </w:tc>
        <w:tc>
          <w:tcPr>
            <w:tcW w:w="1804" w:type="pct"/>
          </w:tcPr>
          <w:p w:rsidR="00205FD7" w:rsidRPr="007F33F1" w:rsidRDefault="00205FD7" w:rsidP="0047221E">
            <w:pPr>
              <w:pStyle w:val="Tabletext"/>
              <w:keepNext/>
              <w:keepLines/>
            </w:pPr>
            <w:r w:rsidRPr="007F33F1">
              <w:t>71 R/R patients in the trial for BR</w:t>
            </w:r>
          </w:p>
        </w:tc>
        <w:tc>
          <w:tcPr>
            <w:tcW w:w="1474" w:type="pct"/>
          </w:tcPr>
          <w:p w:rsidR="00205FD7" w:rsidRPr="007F33F1" w:rsidRDefault="00205FD7" w:rsidP="0047221E">
            <w:pPr>
              <w:pStyle w:val="Tabletext"/>
              <w:keepNext/>
              <w:keepLines/>
            </w:pPr>
            <w:r w:rsidRPr="007F33F1">
              <w:t>PFS, OS, common safety outcomes</w:t>
            </w:r>
          </w:p>
        </w:tc>
      </w:tr>
    </w:tbl>
    <w:p w:rsidR="00205FD7" w:rsidRPr="007F33F1" w:rsidRDefault="00205FD7" w:rsidP="0047221E">
      <w:pPr>
        <w:pStyle w:val="TableFigureFooter"/>
        <w:keepNext/>
        <w:keepLines/>
      </w:pPr>
      <w:r w:rsidRPr="007F33F1">
        <w:t xml:space="preserve">Source: Table 2.65, </w:t>
      </w:r>
      <w:r w:rsidR="00C01D29" w:rsidRPr="007F33F1">
        <w:t>p134</w:t>
      </w:r>
      <w:r w:rsidRPr="007F33F1">
        <w:t xml:space="preserve"> of the submission.</w:t>
      </w:r>
    </w:p>
    <w:p w:rsidR="00205FD7" w:rsidRDefault="00205FD7" w:rsidP="0047221E">
      <w:pPr>
        <w:pStyle w:val="TableFigureFooter"/>
        <w:keepNext/>
        <w:keepLines/>
      </w:pPr>
      <w:r w:rsidRPr="007F33F1">
        <w:t>BR=bendamustine rituximab; ITT=intent-to-treat; MAIC=matching-adjusted indirect comparison; R/R=relapsed or refractory</w:t>
      </w:r>
      <w:r w:rsidR="00225FF3" w:rsidRPr="007F33F1">
        <w:t>.</w:t>
      </w:r>
    </w:p>
    <w:p w:rsidR="005E6BD2" w:rsidRPr="005E6BD2" w:rsidRDefault="005E6BD2" w:rsidP="0047221E">
      <w:pPr>
        <w:pStyle w:val="TableFigureFooter"/>
        <w:keepNext/>
        <w:keepLines/>
        <w:rPr>
          <w:i/>
        </w:rPr>
      </w:pPr>
      <w:r w:rsidRPr="005E6BD2">
        <w:rPr>
          <w:i/>
        </w:rPr>
        <w:t>* Note that the results presented in the MAIC analyses are derived from ad-hoc/post-hoc analyses conducted by the applicant specifically for the purposes of informing the PBAC consideration. These analyses were not part of the pre-specified statistical plan for the included trials. Interpretation of the results and their application should therefore be limited to seeking to understand the basis for the PBAC outcome and should not be used for any other purpose.</w:t>
      </w:r>
    </w:p>
    <w:p w:rsidR="00205FD7" w:rsidRPr="007F33F1" w:rsidRDefault="00205FD7" w:rsidP="0047221E">
      <w:pPr>
        <w:pStyle w:val="3-BodyText"/>
      </w:pPr>
      <w:r w:rsidRPr="007F33F1">
        <w:t xml:space="preserve">The matching algorithm proposed by Signorovitch et al. </w:t>
      </w:r>
      <w:r w:rsidR="00360553" w:rsidRPr="007F33F1">
        <w:t>(</w:t>
      </w:r>
      <w:r w:rsidRPr="007F33F1">
        <w:t xml:space="preserve">2012) was used </w:t>
      </w:r>
      <w:r w:rsidRPr="007F33F1">
        <w:rPr>
          <w:rFonts w:cstheme="minorHAnsi"/>
        </w:rPr>
        <w:t>to adjust for differences in baseline patient and disease characteristics between the studies</w:t>
      </w:r>
      <w:r w:rsidRPr="007F33F1">
        <w:t xml:space="preserve">. The matching variables considered for inclusion in the MAIC are presented in </w:t>
      </w:r>
      <w:r w:rsidR="00015997" w:rsidRPr="007F33F1">
        <w:t xml:space="preserve">Table </w:t>
      </w:r>
      <w:r w:rsidR="00015997">
        <w:t>10</w:t>
      </w:r>
      <w:r w:rsidR="0094234E" w:rsidRPr="007F33F1">
        <w:t>.</w:t>
      </w:r>
      <w:r w:rsidRPr="007F33F1">
        <w:t xml:space="preserve"> </w:t>
      </w:r>
      <w:r w:rsidR="0094234E" w:rsidRPr="007F33F1">
        <w:t>O</w:t>
      </w:r>
      <w:r w:rsidRPr="007F33F1">
        <w:t xml:space="preserve">nly some </w:t>
      </w:r>
      <w:r w:rsidR="0094234E" w:rsidRPr="007F33F1">
        <w:t xml:space="preserve">of these variables </w:t>
      </w:r>
      <w:r w:rsidRPr="007F33F1">
        <w:t>were reported in Tedeschi 2015.</w:t>
      </w:r>
    </w:p>
    <w:p w:rsidR="00205FD7" w:rsidRPr="007F33F1" w:rsidRDefault="00205FD7" w:rsidP="0047221E">
      <w:pPr>
        <w:pStyle w:val="TableFigureHeading"/>
      </w:pPr>
      <w:bookmarkStart w:id="63" w:name="_Ref71314886"/>
      <w:r w:rsidRPr="007F33F1">
        <w:t xml:space="preserve">Table </w:t>
      </w:r>
      <w:r w:rsidR="00015997">
        <w:rPr>
          <w:noProof/>
        </w:rPr>
        <w:t>10</w:t>
      </w:r>
      <w:bookmarkEnd w:id="63"/>
      <w:r w:rsidRPr="007F33F1">
        <w:t>: Matching variables considered in the MAIC</w:t>
      </w:r>
    </w:p>
    <w:tbl>
      <w:tblPr>
        <w:tblStyle w:val="TableGrid1"/>
        <w:tblW w:w="4950" w:type="pct"/>
        <w:tblCellMar>
          <w:left w:w="28" w:type="dxa"/>
          <w:right w:w="28" w:type="dxa"/>
        </w:tblCellMar>
        <w:tblLook w:val="04A0" w:firstRow="1" w:lastRow="0" w:firstColumn="1" w:lastColumn="0" w:noHBand="0" w:noVBand="1"/>
        <w:tblCaption w:val="Table 10: Matching variables considered in the MAIC"/>
      </w:tblPr>
      <w:tblGrid>
        <w:gridCol w:w="6107"/>
        <w:gridCol w:w="2843"/>
      </w:tblGrid>
      <w:tr w:rsidR="00205FD7" w:rsidRPr="007F33F1" w:rsidTr="002F7BC5">
        <w:trPr>
          <w:trHeight w:val="43"/>
          <w:tblHeader/>
        </w:trPr>
        <w:tc>
          <w:tcPr>
            <w:tcW w:w="3412" w:type="pct"/>
          </w:tcPr>
          <w:p w:rsidR="00205FD7" w:rsidRPr="007F33F1" w:rsidRDefault="00205FD7" w:rsidP="0047221E">
            <w:pPr>
              <w:pStyle w:val="TableText0"/>
              <w:rPr>
                <w:b/>
                <w:bCs w:val="0"/>
                <w:lang w:val="en-AU"/>
              </w:rPr>
            </w:pPr>
            <w:r w:rsidRPr="007F33F1">
              <w:rPr>
                <w:b/>
                <w:bCs w:val="0"/>
                <w:lang w:val="en-AU"/>
              </w:rPr>
              <w:t>Matching variables</w:t>
            </w:r>
          </w:p>
        </w:tc>
        <w:tc>
          <w:tcPr>
            <w:tcW w:w="1588" w:type="pct"/>
            <w:vAlign w:val="center"/>
          </w:tcPr>
          <w:p w:rsidR="00205FD7" w:rsidRPr="007F33F1" w:rsidRDefault="00205FD7" w:rsidP="0047221E">
            <w:pPr>
              <w:pStyle w:val="TableText0"/>
              <w:jc w:val="center"/>
              <w:rPr>
                <w:b/>
                <w:bCs w:val="0"/>
                <w:lang w:val="en-AU"/>
              </w:rPr>
            </w:pPr>
            <w:r w:rsidRPr="007F33F1">
              <w:rPr>
                <w:b/>
                <w:bCs w:val="0"/>
                <w:lang w:val="en-AU"/>
              </w:rPr>
              <w:t>Reported in Tedeschi 2015</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Age (≤75 vs &gt;75 years) </w:t>
            </w:r>
          </w:p>
        </w:tc>
        <w:tc>
          <w:tcPr>
            <w:tcW w:w="1588" w:type="pct"/>
            <w:vAlign w:val="center"/>
          </w:tcPr>
          <w:p w:rsidR="00205FD7" w:rsidRPr="007F33F1" w:rsidRDefault="00205FD7" w:rsidP="0047221E">
            <w:pPr>
              <w:pStyle w:val="TableText0"/>
              <w:jc w:val="center"/>
              <w:rPr>
                <w:lang w:val="en-AU"/>
              </w:rPr>
            </w:pPr>
            <w:r w:rsidRPr="007F33F1">
              <w:rPr>
                <w:lang w:val="en-AU"/>
              </w:rPr>
              <w:t xml:space="preserve">median (range)* </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Number of prior therapies (0–3 vs &gt;3 lines; 1–3 vs 3 lines) </w:t>
            </w:r>
          </w:p>
        </w:tc>
        <w:tc>
          <w:tcPr>
            <w:tcW w:w="1588" w:type="pct"/>
            <w:vAlign w:val="center"/>
          </w:tcPr>
          <w:p w:rsidR="00205FD7" w:rsidRPr="007F33F1" w:rsidRDefault="00205FD7" w:rsidP="0047221E">
            <w:pPr>
              <w:pStyle w:val="TableText0"/>
              <w:jc w:val="center"/>
              <w:rPr>
                <w:lang w:val="en-AU"/>
              </w:rPr>
            </w:pPr>
            <w:r w:rsidRPr="007F33F1">
              <w:rPr>
                <w:lang w:val="en-AU"/>
              </w:rPr>
              <w:t xml:space="preserve">median (range)* </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ECOG performance status (0–1 vs &gt;1) </w:t>
            </w:r>
          </w:p>
        </w:tc>
        <w:tc>
          <w:tcPr>
            <w:tcW w:w="1588" w:type="pct"/>
            <w:vAlign w:val="center"/>
          </w:tcPr>
          <w:p w:rsidR="00205FD7" w:rsidRPr="007F33F1" w:rsidRDefault="00205FD7" w:rsidP="0047221E">
            <w:pPr>
              <w:pStyle w:val="TableText0"/>
              <w:jc w:val="center"/>
              <w:rPr>
                <w:lang w:val="en-AU"/>
              </w:rPr>
            </w:pPr>
            <w:r w:rsidRPr="007F33F1">
              <w:rPr>
                <w:lang w:val="en-AU"/>
              </w:rPr>
              <w:t>No</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MYD88/CXCR4 mutation status </w:t>
            </w:r>
          </w:p>
        </w:tc>
        <w:tc>
          <w:tcPr>
            <w:tcW w:w="1588" w:type="pct"/>
            <w:vAlign w:val="center"/>
          </w:tcPr>
          <w:p w:rsidR="00205FD7" w:rsidRPr="007F33F1" w:rsidRDefault="00205FD7" w:rsidP="0047221E">
            <w:pPr>
              <w:pStyle w:val="TableText0"/>
              <w:jc w:val="center"/>
              <w:rPr>
                <w:lang w:val="en-AU"/>
              </w:rPr>
            </w:pPr>
            <w:r w:rsidRPr="007F33F1">
              <w:rPr>
                <w:lang w:val="en-AU"/>
              </w:rPr>
              <w:t>No</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IgM concentration (≤40 vs &gt;40 g/L) </w:t>
            </w:r>
          </w:p>
        </w:tc>
        <w:tc>
          <w:tcPr>
            <w:tcW w:w="1588" w:type="pct"/>
            <w:vAlign w:val="center"/>
          </w:tcPr>
          <w:p w:rsidR="00205FD7" w:rsidRPr="007F33F1" w:rsidRDefault="00205FD7" w:rsidP="0047221E">
            <w:pPr>
              <w:pStyle w:val="TableText0"/>
              <w:jc w:val="center"/>
              <w:rPr>
                <w:lang w:val="en-AU"/>
              </w:rPr>
            </w:pPr>
            <w:r w:rsidRPr="007F33F1">
              <w:rPr>
                <w:lang w:val="en-AU"/>
              </w:rPr>
              <w:t xml:space="preserve">median (range)* </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β2-microglobulin concentration (≤3 vs &gt;3 mg/L) </w:t>
            </w:r>
          </w:p>
        </w:tc>
        <w:tc>
          <w:tcPr>
            <w:tcW w:w="1588" w:type="pct"/>
            <w:vAlign w:val="center"/>
          </w:tcPr>
          <w:p w:rsidR="00205FD7" w:rsidRPr="007F33F1" w:rsidRDefault="00205FD7" w:rsidP="0047221E">
            <w:pPr>
              <w:pStyle w:val="TableText0"/>
              <w:jc w:val="center"/>
              <w:rPr>
                <w:lang w:val="en-AU"/>
              </w:rPr>
            </w:pPr>
            <w:r w:rsidRPr="007F33F1">
              <w:rPr>
                <w:lang w:val="en-AU"/>
              </w:rPr>
              <w:t>No</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Platelet count (≤100 vs &gt;100×109/L)</w:t>
            </w:r>
          </w:p>
        </w:tc>
        <w:tc>
          <w:tcPr>
            <w:tcW w:w="1588" w:type="pct"/>
            <w:vAlign w:val="center"/>
          </w:tcPr>
          <w:p w:rsidR="00205FD7" w:rsidRPr="007F33F1" w:rsidRDefault="00205FD7" w:rsidP="0047221E">
            <w:pPr>
              <w:pStyle w:val="TableText0"/>
              <w:jc w:val="center"/>
              <w:rPr>
                <w:lang w:val="en-AU"/>
              </w:rPr>
            </w:pPr>
            <w:r w:rsidRPr="007F33F1">
              <w:rPr>
                <w:lang w:val="en-AU"/>
              </w:rPr>
              <w:t>No</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Haemoglobin concentration (≤110 vs &gt;110 g/L) </w:t>
            </w:r>
          </w:p>
        </w:tc>
        <w:tc>
          <w:tcPr>
            <w:tcW w:w="1588" w:type="pct"/>
            <w:vAlign w:val="center"/>
          </w:tcPr>
          <w:p w:rsidR="00205FD7" w:rsidRPr="007F33F1" w:rsidRDefault="00205FD7" w:rsidP="0047221E">
            <w:pPr>
              <w:pStyle w:val="TableText0"/>
              <w:jc w:val="center"/>
              <w:rPr>
                <w:lang w:val="en-AU"/>
              </w:rPr>
            </w:pPr>
            <w:r w:rsidRPr="007F33F1">
              <w:rPr>
                <w:lang w:val="en-AU"/>
              </w:rPr>
              <w:t>No</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 xml:space="preserve">Presence of extramedullary disease </w:t>
            </w:r>
          </w:p>
        </w:tc>
        <w:tc>
          <w:tcPr>
            <w:tcW w:w="1588" w:type="pct"/>
            <w:vAlign w:val="center"/>
          </w:tcPr>
          <w:p w:rsidR="00205FD7" w:rsidRPr="007F33F1" w:rsidRDefault="00205FD7" w:rsidP="0047221E">
            <w:pPr>
              <w:pStyle w:val="TableText0"/>
              <w:jc w:val="center"/>
              <w:rPr>
                <w:lang w:val="en-AU"/>
              </w:rPr>
            </w:pPr>
            <w:r w:rsidRPr="007F33F1">
              <w:rPr>
                <w:lang w:val="en-AU"/>
              </w:rPr>
              <w:t>Yes</w:t>
            </w:r>
          </w:p>
        </w:tc>
      </w:tr>
      <w:tr w:rsidR="00205FD7" w:rsidRPr="007F33F1" w:rsidTr="00205FD7">
        <w:trPr>
          <w:trHeight w:val="43"/>
        </w:trPr>
        <w:tc>
          <w:tcPr>
            <w:tcW w:w="3412" w:type="pct"/>
          </w:tcPr>
          <w:p w:rsidR="00205FD7" w:rsidRPr="007F33F1" w:rsidRDefault="00205FD7" w:rsidP="0047221E">
            <w:pPr>
              <w:pStyle w:val="TableText0"/>
              <w:rPr>
                <w:lang w:val="en-AU"/>
              </w:rPr>
            </w:pPr>
            <w:r w:rsidRPr="007F33F1">
              <w:rPr>
                <w:lang w:val="en-AU"/>
              </w:rPr>
              <w:t>IPSSWM risk categories</w:t>
            </w:r>
          </w:p>
        </w:tc>
        <w:tc>
          <w:tcPr>
            <w:tcW w:w="1588" w:type="pct"/>
            <w:vAlign w:val="center"/>
          </w:tcPr>
          <w:p w:rsidR="00205FD7" w:rsidRPr="007F33F1" w:rsidRDefault="00205FD7" w:rsidP="0047221E">
            <w:pPr>
              <w:pStyle w:val="TableText0"/>
              <w:jc w:val="center"/>
              <w:rPr>
                <w:lang w:val="en-AU"/>
              </w:rPr>
            </w:pPr>
            <w:r w:rsidRPr="007F33F1">
              <w:rPr>
                <w:lang w:val="en-AU"/>
              </w:rPr>
              <w:t>Yes (low, medium, high)</w:t>
            </w:r>
          </w:p>
        </w:tc>
      </w:tr>
    </w:tbl>
    <w:p w:rsidR="00205FD7" w:rsidRPr="007F33F1" w:rsidRDefault="00205FD7" w:rsidP="0047221E">
      <w:pPr>
        <w:pStyle w:val="TableFigureFooter"/>
      </w:pPr>
      <w:r w:rsidRPr="007F33F1">
        <w:t>Source: p134 of the submission</w:t>
      </w:r>
    </w:p>
    <w:p w:rsidR="00205FD7" w:rsidRPr="007F33F1" w:rsidRDefault="00205FD7" w:rsidP="0047221E">
      <w:pPr>
        <w:pStyle w:val="TableFigureFooter"/>
      </w:pPr>
      <w:r w:rsidRPr="007F33F1">
        <w:t xml:space="preserve">*median values used to estimate the proportion of patients with these variables </w:t>
      </w:r>
    </w:p>
    <w:p w:rsidR="00205FD7" w:rsidRPr="007F33F1" w:rsidRDefault="00205FD7" w:rsidP="0047221E">
      <w:pPr>
        <w:pStyle w:val="3-BodyText"/>
        <w:rPr>
          <w:iCs/>
        </w:rPr>
      </w:pPr>
      <w:r w:rsidRPr="007F33F1">
        <w:rPr>
          <w:iCs/>
        </w:rPr>
        <w:t xml:space="preserve">It </w:t>
      </w:r>
      <w:r w:rsidR="006909D2" w:rsidRPr="007F33F1">
        <w:rPr>
          <w:iCs/>
        </w:rPr>
        <w:t>was</w:t>
      </w:r>
      <w:r w:rsidRPr="007F33F1">
        <w:rPr>
          <w:iCs/>
        </w:rPr>
        <w:t xml:space="preserve"> unclear why the submission did not use IRC-assessed data, as investigator-assessed outcomes are more likely to be biased. The proportion of extramedullary disease based on investigator assessments was lower than the IRC-assessed values (61.8% vs 79.4%, p79 ASPEN CSR).</w:t>
      </w:r>
    </w:p>
    <w:p w:rsidR="00205FD7" w:rsidRPr="007F33F1" w:rsidRDefault="00205FD7" w:rsidP="0047221E">
      <w:pPr>
        <w:pStyle w:val="3-BodyText"/>
      </w:pPr>
      <w:r w:rsidRPr="007F33F1">
        <w:t>The submission did not justify why response outcomes were not included in the MAIC, but were instead analysed using naïve ITC</w:t>
      </w:r>
      <w:r w:rsidR="00F34F99" w:rsidRPr="007F33F1">
        <w:t xml:space="preserve">. The PSCR presented a MAIC for ORR using </w:t>
      </w:r>
      <w:r w:rsidR="008D3273" w:rsidRPr="007F33F1">
        <w:t xml:space="preserve">investigator assessed outcomes from the </w:t>
      </w:r>
      <w:r w:rsidR="00F34F99" w:rsidRPr="007F33F1">
        <w:t>ASPEN R/R analysis set versus Tedeschi et al. 2015</w:t>
      </w:r>
      <w:r w:rsidR="009A4992" w:rsidRPr="007F33F1">
        <w:t xml:space="preserve"> (see below). </w:t>
      </w:r>
      <w:r w:rsidR="008D3273" w:rsidRPr="007F33F1">
        <w:t xml:space="preserve">The PSCR </w:t>
      </w:r>
      <w:r w:rsidR="00185BC8" w:rsidRPr="007F33F1">
        <w:t xml:space="preserve">claimed </w:t>
      </w:r>
      <w:r w:rsidR="008D3273" w:rsidRPr="007F33F1">
        <w:t xml:space="preserve">there were no differences in the MAIC results when using IRC or investigator assessed outcomes when considering ORR. </w:t>
      </w:r>
    </w:p>
    <w:p w:rsidR="009A4992" w:rsidRPr="007F33F1" w:rsidRDefault="005E00EE" w:rsidP="0047221E">
      <w:pPr>
        <w:pStyle w:val="TableFigureHeading"/>
        <w:rPr>
          <w:iCs/>
        </w:rPr>
      </w:pPr>
      <w:r w:rsidRPr="007F33F1">
        <w:rPr>
          <w:iCs/>
        </w:rPr>
        <w:t xml:space="preserve">Table </w:t>
      </w:r>
      <w:r w:rsidR="00015997">
        <w:rPr>
          <w:iCs/>
          <w:noProof/>
        </w:rPr>
        <w:t>11</w:t>
      </w:r>
      <w:r w:rsidR="009A4992" w:rsidRPr="007F33F1">
        <w:rPr>
          <w:iCs/>
        </w:rPr>
        <w:t>: MAIC of Overall Response Rate (ORR) using investigator assessed outcomes*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81"/>
        <w:gridCol w:w="1110"/>
        <w:gridCol w:w="1109"/>
        <w:gridCol w:w="1494"/>
        <w:gridCol w:w="637"/>
        <w:gridCol w:w="834"/>
        <w:gridCol w:w="1036"/>
        <w:gridCol w:w="1606"/>
        <w:gridCol w:w="637"/>
      </w:tblGrid>
      <w:tr w:rsidR="00E40714" w:rsidRPr="007F33F1" w:rsidTr="00E40714">
        <w:trPr>
          <w:trHeight w:val="70"/>
        </w:trPr>
        <w:tc>
          <w:tcPr>
            <w:tcW w:w="321" w:type="pct"/>
            <w:vMerge w:val="restart"/>
            <w:shd w:val="clear" w:color="auto" w:fill="auto"/>
            <w:tcMar>
              <w:top w:w="0" w:type="dxa"/>
              <w:left w:w="108" w:type="dxa"/>
              <w:bottom w:w="0" w:type="dxa"/>
              <w:right w:w="108" w:type="dxa"/>
            </w:tcMar>
            <w:hideMark/>
          </w:tcPr>
          <w:p w:rsidR="009A4992" w:rsidRPr="007F33F1" w:rsidRDefault="009A4992" w:rsidP="0047221E">
            <w:pPr>
              <w:ind w:left="720" w:hanging="360"/>
              <w:rPr>
                <w:rFonts w:ascii="Arial Narrow" w:hAnsi="Arial Narrow" w:cstheme="minorHAnsi"/>
                <w:iCs/>
                <w:sz w:val="20"/>
                <w:szCs w:val="18"/>
              </w:rPr>
            </w:pPr>
          </w:p>
        </w:tc>
        <w:tc>
          <w:tcPr>
            <w:tcW w:w="2404" w:type="pct"/>
            <w:gridSpan w:val="4"/>
            <w:shd w:val="clear" w:color="auto" w:fill="auto"/>
            <w:tcMar>
              <w:top w:w="0" w:type="dxa"/>
              <w:left w:w="108" w:type="dxa"/>
              <w:bottom w:w="0" w:type="dxa"/>
              <w:right w:w="108" w:type="dxa"/>
            </w:tcMa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Before matching adjustment</w:t>
            </w:r>
          </w:p>
        </w:tc>
        <w:tc>
          <w:tcPr>
            <w:tcW w:w="2274" w:type="pct"/>
            <w:gridSpan w:val="4"/>
            <w:shd w:val="clear" w:color="auto" w:fill="auto"/>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After matching adjustment</w:t>
            </w:r>
          </w:p>
        </w:tc>
      </w:tr>
      <w:tr w:rsidR="00E40714" w:rsidRPr="007F33F1" w:rsidTr="00E40714">
        <w:trPr>
          <w:trHeight w:val="350"/>
        </w:trPr>
        <w:tc>
          <w:tcPr>
            <w:tcW w:w="321" w:type="pct"/>
            <w:vMerge/>
            <w:shd w:val="clear" w:color="auto" w:fill="auto"/>
            <w:vAlign w:val="center"/>
            <w:hideMark/>
          </w:tcPr>
          <w:p w:rsidR="009A4992" w:rsidRPr="007F33F1" w:rsidRDefault="009A4992" w:rsidP="0047221E">
            <w:pPr>
              <w:rPr>
                <w:rFonts w:ascii="Arial Narrow" w:eastAsia="SimSun" w:hAnsi="Arial Narrow" w:cstheme="minorHAnsi"/>
                <w:iCs/>
                <w:sz w:val="20"/>
                <w:szCs w:val="18"/>
              </w:rPr>
            </w:pPr>
          </w:p>
        </w:tc>
        <w:tc>
          <w:tcPr>
            <w:tcW w:w="614" w:type="pct"/>
            <w:shd w:val="clear" w:color="auto" w:fill="auto"/>
            <w:tcMar>
              <w:top w:w="0" w:type="dxa"/>
              <w:left w:w="108" w:type="dxa"/>
              <w:bottom w:w="0" w:type="dxa"/>
              <w:right w:w="108" w:type="dxa"/>
            </w:tcMar>
            <w:vAlign w:val="center"/>
            <w:hideMark/>
          </w:tcPr>
          <w:p w:rsidR="009A4992" w:rsidRPr="007F33F1" w:rsidRDefault="00E40714"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 xml:space="preserve">ZANU </w:t>
            </w:r>
            <w:r w:rsidR="009A4992" w:rsidRPr="007F33F1">
              <w:rPr>
                <w:rFonts w:ascii="Arial Narrow" w:hAnsi="Arial Narrow" w:cstheme="minorHAnsi"/>
                <w:b/>
                <w:bCs/>
                <w:iCs/>
                <w:color w:val="000000"/>
                <w:sz w:val="20"/>
                <w:szCs w:val="18"/>
              </w:rPr>
              <w:t>(n=83)</w:t>
            </w:r>
          </w:p>
        </w:tc>
        <w:tc>
          <w:tcPr>
            <w:tcW w:w="613"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BR</w:t>
            </w:r>
          </w:p>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(n=71)</w:t>
            </w:r>
          </w:p>
        </w:tc>
        <w:tc>
          <w:tcPr>
            <w:tcW w:w="826" w:type="pct"/>
            <w:shd w:val="clear" w:color="auto" w:fill="auto"/>
            <w:tcMar>
              <w:top w:w="0" w:type="dxa"/>
              <w:left w:w="108" w:type="dxa"/>
              <w:bottom w:w="0" w:type="dxa"/>
              <w:right w:w="108" w:type="dxa"/>
            </w:tcMar>
            <w:vAlign w:val="center"/>
            <w:hideMark/>
          </w:tcPr>
          <w:p w:rsidR="009A4992" w:rsidRPr="007F33F1" w:rsidRDefault="00E40714"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OR</w:t>
            </w:r>
            <w:r w:rsidR="009A4992" w:rsidRPr="007F33F1">
              <w:rPr>
                <w:rFonts w:ascii="Arial Narrow" w:hAnsi="Arial Narrow" w:cstheme="minorHAnsi"/>
                <w:b/>
                <w:bCs/>
                <w:iCs/>
                <w:color w:val="000000"/>
                <w:sz w:val="20"/>
                <w:szCs w:val="18"/>
              </w:rPr>
              <w:t xml:space="preserve"> (95% CI)</w:t>
            </w:r>
          </w:p>
        </w:tc>
        <w:tc>
          <w:tcPr>
            <w:tcW w:w="352"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P-value</w:t>
            </w:r>
          </w:p>
        </w:tc>
        <w:tc>
          <w:tcPr>
            <w:tcW w:w="461" w:type="pct"/>
            <w:shd w:val="clear" w:color="auto" w:fill="auto"/>
            <w:tcMar>
              <w:top w:w="0" w:type="dxa"/>
              <w:left w:w="108" w:type="dxa"/>
              <w:bottom w:w="0" w:type="dxa"/>
              <w:right w:w="108" w:type="dxa"/>
            </w:tcMar>
            <w:vAlign w:val="center"/>
            <w:hideMark/>
          </w:tcPr>
          <w:p w:rsidR="009A4992" w:rsidRPr="007F33F1" w:rsidRDefault="00E40714"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ZANU</w:t>
            </w:r>
          </w:p>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(n</w:t>
            </w:r>
            <w:r w:rsidRPr="007F33F1">
              <w:rPr>
                <w:rFonts w:ascii="Arial Narrow" w:hAnsi="Arial Narrow" w:cstheme="minorHAnsi"/>
                <w:b/>
                <w:bCs/>
                <w:iCs/>
                <w:color w:val="000000"/>
                <w:sz w:val="20"/>
                <w:szCs w:val="18"/>
                <w:vertAlign w:val="subscript"/>
              </w:rPr>
              <w:t>eff</w:t>
            </w:r>
            <w:r w:rsidRPr="007F33F1">
              <w:rPr>
                <w:rFonts w:ascii="Arial Narrow" w:hAnsi="Arial Narrow" w:cstheme="minorHAnsi"/>
                <w:b/>
                <w:bCs/>
                <w:iCs/>
                <w:color w:val="000000"/>
                <w:sz w:val="20"/>
                <w:szCs w:val="18"/>
              </w:rPr>
              <w:t>=46)</w:t>
            </w:r>
          </w:p>
        </w:tc>
        <w:tc>
          <w:tcPr>
            <w:tcW w:w="573"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BR</w:t>
            </w:r>
          </w:p>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(n=71)</w:t>
            </w:r>
          </w:p>
        </w:tc>
        <w:tc>
          <w:tcPr>
            <w:tcW w:w="888" w:type="pct"/>
            <w:shd w:val="clear" w:color="auto" w:fill="auto"/>
            <w:tcMar>
              <w:top w:w="0" w:type="dxa"/>
              <w:left w:w="108" w:type="dxa"/>
              <w:bottom w:w="0" w:type="dxa"/>
              <w:right w:w="108" w:type="dxa"/>
            </w:tcMar>
            <w:vAlign w:val="center"/>
            <w:hideMark/>
          </w:tcPr>
          <w:p w:rsidR="009A4992" w:rsidRPr="007F33F1" w:rsidRDefault="00E40714"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 xml:space="preserve">OR </w:t>
            </w:r>
            <w:r w:rsidR="009A4992" w:rsidRPr="007F33F1">
              <w:rPr>
                <w:rFonts w:ascii="Arial Narrow" w:hAnsi="Arial Narrow" w:cstheme="minorHAnsi"/>
                <w:b/>
                <w:bCs/>
                <w:iCs/>
                <w:color w:val="000000"/>
                <w:sz w:val="20"/>
                <w:szCs w:val="18"/>
              </w:rPr>
              <w:t>(95% CI)</w:t>
            </w:r>
          </w:p>
        </w:tc>
        <w:tc>
          <w:tcPr>
            <w:tcW w:w="352"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b/>
                <w:bCs/>
                <w:iCs/>
                <w:color w:val="000000"/>
                <w:sz w:val="20"/>
                <w:szCs w:val="18"/>
              </w:rPr>
              <w:t>P-value</w:t>
            </w:r>
          </w:p>
        </w:tc>
      </w:tr>
      <w:tr w:rsidR="00E40714" w:rsidRPr="007F33F1" w:rsidTr="00E40714">
        <w:trPr>
          <w:trHeight w:val="255"/>
        </w:trPr>
        <w:tc>
          <w:tcPr>
            <w:tcW w:w="321"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iCs/>
                <w:color w:val="000000"/>
                <w:sz w:val="20"/>
                <w:szCs w:val="18"/>
                <w:lang w:eastAsia="nl-NL"/>
              </w:rPr>
              <w:t>OR</w:t>
            </w:r>
            <w:r w:rsidRPr="007F33F1">
              <w:rPr>
                <w:rFonts w:ascii="Arial Narrow" w:hAnsi="Arial Narrow" w:cstheme="minorHAnsi"/>
                <w:iCs/>
                <w:color w:val="000000"/>
                <w:sz w:val="20"/>
                <w:szCs w:val="18"/>
              </w:rPr>
              <w:t>R</w:t>
            </w:r>
          </w:p>
        </w:tc>
        <w:tc>
          <w:tcPr>
            <w:tcW w:w="614"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iCs/>
                <w:color w:val="000000"/>
                <w:sz w:val="20"/>
                <w:szCs w:val="18"/>
              </w:rPr>
              <w:t>78 (94.0%)</w:t>
            </w:r>
          </w:p>
        </w:tc>
        <w:tc>
          <w:tcPr>
            <w:tcW w:w="613"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iCs/>
                <w:color w:val="000000"/>
                <w:sz w:val="20"/>
                <w:szCs w:val="18"/>
              </w:rPr>
              <w:t>60 (84.5%)</w:t>
            </w:r>
          </w:p>
        </w:tc>
        <w:tc>
          <w:tcPr>
            <w:tcW w:w="826"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lang w:eastAsia="zh-CN"/>
              </w:rPr>
            </w:pPr>
            <w:r w:rsidRPr="007F33F1">
              <w:rPr>
                <w:rFonts w:ascii="Arial Narrow" w:hAnsi="Arial Narrow" w:cstheme="minorHAnsi"/>
                <w:iCs/>
                <w:color w:val="000000"/>
                <w:sz w:val="20"/>
                <w:szCs w:val="18"/>
              </w:rPr>
              <w:t>2.86</w:t>
            </w:r>
            <w:r w:rsidR="00E40714" w:rsidRPr="007F33F1">
              <w:rPr>
                <w:rFonts w:ascii="Arial Narrow" w:hAnsi="Arial Narrow" w:cstheme="minorHAnsi"/>
                <w:iCs/>
                <w:color w:val="000000"/>
                <w:sz w:val="20"/>
                <w:szCs w:val="18"/>
              </w:rPr>
              <w:t xml:space="preserve"> </w:t>
            </w:r>
            <w:r w:rsidRPr="007F33F1">
              <w:rPr>
                <w:rFonts w:ascii="Arial Narrow" w:hAnsi="Arial Narrow" w:cstheme="minorHAnsi"/>
                <w:iCs/>
                <w:color w:val="000000"/>
                <w:sz w:val="20"/>
                <w:szCs w:val="18"/>
              </w:rPr>
              <w:t>(0.98, 9.48)</w:t>
            </w:r>
          </w:p>
        </w:tc>
        <w:tc>
          <w:tcPr>
            <w:tcW w:w="352"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iCs/>
                <w:color w:val="000000"/>
                <w:sz w:val="20"/>
                <w:szCs w:val="18"/>
              </w:rPr>
              <w:t>0.054</w:t>
            </w:r>
          </w:p>
        </w:tc>
        <w:tc>
          <w:tcPr>
            <w:tcW w:w="461"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iCs/>
                <w:color w:val="000000"/>
                <w:sz w:val="20"/>
                <w:szCs w:val="18"/>
              </w:rPr>
              <w:t>96.0%</w:t>
            </w:r>
          </w:p>
        </w:tc>
        <w:tc>
          <w:tcPr>
            <w:tcW w:w="573"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iCs/>
                <w:color w:val="000000"/>
                <w:sz w:val="20"/>
                <w:szCs w:val="18"/>
              </w:rPr>
              <w:t>60 (84.5%)</w:t>
            </w:r>
          </w:p>
        </w:tc>
        <w:tc>
          <w:tcPr>
            <w:tcW w:w="888"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lang w:eastAsia="zh-CN"/>
              </w:rPr>
            </w:pPr>
            <w:r w:rsidRPr="007F33F1">
              <w:rPr>
                <w:rFonts w:ascii="Arial Narrow" w:hAnsi="Arial Narrow" w:cstheme="minorHAnsi"/>
                <w:iCs/>
                <w:color w:val="000000"/>
                <w:sz w:val="20"/>
                <w:szCs w:val="18"/>
              </w:rPr>
              <w:t>4.44</w:t>
            </w:r>
            <w:r w:rsidR="00E40714" w:rsidRPr="007F33F1">
              <w:rPr>
                <w:rFonts w:ascii="Arial Narrow" w:hAnsi="Arial Narrow" w:cstheme="minorHAnsi"/>
                <w:iCs/>
                <w:color w:val="000000"/>
                <w:sz w:val="20"/>
                <w:szCs w:val="18"/>
              </w:rPr>
              <w:t xml:space="preserve"> </w:t>
            </w:r>
            <w:r w:rsidRPr="007F33F1">
              <w:rPr>
                <w:rFonts w:ascii="Arial Narrow" w:hAnsi="Arial Narrow" w:cstheme="minorHAnsi"/>
                <w:iCs/>
                <w:color w:val="000000"/>
                <w:sz w:val="20"/>
                <w:szCs w:val="18"/>
              </w:rPr>
              <w:t>(1.22, 24.19)</w:t>
            </w:r>
          </w:p>
        </w:tc>
        <w:tc>
          <w:tcPr>
            <w:tcW w:w="352" w:type="pct"/>
            <w:shd w:val="clear" w:color="auto" w:fill="auto"/>
            <w:tcMar>
              <w:top w:w="0" w:type="dxa"/>
              <w:left w:w="108" w:type="dxa"/>
              <w:bottom w:w="0" w:type="dxa"/>
              <w:right w:w="108" w:type="dxa"/>
            </w:tcMar>
            <w:vAlign w:val="center"/>
            <w:hideMark/>
          </w:tcPr>
          <w:p w:rsidR="009A4992" w:rsidRPr="007F33F1" w:rsidRDefault="009A4992" w:rsidP="0047221E">
            <w:pPr>
              <w:jc w:val="center"/>
              <w:rPr>
                <w:rFonts w:ascii="Arial Narrow" w:hAnsi="Arial Narrow" w:cstheme="minorHAnsi"/>
                <w:iCs/>
                <w:sz w:val="20"/>
                <w:szCs w:val="18"/>
              </w:rPr>
            </w:pPr>
            <w:r w:rsidRPr="007F33F1">
              <w:rPr>
                <w:rFonts w:ascii="Arial Narrow" w:hAnsi="Arial Narrow" w:cstheme="minorHAnsi"/>
                <w:iCs/>
                <w:color w:val="000000"/>
                <w:sz w:val="20"/>
                <w:szCs w:val="18"/>
              </w:rPr>
              <w:t>0.022</w:t>
            </w:r>
          </w:p>
        </w:tc>
      </w:tr>
    </w:tbl>
    <w:p w:rsidR="009A4992" w:rsidRPr="007F33F1" w:rsidRDefault="009A4992" w:rsidP="0047221E">
      <w:pPr>
        <w:rPr>
          <w:rFonts w:ascii="Arial Narrow" w:hAnsi="Arial Narrow"/>
          <w:bCs/>
          <w:iCs/>
          <w:sz w:val="18"/>
          <w:szCs w:val="16"/>
        </w:rPr>
      </w:pPr>
      <w:r w:rsidRPr="007F33F1">
        <w:rPr>
          <w:rFonts w:ascii="Arial Narrow" w:hAnsi="Arial Narrow"/>
          <w:bCs/>
          <w:iCs/>
          <w:sz w:val="18"/>
          <w:szCs w:val="16"/>
        </w:rPr>
        <w:t xml:space="preserve">*Investigator assessed outcomes from ASPEN were utilised to be consistent with the likely method of assessment in Tedeschi et al 2015. </w:t>
      </w:r>
    </w:p>
    <w:p w:rsidR="00E40714" w:rsidRPr="007F33F1" w:rsidRDefault="00E40714" w:rsidP="0047221E">
      <w:pPr>
        <w:spacing w:after="120"/>
        <w:rPr>
          <w:rFonts w:ascii="Arial Narrow" w:hAnsi="Arial Narrow"/>
          <w:bCs/>
          <w:iCs/>
          <w:sz w:val="18"/>
          <w:szCs w:val="16"/>
        </w:rPr>
      </w:pPr>
      <w:r w:rsidRPr="007F33F1">
        <w:rPr>
          <w:rFonts w:ascii="Arial Narrow" w:hAnsi="Arial Narrow"/>
          <w:bCs/>
          <w:iCs/>
          <w:sz w:val="18"/>
          <w:szCs w:val="16"/>
        </w:rPr>
        <w:t>ZANU=zanubrutinib, OR = odds ratio</w:t>
      </w:r>
    </w:p>
    <w:p w:rsidR="008D3273" w:rsidRPr="007F33F1" w:rsidRDefault="008D3273" w:rsidP="0047221E">
      <w:pPr>
        <w:pStyle w:val="3-BodyText"/>
      </w:pPr>
      <w:r w:rsidRPr="007F33F1">
        <w:t xml:space="preserve">The ESC considered it was unclear why MAICs </w:t>
      </w:r>
      <w:r w:rsidR="001B498F" w:rsidRPr="007F33F1">
        <w:t xml:space="preserve">were not performed </w:t>
      </w:r>
      <w:r w:rsidRPr="007F33F1">
        <w:t>for</w:t>
      </w:r>
      <w:r w:rsidR="001B498F" w:rsidRPr="007F33F1">
        <w:t xml:space="preserve"> the primary outcomes in ASPEN (VGPR/CR), which the submission had suggested were </w:t>
      </w:r>
      <w:r w:rsidRPr="007F33F1">
        <w:t xml:space="preserve">indicative of higher effectiveness. </w:t>
      </w:r>
    </w:p>
    <w:p w:rsidR="00205FD7" w:rsidRPr="007F33F1" w:rsidRDefault="00205FD7" w:rsidP="0047221E">
      <w:pPr>
        <w:pStyle w:val="3-BodyText"/>
      </w:pPr>
      <w:r w:rsidRPr="007F33F1">
        <w:t>The submission presented PFS and OS result</w:t>
      </w:r>
      <w:r w:rsidR="00193D7B" w:rsidRPr="007F33F1">
        <w:t>s</w:t>
      </w:r>
      <w:r w:rsidRPr="007F33F1">
        <w:t xml:space="preserve"> before and after matching adjustment (</w:t>
      </w:r>
      <w:r w:rsidR="00015997" w:rsidRPr="007F33F1">
        <w:t xml:space="preserve">Table </w:t>
      </w:r>
      <w:r w:rsidR="00015997">
        <w:t>12</w:t>
      </w:r>
      <w:r w:rsidRPr="007F33F1">
        <w:t xml:space="preserve">). </w:t>
      </w:r>
      <w:r w:rsidRPr="007F33F1">
        <w:rPr>
          <w:iCs/>
        </w:rPr>
        <w:t xml:space="preserve">The PFS values used in the MAIC were higher than reported for </w:t>
      </w:r>
      <w:r w:rsidR="00BE77FA" w:rsidRPr="007F33F1">
        <w:rPr>
          <w:iCs/>
        </w:rPr>
        <w:t>zanubrutinib</w:t>
      </w:r>
      <w:r w:rsidRPr="007F33F1">
        <w:rPr>
          <w:iCs/>
        </w:rPr>
        <w:t>-treated patients in Cohort 1 of ASPEN (event-free rates at 12 and 24 months were 89.7% and 79.4%, respectively). The submission did not explain this discrepancy.</w:t>
      </w:r>
    </w:p>
    <w:p w:rsidR="00205FD7" w:rsidRPr="007F33F1" w:rsidRDefault="00205FD7" w:rsidP="0047221E">
      <w:pPr>
        <w:pStyle w:val="TableFigureHeading"/>
      </w:pPr>
      <w:bookmarkStart w:id="64" w:name="_Ref71315629"/>
      <w:r w:rsidRPr="007F33F1">
        <w:t xml:space="preserve">Table </w:t>
      </w:r>
      <w:r w:rsidR="00015997">
        <w:rPr>
          <w:noProof/>
        </w:rPr>
        <w:t>12</w:t>
      </w:r>
      <w:bookmarkEnd w:id="64"/>
      <w:r w:rsidRPr="007F33F1">
        <w:t>: PFS and OS event-free rates, ZANU (before and after matching adjustment) vs BR</w:t>
      </w:r>
    </w:p>
    <w:tbl>
      <w:tblPr>
        <w:tblStyle w:val="TableGrid1"/>
        <w:tblW w:w="9067" w:type="dxa"/>
        <w:tblLayout w:type="fixed"/>
        <w:tblCellMar>
          <w:left w:w="28" w:type="dxa"/>
          <w:right w:w="28" w:type="dxa"/>
        </w:tblCellMar>
        <w:tblLook w:val="04A0" w:firstRow="1" w:lastRow="0" w:firstColumn="1" w:lastColumn="0" w:noHBand="0" w:noVBand="1"/>
        <w:tblCaption w:val="Table 12: PFS and OS event-free rates, ZANU (before and after matching adjustment) vs BR"/>
      </w:tblPr>
      <w:tblGrid>
        <w:gridCol w:w="1271"/>
        <w:gridCol w:w="1418"/>
        <w:gridCol w:w="1417"/>
        <w:gridCol w:w="1240"/>
        <w:gridCol w:w="1312"/>
        <w:gridCol w:w="1204"/>
        <w:gridCol w:w="1205"/>
      </w:tblGrid>
      <w:tr w:rsidR="00205FD7" w:rsidRPr="007F33F1" w:rsidTr="002F7BC5">
        <w:trPr>
          <w:trHeight w:val="56"/>
          <w:tblHeader/>
        </w:trPr>
        <w:tc>
          <w:tcPr>
            <w:tcW w:w="1271" w:type="dxa"/>
            <w:vMerge w:val="restart"/>
            <w:tcBorders>
              <w:bottom w:val="nil"/>
            </w:tcBorders>
            <w:vAlign w:val="center"/>
          </w:tcPr>
          <w:p w:rsidR="00205FD7" w:rsidRPr="007F33F1" w:rsidRDefault="00205FD7" w:rsidP="0047221E">
            <w:pPr>
              <w:pStyle w:val="TableText0"/>
              <w:rPr>
                <w:b/>
                <w:bCs w:val="0"/>
                <w:lang w:val="en-AU"/>
              </w:rPr>
            </w:pPr>
            <w:r w:rsidRPr="007F33F1">
              <w:rPr>
                <w:b/>
                <w:bCs w:val="0"/>
                <w:lang w:val="en-AU"/>
              </w:rPr>
              <w:t>Outcomes</w:t>
            </w:r>
          </w:p>
        </w:tc>
        <w:tc>
          <w:tcPr>
            <w:tcW w:w="2835" w:type="dxa"/>
            <w:gridSpan w:val="2"/>
            <w:vMerge w:val="restart"/>
            <w:vAlign w:val="center"/>
          </w:tcPr>
          <w:p w:rsidR="00205FD7" w:rsidRPr="007F33F1" w:rsidRDefault="00205FD7" w:rsidP="0047221E">
            <w:pPr>
              <w:pStyle w:val="TableText0"/>
              <w:jc w:val="center"/>
              <w:rPr>
                <w:b/>
                <w:bCs w:val="0"/>
                <w:lang w:val="en-AU"/>
              </w:rPr>
            </w:pPr>
            <w:r w:rsidRPr="007F33F1">
              <w:rPr>
                <w:b/>
                <w:bCs w:val="0"/>
                <w:lang w:val="en-AU"/>
              </w:rPr>
              <w:t>ZANU ASPEN Cohort 1</w:t>
            </w:r>
          </w:p>
          <w:p w:rsidR="00205FD7" w:rsidRPr="007F33F1" w:rsidRDefault="00205FD7" w:rsidP="0047221E">
            <w:pPr>
              <w:pStyle w:val="TableText0"/>
              <w:jc w:val="center"/>
              <w:rPr>
                <w:b/>
                <w:bCs w:val="0"/>
                <w:lang w:val="en-AU"/>
              </w:rPr>
            </w:pPr>
            <w:r w:rsidRPr="007F33F1">
              <w:rPr>
                <w:b/>
                <w:bCs w:val="0"/>
                <w:lang w:val="en-AU"/>
              </w:rPr>
              <w:t>pre-matching (N=102)</w:t>
            </w:r>
          </w:p>
        </w:tc>
        <w:tc>
          <w:tcPr>
            <w:tcW w:w="4961" w:type="dxa"/>
            <w:gridSpan w:val="4"/>
            <w:vAlign w:val="center"/>
          </w:tcPr>
          <w:p w:rsidR="00205FD7" w:rsidRPr="007F33F1" w:rsidRDefault="00205FD7" w:rsidP="0047221E">
            <w:pPr>
              <w:pStyle w:val="TableText0"/>
              <w:jc w:val="center"/>
              <w:rPr>
                <w:b/>
                <w:bCs w:val="0"/>
                <w:lang w:val="en-AU"/>
              </w:rPr>
            </w:pPr>
            <w:r w:rsidRPr="007F33F1">
              <w:rPr>
                <w:b/>
                <w:bCs w:val="0"/>
                <w:lang w:val="en-AU"/>
              </w:rPr>
              <w:t>MAIC: ZANU vs BR</w:t>
            </w:r>
          </w:p>
        </w:tc>
      </w:tr>
      <w:tr w:rsidR="00205FD7" w:rsidRPr="007F33F1" w:rsidTr="002F7BC5">
        <w:trPr>
          <w:trHeight w:val="56"/>
          <w:tblHeader/>
        </w:trPr>
        <w:tc>
          <w:tcPr>
            <w:tcW w:w="1271" w:type="dxa"/>
            <w:vMerge/>
            <w:tcBorders>
              <w:top w:val="nil"/>
              <w:bottom w:val="nil"/>
            </w:tcBorders>
            <w:hideMark/>
          </w:tcPr>
          <w:p w:rsidR="00205FD7" w:rsidRPr="007F33F1" w:rsidRDefault="00205FD7" w:rsidP="0047221E">
            <w:pPr>
              <w:pStyle w:val="TableText0"/>
              <w:rPr>
                <w:b/>
                <w:bCs w:val="0"/>
                <w:lang w:val="en-AU"/>
              </w:rPr>
            </w:pPr>
          </w:p>
        </w:tc>
        <w:tc>
          <w:tcPr>
            <w:tcW w:w="2835" w:type="dxa"/>
            <w:gridSpan w:val="2"/>
            <w:vMerge/>
            <w:vAlign w:val="center"/>
          </w:tcPr>
          <w:p w:rsidR="00205FD7" w:rsidRPr="007F33F1" w:rsidRDefault="00205FD7" w:rsidP="0047221E">
            <w:pPr>
              <w:pStyle w:val="TableText0"/>
              <w:jc w:val="center"/>
              <w:rPr>
                <w:b/>
                <w:bCs w:val="0"/>
                <w:lang w:val="en-AU"/>
              </w:rPr>
            </w:pPr>
          </w:p>
        </w:tc>
        <w:tc>
          <w:tcPr>
            <w:tcW w:w="2552" w:type="dxa"/>
            <w:gridSpan w:val="2"/>
            <w:vAlign w:val="center"/>
          </w:tcPr>
          <w:p w:rsidR="00205FD7" w:rsidRPr="007F33F1" w:rsidRDefault="00205FD7" w:rsidP="0047221E">
            <w:pPr>
              <w:pStyle w:val="TableText0"/>
              <w:jc w:val="center"/>
              <w:rPr>
                <w:b/>
                <w:bCs w:val="0"/>
                <w:lang w:val="en-AU"/>
              </w:rPr>
            </w:pPr>
            <w:r w:rsidRPr="007F33F1">
              <w:rPr>
                <w:b/>
                <w:bCs w:val="0"/>
                <w:lang w:val="en-AU"/>
              </w:rPr>
              <w:t>ZANU post-matching BR (N=50)</w:t>
            </w:r>
          </w:p>
        </w:tc>
        <w:tc>
          <w:tcPr>
            <w:tcW w:w="2409" w:type="dxa"/>
            <w:gridSpan w:val="2"/>
            <w:vAlign w:val="center"/>
          </w:tcPr>
          <w:p w:rsidR="00205FD7" w:rsidRPr="007F33F1" w:rsidRDefault="00205FD7" w:rsidP="0047221E">
            <w:pPr>
              <w:pStyle w:val="TableText0"/>
              <w:jc w:val="center"/>
              <w:rPr>
                <w:b/>
                <w:bCs w:val="0"/>
                <w:lang w:val="en-AU"/>
              </w:rPr>
            </w:pPr>
            <w:r w:rsidRPr="007F33F1">
              <w:rPr>
                <w:b/>
                <w:bCs w:val="0"/>
                <w:lang w:val="en-AU"/>
              </w:rPr>
              <w:t>BR (N=71)</w:t>
            </w:r>
          </w:p>
        </w:tc>
      </w:tr>
      <w:tr w:rsidR="00205FD7" w:rsidRPr="007F33F1" w:rsidTr="006909D2">
        <w:trPr>
          <w:trHeight w:val="56"/>
        </w:trPr>
        <w:tc>
          <w:tcPr>
            <w:tcW w:w="1271" w:type="dxa"/>
            <w:tcBorders>
              <w:top w:val="nil"/>
            </w:tcBorders>
          </w:tcPr>
          <w:p w:rsidR="00205FD7" w:rsidRPr="007F33F1" w:rsidRDefault="00205FD7" w:rsidP="0047221E">
            <w:pPr>
              <w:pStyle w:val="TableText0"/>
              <w:rPr>
                <w:b/>
                <w:bCs w:val="0"/>
                <w:lang w:val="en-AU"/>
              </w:rPr>
            </w:pPr>
          </w:p>
        </w:tc>
        <w:tc>
          <w:tcPr>
            <w:tcW w:w="1418" w:type="dxa"/>
            <w:vAlign w:val="center"/>
          </w:tcPr>
          <w:p w:rsidR="00205FD7" w:rsidRPr="007F33F1" w:rsidRDefault="00205FD7" w:rsidP="0047221E">
            <w:pPr>
              <w:pStyle w:val="TableText0"/>
              <w:jc w:val="center"/>
              <w:rPr>
                <w:b/>
                <w:bCs w:val="0"/>
                <w:lang w:val="en-AU"/>
              </w:rPr>
            </w:pPr>
            <w:r w:rsidRPr="007F33F1">
              <w:rPr>
                <w:b/>
                <w:bCs w:val="0"/>
                <w:lang w:val="en-AU"/>
              </w:rPr>
              <w:t>PFS</w:t>
            </w:r>
          </w:p>
        </w:tc>
        <w:tc>
          <w:tcPr>
            <w:tcW w:w="1417" w:type="dxa"/>
            <w:vAlign w:val="center"/>
          </w:tcPr>
          <w:p w:rsidR="00205FD7" w:rsidRPr="007F33F1" w:rsidRDefault="00205FD7" w:rsidP="0047221E">
            <w:pPr>
              <w:pStyle w:val="TableText0"/>
              <w:jc w:val="center"/>
              <w:rPr>
                <w:b/>
                <w:bCs w:val="0"/>
                <w:lang w:val="en-AU"/>
              </w:rPr>
            </w:pPr>
            <w:r w:rsidRPr="007F33F1">
              <w:rPr>
                <w:b/>
                <w:bCs w:val="0"/>
                <w:lang w:val="en-AU"/>
              </w:rPr>
              <w:t>OS</w:t>
            </w:r>
          </w:p>
        </w:tc>
        <w:tc>
          <w:tcPr>
            <w:tcW w:w="1240" w:type="dxa"/>
            <w:vAlign w:val="center"/>
          </w:tcPr>
          <w:p w:rsidR="00205FD7" w:rsidRPr="007F33F1" w:rsidRDefault="00205FD7" w:rsidP="0047221E">
            <w:pPr>
              <w:pStyle w:val="TableText0"/>
              <w:jc w:val="center"/>
              <w:rPr>
                <w:b/>
                <w:bCs w:val="0"/>
                <w:lang w:val="en-AU"/>
              </w:rPr>
            </w:pPr>
            <w:r w:rsidRPr="007F33F1">
              <w:rPr>
                <w:b/>
                <w:bCs w:val="0"/>
                <w:lang w:val="en-AU"/>
              </w:rPr>
              <w:t>PFS</w:t>
            </w:r>
          </w:p>
        </w:tc>
        <w:tc>
          <w:tcPr>
            <w:tcW w:w="1312" w:type="dxa"/>
            <w:vAlign w:val="center"/>
          </w:tcPr>
          <w:p w:rsidR="00205FD7" w:rsidRPr="007F33F1" w:rsidRDefault="00205FD7" w:rsidP="0047221E">
            <w:pPr>
              <w:pStyle w:val="TableText0"/>
              <w:jc w:val="center"/>
              <w:rPr>
                <w:b/>
                <w:bCs w:val="0"/>
                <w:lang w:val="en-AU"/>
              </w:rPr>
            </w:pPr>
            <w:r w:rsidRPr="007F33F1">
              <w:rPr>
                <w:b/>
                <w:bCs w:val="0"/>
                <w:lang w:val="en-AU"/>
              </w:rPr>
              <w:t>OS</w:t>
            </w:r>
          </w:p>
        </w:tc>
        <w:tc>
          <w:tcPr>
            <w:tcW w:w="1204" w:type="dxa"/>
            <w:vAlign w:val="center"/>
          </w:tcPr>
          <w:p w:rsidR="00205FD7" w:rsidRPr="007F33F1" w:rsidRDefault="00205FD7" w:rsidP="0047221E">
            <w:pPr>
              <w:pStyle w:val="TableText0"/>
              <w:jc w:val="center"/>
              <w:rPr>
                <w:b/>
                <w:bCs w:val="0"/>
                <w:lang w:val="en-AU"/>
              </w:rPr>
            </w:pPr>
            <w:r w:rsidRPr="007F33F1">
              <w:rPr>
                <w:b/>
                <w:bCs w:val="0"/>
                <w:lang w:val="en-AU"/>
              </w:rPr>
              <w:t>PFS</w:t>
            </w:r>
          </w:p>
        </w:tc>
        <w:tc>
          <w:tcPr>
            <w:tcW w:w="1205" w:type="dxa"/>
            <w:vAlign w:val="center"/>
          </w:tcPr>
          <w:p w:rsidR="00205FD7" w:rsidRPr="007F33F1" w:rsidRDefault="00205FD7" w:rsidP="0047221E">
            <w:pPr>
              <w:pStyle w:val="TableText0"/>
              <w:jc w:val="center"/>
              <w:rPr>
                <w:b/>
                <w:bCs w:val="0"/>
                <w:lang w:val="en-AU"/>
              </w:rPr>
            </w:pPr>
            <w:r w:rsidRPr="007F33F1">
              <w:rPr>
                <w:b/>
                <w:bCs w:val="0"/>
                <w:lang w:val="en-AU"/>
              </w:rPr>
              <w:t>OS</w:t>
            </w:r>
          </w:p>
        </w:tc>
      </w:tr>
      <w:tr w:rsidR="00205FD7" w:rsidRPr="007F33F1" w:rsidTr="006909D2">
        <w:trPr>
          <w:trHeight w:val="56"/>
        </w:trPr>
        <w:tc>
          <w:tcPr>
            <w:tcW w:w="1271" w:type="dxa"/>
          </w:tcPr>
          <w:p w:rsidR="00205FD7" w:rsidRPr="007F33F1" w:rsidRDefault="00205FD7" w:rsidP="0047221E">
            <w:pPr>
              <w:pStyle w:val="TableText0"/>
              <w:rPr>
                <w:bCs w:val="0"/>
                <w:lang w:val="en-AU"/>
              </w:rPr>
            </w:pPr>
            <w:r w:rsidRPr="007F33F1">
              <w:rPr>
                <w:bCs w:val="0"/>
                <w:lang w:val="en-AU"/>
              </w:rPr>
              <w:t>12m</w:t>
            </w:r>
          </w:p>
        </w:tc>
        <w:tc>
          <w:tcPr>
            <w:tcW w:w="1418" w:type="dxa"/>
            <w:vAlign w:val="center"/>
          </w:tcPr>
          <w:p w:rsidR="00205FD7" w:rsidRPr="007F33F1" w:rsidRDefault="00205FD7" w:rsidP="0047221E">
            <w:pPr>
              <w:pStyle w:val="TableText0"/>
              <w:jc w:val="center"/>
              <w:rPr>
                <w:bCs w:val="0"/>
                <w:lang w:val="en-AU"/>
              </w:rPr>
            </w:pPr>
            <w:r w:rsidRPr="007F33F1">
              <w:rPr>
                <w:bCs w:val="0"/>
                <w:lang w:val="en-AU"/>
              </w:rPr>
              <w:t>94%</w:t>
            </w:r>
          </w:p>
        </w:tc>
        <w:tc>
          <w:tcPr>
            <w:tcW w:w="1417" w:type="dxa"/>
            <w:vAlign w:val="center"/>
          </w:tcPr>
          <w:p w:rsidR="00205FD7" w:rsidRPr="007F33F1" w:rsidRDefault="00205FD7" w:rsidP="0047221E">
            <w:pPr>
              <w:pStyle w:val="TableText0"/>
              <w:jc w:val="center"/>
              <w:rPr>
                <w:bCs w:val="0"/>
                <w:lang w:val="en-AU"/>
              </w:rPr>
            </w:pPr>
            <w:r w:rsidRPr="007F33F1">
              <w:rPr>
                <w:bCs w:val="0"/>
                <w:lang w:val="en-AU"/>
              </w:rPr>
              <w:t>97%</w:t>
            </w:r>
          </w:p>
        </w:tc>
        <w:tc>
          <w:tcPr>
            <w:tcW w:w="1240" w:type="dxa"/>
            <w:vAlign w:val="center"/>
          </w:tcPr>
          <w:p w:rsidR="00205FD7" w:rsidRPr="007F33F1" w:rsidRDefault="00205FD7" w:rsidP="0047221E">
            <w:pPr>
              <w:pStyle w:val="TableText0"/>
              <w:jc w:val="center"/>
              <w:rPr>
                <w:bCs w:val="0"/>
                <w:lang w:val="en-AU"/>
              </w:rPr>
            </w:pPr>
            <w:r w:rsidRPr="007F33F1">
              <w:rPr>
                <w:bCs w:val="0"/>
                <w:lang w:val="en-AU"/>
              </w:rPr>
              <w:t>94%</w:t>
            </w:r>
          </w:p>
        </w:tc>
        <w:tc>
          <w:tcPr>
            <w:tcW w:w="1312" w:type="dxa"/>
            <w:vAlign w:val="center"/>
          </w:tcPr>
          <w:p w:rsidR="00205FD7" w:rsidRPr="007F33F1" w:rsidRDefault="00205FD7" w:rsidP="0047221E">
            <w:pPr>
              <w:pStyle w:val="TableText0"/>
              <w:jc w:val="center"/>
              <w:rPr>
                <w:bCs w:val="0"/>
                <w:lang w:val="en-AU"/>
              </w:rPr>
            </w:pPr>
            <w:r w:rsidRPr="007F33F1">
              <w:rPr>
                <w:bCs w:val="0"/>
                <w:lang w:val="en-AU"/>
              </w:rPr>
              <w:t>98%</w:t>
            </w:r>
          </w:p>
        </w:tc>
        <w:tc>
          <w:tcPr>
            <w:tcW w:w="1204" w:type="dxa"/>
            <w:vAlign w:val="center"/>
          </w:tcPr>
          <w:p w:rsidR="00205FD7" w:rsidRPr="007F33F1" w:rsidRDefault="00205FD7" w:rsidP="0047221E">
            <w:pPr>
              <w:pStyle w:val="TableText0"/>
              <w:jc w:val="center"/>
              <w:rPr>
                <w:bCs w:val="0"/>
                <w:lang w:val="en-AU"/>
              </w:rPr>
            </w:pPr>
            <w:r w:rsidRPr="007F33F1">
              <w:rPr>
                <w:bCs w:val="0"/>
                <w:lang w:val="en-AU"/>
              </w:rPr>
              <w:t>79%</w:t>
            </w:r>
          </w:p>
        </w:tc>
        <w:tc>
          <w:tcPr>
            <w:tcW w:w="1205" w:type="dxa"/>
            <w:vAlign w:val="center"/>
          </w:tcPr>
          <w:p w:rsidR="00205FD7" w:rsidRPr="007F33F1" w:rsidRDefault="00205FD7" w:rsidP="0047221E">
            <w:pPr>
              <w:pStyle w:val="TableText0"/>
              <w:jc w:val="center"/>
              <w:rPr>
                <w:bCs w:val="0"/>
                <w:lang w:val="en-AU"/>
              </w:rPr>
            </w:pPr>
            <w:r w:rsidRPr="007F33F1">
              <w:rPr>
                <w:bCs w:val="0"/>
                <w:lang w:val="en-AU"/>
              </w:rPr>
              <w:t>87%</w:t>
            </w:r>
          </w:p>
        </w:tc>
      </w:tr>
      <w:tr w:rsidR="00205FD7" w:rsidRPr="007F33F1" w:rsidTr="006909D2">
        <w:trPr>
          <w:trHeight w:val="56"/>
        </w:trPr>
        <w:tc>
          <w:tcPr>
            <w:tcW w:w="1271" w:type="dxa"/>
          </w:tcPr>
          <w:p w:rsidR="00205FD7" w:rsidRPr="007F33F1" w:rsidRDefault="00205FD7" w:rsidP="0047221E">
            <w:pPr>
              <w:pStyle w:val="TableText0"/>
              <w:rPr>
                <w:bCs w:val="0"/>
                <w:lang w:val="en-AU"/>
              </w:rPr>
            </w:pPr>
            <w:r w:rsidRPr="007F33F1">
              <w:rPr>
                <w:bCs w:val="0"/>
                <w:lang w:val="en-AU"/>
              </w:rPr>
              <w:t>24m</w:t>
            </w:r>
          </w:p>
        </w:tc>
        <w:tc>
          <w:tcPr>
            <w:tcW w:w="1418" w:type="dxa"/>
            <w:vAlign w:val="center"/>
          </w:tcPr>
          <w:p w:rsidR="00205FD7" w:rsidRPr="007F33F1" w:rsidRDefault="00205FD7" w:rsidP="0047221E">
            <w:pPr>
              <w:pStyle w:val="TableText0"/>
              <w:jc w:val="center"/>
              <w:rPr>
                <w:bCs w:val="0"/>
                <w:lang w:val="en-AU"/>
              </w:rPr>
            </w:pPr>
            <w:r w:rsidRPr="007F33F1">
              <w:rPr>
                <w:bCs w:val="0"/>
                <w:lang w:val="en-AU"/>
              </w:rPr>
              <w:t>85%</w:t>
            </w:r>
          </w:p>
        </w:tc>
        <w:tc>
          <w:tcPr>
            <w:tcW w:w="1417" w:type="dxa"/>
            <w:vAlign w:val="center"/>
          </w:tcPr>
          <w:p w:rsidR="00205FD7" w:rsidRPr="007F33F1" w:rsidRDefault="00205FD7" w:rsidP="0047221E">
            <w:pPr>
              <w:pStyle w:val="TableText0"/>
              <w:jc w:val="center"/>
              <w:rPr>
                <w:bCs w:val="0"/>
                <w:lang w:val="en-AU"/>
              </w:rPr>
            </w:pPr>
            <w:r w:rsidRPr="007F33F1">
              <w:rPr>
                <w:bCs w:val="0"/>
                <w:lang w:val="en-AU"/>
              </w:rPr>
              <w:t>90%</w:t>
            </w:r>
          </w:p>
        </w:tc>
        <w:tc>
          <w:tcPr>
            <w:tcW w:w="1240" w:type="dxa"/>
            <w:vAlign w:val="center"/>
          </w:tcPr>
          <w:p w:rsidR="00205FD7" w:rsidRPr="007F33F1" w:rsidRDefault="00205FD7" w:rsidP="0047221E">
            <w:pPr>
              <w:pStyle w:val="TableText0"/>
              <w:jc w:val="center"/>
              <w:rPr>
                <w:bCs w:val="0"/>
                <w:lang w:val="en-AU"/>
              </w:rPr>
            </w:pPr>
            <w:r w:rsidRPr="007F33F1">
              <w:rPr>
                <w:bCs w:val="0"/>
                <w:lang w:val="en-AU"/>
              </w:rPr>
              <w:t>81%</w:t>
            </w:r>
          </w:p>
        </w:tc>
        <w:tc>
          <w:tcPr>
            <w:tcW w:w="1312" w:type="dxa"/>
            <w:vAlign w:val="center"/>
          </w:tcPr>
          <w:p w:rsidR="00205FD7" w:rsidRPr="007F33F1" w:rsidRDefault="00205FD7" w:rsidP="0047221E">
            <w:pPr>
              <w:pStyle w:val="TableText0"/>
              <w:jc w:val="center"/>
              <w:rPr>
                <w:bCs w:val="0"/>
                <w:lang w:val="en-AU"/>
              </w:rPr>
            </w:pPr>
            <w:r w:rsidRPr="007F33F1">
              <w:rPr>
                <w:bCs w:val="0"/>
                <w:lang w:val="en-AU"/>
              </w:rPr>
              <w:t>88%</w:t>
            </w:r>
          </w:p>
        </w:tc>
        <w:tc>
          <w:tcPr>
            <w:tcW w:w="1204" w:type="dxa"/>
            <w:vAlign w:val="center"/>
          </w:tcPr>
          <w:p w:rsidR="00205FD7" w:rsidRPr="007F33F1" w:rsidRDefault="00205FD7" w:rsidP="0047221E">
            <w:pPr>
              <w:pStyle w:val="TableText0"/>
              <w:jc w:val="center"/>
              <w:rPr>
                <w:bCs w:val="0"/>
                <w:lang w:val="en-AU"/>
              </w:rPr>
            </w:pPr>
            <w:r w:rsidRPr="007F33F1">
              <w:rPr>
                <w:bCs w:val="0"/>
                <w:lang w:val="en-AU"/>
              </w:rPr>
              <w:t>59%</w:t>
            </w:r>
          </w:p>
        </w:tc>
        <w:tc>
          <w:tcPr>
            <w:tcW w:w="1205" w:type="dxa"/>
            <w:vAlign w:val="center"/>
          </w:tcPr>
          <w:p w:rsidR="00205FD7" w:rsidRPr="007F33F1" w:rsidRDefault="00205FD7" w:rsidP="0047221E">
            <w:pPr>
              <w:pStyle w:val="TableText0"/>
              <w:jc w:val="center"/>
              <w:rPr>
                <w:bCs w:val="0"/>
                <w:lang w:val="en-AU"/>
              </w:rPr>
            </w:pPr>
            <w:r w:rsidRPr="007F33F1">
              <w:rPr>
                <w:bCs w:val="0"/>
                <w:lang w:val="en-AU"/>
              </w:rPr>
              <w:t>77%</w:t>
            </w:r>
          </w:p>
        </w:tc>
      </w:tr>
    </w:tbl>
    <w:p w:rsidR="00205FD7" w:rsidRPr="007F33F1" w:rsidRDefault="00205FD7" w:rsidP="0047221E">
      <w:pPr>
        <w:pStyle w:val="TableFigureFooter"/>
      </w:pPr>
      <w:r w:rsidRPr="007F33F1">
        <w:t>Source: Table 2.69, p136 of the submission</w:t>
      </w:r>
      <w:r w:rsidR="00225FF3" w:rsidRPr="007F33F1">
        <w:t>.</w:t>
      </w:r>
    </w:p>
    <w:p w:rsidR="00205FD7" w:rsidRPr="007F33F1" w:rsidRDefault="00205FD7" w:rsidP="0047221E">
      <w:pPr>
        <w:pStyle w:val="TableFigureFooter"/>
      </w:pPr>
      <w:r w:rsidRPr="007F33F1">
        <w:t>BR=bendamustine+rituximab, m=months, MAIC=</w:t>
      </w:r>
      <w:r w:rsidRPr="007F33F1">
        <w:rPr>
          <w:szCs w:val="18"/>
        </w:rPr>
        <w:t>matched-adjusted indirect comparison,</w:t>
      </w:r>
      <w:r w:rsidRPr="007F33F1">
        <w:t xml:space="preserve"> OS=overall survival, PFS=progression-free survival, ZANU=zanubrutinib</w:t>
      </w:r>
      <w:r w:rsidR="00225FF3" w:rsidRPr="007F33F1">
        <w:t>.</w:t>
      </w:r>
    </w:p>
    <w:p w:rsidR="00205FD7" w:rsidRPr="007F33F1" w:rsidRDefault="00205FD7" w:rsidP="0047221E">
      <w:pPr>
        <w:pStyle w:val="3-BodyText"/>
      </w:pPr>
      <w:r w:rsidRPr="007F33F1">
        <w:t>The PFS and OS HR</w:t>
      </w:r>
      <w:r w:rsidR="006909D2" w:rsidRPr="007F33F1">
        <w:t>s</w:t>
      </w:r>
      <w:r w:rsidRPr="007F33F1">
        <w:t xml:space="preserve"> comparing </w:t>
      </w:r>
      <w:r w:rsidR="00BE77FA" w:rsidRPr="007F33F1">
        <w:t>zanubrutinib</w:t>
      </w:r>
      <w:r w:rsidRPr="007F33F1">
        <w:t xml:space="preserve"> to BR pre-matching and post-matching are reported in </w:t>
      </w:r>
      <w:r w:rsidR="00015997" w:rsidRPr="007F33F1">
        <w:t xml:space="preserve">Table </w:t>
      </w:r>
      <w:r w:rsidR="00015997">
        <w:t>13</w:t>
      </w:r>
      <w:r w:rsidRPr="007F33F1">
        <w:t xml:space="preserve">, and KM curves before and after matching are presented in </w:t>
      </w:r>
      <w:r w:rsidR="00015997" w:rsidRPr="007F33F1">
        <w:t xml:space="preserve">Figure </w:t>
      </w:r>
      <w:r w:rsidR="00015997">
        <w:t>4</w:t>
      </w:r>
      <w:r w:rsidRPr="007F33F1">
        <w:t xml:space="preserve"> and </w:t>
      </w:r>
      <w:r w:rsidR="00015997" w:rsidRPr="007F33F1">
        <w:t xml:space="preserve">Figure </w:t>
      </w:r>
      <w:r w:rsidR="00015997">
        <w:t>5</w:t>
      </w:r>
      <w:r w:rsidRPr="007F33F1">
        <w:t>.</w:t>
      </w:r>
    </w:p>
    <w:p w:rsidR="00205FD7" w:rsidRPr="007F33F1" w:rsidRDefault="00205FD7" w:rsidP="0047221E">
      <w:pPr>
        <w:pStyle w:val="TableFigureHeading"/>
      </w:pPr>
      <w:bookmarkStart w:id="65" w:name="_Ref71315788"/>
      <w:r w:rsidRPr="007F33F1">
        <w:t xml:space="preserve">Table </w:t>
      </w:r>
      <w:r w:rsidR="00015997">
        <w:rPr>
          <w:noProof/>
        </w:rPr>
        <w:t>13</w:t>
      </w:r>
      <w:bookmarkEnd w:id="65"/>
      <w:r w:rsidRPr="007F33F1">
        <w:t>: Hazard ratio ZANU (before and after matching adjustment) vs BR</w:t>
      </w:r>
    </w:p>
    <w:tbl>
      <w:tblPr>
        <w:tblStyle w:val="TableGrid1"/>
        <w:tblW w:w="5000" w:type="pct"/>
        <w:tblCellMar>
          <w:left w:w="28" w:type="dxa"/>
          <w:right w:w="28" w:type="dxa"/>
        </w:tblCellMar>
        <w:tblLook w:val="04A0" w:firstRow="1" w:lastRow="0" w:firstColumn="1" w:lastColumn="0" w:noHBand="0" w:noVBand="1"/>
        <w:tblCaption w:val="Table 13: Hazard ratio ZANU (before and after matching adjustment) vs BR"/>
      </w:tblPr>
      <w:tblGrid>
        <w:gridCol w:w="2251"/>
        <w:gridCol w:w="3556"/>
        <w:gridCol w:w="3233"/>
      </w:tblGrid>
      <w:tr w:rsidR="00205FD7" w:rsidRPr="007F33F1" w:rsidTr="002F7BC5">
        <w:trPr>
          <w:trHeight w:val="42"/>
          <w:tblHeader/>
        </w:trPr>
        <w:tc>
          <w:tcPr>
            <w:tcW w:w="1245" w:type="pct"/>
            <w:vMerge w:val="restart"/>
            <w:vAlign w:val="center"/>
          </w:tcPr>
          <w:p w:rsidR="00205FD7" w:rsidRPr="007F33F1" w:rsidRDefault="00205FD7" w:rsidP="0047221E">
            <w:pPr>
              <w:pStyle w:val="TableText0"/>
              <w:jc w:val="center"/>
              <w:rPr>
                <w:b/>
                <w:bCs w:val="0"/>
                <w:lang w:val="en-AU"/>
              </w:rPr>
            </w:pPr>
          </w:p>
        </w:tc>
        <w:tc>
          <w:tcPr>
            <w:tcW w:w="3755" w:type="pct"/>
            <w:gridSpan w:val="2"/>
            <w:vAlign w:val="center"/>
          </w:tcPr>
          <w:p w:rsidR="00205FD7" w:rsidRPr="007F33F1" w:rsidRDefault="00205FD7" w:rsidP="0047221E">
            <w:pPr>
              <w:pStyle w:val="TableText0"/>
              <w:jc w:val="center"/>
              <w:rPr>
                <w:b/>
                <w:bCs w:val="0"/>
                <w:lang w:val="en-AU"/>
              </w:rPr>
            </w:pPr>
            <w:r w:rsidRPr="007F33F1">
              <w:rPr>
                <w:b/>
                <w:bCs w:val="0"/>
                <w:lang w:val="en-AU"/>
              </w:rPr>
              <w:t>HR (95%</w:t>
            </w:r>
            <w:r w:rsidR="001B498F" w:rsidRPr="007F33F1">
              <w:rPr>
                <w:b/>
                <w:bCs w:val="0"/>
                <w:lang w:val="en-AU"/>
              </w:rPr>
              <w:t xml:space="preserve"> </w:t>
            </w:r>
            <w:r w:rsidRPr="007F33F1">
              <w:rPr>
                <w:b/>
                <w:bCs w:val="0"/>
                <w:lang w:val="en-AU"/>
              </w:rPr>
              <w:t xml:space="preserve">CI) ZANU </w:t>
            </w:r>
            <w:r w:rsidR="00B178EA" w:rsidRPr="007F33F1">
              <w:rPr>
                <w:b/>
                <w:bCs w:val="0"/>
                <w:lang w:val="en-AU"/>
              </w:rPr>
              <w:t>vs</w:t>
            </w:r>
            <w:r w:rsidRPr="007F33F1">
              <w:rPr>
                <w:b/>
                <w:bCs w:val="0"/>
                <w:lang w:val="en-AU"/>
              </w:rPr>
              <w:t xml:space="preserve"> BR</w:t>
            </w:r>
          </w:p>
        </w:tc>
      </w:tr>
      <w:tr w:rsidR="00205FD7" w:rsidRPr="007F33F1" w:rsidTr="002F7BC5">
        <w:trPr>
          <w:trHeight w:val="56"/>
          <w:tblHeader/>
        </w:trPr>
        <w:tc>
          <w:tcPr>
            <w:tcW w:w="1245" w:type="pct"/>
            <w:vMerge/>
            <w:vAlign w:val="center"/>
          </w:tcPr>
          <w:p w:rsidR="00205FD7" w:rsidRPr="007F33F1" w:rsidRDefault="00205FD7" w:rsidP="0047221E">
            <w:pPr>
              <w:pStyle w:val="TableText0"/>
              <w:rPr>
                <w:lang w:val="en-AU"/>
              </w:rPr>
            </w:pPr>
          </w:p>
        </w:tc>
        <w:tc>
          <w:tcPr>
            <w:tcW w:w="1967" w:type="pct"/>
            <w:vAlign w:val="center"/>
          </w:tcPr>
          <w:p w:rsidR="00205FD7" w:rsidRPr="007F33F1" w:rsidRDefault="00205FD7" w:rsidP="0047221E">
            <w:pPr>
              <w:pStyle w:val="TableText0"/>
              <w:jc w:val="center"/>
              <w:rPr>
                <w:b/>
                <w:bCs w:val="0"/>
                <w:lang w:val="en-AU"/>
              </w:rPr>
            </w:pPr>
            <w:r w:rsidRPr="007F33F1">
              <w:rPr>
                <w:b/>
                <w:bCs w:val="0"/>
                <w:lang w:val="en-AU"/>
              </w:rPr>
              <w:t>PFS</w:t>
            </w:r>
          </w:p>
        </w:tc>
        <w:tc>
          <w:tcPr>
            <w:tcW w:w="1788" w:type="pct"/>
            <w:vAlign w:val="center"/>
          </w:tcPr>
          <w:p w:rsidR="00205FD7" w:rsidRPr="007F33F1" w:rsidRDefault="00205FD7" w:rsidP="0047221E">
            <w:pPr>
              <w:pStyle w:val="TableText0"/>
              <w:jc w:val="center"/>
              <w:rPr>
                <w:b/>
                <w:bCs w:val="0"/>
                <w:lang w:val="en-AU"/>
              </w:rPr>
            </w:pPr>
            <w:r w:rsidRPr="007F33F1">
              <w:rPr>
                <w:b/>
                <w:bCs w:val="0"/>
                <w:lang w:val="en-AU"/>
              </w:rPr>
              <w:t>OS</w:t>
            </w:r>
          </w:p>
        </w:tc>
      </w:tr>
      <w:tr w:rsidR="00205FD7" w:rsidRPr="007F33F1" w:rsidTr="006909D2">
        <w:trPr>
          <w:trHeight w:val="56"/>
        </w:trPr>
        <w:tc>
          <w:tcPr>
            <w:tcW w:w="1245" w:type="pct"/>
            <w:vAlign w:val="center"/>
          </w:tcPr>
          <w:p w:rsidR="00205FD7" w:rsidRPr="007F33F1" w:rsidRDefault="00205FD7" w:rsidP="0047221E">
            <w:pPr>
              <w:pStyle w:val="TableText0"/>
              <w:jc w:val="center"/>
              <w:rPr>
                <w:b/>
                <w:bCs w:val="0"/>
                <w:lang w:val="en-AU"/>
              </w:rPr>
            </w:pPr>
            <w:r w:rsidRPr="007F33F1">
              <w:rPr>
                <w:b/>
                <w:bCs w:val="0"/>
                <w:lang w:val="en-AU"/>
              </w:rPr>
              <w:t>Pre-matching</w:t>
            </w:r>
          </w:p>
        </w:tc>
        <w:tc>
          <w:tcPr>
            <w:tcW w:w="1967" w:type="pct"/>
            <w:vAlign w:val="center"/>
          </w:tcPr>
          <w:p w:rsidR="00205FD7" w:rsidRPr="007F33F1" w:rsidRDefault="00205FD7" w:rsidP="0047221E">
            <w:pPr>
              <w:pStyle w:val="TableText0"/>
              <w:jc w:val="center"/>
              <w:rPr>
                <w:lang w:val="en-AU"/>
              </w:rPr>
            </w:pPr>
            <w:r w:rsidRPr="007F33F1">
              <w:rPr>
                <w:lang w:val="en-AU"/>
              </w:rPr>
              <w:t>0.32 (0.15, 0.69)</w:t>
            </w:r>
          </w:p>
        </w:tc>
        <w:tc>
          <w:tcPr>
            <w:tcW w:w="1788" w:type="pct"/>
            <w:vAlign w:val="center"/>
          </w:tcPr>
          <w:p w:rsidR="00205FD7" w:rsidRPr="007F33F1" w:rsidRDefault="00205FD7" w:rsidP="0047221E">
            <w:pPr>
              <w:pStyle w:val="TableText0"/>
              <w:jc w:val="center"/>
              <w:rPr>
                <w:lang w:val="en-AU"/>
              </w:rPr>
            </w:pPr>
            <w:r w:rsidRPr="007F33F1">
              <w:rPr>
                <w:lang w:val="en-AU"/>
              </w:rPr>
              <w:t>0.31 (0.12, 0.80)</w:t>
            </w:r>
          </w:p>
        </w:tc>
      </w:tr>
      <w:tr w:rsidR="00205FD7" w:rsidRPr="007F33F1" w:rsidTr="006909D2">
        <w:trPr>
          <w:trHeight w:val="56"/>
        </w:trPr>
        <w:tc>
          <w:tcPr>
            <w:tcW w:w="1245" w:type="pct"/>
            <w:vAlign w:val="center"/>
          </w:tcPr>
          <w:p w:rsidR="00205FD7" w:rsidRPr="007F33F1" w:rsidRDefault="00205FD7" w:rsidP="0047221E">
            <w:pPr>
              <w:pStyle w:val="TableText0"/>
              <w:jc w:val="center"/>
              <w:rPr>
                <w:b/>
                <w:bCs w:val="0"/>
                <w:lang w:val="en-AU"/>
              </w:rPr>
            </w:pPr>
            <w:r w:rsidRPr="007F33F1">
              <w:rPr>
                <w:b/>
                <w:bCs w:val="0"/>
                <w:lang w:val="en-AU"/>
              </w:rPr>
              <w:t>Post-matching</w:t>
            </w:r>
          </w:p>
        </w:tc>
        <w:tc>
          <w:tcPr>
            <w:tcW w:w="1967" w:type="pct"/>
            <w:vAlign w:val="center"/>
          </w:tcPr>
          <w:p w:rsidR="00205FD7" w:rsidRPr="007F33F1" w:rsidRDefault="00205FD7" w:rsidP="0047221E">
            <w:pPr>
              <w:pStyle w:val="TableText0"/>
              <w:jc w:val="center"/>
              <w:rPr>
                <w:lang w:val="en-AU"/>
              </w:rPr>
            </w:pPr>
            <w:r w:rsidRPr="007F33F1">
              <w:rPr>
                <w:lang w:val="en-AU"/>
              </w:rPr>
              <w:t>0.37 (0.15, 0.91)</w:t>
            </w:r>
          </w:p>
        </w:tc>
        <w:tc>
          <w:tcPr>
            <w:tcW w:w="1788" w:type="pct"/>
            <w:vAlign w:val="center"/>
          </w:tcPr>
          <w:p w:rsidR="00205FD7" w:rsidRPr="007F33F1" w:rsidRDefault="00205FD7" w:rsidP="0047221E">
            <w:pPr>
              <w:pStyle w:val="TableText0"/>
              <w:jc w:val="center"/>
              <w:rPr>
                <w:lang w:val="en-AU"/>
              </w:rPr>
            </w:pPr>
            <w:r w:rsidRPr="007F33F1">
              <w:rPr>
                <w:lang w:val="en-AU"/>
              </w:rPr>
              <w:t>0.29 (0.10, 0.85)</w:t>
            </w:r>
          </w:p>
        </w:tc>
      </w:tr>
    </w:tbl>
    <w:p w:rsidR="00205FD7" w:rsidRPr="007F33F1" w:rsidRDefault="00205FD7" w:rsidP="0047221E">
      <w:pPr>
        <w:pStyle w:val="TableFigureFooter"/>
      </w:pPr>
      <w:r w:rsidRPr="007F33F1">
        <w:t>Source: p136 of the submission</w:t>
      </w:r>
      <w:r w:rsidR="00225FF3" w:rsidRPr="007F33F1">
        <w:t>.</w:t>
      </w:r>
    </w:p>
    <w:p w:rsidR="00205FD7" w:rsidRPr="007F33F1" w:rsidRDefault="00205FD7" w:rsidP="0047221E">
      <w:pPr>
        <w:pStyle w:val="TableFigureFooter"/>
      </w:pPr>
      <w:r w:rsidRPr="007F33F1">
        <w:t>BR=bendamustine+rituximab, CI=confidence interval, HR=hazard ratio, OS=overall survival, PFS=progression-free survival, ZANU=zanubrutinib</w:t>
      </w:r>
      <w:r w:rsidR="00225FF3" w:rsidRPr="007F33F1">
        <w:t>.</w:t>
      </w:r>
    </w:p>
    <w:p w:rsidR="00205FD7" w:rsidRPr="007F33F1" w:rsidRDefault="00205FD7" w:rsidP="0047221E">
      <w:pPr>
        <w:pStyle w:val="TableFigureHeading"/>
      </w:pPr>
      <w:bookmarkStart w:id="66" w:name="_Ref71315964"/>
      <w:r w:rsidRPr="007F33F1">
        <w:t xml:space="preserve">Figure </w:t>
      </w:r>
      <w:r w:rsidR="00015997">
        <w:rPr>
          <w:noProof/>
        </w:rPr>
        <w:t>4</w:t>
      </w:r>
      <w:bookmarkEnd w:id="66"/>
      <w:r w:rsidRPr="007F33F1">
        <w:t>: KM curves, ITT (before and after matching adjustment)</w:t>
      </w:r>
      <w:r w:rsidRPr="007F33F1" w:rsidDel="008C71B7">
        <w:t xml:space="preserve"> </w:t>
      </w:r>
      <w:r w:rsidR="00615107" w:rsidRPr="007F33F1">
        <w:t>ZANU vs BR</w:t>
      </w:r>
    </w:p>
    <w:tbl>
      <w:tblPr>
        <w:tblStyle w:val="TableGrid"/>
        <w:tblW w:w="0" w:type="auto"/>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Figure 4: KM curves, ITT (before and after matching adjustment) ZANU vs BR"/>
      </w:tblPr>
      <w:tblGrid>
        <w:gridCol w:w="4520"/>
        <w:gridCol w:w="4520"/>
      </w:tblGrid>
      <w:tr w:rsidR="00205FD7" w:rsidRPr="007F33F1" w:rsidTr="002F7BC5">
        <w:trPr>
          <w:tblHeader/>
        </w:trPr>
        <w:tc>
          <w:tcPr>
            <w:tcW w:w="4520" w:type="dxa"/>
          </w:tcPr>
          <w:p w:rsidR="00205FD7" w:rsidRPr="007F33F1" w:rsidRDefault="00205FD7" w:rsidP="0047221E">
            <w:pPr>
              <w:keepNext/>
              <w:keepLines/>
              <w:jc w:val="center"/>
              <w:rPr>
                <w:rFonts w:ascii="Arial Narrow" w:hAnsi="Arial Narrow"/>
                <w:b/>
                <w:sz w:val="20"/>
                <w:szCs w:val="20"/>
              </w:rPr>
            </w:pPr>
            <w:r w:rsidRPr="007F33F1">
              <w:rPr>
                <w:rFonts w:ascii="Arial Narrow" w:hAnsi="Arial Narrow"/>
                <w:b/>
                <w:sz w:val="20"/>
                <w:szCs w:val="20"/>
              </w:rPr>
              <w:t>PFS</w:t>
            </w:r>
          </w:p>
        </w:tc>
        <w:tc>
          <w:tcPr>
            <w:tcW w:w="4520" w:type="dxa"/>
          </w:tcPr>
          <w:p w:rsidR="00205FD7" w:rsidRPr="007F33F1" w:rsidRDefault="00205FD7" w:rsidP="0047221E">
            <w:pPr>
              <w:keepNext/>
              <w:keepLines/>
              <w:jc w:val="center"/>
              <w:rPr>
                <w:rFonts w:ascii="Arial Narrow" w:hAnsi="Arial Narrow"/>
                <w:b/>
                <w:sz w:val="20"/>
                <w:szCs w:val="20"/>
              </w:rPr>
            </w:pPr>
            <w:r w:rsidRPr="007F33F1">
              <w:rPr>
                <w:rFonts w:ascii="Arial Narrow" w:hAnsi="Arial Narrow"/>
                <w:b/>
                <w:sz w:val="20"/>
                <w:szCs w:val="20"/>
              </w:rPr>
              <w:t>OS</w:t>
            </w:r>
          </w:p>
        </w:tc>
      </w:tr>
      <w:tr w:rsidR="00205FD7" w:rsidRPr="007F33F1" w:rsidTr="00205FD7">
        <w:tc>
          <w:tcPr>
            <w:tcW w:w="4520" w:type="dxa"/>
          </w:tcPr>
          <w:p w:rsidR="00205FD7" w:rsidRPr="007F33F1" w:rsidRDefault="00205FD7" w:rsidP="0047221E">
            <w:pPr>
              <w:keepNext/>
              <w:keepLines/>
              <w:jc w:val="center"/>
            </w:pPr>
            <w:r w:rsidRPr="007F33F1">
              <w:rPr>
                <w:rFonts w:asciiTheme="minorHAnsi" w:hAnsiTheme="minorHAnsi" w:cstheme="minorHAnsi"/>
                <w:noProof/>
              </w:rPr>
              <w:drawing>
                <wp:inline distT="0" distB="0" distL="0" distR="0" wp14:anchorId="42C779CF" wp14:editId="6076C27C">
                  <wp:extent cx="2923910" cy="3043124"/>
                  <wp:effectExtent l="0" t="0" r="0" b="0"/>
                  <wp:docPr id="65" name="Picture 6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2923910" cy="3043124"/>
                          </a:xfrm>
                          <a:prstGeom prst="rect">
                            <a:avLst/>
                          </a:prstGeom>
                          <a:noFill/>
                          <a:ln w="28575" cap="flat" cmpd="sng" algn="ctr">
                            <a:no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4520" w:type="dxa"/>
          </w:tcPr>
          <w:p w:rsidR="00205FD7" w:rsidRPr="007F33F1" w:rsidRDefault="00205FD7" w:rsidP="0047221E">
            <w:pPr>
              <w:keepNext/>
              <w:keepLines/>
              <w:jc w:val="center"/>
            </w:pPr>
            <w:r w:rsidRPr="007F33F1">
              <w:rPr>
                <w:rFonts w:asciiTheme="minorHAnsi" w:hAnsiTheme="minorHAnsi" w:cstheme="minorHAnsi"/>
                <w:noProof/>
              </w:rPr>
              <w:drawing>
                <wp:inline distT="0" distB="0" distL="0" distR="0" wp14:anchorId="785E860B" wp14:editId="5D4939D2">
                  <wp:extent cx="2964292" cy="2560320"/>
                  <wp:effectExtent l="0" t="0" r="7620" b="0"/>
                  <wp:docPr id="66" name="Picture 66" descr="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ine chart&#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078419" cy="2658894"/>
                          </a:xfrm>
                          <a:prstGeom prst="rect">
                            <a:avLst/>
                          </a:prstGeom>
                          <a:noFill/>
                          <a:ln w="28575" cap="flat" cmpd="sng" algn="ctr">
                            <a:no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r>
    </w:tbl>
    <w:p w:rsidR="00205FD7" w:rsidRPr="007F33F1" w:rsidRDefault="00205FD7" w:rsidP="0047221E">
      <w:pPr>
        <w:keepNext/>
        <w:keepLines/>
        <w:rPr>
          <w:rFonts w:ascii="Arial Narrow" w:hAnsi="Arial Narrow"/>
          <w:sz w:val="18"/>
          <w:szCs w:val="18"/>
        </w:rPr>
      </w:pPr>
      <w:r w:rsidRPr="007F33F1">
        <w:rPr>
          <w:rFonts w:ascii="Arial Narrow" w:hAnsi="Arial Narrow"/>
          <w:sz w:val="18"/>
          <w:szCs w:val="18"/>
        </w:rPr>
        <w:t>Source: Figure 2.34, p137 and Figure 2.35, p137 of the submission</w:t>
      </w:r>
    </w:p>
    <w:p w:rsidR="00205FD7" w:rsidRPr="007F33F1" w:rsidRDefault="00205FD7" w:rsidP="0047221E">
      <w:pPr>
        <w:pStyle w:val="TableFigureFooter"/>
        <w:keepNext/>
        <w:keepLines/>
        <w:rPr>
          <w:szCs w:val="18"/>
        </w:rPr>
      </w:pPr>
      <w:r w:rsidRPr="007F33F1">
        <w:rPr>
          <w:szCs w:val="18"/>
        </w:rPr>
        <w:t>BR=bendamustine+rituximab</w:t>
      </w:r>
      <w:r w:rsidR="00A33437" w:rsidRPr="007F33F1">
        <w:rPr>
          <w:szCs w:val="18"/>
        </w:rPr>
        <w:t>,</w:t>
      </w:r>
      <w:r w:rsidRPr="007F33F1">
        <w:rPr>
          <w:szCs w:val="18"/>
        </w:rPr>
        <w:t xml:space="preserve"> KM=Kapl</w:t>
      </w:r>
      <w:r w:rsidR="00A33437" w:rsidRPr="007F33F1">
        <w:rPr>
          <w:szCs w:val="18"/>
        </w:rPr>
        <w:t>an-Meier,</w:t>
      </w:r>
      <w:r w:rsidRPr="007F33F1">
        <w:rPr>
          <w:szCs w:val="18"/>
        </w:rPr>
        <w:t xml:space="preserve"> PFS=progression-free survival, ZANU=zanubrutinib</w:t>
      </w:r>
      <w:r w:rsidR="00A33437" w:rsidRPr="007F33F1">
        <w:rPr>
          <w:szCs w:val="18"/>
        </w:rPr>
        <w:t>.</w:t>
      </w:r>
    </w:p>
    <w:p w:rsidR="00205FD7" w:rsidRPr="007F33F1" w:rsidRDefault="00205FD7" w:rsidP="0047221E">
      <w:pPr>
        <w:pStyle w:val="TableFigureFooter"/>
        <w:keepNext/>
        <w:keepLines/>
        <w:rPr>
          <w:szCs w:val="18"/>
        </w:rPr>
      </w:pPr>
      <w:r w:rsidRPr="007F33F1">
        <w:rPr>
          <w:szCs w:val="18"/>
        </w:rPr>
        <w:t xml:space="preserve">NOTE: the Y axis for the submission’s PFS and OS graphs do not start at zero with a different scale for PFS and OS. </w:t>
      </w:r>
    </w:p>
    <w:p w:rsidR="00205FD7" w:rsidRPr="007F33F1" w:rsidRDefault="00205FD7" w:rsidP="0047221E">
      <w:pPr>
        <w:pStyle w:val="TableFigureHeading"/>
      </w:pPr>
      <w:bookmarkStart w:id="67" w:name="_Ref71316041"/>
      <w:r w:rsidRPr="007F33F1">
        <w:t xml:space="preserve">Figure </w:t>
      </w:r>
      <w:r w:rsidR="00015997">
        <w:rPr>
          <w:noProof/>
        </w:rPr>
        <w:t>5</w:t>
      </w:r>
      <w:bookmarkEnd w:id="67"/>
      <w:r w:rsidRPr="007F33F1">
        <w:t>: KM curves</w:t>
      </w:r>
      <w:r w:rsidR="009F2B3B" w:rsidRPr="007F33F1">
        <w:t>,</w:t>
      </w:r>
      <w:r w:rsidRPr="007F33F1">
        <w:t xml:space="preserve"> R/R subgroup (before and after matching adjustment)</w:t>
      </w:r>
      <w:r w:rsidR="00615107" w:rsidRPr="007F33F1">
        <w:t xml:space="preserve"> ZANU </w:t>
      </w:r>
      <w:r w:rsidR="000A6453" w:rsidRPr="007F33F1">
        <w:t>vs</w:t>
      </w:r>
      <w:r w:rsidR="00615107" w:rsidRPr="007F33F1">
        <w:t xml:space="preserve"> BR</w:t>
      </w:r>
    </w:p>
    <w:tbl>
      <w:tblPr>
        <w:tblStyle w:val="TableGrid"/>
        <w:tblW w:w="0" w:type="auto"/>
        <w:tblBorders>
          <w:insideH w:val="none" w:sz="0" w:space="0" w:color="auto"/>
          <w:insideV w:val="none" w:sz="0" w:space="0" w:color="auto"/>
        </w:tblBorders>
        <w:tblLook w:val="04A0" w:firstRow="1" w:lastRow="0" w:firstColumn="1" w:lastColumn="0" w:noHBand="0" w:noVBand="1"/>
        <w:tblCaption w:val="Figure 5: KM curves, R/R subgroup (before and after matching adjustment) ZANU vs BR"/>
      </w:tblPr>
      <w:tblGrid>
        <w:gridCol w:w="4478"/>
        <w:gridCol w:w="4562"/>
      </w:tblGrid>
      <w:tr w:rsidR="00205FD7" w:rsidRPr="007F33F1" w:rsidTr="002F7BC5">
        <w:trPr>
          <w:tblHeader/>
        </w:trPr>
        <w:tc>
          <w:tcPr>
            <w:tcW w:w="4248" w:type="dxa"/>
          </w:tcPr>
          <w:p w:rsidR="00205FD7" w:rsidRPr="007F33F1" w:rsidRDefault="00205FD7" w:rsidP="0047221E">
            <w:pPr>
              <w:keepNext/>
              <w:keepLines/>
              <w:jc w:val="center"/>
              <w:rPr>
                <w:rFonts w:ascii="Arial Narrow" w:hAnsi="Arial Narrow"/>
                <w:b/>
                <w:sz w:val="20"/>
                <w:szCs w:val="20"/>
              </w:rPr>
            </w:pPr>
            <w:r w:rsidRPr="007F33F1">
              <w:rPr>
                <w:rFonts w:ascii="Arial Narrow" w:hAnsi="Arial Narrow"/>
                <w:b/>
                <w:sz w:val="20"/>
                <w:szCs w:val="20"/>
              </w:rPr>
              <w:t>PFS</w:t>
            </w:r>
          </w:p>
        </w:tc>
        <w:tc>
          <w:tcPr>
            <w:tcW w:w="4792" w:type="dxa"/>
          </w:tcPr>
          <w:p w:rsidR="00205FD7" w:rsidRPr="007F33F1" w:rsidRDefault="00205FD7" w:rsidP="0047221E">
            <w:pPr>
              <w:keepNext/>
              <w:keepLines/>
              <w:jc w:val="center"/>
              <w:rPr>
                <w:rFonts w:ascii="Arial Narrow" w:hAnsi="Arial Narrow"/>
                <w:b/>
                <w:sz w:val="20"/>
                <w:szCs w:val="20"/>
              </w:rPr>
            </w:pPr>
            <w:r w:rsidRPr="007F33F1">
              <w:rPr>
                <w:rFonts w:ascii="Arial Narrow" w:hAnsi="Arial Narrow"/>
                <w:b/>
                <w:sz w:val="20"/>
                <w:szCs w:val="20"/>
              </w:rPr>
              <w:t>OS</w:t>
            </w:r>
          </w:p>
        </w:tc>
      </w:tr>
      <w:tr w:rsidR="00205FD7" w:rsidRPr="007F33F1" w:rsidTr="006909D2">
        <w:tc>
          <w:tcPr>
            <w:tcW w:w="4248" w:type="dxa"/>
          </w:tcPr>
          <w:p w:rsidR="00205FD7" w:rsidRPr="007F33F1" w:rsidRDefault="00205FD7" w:rsidP="0047221E">
            <w:pPr>
              <w:keepNext/>
              <w:keepLines/>
            </w:pPr>
            <w:r w:rsidRPr="007F33F1">
              <w:rPr>
                <w:rFonts w:asciiTheme="minorHAnsi" w:hAnsiTheme="minorHAnsi" w:cstheme="minorHAnsi"/>
                <w:noProof/>
              </w:rPr>
              <w:drawing>
                <wp:inline distT="0" distB="0" distL="0" distR="0" wp14:anchorId="5D3C27CC" wp14:editId="67CF9646">
                  <wp:extent cx="2706624" cy="2753970"/>
                  <wp:effectExtent l="0" t="0" r="0" b="8890"/>
                  <wp:docPr id="67" name="Picture 6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814317" cy="2863547"/>
                          </a:xfrm>
                          <a:prstGeom prst="rect">
                            <a:avLst/>
                          </a:prstGeom>
                          <a:noFill/>
                          <a:ln w="28575" cap="flat" cmpd="sng" algn="ctr">
                            <a:no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4792" w:type="dxa"/>
          </w:tcPr>
          <w:p w:rsidR="00205FD7" w:rsidRPr="007F33F1" w:rsidRDefault="00205FD7" w:rsidP="0047221E">
            <w:pPr>
              <w:keepNext/>
              <w:keepLines/>
            </w:pPr>
            <w:r w:rsidRPr="007F33F1">
              <w:rPr>
                <w:rFonts w:asciiTheme="minorHAnsi" w:hAnsiTheme="minorHAnsi" w:cstheme="minorHAnsi"/>
                <w:noProof/>
              </w:rPr>
              <w:drawing>
                <wp:inline distT="0" distB="0" distL="0" distR="0" wp14:anchorId="21C4DB1E" wp14:editId="258FFDA5">
                  <wp:extent cx="2706370" cy="2311603"/>
                  <wp:effectExtent l="0" t="0" r="0" b="8890"/>
                  <wp:docPr id="78" name="Picture 78" descr="Line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ine chart&#10;&#10;Description automatically generated with low confidenc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706370" cy="2311603"/>
                          </a:xfrm>
                          <a:prstGeom prst="rect">
                            <a:avLst/>
                          </a:prstGeom>
                          <a:noFill/>
                          <a:ln w="28575">
                            <a:noFill/>
                          </a:ln>
                          <a:extLst>
                            <a:ext uri="{53640926-AAD7-44D8-BBD7-CCE9431645EC}">
                              <a14:shadowObscured xmlns:a14="http://schemas.microsoft.com/office/drawing/2010/main"/>
                            </a:ext>
                          </a:extLst>
                        </pic:spPr>
                      </pic:pic>
                    </a:graphicData>
                  </a:graphic>
                </wp:inline>
              </w:drawing>
            </w:r>
          </w:p>
        </w:tc>
      </w:tr>
    </w:tbl>
    <w:p w:rsidR="00205FD7" w:rsidRPr="007F33F1" w:rsidRDefault="00205FD7" w:rsidP="0047221E">
      <w:pPr>
        <w:keepNext/>
        <w:keepLines/>
        <w:rPr>
          <w:rFonts w:ascii="Arial Narrow" w:hAnsi="Arial Narrow"/>
          <w:sz w:val="18"/>
          <w:szCs w:val="18"/>
        </w:rPr>
      </w:pPr>
      <w:r w:rsidRPr="007F33F1">
        <w:rPr>
          <w:rFonts w:ascii="Arial Narrow" w:hAnsi="Arial Narrow"/>
          <w:sz w:val="18"/>
          <w:szCs w:val="18"/>
        </w:rPr>
        <w:t>Source: Figure 2.36, p138 and Figure 2.37, p138 of the submission.</w:t>
      </w:r>
    </w:p>
    <w:p w:rsidR="00205FD7" w:rsidRPr="007F33F1" w:rsidRDefault="00205FD7" w:rsidP="0047221E">
      <w:pPr>
        <w:pStyle w:val="TableFigureFooter"/>
        <w:keepNext/>
        <w:keepLines/>
        <w:rPr>
          <w:szCs w:val="18"/>
        </w:rPr>
      </w:pPr>
      <w:r w:rsidRPr="007F33F1">
        <w:rPr>
          <w:szCs w:val="18"/>
        </w:rPr>
        <w:t>BR=bendamustine+rituximab</w:t>
      </w:r>
      <w:r w:rsidR="00A33437" w:rsidRPr="007F33F1">
        <w:rPr>
          <w:szCs w:val="18"/>
        </w:rPr>
        <w:t>, KM=Kaplan-Meier,</w:t>
      </w:r>
      <w:r w:rsidRPr="007F33F1">
        <w:rPr>
          <w:szCs w:val="18"/>
        </w:rPr>
        <w:t xml:space="preserve"> PFS=progression-free survival, R/R=relapsed or refractory, ZANU=zanubrutinib</w:t>
      </w:r>
      <w:r w:rsidR="00A33437" w:rsidRPr="007F33F1">
        <w:rPr>
          <w:szCs w:val="18"/>
        </w:rPr>
        <w:t>.</w:t>
      </w:r>
    </w:p>
    <w:p w:rsidR="00205FD7" w:rsidRPr="007F33F1" w:rsidRDefault="00205FD7" w:rsidP="0047221E">
      <w:pPr>
        <w:pStyle w:val="TableFigureFooter"/>
        <w:keepNext/>
        <w:keepLines/>
        <w:rPr>
          <w:szCs w:val="18"/>
        </w:rPr>
      </w:pPr>
      <w:r w:rsidRPr="007F33F1">
        <w:rPr>
          <w:szCs w:val="18"/>
        </w:rPr>
        <w:t xml:space="preserve">NOTE: the Y axis for the submission’s PFS and OS graphs do not start at zero with a different scale for PFS and OS. </w:t>
      </w:r>
    </w:p>
    <w:p w:rsidR="00205FD7" w:rsidRPr="007F33F1" w:rsidRDefault="00205FD7" w:rsidP="0047221E">
      <w:pPr>
        <w:pStyle w:val="3-BodyText"/>
        <w:rPr>
          <w:iCs/>
        </w:rPr>
      </w:pPr>
      <w:bookmarkStart w:id="68" w:name="_Ref75015197"/>
      <w:r w:rsidRPr="007F33F1">
        <w:rPr>
          <w:iCs/>
        </w:rPr>
        <w:t xml:space="preserve">The submission claimed superior efficacy of </w:t>
      </w:r>
      <w:r w:rsidR="00BE77FA" w:rsidRPr="007F33F1">
        <w:rPr>
          <w:iCs/>
        </w:rPr>
        <w:t>zanubrutinib</w:t>
      </w:r>
      <w:r w:rsidRPr="007F33F1">
        <w:rPr>
          <w:iCs/>
        </w:rPr>
        <w:t xml:space="preserve"> to BR in R/R WM. While the data numerically favoured </w:t>
      </w:r>
      <w:r w:rsidR="00BE77FA" w:rsidRPr="007F33F1">
        <w:rPr>
          <w:iCs/>
        </w:rPr>
        <w:t>zanubrutinib</w:t>
      </w:r>
      <w:r w:rsidRPr="007F33F1">
        <w:rPr>
          <w:iCs/>
        </w:rPr>
        <w:t>, PFS and OS data from ASPEN were premature with limite</w:t>
      </w:r>
      <w:r w:rsidR="00513BAC" w:rsidRPr="007F33F1">
        <w:rPr>
          <w:iCs/>
        </w:rPr>
        <w:t xml:space="preserve">d events for both PFS </w:t>
      </w:r>
      <w:r w:rsidRPr="007F33F1">
        <w:rPr>
          <w:iCs/>
        </w:rPr>
        <w:t xml:space="preserve">(15%) </w:t>
      </w:r>
      <w:r w:rsidR="00513BAC" w:rsidRPr="007F33F1">
        <w:rPr>
          <w:iCs/>
        </w:rPr>
        <w:t>and</w:t>
      </w:r>
      <w:r w:rsidR="00EE2B52" w:rsidRPr="007F33F1">
        <w:rPr>
          <w:iCs/>
        </w:rPr>
        <w:t xml:space="preserve"> </w:t>
      </w:r>
      <w:r w:rsidRPr="007F33F1">
        <w:rPr>
          <w:iCs/>
        </w:rPr>
        <w:t xml:space="preserve">OS (8%), </w:t>
      </w:r>
      <w:r w:rsidR="005376B2" w:rsidRPr="007F33F1">
        <w:rPr>
          <w:iCs/>
        </w:rPr>
        <w:t xml:space="preserve">which added to the </w:t>
      </w:r>
      <w:r w:rsidRPr="007F33F1">
        <w:rPr>
          <w:iCs/>
        </w:rPr>
        <w:t>uncertainty</w:t>
      </w:r>
      <w:r w:rsidR="005376B2" w:rsidRPr="007F33F1">
        <w:rPr>
          <w:iCs/>
        </w:rPr>
        <w:t xml:space="preserve"> </w:t>
      </w:r>
      <w:r w:rsidR="00C13EDD" w:rsidRPr="007F33F1">
        <w:rPr>
          <w:iCs/>
        </w:rPr>
        <w:t>of</w:t>
      </w:r>
      <w:r w:rsidR="005376B2" w:rsidRPr="007F33F1">
        <w:rPr>
          <w:iCs/>
        </w:rPr>
        <w:t xml:space="preserve"> the claim</w:t>
      </w:r>
      <w:r w:rsidRPr="007F33F1">
        <w:rPr>
          <w:iCs/>
        </w:rPr>
        <w:t>. The MAIC also could not adjust for a number of the identified differences in baseline characteristics between ASPEN</w:t>
      </w:r>
      <w:r w:rsidR="00A33437" w:rsidRPr="007F33F1">
        <w:rPr>
          <w:iCs/>
        </w:rPr>
        <w:t>-</w:t>
      </w:r>
      <w:r w:rsidRPr="007F33F1">
        <w:rPr>
          <w:iCs/>
        </w:rPr>
        <w:t xml:space="preserve">Cohort 1 and Tedeschi 2015, such as genetic profile, ECOG status, and serology at baseline, which are all known confounders for effectiveness. </w:t>
      </w:r>
      <w:r w:rsidR="00575C3C" w:rsidRPr="007F33F1">
        <w:rPr>
          <w:iCs/>
        </w:rPr>
        <w:t>Further,</w:t>
      </w:r>
      <w:r w:rsidR="006909D2" w:rsidRPr="007F33F1">
        <w:rPr>
          <w:iCs/>
        </w:rPr>
        <w:t xml:space="preserve"> a</w:t>
      </w:r>
      <w:r w:rsidRPr="007F33F1">
        <w:rPr>
          <w:iCs/>
        </w:rPr>
        <w:t xml:space="preserve"> lower than recommended dosing regimen </w:t>
      </w:r>
      <w:r w:rsidR="00575C3C" w:rsidRPr="007F33F1">
        <w:rPr>
          <w:iCs/>
        </w:rPr>
        <w:t xml:space="preserve">was </w:t>
      </w:r>
      <w:r w:rsidRPr="007F33F1">
        <w:rPr>
          <w:iCs/>
        </w:rPr>
        <w:t>used</w:t>
      </w:r>
      <w:r w:rsidR="00575C3C" w:rsidRPr="007F33F1">
        <w:rPr>
          <w:iCs/>
        </w:rPr>
        <w:t xml:space="preserve"> in Tedeschi 2015</w:t>
      </w:r>
      <w:r w:rsidRPr="007F33F1">
        <w:rPr>
          <w:iCs/>
        </w:rPr>
        <w:t xml:space="preserve"> </w:t>
      </w:r>
      <w:r w:rsidR="00575C3C" w:rsidRPr="007F33F1">
        <w:rPr>
          <w:iCs/>
        </w:rPr>
        <w:t xml:space="preserve">for </w:t>
      </w:r>
      <w:r w:rsidRPr="007F33F1">
        <w:rPr>
          <w:iCs/>
        </w:rPr>
        <w:t xml:space="preserve">37% of patients receiving BR and </w:t>
      </w:r>
      <w:r w:rsidR="00E40714" w:rsidRPr="007F33F1">
        <w:rPr>
          <w:iCs/>
        </w:rPr>
        <w:t xml:space="preserve">the study </w:t>
      </w:r>
      <w:r w:rsidR="006E6F15" w:rsidRPr="007F33F1">
        <w:rPr>
          <w:iCs/>
        </w:rPr>
        <w:t>included</w:t>
      </w:r>
      <w:r w:rsidRPr="007F33F1">
        <w:rPr>
          <w:iCs/>
        </w:rPr>
        <w:t xml:space="preserve"> patients refractory to rituximab-based therapies, whereas patients with any prior exposure to BTKi treatments were excluded from ASPEN. Both of these factors may have reduced treatment efficacy in Tedeschi 2015. </w:t>
      </w:r>
      <w:bookmarkEnd w:id="68"/>
    </w:p>
    <w:p w:rsidR="00205FD7" w:rsidRPr="007F33F1" w:rsidRDefault="00205FD7" w:rsidP="0047221E">
      <w:pPr>
        <w:pStyle w:val="3-BodyText"/>
      </w:pPr>
      <w:r w:rsidRPr="007F33F1">
        <w:t>The submission also conducted a MAIC for selected safety outcomes (</w:t>
      </w:r>
      <w:r w:rsidR="00015997" w:rsidRPr="007F33F1">
        <w:t xml:space="preserve">Table </w:t>
      </w:r>
      <w:r w:rsidR="00015997">
        <w:t>14</w:t>
      </w:r>
      <w:r w:rsidRPr="007F33F1">
        <w:t xml:space="preserve">). </w:t>
      </w:r>
    </w:p>
    <w:p w:rsidR="00205FD7" w:rsidRPr="007F33F1" w:rsidRDefault="00205FD7" w:rsidP="0047221E">
      <w:pPr>
        <w:pStyle w:val="TableFigureHeading"/>
      </w:pPr>
      <w:bookmarkStart w:id="69" w:name="_Ref71316192"/>
      <w:r w:rsidRPr="007F33F1">
        <w:t xml:space="preserve">Table </w:t>
      </w:r>
      <w:r w:rsidR="00015997">
        <w:rPr>
          <w:noProof/>
        </w:rPr>
        <w:t>14</w:t>
      </w:r>
      <w:bookmarkEnd w:id="69"/>
      <w:r w:rsidRPr="007F33F1">
        <w:t>: AEs grade ≥3 occurring in ≥5% of patients, ZANU (before and after matching adjustment) vs BR</w:t>
      </w:r>
    </w:p>
    <w:tbl>
      <w:tblPr>
        <w:tblStyle w:val="TableGrid1"/>
        <w:tblW w:w="8926" w:type="dxa"/>
        <w:tblLayout w:type="fixed"/>
        <w:tblCellMar>
          <w:left w:w="28" w:type="dxa"/>
          <w:right w:w="28" w:type="dxa"/>
        </w:tblCellMar>
        <w:tblLook w:val="04A0" w:firstRow="1" w:lastRow="0" w:firstColumn="1" w:lastColumn="0" w:noHBand="0" w:noVBand="1"/>
        <w:tblCaption w:val="Table 14: AEs grade ≥3 occurring in ≥5% of patients, ZANU (before and after matching adjustment) vs BR"/>
      </w:tblPr>
      <w:tblGrid>
        <w:gridCol w:w="1696"/>
        <w:gridCol w:w="2410"/>
        <w:gridCol w:w="2693"/>
        <w:gridCol w:w="2127"/>
      </w:tblGrid>
      <w:tr w:rsidR="00205FD7" w:rsidRPr="007F33F1" w:rsidTr="002F7BC5">
        <w:trPr>
          <w:trHeight w:val="92"/>
          <w:tblHeader/>
        </w:trPr>
        <w:tc>
          <w:tcPr>
            <w:tcW w:w="1696" w:type="dxa"/>
            <w:vMerge w:val="restart"/>
            <w:vAlign w:val="center"/>
          </w:tcPr>
          <w:p w:rsidR="00205FD7" w:rsidRPr="007F33F1" w:rsidRDefault="00205FD7" w:rsidP="0047221E">
            <w:pPr>
              <w:pStyle w:val="TableText0"/>
              <w:rPr>
                <w:b/>
                <w:bCs w:val="0"/>
                <w:lang w:val="en-AU"/>
              </w:rPr>
            </w:pPr>
            <w:r w:rsidRPr="007F33F1">
              <w:rPr>
                <w:b/>
                <w:bCs w:val="0"/>
                <w:lang w:val="en-AU"/>
              </w:rPr>
              <w:t>Outcomes</w:t>
            </w:r>
          </w:p>
        </w:tc>
        <w:tc>
          <w:tcPr>
            <w:tcW w:w="2410" w:type="dxa"/>
            <w:vMerge w:val="restart"/>
            <w:vAlign w:val="center"/>
          </w:tcPr>
          <w:p w:rsidR="00205FD7" w:rsidRPr="007F33F1" w:rsidRDefault="00205FD7" w:rsidP="0047221E">
            <w:pPr>
              <w:pStyle w:val="TableText0"/>
              <w:jc w:val="center"/>
              <w:rPr>
                <w:b/>
                <w:bCs w:val="0"/>
                <w:lang w:val="en-AU"/>
              </w:rPr>
            </w:pPr>
            <w:r w:rsidRPr="007F33F1">
              <w:rPr>
                <w:b/>
                <w:bCs w:val="0"/>
                <w:lang w:val="en-AU"/>
              </w:rPr>
              <w:t>ZANU pre-matching (N=102)</w:t>
            </w:r>
          </w:p>
        </w:tc>
        <w:tc>
          <w:tcPr>
            <w:tcW w:w="4820" w:type="dxa"/>
            <w:gridSpan w:val="2"/>
            <w:vAlign w:val="center"/>
          </w:tcPr>
          <w:p w:rsidR="00205FD7" w:rsidRPr="007F33F1" w:rsidRDefault="00205FD7" w:rsidP="0047221E">
            <w:pPr>
              <w:pStyle w:val="TableText0"/>
              <w:jc w:val="center"/>
              <w:rPr>
                <w:b/>
                <w:bCs w:val="0"/>
                <w:lang w:val="en-AU"/>
              </w:rPr>
            </w:pPr>
            <w:r w:rsidRPr="007F33F1">
              <w:rPr>
                <w:b/>
                <w:bCs w:val="0"/>
                <w:lang w:val="en-AU"/>
              </w:rPr>
              <w:t>MAIC of ZANU vs BR</w:t>
            </w:r>
          </w:p>
        </w:tc>
      </w:tr>
      <w:tr w:rsidR="00205FD7" w:rsidRPr="007F33F1" w:rsidTr="002F7BC5">
        <w:trPr>
          <w:trHeight w:val="95"/>
          <w:tblHeader/>
        </w:trPr>
        <w:tc>
          <w:tcPr>
            <w:tcW w:w="1696" w:type="dxa"/>
            <w:vMerge/>
            <w:hideMark/>
          </w:tcPr>
          <w:p w:rsidR="00205FD7" w:rsidRPr="007F33F1" w:rsidRDefault="00205FD7" w:rsidP="0047221E">
            <w:pPr>
              <w:pStyle w:val="TableText0"/>
              <w:rPr>
                <w:lang w:val="en-AU"/>
              </w:rPr>
            </w:pPr>
          </w:p>
        </w:tc>
        <w:tc>
          <w:tcPr>
            <w:tcW w:w="2410" w:type="dxa"/>
            <w:vMerge/>
            <w:vAlign w:val="center"/>
          </w:tcPr>
          <w:p w:rsidR="00205FD7" w:rsidRPr="007F33F1" w:rsidRDefault="00205FD7" w:rsidP="0047221E">
            <w:pPr>
              <w:pStyle w:val="TableText0"/>
              <w:jc w:val="center"/>
              <w:rPr>
                <w:lang w:val="en-AU"/>
              </w:rPr>
            </w:pPr>
          </w:p>
        </w:tc>
        <w:tc>
          <w:tcPr>
            <w:tcW w:w="2693" w:type="dxa"/>
            <w:vAlign w:val="center"/>
          </w:tcPr>
          <w:p w:rsidR="00205FD7" w:rsidRPr="007F33F1" w:rsidRDefault="00205FD7" w:rsidP="0047221E">
            <w:pPr>
              <w:pStyle w:val="TableText0"/>
              <w:jc w:val="center"/>
              <w:rPr>
                <w:b/>
                <w:bCs w:val="0"/>
                <w:lang w:val="en-AU"/>
              </w:rPr>
            </w:pPr>
            <w:r w:rsidRPr="007F33F1">
              <w:rPr>
                <w:b/>
                <w:bCs w:val="0"/>
                <w:lang w:val="en-AU"/>
              </w:rPr>
              <w:t>ZANU post-matching BR (N=50)</w:t>
            </w:r>
          </w:p>
        </w:tc>
        <w:tc>
          <w:tcPr>
            <w:tcW w:w="2127" w:type="dxa"/>
            <w:vAlign w:val="center"/>
          </w:tcPr>
          <w:p w:rsidR="00205FD7" w:rsidRPr="007F33F1" w:rsidRDefault="00205FD7" w:rsidP="0047221E">
            <w:pPr>
              <w:pStyle w:val="TableText0"/>
              <w:jc w:val="center"/>
              <w:rPr>
                <w:b/>
                <w:bCs w:val="0"/>
                <w:lang w:val="en-AU"/>
              </w:rPr>
            </w:pPr>
            <w:r w:rsidRPr="007F33F1">
              <w:rPr>
                <w:b/>
                <w:bCs w:val="0"/>
                <w:lang w:val="en-AU"/>
              </w:rPr>
              <w:t>BR (N=71)</w:t>
            </w:r>
          </w:p>
        </w:tc>
      </w:tr>
      <w:tr w:rsidR="00205FD7" w:rsidRPr="007F33F1" w:rsidTr="00205FD7">
        <w:trPr>
          <w:trHeight w:val="255"/>
        </w:trPr>
        <w:tc>
          <w:tcPr>
            <w:tcW w:w="1696" w:type="dxa"/>
          </w:tcPr>
          <w:p w:rsidR="00205FD7" w:rsidRPr="007F33F1" w:rsidRDefault="00205FD7" w:rsidP="0047221E">
            <w:pPr>
              <w:pStyle w:val="TableText0"/>
              <w:rPr>
                <w:lang w:val="en-AU"/>
              </w:rPr>
            </w:pPr>
            <w:r w:rsidRPr="007F33F1">
              <w:rPr>
                <w:lang w:val="en-AU"/>
              </w:rPr>
              <w:t>Anaemia, %</w:t>
            </w:r>
          </w:p>
        </w:tc>
        <w:tc>
          <w:tcPr>
            <w:tcW w:w="2410" w:type="dxa"/>
            <w:vAlign w:val="center"/>
          </w:tcPr>
          <w:p w:rsidR="00205FD7" w:rsidRPr="007F33F1" w:rsidRDefault="00205FD7" w:rsidP="0047221E">
            <w:pPr>
              <w:pStyle w:val="TableText0"/>
              <w:jc w:val="center"/>
              <w:rPr>
                <w:lang w:val="en-AU"/>
              </w:rPr>
            </w:pPr>
            <w:r w:rsidRPr="007F33F1">
              <w:rPr>
                <w:lang w:val="en-AU"/>
              </w:rPr>
              <w:t>5.0</w:t>
            </w:r>
          </w:p>
        </w:tc>
        <w:tc>
          <w:tcPr>
            <w:tcW w:w="2693" w:type="dxa"/>
            <w:vAlign w:val="center"/>
          </w:tcPr>
          <w:p w:rsidR="00205FD7" w:rsidRPr="007F33F1" w:rsidRDefault="00205FD7" w:rsidP="0047221E">
            <w:pPr>
              <w:pStyle w:val="TableText0"/>
              <w:jc w:val="center"/>
              <w:rPr>
                <w:lang w:val="en-AU"/>
              </w:rPr>
            </w:pPr>
            <w:r w:rsidRPr="007F33F1">
              <w:rPr>
                <w:lang w:val="en-AU"/>
              </w:rPr>
              <w:t>3.6</w:t>
            </w:r>
          </w:p>
        </w:tc>
        <w:tc>
          <w:tcPr>
            <w:tcW w:w="2127" w:type="dxa"/>
            <w:vAlign w:val="center"/>
          </w:tcPr>
          <w:p w:rsidR="00205FD7" w:rsidRPr="007F33F1" w:rsidRDefault="00205FD7" w:rsidP="0047221E">
            <w:pPr>
              <w:pStyle w:val="TableText0"/>
              <w:jc w:val="center"/>
              <w:rPr>
                <w:lang w:val="en-AU"/>
              </w:rPr>
            </w:pPr>
            <w:r w:rsidRPr="007F33F1">
              <w:rPr>
                <w:lang w:val="en-AU"/>
              </w:rPr>
              <w:t>NR</w:t>
            </w:r>
          </w:p>
        </w:tc>
      </w:tr>
      <w:tr w:rsidR="00205FD7" w:rsidRPr="007F33F1" w:rsidTr="00205FD7">
        <w:trPr>
          <w:trHeight w:val="255"/>
        </w:trPr>
        <w:tc>
          <w:tcPr>
            <w:tcW w:w="1696" w:type="dxa"/>
          </w:tcPr>
          <w:p w:rsidR="00205FD7" w:rsidRPr="007F33F1" w:rsidRDefault="00205FD7" w:rsidP="0047221E">
            <w:pPr>
              <w:pStyle w:val="TableText0"/>
              <w:rPr>
                <w:lang w:val="en-AU"/>
              </w:rPr>
            </w:pPr>
            <w:r w:rsidRPr="007F33F1">
              <w:rPr>
                <w:lang w:val="en-AU"/>
              </w:rPr>
              <w:t>Hypertension, %</w:t>
            </w:r>
          </w:p>
        </w:tc>
        <w:tc>
          <w:tcPr>
            <w:tcW w:w="2410" w:type="dxa"/>
            <w:vAlign w:val="center"/>
          </w:tcPr>
          <w:p w:rsidR="00205FD7" w:rsidRPr="007F33F1" w:rsidRDefault="00205FD7" w:rsidP="0047221E">
            <w:pPr>
              <w:pStyle w:val="TableText0"/>
              <w:jc w:val="center"/>
              <w:rPr>
                <w:lang w:val="en-AU"/>
              </w:rPr>
            </w:pPr>
            <w:r w:rsidRPr="007F33F1">
              <w:rPr>
                <w:lang w:val="en-AU"/>
              </w:rPr>
              <w:t>5.9</w:t>
            </w:r>
          </w:p>
        </w:tc>
        <w:tc>
          <w:tcPr>
            <w:tcW w:w="2693" w:type="dxa"/>
            <w:vAlign w:val="center"/>
          </w:tcPr>
          <w:p w:rsidR="00205FD7" w:rsidRPr="007F33F1" w:rsidRDefault="00205FD7" w:rsidP="0047221E">
            <w:pPr>
              <w:pStyle w:val="TableText0"/>
              <w:jc w:val="center"/>
              <w:rPr>
                <w:lang w:val="en-AU"/>
              </w:rPr>
            </w:pPr>
            <w:r w:rsidRPr="007F33F1">
              <w:rPr>
                <w:lang w:val="en-AU"/>
              </w:rPr>
              <w:t>9.5</w:t>
            </w:r>
          </w:p>
        </w:tc>
        <w:tc>
          <w:tcPr>
            <w:tcW w:w="2127" w:type="dxa"/>
            <w:vAlign w:val="center"/>
          </w:tcPr>
          <w:p w:rsidR="00205FD7" w:rsidRPr="007F33F1" w:rsidRDefault="00205FD7" w:rsidP="0047221E">
            <w:pPr>
              <w:pStyle w:val="TableText0"/>
              <w:jc w:val="center"/>
              <w:rPr>
                <w:lang w:val="en-AU"/>
              </w:rPr>
            </w:pPr>
            <w:r w:rsidRPr="007F33F1">
              <w:rPr>
                <w:lang w:val="en-AU"/>
              </w:rPr>
              <w:t>NR</w:t>
            </w:r>
          </w:p>
        </w:tc>
      </w:tr>
      <w:tr w:rsidR="00205FD7" w:rsidRPr="007F33F1" w:rsidTr="00205FD7">
        <w:trPr>
          <w:trHeight w:val="255"/>
        </w:trPr>
        <w:tc>
          <w:tcPr>
            <w:tcW w:w="1696" w:type="dxa"/>
          </w:tcPr>
          <w:p w:rsidR="00205FD7" w:rsidRPr="007F33F1" w:rsidRDefault="00205FD7" w:rsidP="0047221E">
            <w:pPr>
              <w:pStyle w:val="TableText0"/>
              <w:rPr>
                <w:lang w:val="en-AU"/>
              </w:rPr>
            </w:pPr>
            <w:r w:rsidRPr="007F33F1">
              <w:rPr>
                <w:lang w:val="en-AU"/>
              </w:rPr>
              <w:t>Neutropenia, %</w:t>
            </w:r>
          </w:p>
        </w:tc>
        <w:tc>
          <w:tcPr>
            <w:tcW w:w="2410" w:type="dxa"/>
            <w:vAlign w:val="center"/>
          </w:tcPr>
          <w:p w:rsidR="00205FD7" w:rsidRPr="007F33F1" w:rsidRDefault="00205FD7" w:rsidP="0047221E">
            <w:pPr>
              <w:pStyle w:val="TableText0"/>
              <w:jc w:val="center"/>
              <w:rPr>
                <w:lang w:val="en-AU"/>
              </w:rPr>
            </w:pPr>
            <w:r w:rsidRPr="007F33F1">
              <w:rPr>
                <w:lang w:val="en-AU"/>
              </w:rPr>
              <w:t>15.8</w:t>
            </w:r>
          </w:p>
        </w:tc>
        <w:tc>
          <w:tcPr>
            <w:tcW w:w="2693" w:type="dxa"/>
            <w:vAlign w:val="center"/>
          </w:tcPr>
          <w:p w:rsidR="00205FD7" w:rsidRPr="007F33F1" w:rsidRDefault="00205FD7" w:rsidP="0047221E">
            <w:pPr>
              <w:pStyle w:val="TableText0"/>
              <w:jc w:val="center"/>
              <w:rPr>
                <w:lang w:val="en-AU"/>
              </w:rPr>
            </w:pPr>
            <w:r w:rsidRPr="007F33F1">
              <w:rPr>
                <w:lang w:val="en-AU"/>
              </w:rPr>
              <w:t>17.5</w:t>
            </w:r>
          </w:p>
        </w:tc>
        <w:tc>
          <w:tcPr>
            <w:tcW w:w="2127" w:type="dxa"/>
            <w:vAlign w:val="center"/>
          </w:tcPr>
          <w:p w:rsidR="00205FD7" w:rsidRPr="007F33F1" w:rsidRDefault="00205FD7" w:rsidP="0047221E">
            <w:pPr>
              <w:pStyle w:val="TableText0"/>
              <w:jc w:val="center"/>
              <w:rPr>
                <w:highlight w:val="yellow"/>
                <w:lang w:val="en-AU"/>
              </w:rPr>
            </w:pPr>
            <w:r w:rsidRPr="007F33F1">
              <w:rPr>
                <w:lang w:val="en-AU"/>
              </w:rPr>
              <w:t>35.2</w:t>
            </w:r>
          </w:p>
        </w:tc>
      </w:tr>
      <w:tr w:rsidR="00205FD7" w:rsidRPr="007F33F1" w:rsidTr="00205FD7">
        <w:trPr>
          <w:trHeight w:val="255"/>
        </w:trPr>
        <w:tc>
          <w:tcPr>
            <w:tcW w:w="1696" w:type="dxa"/>
          </w:tcPr>
          <w:p w:rsidR="00205FD7" w:rsidRPr="007F33F1" w:rsidRDefault="00205FD7" w:rsidP="0047221E">
            <w:pPr>
              <w:pStyle w:val="TableText0"/>
              <w:rPr>
                <w:lang w:val="en-AU"/>
              </w:rPr>
            </w:pPr>
            <w:r w:rsidRPr="007F33F1">
              <w:rPr>
                <w:lang w:val="en-AU"/>
              </w:rPr>
              <w:t>Pneumonia, %</w:t>
            </w:r>
          </w:p>
        </w:tc>
        <w:tc>
          <w:tcPr>
            <w:tcW w:w="2410" w:type="dxa"/>
            <w:vAlign w:val="center"/>
          </w:tcPr>
          <w:p w:rsidR="00205FD7" w:rsidRPr="007F33F1" w:rsidRDefault="00205FD7" w:rsidP="0047221E">
            <w:pPr>
              <w:pStyle w:val="TableText0"/>
              <w:jc w:val="center"/>
              <w:rPr>
                <w:lang w:val="en-AU"/>
              </w:rPr>
            </w:pPr>
            <w:r w:rsidRPr="007F33F1">
              <w:rPr>
                <w:lang w:val="en-AU"/>
              </w:rPr>
              <w:t>1.0</w:t>
            </w:r>
          </w:p>
        </w:tc>
        <w:tc>
          <w:tcPr>
            <w:tcW w:w="2693" w:type="dxa"/>
            <w:vAlign w:val="center"/>
          </w:tcPr>
          <w:p w:rsidR="00205FD7" w:rsidRPr="007F33F1" w:rsidRDefault="00205FD7" w:rsidP="0047221E">
            <w:pPr>
              <w:pStyle w:val="TableText0"/>
              <w:jc w:val="center"/>
              <w:rPr>
                <w:lang w:val="en-AU"/>
              </w:rPr>
            </w:pPr>
            <w:r w:rsidRPr="007F33F1">
              <w:rPr>
                <w:lang w:val="en-AU"/>
              </w:rPr>
              <w:t>1.5</w:t>
            </w:r>
          </w:p>
        </w:tc>
        <w:tc>
          <w:tcPr>
            <w:tcW w:w="2127" w:type="dxa"/>
            <w:vAlign w:val="center"/>
          </w:tcPr>
          <w:p w:rsidR="00205FD7" w:rsidRPr="007F33F1" w:rsidRDefault="00205FD7" w:rsidP="0047221E">
            <w:pPr>
              <w:pStyle w:val="TableText0"/>
              <w:jc w:val="center"/>
              <w:rPr>
                <w:lang w:val="en-AU"/>
              </w:rPr>
            </w:pPr>
            <w:r w:rsidRPr="007F33F1">
              <w:rPr>
                <w:lang w:val="en-AU"/>
              </w:rPr>
              <w:t>5.6</w:t>
            </w:r>
          </w:p>
        </w:tc>
      </w:tr>
      <w:tr w:rsidR="00205FD7" w:rsidRPr="007F33F1" w:rsidTr="00205FD7">
        <w:trPr>
          <w:trHeight w:val="255"/>
        </w:trPr>
        <w:tc>
          <w:tcPr>
            <w:tcW w:w="1696" w:type="dxa"/>
          </w:tcPr>
          <w:p w:rsidR="00205FD7" w:rsidRPr="007F33F1" w:rsidRDefault="00205FD7" w:rsidP="0047221E">
            <w:pPr>
              <w:pStyle w:val="TableText0"/>
              <w:rPr>
                <w:lang w:val="en-AU"/>
              </w:rPr>
            </w:pPr>
            <w:r w:rsidRPr="007F33F1">
              <w:rPr>
                <w:lang w:val="en-AU"/>
              </w:rPr>
              <w:t>Thrombocytopenia, %</w:t>
            </w:r>
          </w:p>
        </w:tc>
        <w:tc>
          <w:tcPr>
            <w:tcW w:w="2410" w:type="dxa"/>
            <w:vAlign w:val="center"/>
          </w:tcPr>
          <w:p w:rsidR="00205FD7" w:rsidRPr="007F33F1" w:rsidRDefault="00205FD7" w:rsidP="0047221E">
            <w:pPr>
              <w:pStyle w:val="TableText0"/>
              <w:jc w:val="center"/>
              <w:rPr>
                <w:lang w:val="en-AU"/>
              </w:rPr>
            </w:pPr>
            <w:r w:rsidRPr="007F33F1">
              <w:rPr>
                <w:lang w:val="en-AU"/>
              </w:rPr>
              <w:t>5.9</w:t>
            </w:r>
          </w:p>
        </w:tc>
        <w:tc>
          <w:tcPr>
            <w:tcW w:w="2693" w:type="dxa"/>
            <w:vAlign w:val="center"/>
          </w:tcPr>
          <w:p w:rsidR="00205FD7" w:rsidRPr="007F33F1" w:rsidRDefault="00205FD7" w:rsidP="0047221E">
            <w:pPr>
              <w:pStyle w:val="TableText0"/>
              <w:jc w:val="center"/>
              <w:rPr>
                <w:lang w:val="en-AU"/>
              </w:rPr>
            </w:pPr>
            <w:r w:rsidRPr="007F33F1">
              <w:rPr>
                <w:lang w:val="en-AU"/>
              </w:rPr>
              <w:t>5.2</w:t>
            </w:r>
          </w:p>
        </w:tc>
        <w:tc>
          <w:tcPr>
            <w:tcW w:w="2127" w:type="dxa"/>
            <w:vAlign w:val="center"/>
          </w:tcPr>
          <w:p w:rsidR="00205FD7" w:rsidRPr="007F33F1" w:rsidRDefault="00205FD7" w:rsidP="0047221E">
            <w:pPr>
              <w:pStyle w:val="TableText0"/>
              <w:jc w:val="center"/>
              <w:rPr>
                <w:lang w:val="en-AU"/>
              </w:rPr>
            </w:pPr>
            <w:r w:rsidRPr="007F33F1">
              <w:rPr>
                <w:lang w:val="en-AU"/>
              </w:rPr>
              <w:t>NR</w:t>
            </w:r>
          </w:p>
        </w:tc>
      </w:tr>
    </w:tbl>
    <w:p w:rsidR="00205FD7" w:rsidRPr="007F33F1" w:rsidRDefault="00205FD7" w:rsidP="0047221E">
      <w:pPr>
        <w:pStyle w:val="TableFigureFooter"/>
      </w:pPr>
      <w:r w:rsidRPr="007F33F1">
        <w:t>Source: Table 2.70, p138 of the submission</w:t>
      </w:r>
      <w:r w:rsidR="00A33437" w:rsidRPr="007F33F1">
        <w:t>.</w:t>
      </w:r>
    </w:p>
    <w:p w:rsidR="00205FD7" w:rsidRPr="007F33F1" w:rsidRDefault="00205FD7" w:rsidP="0047221E">
      <w:pPr>
        <w:pStyle w:val="TableFigureFooter"/>
      </w:pPr>
      <w:r w:rsidRPr="007F33F1">
        <w:t>AEs=adverse events, BR=bendamustine+rituximab, MAIC=</w:t>
      </w:r>
      <w:r w:rsidRPr="007F33F1">
        <w:rPr>
          <w:szCs w:val="18"/>
        </w:rPr>
        <w:t>matched-adjusted indirect comparison,</w:t>
      </w:r>
      <w:r w:rsidRPr="007F33F1">
        <w:t xml:space="preserve"> </w:t>
      </w:r>
      <w:r w:rsidR="00A33437" w:rsidRPr="007F33F1">
        <w:t>ZANU</w:t>
      </w:r>
      <w:r w:rsidRPr="007F33F1">
        <w:t>=zanubrutinib</w:t>
      </w:r>
      <w:r w:rsidR="00A33437" w:rsidRPr="007F33F1">
        <w:t>.</w:t>
      </w:r>
    </w:p>
    <w:p w:rsidR="00205FD7" w:rsidRPr="007F33F1" w:rsidRDefault="00205FD7" w:rsidP="0047221E">
      <w:pPr>
        <w:pStyle w:val="3-BodyText"/>
        <w:rPr>
          <w:iCs/>
        </w:rPr>
      </w:pPr>
      <w:r w:rsidRPr="007F33F1">
        <w:rPr>
          <w:iCs/>
        </w:rPr>
        <w:t xml:space="preserve">Results showed that </w:t>
      </w:r>
      <w:r w:rsidR="00BE77FA" w:rsidRPr="007F33F1">
        <w:rPr>
          <w:iCs/>
        </w:rPr>
        <w:t>zanubrutinib</w:t>
      </w:r>
      <w:r w:rsidRPr="007F33F1">
        <w:rPr>
          <w:iCs/>
        </w:rPr>
        <w:t xml:space="preserve"> was associated with lower rates of neutropenia and pneumonia compared to BR. Anaemia and thrombocytopenia were recorded in 3% of the BR courses, but </w:t>
      </w:r>
      <w:r w:rsidR="00FE135F" w:rsidRPr="007F33F1">
        <w:rPr>
          <w:iCs/>
        </w:rPr>
        <w:t xml:space="preserve">Tedeschi 2015 </w:t>
      </w:r>
      <w:r w:rsidRPr="007F33F1">
        <w:rPr>
          <w:iCs/>
        </w:rPr>
        <w:t xml:space="preserve">did not report rates per patient. BR and </w:t>
      </w:r>
      <w:r w:rsidR="00BE77FA" w:rsidRPr="007F33F1">
        <w:rPr>
          <w:iCs/>
        </w:rPr>
        <w:t>zanubrutinib</w:t>
      </w:r>
      <w:r w:rsidRPr="007F33F1">
        <w:rPr>
          <w:iCs/>
        </w:rPr>
        <w:t xml:space="preserve"> have very different safety profiles, while BR was associated with a higher rate of neutropenia, </w:t>
      </w:r>
      <w:r w:rsidR="00BE77FA" w:rsidRPr="007F33F1">
        <w:rPr>
          <w:iCs/>
        </w:rPr>
        <w:t>zanubrutinib</w:t>
      </w:r>
      <w:r w:rsidRPr="007F33F1">
        <w:rPr>
          <w:iCs/>
        </w:rPr>
        <w:t xml:space="preserve"> patients experienced Grade ≥3 AEs that were not reported in Tedeschi 2015, such as hypertension, anaemia, thrombocytopenia and major haemorrhage. These events are more difficult to manage and potentially concerning given </w:t>
      </w:r>
      <w:r w:rsidR="00BE77FA" w:rsidRPr="007F33F1">
        <w:rPr>
          <w:iCs/>
        </w:rPr>
        <w:t>zanubrutinib</w:t>
      </w:r>
      <w:r w:rsidRPr="007F33F1">
        <w:rPr>
          <w:iCs/>
        </w:rPr>
        <w:t xml:space="preserve"> is an indefinite-duration treatment likely to be taken by patients long-term.</w:t>
      </w:r>
    </w:p>
    <w:p w:rsidR="00205FD7" w:rsidRPr="007F33F1" w:rsidRDefault="00205FD7" w:rsidP="0047221E">
      <w:pPr>
        <w:pStyle w:val="3-BodyText"/>
        <w:rPr>
          <w:iCs/>
        </w:rPr>
      </w:pPr>
      <w:r w:rsidRPr="007F33F1">
        <w:rPr>
          <w:iCs/>
        </w:rPr>
        <w:t xml:space="preserve">One key difference between the evidence for </w:t>
      </w:r>
      <w:r w:rsidR="00BE77FA" w:rsidRPr="007F33F1">
        <w:rPr>
          <w:iCs/>
        </w:rPr>
        <w:t>zanubrutinib</w:t>
      </w:r>
      <w:r w:rsidRPr="007F33F1">
        <w:rPr>
          <w:iCs/>
        </w:rPr>
        <w:t xml:space="preserve"> and BR was the study design. ASPEN was a randomised trial with a very specific eligibility criteria, whereas T</w:t>
      </w:r>
      <w:r w:rsidR="004741C0" w:rsidRPr="007F33F1">
        <w:rPr>
          <w:iCs/>
        </w:rPr>
        <w:t>edeschi </w:t>
      </w:r>
      <w:r w:rsidRPr="007F33F1">
        <w:rPr>
          <w:iCs/>
        </w:rPr>
        <w:t xml:space="preserve">2015 was a retrospective cohort analysis which did not specify inclusion criteria beyond a diagnosis </w:t>
      </w:r>
      <w:r w:rsidR="00A97709" w:rsidRPr="007F33F1">
        <w:rPr>
          <w:iCs/>
        </w:rPr>
        <w:t xml:space="preserve">of </w:t>
      </w:r>
      <w:r w:rsidRPr="007F33F1">
        <w:rPr>
          <w:iCs/>
        </w:rPr>
        <w:t>R/R WM and treatment with BR. In particular, there were no restrictions on previous treatments, surgery, malignancies or comorbidities, as was the case in ASPEN. Therefore, it is possible that some patients in Tedeschi 2015 may not have been eligible for inclusion in ASPEN.</w:t>
      </w:r>
      <w:r w:rsidR="00A97709" w:rsidRPr="007F33F1">
        <w:rPr>
          <w:iCs/>
        </w:rPr>
        <w:t xml:space="preserve"> </w:t>
      </w:r>
      <w:r w:rsidR="007B42D0" w:rsidRPr="007F33F1">
        <w:rPr>
          <w:iCs/>
        </w:rPr>
        <w:t xml:space="preserve">As </w:t>
      </w:r>
      <w:r w:rsidR="00E40714" w:rsidRPr="007F33F1">
        <w:rPr>
          <w:iCs/>
        </w:rPr>
        <w:t>with</w:t>
      </w:r>
      <w:r w:rsidR="007B42D0" w:rsidRPr="007F33F1">
        <w:rPr>
          <w:iCs/>
        </w:rPr>
        <w:t xml:space="preserve"> the ITC of safety outcomes for </w:t>
      </w:r>
      <w:r w:rsidR="00BE77FA" w:rsidRPr="007F33F1">
        <w:rPr>
          <w:iCs/>
        </w:rPr>
        <w:t>zanubrutinib</w:t>
      </w:r>
      <w:r w:rsidR="007B42D0" w:rsidRPr="007F33F1">
        <w:rPr>
          <w:iCs/>
        </w:rPr>
        <w:t xml:space="preserve"> and Rm, the ESC considered the comparative safety of </w:t>
      </w:r>
      <w:r w:rsidR="00BE77FA" w:rsidRPr="007F33F1">
        <w:rPr>
          <w:iCs/>
        </w:rPr>
        <w:t>zanubrutinib</w:t>
      </w:r>
      <w:r w:rsidR="007B42D0" w:rsidRPr="007F33F1">
        <w:rPr>
          <w:iCs/>
        </w:rPr>
        <w:t xml:space="preserve"> v</w:t>
      </w:r>
      <w:r w:rsidR="00C17795" w:rsidRPr="007F33F1">
        <w:rPr>
          <w:iCs/>
        </w:rPr>
        <w:t>ersu</w:t>
      </w:r>
      <w:r w:rsidR="007B42D0" w:rsidRPr="007F33F1">
        <w:rPr>
          <w:iCs/>
        </w:rPr>
        <w:t xml:space="preserve">s BR was difficult to assess due to the distinct safety profile of BTKis, omission of important AEs from the comparison and absence of direct comparative data. </w:t>
      </w:r>
      <w:r w:rsidR="0048072C" w:rsidRPr="007F33F1">
        <w:rPr>
          <w:iCs/>
        </w:rPr>
        <w:t xml:space="preserve">The ESC </w:t>
      </w:r>
      <w:r w:rsidR="004E0119" w:rsidRPr="007F33F1">
        <w:rPr>
          <w:iCs/>
        </w:rPr>
        <w:t>considered that</w:t>
      </w:r>
      <w:r w:rsidR="0048072C" w:rsidRPr="007F33F1">
        <w:rPr>
          <w:iCs/>
        </w:rPr>
        <w:t xml:space="preserve"> potential for considerable </w:t>
      </w:r>
      <w:bookmarkStart w:id="70" w:name="_Hlk79160818"/>
      <w:r w:rsidR="0048072C" w:rsidRPr="007F33F1">
        <w:rPr>
          <w:iCs/>
        </w:rPr>
        <w:t xml:space="preserve">differences in patient characteristics and prognostic factors not adjusted for in the MAIC between </w:t>
      </w:r>
      <w:r w:rsidR="00BE77FA" w:rsidRPr="007F33F1">
        <w:rPr>
          <w:iCs/>
        </w:rPr>
        <w:t>zanubrutinib</w:t>
      </w:r>
      <w:r w:rsidR="0048072C" w:rsidRPr="007F33F1">
        <w:rPr>
          <w:iCs/>
        </w:rPr>
        <w:t xml:space="preserve"> and BR</w:t>
      </w:r>
      <w:bookmarkEnd w:id="70"/>
      <w:r w:rsidR="0048072C" w:rsidRPr="007F33F1">
        <w:rPr>
          <w:iCs/>
        </w:rPr>
        <w:t xml:space="preserve"> introduced additional uncertainty to the interpretation of comparative safety results. </w:t>
      </w:r>
    </w:p>
    <w:p w:rsidR="00205FD7" w:rsidRPr="007F33F1" w:rsidRDefault="00205FD7" w:rsidP="0047221E">
      <w:pPr>
        <w:pStyle w:val="4-SubsectionHeading"/>
      </w:pPr>
      <w:bookmarkStart w:id="71" w:name="_Toc22897643"/>
      <w:bookmarkStart w:id="72" w:name="_Toc71450288"/>
      <w:bookmarkStart w:id="73" w:name="_Toc72421793"/>
      <w:r w:rsidRPr="007F33F1">
        <w:t>Benefits/harms</w:t>
      </w:r>
      <w:bookmarkEnd w:id="71"/>
      <w:bookmarkEnd w:id="72"/>
      <w:bookmarkEnd w:id="73"/>
    </w:p>
    <w:p w:rsidR="00205FD7" w:rsidRPr="007F33F1" w:rsidRDefault="00205FD7" w:rsidP="0047221E">
      <w:pPr>
        <w:pStyle w:val="3-BodyText"/>
      </w:pPr>
      <w:r w:rsidRPr="007F33F1">
        <w:rPr>
          <w:snapToGrid/>
        </w:rPr>
        <w:t xml:space="preserve">The </w:t>
      </w:r>
      <w:r w:rsidR="00DA2C5A" w:rsidRPr="007F33F1">
        <w:rPr>
          <w:snapToGrid/>
        </w:rPr>
        <w:t>ITCs</w:t>
      </w:r>
      <w:r w:rsidRPr="007F33F1">
        <w:rPr>
          <w:snapToGrid/>
        </w:rPr>
        <w:t xml:space="preserve"> presented in the submission did not allow for a quantitative comparison of the benefits and harms of </w:t>
      </w:r>
      <w:r w:rsidR="00BE77FA" w:rsidRPr="007F33F1">
        <w:rPr>
          <w:snapToGrid/>
        </w:rPr>
        <w:t>zanubrutinib</w:t>
      </w:r>
      <w:r w:rsidRPr="007F33F1">
        <w:rPr>
          <w:snapToGrid/>
        </w:rPr>
        <w:t xml:space="preserve"> and the proposed comparators (Rm and BR)</w:t>
      </w:r>
      <w:r w:rsidR="00287158" w:rsidRPr="007F33F1">
        <w:rPr>
          <w:snapToGrid/>
        </w:rPr>
        <w:t>, except for the comparison of response rates versus Rm</w:t>
      </w:r>
      <w:r w:rsidR="004741C0" w:rsidRPr="007F33F1">
        <w:rPr>
          <w:snapToGrid/>
        </w:rPr>
        <w:t>. T</w:t>
      </w:r>
      <w:r w:rsidR="00287158" w:rsidRPr="007F33F1">
        <w:rPr>
          <w:snapToGrid/>
        </w:rPr>
        <w:t xml:space="preserve">he estimated effect size in this comparison </w:t>
      </w:r>
      <w:r w:rsidR="004741C0" w:rsidRPr="007F33F1">
        <w:rPr>
          <w:snapToGrid/>
        </w:rPr>
        <w:t>was</w:t>
      </w:r>
      <w:r w:rsidR="00287158" w:rsidRPr="007F33F1">
        <w:rPr>
          <w:snapToGrid/>
        </w:rPr>
        <w:t xml:space="preserve"> associated with high uncertainty. </w:t>
      </w:r>
      <w:r w:rsidRPr="007F33F1">
        <w:rPr>
          <w:snapToGrid/>
        </w:rPr>
        <w:t xml:space="preserve">Accordingly, a benefits/harms table </w:t>
      </w:r>
      <w:r w:rsidR="00DD5B40" w:rsidRPr="007F33F1">
        <w:rPr>
          <w:snapToGrid/>
        </w:rPr>
        <w:t xml:space="preserve">was </w:t>
      </w:r>
      <w:r w:rsidRPr="007F33F1">
        <w:rPr>
          <w:snapToGrid/>
        </w:rPr>
        <w:t>not been presented.</w:t>
      </w:r>
    </w:p>
    <w:p w:rsidR="00205FD7" w:rsidRPr="007F33F1" w:rsidRDefault="00205FD7" w:rsidP="0047221E">
      <w:pPr>
        <w:pStyle w:val="4-SubsectionHeading"/>
      </w:pPr>
      <w:bookmarkStart w:id="74" w:name="_Toc22897644"/>
      <w:bookmarkStart w:id="75" w:name="_Toc71450289"/>
      <w:bookmarkStart w:id="76" w:name="_Toc72421794"/>
      <w:r w:rsidRPr="007F33F1">
        <w:t>Clinical claim</w:t>
      </w:r>
      <w:bookmarkEnd w:id="74"/>
      <w:bookmarkEnd w:id="75"/>
      <w:bookmarkEnd w:id="76"/>
    </w:p>
    <w:p w:rsidR="00205FD7" w:rsidRPr="007F33F1" w:rsidRDefault="00205FD7" w:rsidP="0047221E">
      <w:pPr>
        <w:pStyle w:val="3-BodyText"/>
      </w:pPr>
      <w:r w:rsidRPr="007F33F1">
        <w:t xml:space="preserve">The submission described </w:t>
      </w:r>
      <w:r w:rsidR="00BE77FA" w:rsidRPr="007F33F1">
        <w:t>zanubrutinib</w:t>
      </w:r>
      <w:r w:rsidR="00C17795" w:rsidRPr="007F33F1">
        <w:t xml:space="preserve"> </w:t>
      </w:r>
      <w:r w:rsidR="00F51F1A" w:rsidRPr="007F33F1">
        <w:t>as</w:t>
      </w:r>
      <w:r w:rsidRPr="007F33F1">
        <w:t>:</w:t>
      </w:r>
    </w:p>
    <w:p w:rsidR="00205FD7" w:rsidRPr="007F33F1" w:rsidRDefault="00916B6C" w:rsidP="0047221E">
      <w:pPr>
        <w:pStyle w:val="ListParagraph"/>
        <w:ind w:left="1134"/>
      </w:pPr>
      <w:r w:rsidRPr="007F33F1">
        <w:t>superior</w:t>
      </w:r>
      <w:r w:rsidR="00205FD7" w:rsidRPr="007F33F1">
        <w:t xml:space="preserve"> </w:t>
      </w:r>
      <w:r w:rsidR="00F51F1A" w:rsidRPr="007F33F1">
        <w:t xml:space="preserve">in terms of </w:t>
      </w:r>
      <w:r w:rsidR="00205FD7" w:rsidRPr="007F33F1">
        <w:t xml:space="preserve">effectiveness and safety compared to Rm in TN patients unsuitable for </w:t>
      </w:r>
      <w:r w:rsidRPr="007F33F1">
        <w:t>chemo-immunotherapy</w:t>
      </w:r>
      <w:r w:rsidR="00205FD7" w:rsidRPr="007F33F1">
        <w:t xml:space="preserve">, </w:t>
      </w:r>
      <w:r w:rsidR="002E00B7" w:rsidRPr="007F33F1">
        <w:t>and</w:t>
      </w:r>
    </w:p>
    <w:p w:rsidR="00205FD7" w:rsidRPr="007F33F1" w:rsidRDefault="00205FD7" w:rsidP="0047221E">
      <w:pPr>
        <w:pStyle w:val="ListParagraph"/>
        <w:ind w:left="1134"/>
      </w:pPr>
      <w:r w:rsidRPr="007F33F1">
        <w:t>superior</w:t>
      </w:r>
      <w:r w:rsidR="00F51F1A" w:rsidRPr="007F33F1">
        <w:t xml:space="preserve"> in terms of</w:t>
      </w:r>
      <w:r w:rsidRPr="007F33F1">
        <w:t xml:space="preserve"> effectiveness and safety compared to BR in R/R WM patients</w:t>
      </w:r>
      <w:r w:rsidR="002E00B7" w:rsidRPr="007F33F1">
        <w:t>.</w:t>
      </w:r>
    </w:p>
    <w:p w:rsidR="00615107" w:rsidRPr="007F33F1" w:rsidRDefault="00850755" w:rsidP="0047221E">
      <w:pPr>
        <w:pStyle w:val="3-BodyText"/>
        <w:rPr>
          <w:rFonts w:eastAsia="Calibri"/>
        </w:rPr>
      </w:pPr>
      <w:r w:rsidRPr="007F33F1">
        <w:rPr>
          <w:rFonts w:eastAsia="Calibri"/>
        </w:rPr>
        <w:t>Overall, t</w:t>
      </w:r>
      <w:r w:rsidR="00615107" w:rsidRPr="007F33F1">
        <w:rPr>
          <w:rFonts w:eastAsia="Calibri"/>
        </w:rPr>
        <w:t>he</w:t>
      </w:r>
      <w:r w:rsidR="004B25F4" w:rsidRPr="007F33F1">
        <w:rPr>
          <w:rFonts w:eastAsia="Calibri"/>
        </w:rPr>
        <w:t xml:space="preserve"> ESC considered these </w:t>
      </w:r>
      <w:r w:rsidR="00615107" w:rsidRPr="007F33F1">
        <w:rPr>
          <w:rFonts w:eastAsia="Calibri"/>
        </w:rPr>
        <w:t xml:space="preserve">claims </w:t>
      </w:r>
      <w:r w:rsidR="004B25F4" w:rsidRPr="007F33F1">
        <w:rPr>
          <w:rFonts w:eastAsia="Calibri"/>
        </w:rPr>
        <w:t>were not adequately supported due to the following</w:t>
      </w:r>
      <w:r w:rsidR="00615107" w:rsidRPr="007F33F1">
        <w:rPr>
          <w:rFonts w:eastAsia="Calibri"/>
        </w:rPr>
        <w:t>:</w:t>
      </w:r>
    </w:p>
    <w:p w:rsidR="00615107" w:rsidRPr="007F33F1" w:rsidRDefault="00615107" w:rsidP="0047221E">
      <w:pPr>
        <w:pStyle w:val="ListParagraph"/>
        <w:ind w:left="1134"/>
        <w:rPr>
          <w:rFonts w:eastAsia="Calibri"/>
          <w:iCs/>
        </w:rPr>
      </w:pPr>
      <w:r w:rsidRPr="007F33F1">
        <w:rPr>
          <w:rFonts w:eastAsia="Calibri"/>
          <w:iCs/>
        </w:rPr>
        <w:t xml:space="preserve">For </w:t>
      </w:r>
      <w:r w:rsidR="00BE77FA" w:rsidRPr="007F33F1">
        <w:rPr>
          <w:rFonts w:eastAsia="Calibri"/>
          <w:iCs/>
        </w:rPr>
        <w:t>zanubrutinib</w:t>
      </w:r>
      <w:r w:rsidRPr="007F33F1">
        <w:rPr>
          <w:rFonts w:eastAsia="Calibri"/>
          <w:iCs/>
        </w:rPr>
        <w:t xml:space="preserve"> versus Rm, while the claim of superior effectiveness </w:t>
      </w:r>
      <w:r w:rsidR="00223BBE" w:rsidRPr="007F33F1">
        <w:rPr>
          <w:rFonts w:eastAsia="Calibri"/>
          <w:iCs/>
        </w:rPr>
        <w:t>may be</w:t>
      </w:r>
      <w:r w:rsidR="00FF4472" w:rsidRPr="007F33F1">
        <w:rPr>
          <w:rFonts w:eastAsia="Calibri"/>
          <w:iCs/>
        </w:rPr>
        <w:t xml:space="preserve"> </w:t>
      </w:r>
      <w:r w:rsidRPr="007F33F1">
        <w:rPr>
          <w:rFonts w:eastAsia="Calibri"/>
          <w:iCs/>
        </w:rPr>
        <w:t>reasonable for response outcomes, the magnitude</w:t>
      </w:r>
      <w:r w:rsidR="00163056" w:rsidRPr="007F33F1">
        <w:rPr>
          <w:rFonts w:eastAsia="Calibri"/>
          <w:iCs/>
        </w:rPr>
        <w:t xml:space="preserve"> of the effect </w:t>
      </w:r>
      <w:r w:rsidRPr="007F33F1">
        <w:rPr>
          <w:rFonts w:eastAsia="Calibri"/>
          <w:iCs/>
        </w:rPr>
        <w:t>was uncertain. Furthermore, the same conclusion cannot be extended to survival outcomes</w:t>
      </w:r>
      <w:r w:rsidR="00223BBE" w:rsidRPr="007F33F1">
        <w:rPr>
          <w:rFonts w:eastAsia="Calibri"/>
          <w:iCs/>
        </w:rPr>
        <w:t xml:space="preserve"> given the lack of ITC for PFS and OS and </w:t>
      </w:r>
      <w:r w:rsidR="00AE1B20" w:rsidRPr="007F33F1">
        <w:rPr>
          <w:rFonts w:eastAsia="Calibri"/>
          <w:iCs/>
        </w:rPr>
        <w:t>mature survival data</w:t>
      </w:r>
      <w:r w:rsidRPr="007F33F1">
        <w:rPr>
          <w:rFonts w:eastAsia="Calibri"/>
          <w:iCs/>
        </w:rPr>
        <w:t>.</w:t>
      </w:r>
      <w:r w:rsidR="006777B6" w:rsidRPr="007F33F1">
        <w:rPr>
          <w:rFonts w:eastAsia="Calibri"/>
          <w:iCs/>
        </w:rPr>
        <w:t xml:space="preserve"> </w:t>
      </w:r>
      <w:r w:rsidRPr="007F33F1">
        <w:rPr>
          <w:rFonts w:eastAsia="Calibri"/>
          <w:iCs/>
        </w:rPr>
        <w:t xml:space="preserve">This is important as </w:t>
      </w:r>
      <w:r w:rsidR="006777B6" w:rsidRPr="007F33F1">
        <w:rPr>
          <w:rFonts w:eastAsia="Calibri"/>
          <w:iCs/>
        </w:rPr>
        <w:t xml:space="preserve">differences </w:t>
      </w:r>
      <w:r w:rsidRPr="007F33F1">
        <w:rPr>
          <w:rFonts w:eastAsia="Calibri"/>
          <w:iCs/>
        </w:rPr>
        <w:t>across stud</w:t>
      </w:r>
      <w:r w:rsidR="006777B6" w:rsidRPr="007F33F1">
        <w:rPr>
          <w:rFonts w:eastAsia="Calibri"/>
          <w:iCs/>
        </w:rPr>
        <w:t>ies,</w:t>
      </w:r>
      <w:r w:rsidRPr="007F33F1">
        <w:rPr>
          <w:rFonts w:eastAsia="Calibri"/>
          <w:iCs/>
        </w:rPr>
        <w:t xml:space="preserve"> particularly patient </w:t>
      </w:r>
      <w:r w:rsidR="006777B6" w:rsidRPr="007F33F1">
        <w:rPr>
          <w:rFonts w:eastAsia="Calibri"/>
          <w:iCs/>
        </w:rPr>
        <w:t>baseline characteristic</w:t>
      </w:r>
      <w:r w:rsidR="004E576D" w:rsidRPr="007F33F1">
        <w:rPr>
          <w:rFonts w:eastAsia="Calibri"/>
          <w:iCs/>
        </w:rPr>
        <w:t>s</w:t>
      </w:r>
      <w:r w:rsidR="006777B6" w:rsidRPr="007F33F1">
        <w:rPr>
          <w:rFonts w:eastAsia="Calibri"/>
          <w:iCs/>
        </w:rPr>
        <w:t>,</w:t>
      </w:r>
      <w:r w:rsidRPr="007F33F1">
        <w:rPr>
          <w:rFonts w:eastAsia="Calibri"/>
          <w:iCs/>
        </w:rPr>
        <w:t xml:space="preserve"> are more likely to impact on survival than response rates</w:t>
      </w:r>
      <w:r w:rsidR="006E6478" w:rsidRPr="007F33F1">
        <w:rPr>
          <w:rFonts w:eastAsia="Calibri"/>
          <w:iCs/>
        </w:rPr>
        <w:t>, and</w:t>
      </w:r>
      <w:r w:rsidR="006777B6" w:rsidRPr="007F33F1">
        <w:rPr>
          <w:rFonts w:eastAsia="Calibri"/>
          <w:iCs/>
        </w:rPr>
        <w:t xml:space="preserve"> response rates are considered </w:t>
      </w:r>
      <w:r w:rsidR="00AE1B20" w:rsidRPr="007F33F1">
        <w:rPr>
          <w:rFonts w:eastAsia="Calibri"/>
          <w:iCs/>
        </w:rPr>
        <w:t xml:space="preserve">poor </w:t>
      </w:r>
      <w:r w:rsidR="006777B6" w:rsidRPr="007F33F1">
        <w:rPr>
          <w:rFonts w:eastAsia="Calibri"/>
          <w:iCs/>
        </w:rPr>
        <w:t>surrogates for survival in</w:t>
      </w:r>
      <w:r w:rsidR="00FF4472" w:rsidRPr="007F33F1">
        <w:rPr>
          <w:rFonts w:eastAsia="Calibri"/>
          <w:iCs/>
        </w:rPr>
        <w:t xml:space="preserve"> </w:t>
      </w:r>
      <w:r w:rsidR="00AE1B20" w:rsidRPr="007F33F1">
        <w:rPr>
          <w:rFonts w:eastAsia="Calibri"/>
          <w:iCs/>
        </w:rPr>
        <w:t>WM</w:t>
      </w:r>
      <w:r w:rsidR="006777B6" w:rsidRPr="007F33F1">
        <w:rPr>
          <w:rFonts w:eastAsia="Calibri"/>
          <w:iCs/>
        </w:rPr>
        <w:t>.</w:t>
      </w:r>
    </w:p>
    <w:p w:rsidR="00352E8A" w:rsidRPr="007F33F1" w:rsidRDefault="00615107" w:rsidP="0047221E">
      <w:pPr>
        <w:pStyle w:val="ListParagraph"/>
        <w:ind w:left="1134"/>
        <w:rPr>
          <w:rFonts w:eastAsia="Calibri"/>
          <w:iCs/>
        </w:rPr>
      </w:pPr>
      <w:r w:rsidRPr="007F33F1">
        <w:rPr>
          <w:rFonts w:eastAsia="Calibri"/>
          <w:iCs/>
        </w:rPr>
        <w:t xml:space="preserve">For </w:t>
      </w:r>
      <w:r w:rsidR="00BE77FA" w:rsidRPr="007F33F1">
        <w:rPr>
          <w:rFonts w:eastAsia="Calibri"/>
          <w:iCs/>
        </w:rPr>
        <w:t>zanubrutinib</w:t>
      </w:r>
      <w:r w:rsidRPr="007F33F1">
        <w:rPr>
          <w:rFonts w:eastAsia="Calibri"/>
          <w:iCs/>
        </w:rPr>
        <w:t xml:space="preserve"> versus BR, </w:t>
      </w:r>
      <w:r w:rsidR="00FF4472" w:rsidRPr="007F33F1">
        <w:rPr>
          <w:rFonts w:eastAsia="Calibri"/>
          <w:iCs/>
        </w:rPr>
        <w:t>r</w:t>
      </w:r>
      <w:r w:rsidRPr="007F33F1">
        <w:rPr>
          <w:rFonts w:eastAsia="Calibri"/>
          <w:iCs/>
        </w:rPr>
        <w:t>esponse rates were not compared in the MAIC</w:t>
      </w:r>
      <w:r w:rsidR="00FF4472" w:rsidRPr="007F33F1">
        <w:rPr>
          <w:rFonts w:eastAsia="Calibri"/>
          <w:iCs/>
        </w:rPr>
        <w:t>s</w:t>
      </w:r>
      <w:r w:rsidRPr="007F33F1">
        <w:rPr>
          <w:rFonts w:eastAsia="Calibri"/>
          <w:iCs/>
        </w:rPr>
        <w:t xml:space="preserve"> (</w:t>
      </w:r>
      <w:r w:rsidR="00352E8A" w:rsidRPr="007F33F1">
        <w:rPr>
          <w:rFonts w:eastAsia="Calibri"/>
          <w:iCs/>
        </w:rPr>
        <w:t>though the data was available).</w:t>
      </w:r>
      <w:r w:rsidR="00FF4472" w:rsidRPr="007F33F1">
        <w:rPr>
          <w:rFonts w:eastAsia="Calibri"/>
          <w:iCs/>
        </w:rPr>
        <w:t xml:space="preserve"> The</w:t>
      </w:r>
      <w:r w:rsidR="00352E8A" w:rsidRPr="007F33F1">
        <w:rPr>
          <w:rFonts w:eastAsia="Calibri"/>
          <w:iCs/>
        </w:rPr>
        <w:t xml:space="preserve"> PFS and OS data from ASPEN were </w:t>
      </w:r>
      <w:r w:rsidR="00D65D72" w:rsidRPr="007F33F1">
        <w:rPr>
          <w:rFonts w:eastAsia="Calibri"/>
          <w:iCs/>
        </w:rPr>
        <w:t>im</w:t>
      </w:r>
      <w:r w:rsidR="00352E8A" w:rsidRPr="007F33F1">
        <w:rPr>
          <w:rFonts w:eastAsia="Calibri"/>
          <w:iCs/>
        </w:rPr>
        <w:t>mature, with limited eve</w:t>
      </w:r>
      <w:r w:rsidR="00513BAC" w:rsidRPr="007F33F1">
        <w:rPr>
          <w:rFonts w:eastAsia="Calibri"/>
          <w:iCs/>
        </w:rPr>
        <w:t>nts for both PFS (15%) and</w:t>
      </w:r>
      <w:r w:rsidR="00352E8A" w:rsidRPr="007F33F1">
        <w:rPr>
          <w:rFonts w:eastAsia="Calibri"/>
          <w:iCs/>
        </w:rPr>
        <w:t xml:space="preserve"> OS (8%), creating uncertainty. </w:t>
      </w:r>
      <w:r w:rsidR="00394860" w:rsidRPr="007F33F1">
        <w:rPr>
          <w:rFonts w:eastAsia="Calibri"/>
          <w:iCs/>
        </w:rPr>
        <w:t xml:space="preserve">Further, </w:t>
      </w:r>
      <w:r w:rsidR="00407574" w:rsidRPr="007F33F1">
        <w:rPr>
          <w:rFonts w:eastAsia="Calibri"/>
          <w:iCs/>
        </w:rPr>
        <w:t xml:space="preserve">the </w:t>
      </w:r>
      <w:r w:rsidRPr="007F33F1">
        <w:rPr>
          <w:rFonts w:eastAsia="Calibri"/>
          <w:iCs/>
        </w:rPr>
        <w:t xml:space="preserve">reported differences in PFS and OS </w:t>
      </w:r>
      <w:r w:rsidR="00352E8A" w:rsidRPr="007F33F1">
        <w:rPr>
          <w:rFonts w:eastAsia="Calibri"/>
          <w:iCs/>
        </w:rPr>
        <w:t xml:space="preserve">between </w:t>
      </w:r>
      <w:r w:rsidR="00BE77FA" w:rsidRPr="007F33F1">
        <w:rPr>
          <w:rFonts w:eastAsia="Calibri"/>
          <w:iCs/>
        </w:rPr>
        <w:t>zanubrutinib</w:t>
      </w:r>
      <w:r w:rsidR="00352E8A" w:rsidRPr="007F33F1">
        <w:rPr>
          <w:rFonts w:eastAsia="Calibri"/>
          <w:iCs/>
        </w:rPr>
        <w:t xml:space="preserve"> and BR </w:t>
      </w:r>
      <w:r w:rsidRPr="007F33F1">
        <w:rPr>
          <w:rFonts w:eastAsia="Calibri"/>
          <w:iCs/>
        </w:rPr>
        <w:t xml:space="preserve">may be </w:t>
      </w:r>
      <w:r w:rsidR="009F2A0C" w:rsidRPr="007F33F1">
        <w:rPr>
          <w:rFonts w:eastAsia="Calibri"/>
          <w:iCs/>
        </w:rPr>
        <w:t xml:space="preserve">due to </w:t>
      </w:r>
      <w:r w:rsidR="00352E8A" w:rsidRPr="007F33F1">
        <w:rPr>
          <w:rFonts w:eastAsia="Calibri"/>
          <w:iCs/>
        </w:rPr>
        <w:t>differences in baseli</w:t>
      </w:r>
      <w:r w:rsidR="003319B3" w:rsidRPr="007F33F1">
        <w:rPr>
          <w:rFonts w:eastAsia="Calibri"/>
          <w:iCs/>
        </w:rPr>
        <w:t>ne characteristics between ASPEN-</w:t>
      </w:r>
      <w:r w:rsidR="00352E8A" w:rsidRPr="007F33F1">
        <w:rPr>
          <w:rFonts w:eastAsia="Calibri"/>
          <w:iCs/>
        </w:rPr>
        <w:t xml:space="preserve">Cohort 1 and Tedeschi 2015, such as genetic profile, ECOG status and serology, which are all known confounders for effectiveness </w:t>
      </w:r>
      <w:r w:rsidR="00E31B56" w:rsidRPr="007F33F1">
        <w:rPr>
          <w:rFonts w:eastAsia="Calibri"/>
          <w:iCs/>
        </w:rPr>
        <w:t xml:space="preserve">and </w:t>
      </w:r>
      <w:r w:rsidR="00352E8A" w:rsidRPr="007F33F1">
        <w:rPr>
          <w:rFonts w:eastAsia="Calibri"/>
          <w:iCs/>
        </w:rPr>
        <w:t>could not be adjusted for in the MAIC</w:t>
      </w:r>
      <w:r w:rsidR="00407574" w:rsidRPr="007F33F1">
        <w:rPr>
          <w:rFonts w:eastAsia="Calibri"/>
          <w:iCs/>
        </w:rPr>
        <w:t>s</w:t>
      </w:r>
      <w:r w:rsidR="00352E8A" w:rsidRPr="007F33F1">
        <w:rPr>
          <w:rFonts w:eastAsia="Calibri"/>
          <w:iCs/>
        </w:rPr>
        <w:t>.</w:t>
      </w:r>
      <w:r w:rsidR="00352E8A" w:rsidRPr="007F33F1">
        <w:rPr>
          <w:iCs/>
        </w:rPr>
        <w:t xml:space="preserve"> </w:t>
      </w:r>
      <w:r w:rsidR="00352E8A" w:rsidRPr="007F33F1">
        <w:rPr>
          <w:rFonts w:eastAsia="Calibri"/>
          <w:iCs/>
        </w:rPr>
        <w:t xml:space="preserve">Tedeschi 2015 also recruited patients who were refractory to rituximab and included 37% of patients who received a suboptimal dose of BR. Both factors </w:t>
      </w:r>
      <w:r w:rsidR="00E31B56" w:rsidRPr="007F33F1">
        <w:rPr>
          <w:rFonts w:eastAsia="Calibri"/>
          <w:iCs/>
        </w:rPr>
        <w:t>could</w:t>
      </w:r>
      <w:r w:rsidR="00352E8A" w:rsidRPr="007F33F1">
        <w:rPr>
          <w:rFonts w:eastAsia="Calibri"/>
          <w:iCs/>
        </w:rPr>
        <w:t xml:space="preserve"> bias the results against BR.</w:t>
      </w:r>
    </w:p>
    <w:p w:rsidR="00DD34BA" w:rsidRPr="007F33F1" w:rsidRDefault="00352E8A" w:rsidP="0047221E">
      <w:pPr>
        <w:pStyle w:val="ListParagraph"/>
        <w:ind w:left="1134"/>
        <w:rPr>
          <w:iCs/>
        </w:rPr>
      </w:pPr>
      <w:r w:rsidRPr="007F33F1">
        <w:rPr>
          <w:iCs/>
        </w:rPr>
        <w:t xml:space="preserve">The safety profiles of </w:t>
      </w:r>
      <w:r w:rsidR="00BE77FA" w:rsidRPr="007F33F1">
        <w:rPr>
          <w:iCs/>
        </w:rPr>
        <w:t>zanubrutinib</w:t>
      </w:r>
      <w:r w:rsidRPr="007F33F1">
        <w:rPr>
          <w:iCs/>
        </w:rPr>
        <w:t xml:space="preserve">, Rm and BR are </w:t>
      </w:r>
      <w:r w:rsidR="00407574" w:rsidRPr="007F33F1">
        <w:rPr>
          <w:iCs/>
        </w:rPr>
        <w:t xml:space="preserve">substantially </w:t>
      </w:r>
      <w:r w:rsidRPr="007F33F1">
        <w:rPr>
          <w:iCs/>
        </w:rPr>
        <w:t>different</w:t>
      </w:r>
      <w:r w:rsidR="002E00B7" w:rsidRPr="007F33F1">
        <w:rPr>
          <w:iCs/>
        </w:rPr>
        <w:t>, thus the submission’s ITCs of common</w:t>
      </w:r>
      <w:r w:rsidR="00E31B56" w:rsidRPr="007F33F1">
        <w:rPr>
          <w:iCs/>
        </w:rPr>
        <w:t>ly</w:t>
      </w:r>
      <w:r w:rsidR="002E00B7" w:rsidRPr="007F33F1">
        <w:rPr>
          <w:iCs/>
        </w:rPr>
        <w:t xml:space="preserve"> reported AEs were not informative</w:t>
      </w:r>
      <w:r w:rsidR="00D65D72" w:rsidRPr="007F33F1">
        <w:rPr>
          <w:iCs/>
        </w:rPr>
        <w:t>. F</w:t>
      </w:r>
      <w:r w:rsidR="002E00B7" w:rsidRPr="007F33F1">
        <w:rPr>
          <w:iCs/>
        </w:rPr>
        <w:t>or example</w:t>
      </w:r>
      <w:r w:rsidR="00D65D72" w:rsidRPr="007F33F1">
        <w:rPr>
          <w:iCs/>
        </w:rPr>
        <w:t>,</w:t>
      </w:r>
      <w:r w:rsidR="002E00B7" w:rsidRPr="007F33F1">
        <w:rPr>
          <w:iCs/>
        </w:rPr>
        <w:t xml:space="preserve"> </w:t>
      </w:r>
      <w:r w:rsidRPr="007F33F1">
        <w:rPr>
          <w:iCs/>
        </w:rPr>
        <w:t xml:space="preserve">Grade 3≥ neutropenia occurred in 15.8% of </w:t>
      </w:r>
      <w:r w:rsidR="00BE77FA" w:rsidRPr="007F33F1">
        <w:rPr>
          <w:iCs/>
        </w:rPr>
        <w:t>zanubrutinib</w:t>
      </w:r>
      <w:r w:rsidRPr="007F33F1">
        <w:rPr>
          <w:iCs/>
        </w:rPr>
        <w:t xml:space="preserve"> patients, while IgM flares </w:t>
      </w:r>
      <w:r w:rsidR="00E31B56" w:rsidRPr="007F33F1">
        <w:rPr>
          <w:iCs/>
        </w:rPr>
        <w:t xml:space="preserve">were </w:t>
      </w:r>
      <w:r w:rsidRPr="007F33F1">
        <w:rPr>
          <w:iCs/>
        </w:rPr>
        <w:t>common (47%) in the Rm arm of iNNOVATE</w:t>
      </w:r>
      <w:r w:rsidR="00D65D72" w:rsidRPr="007F33F1">
        <w:rPr>
          <w:iCs/>
        </w:rPr>
        <w:t>;</w:t>
      </w:r>
      <w:r w:rsidR="002E00B7" w:rsidRPr="007F33F1">
        <w:rPr>
          <w:iCs/>
        </w:rPr>
        <w:t xml:space="preserve"> but </w:t>
      </w:r>
      <w:r w:rsidR="00DE48DA" w:rsidRPr="007F33F1">
        <w:rPr>
          <w:iCs/>
        </w:rPr>
        <w:t xml:space="preserve">these AEs were not included in the </w:t>
      </w:r>
      <w:r w:rsidR="00407574" w:rsidRPr="007F33F1">
        <w:rPr>
          <w:iCs/>
        </w:rPr>
        <w:t xml:space="preserve">ITCs for safety outcomes </w:t>
      </w:r>
      <w:r w:rsidR="002E00B7" w:rsidRPr="007F33F1">
        <w:rPr>
          <w:iCs/>
        </w:rPr>
        <w:t>as</w:t>
      </w:r>
      <w:r w:rsidR="00DE48DA" w:rsidRPr="007F33F1">
        <w:rPr>
          <w:iCs/>
        </w:rPr>
        <w:t xml:space="preserve"> they</w:t>
      </w:r>
      <w:r w:rsidR="002E00B7" w:rsidRPr="007F33F1">
        <w:rPr>
          <w:iCs/>
        </w:rPr>
        <w:t xml:space="preserve"> </w:t>
      </w:r>
      <w:r w:rsidR="00DE48DA" w:rsidRPr="007F33F1">
        <w:rPr>
          <w:iCs/>
        </w:rPr>
        <w:t xml:space="preserve">were not </w:t>
      </w:r>
      <w:r w:rsidR="00407574" w:rsidRPr="007F33F1">
        <w:rPr>
          <w:iCs/>
        </w:rPr>
        <w:t xml:space="preserve">common between </w:t>
      </w:r>
      <w:r w:rsidR="00DE48DA" w:rsidRPr="007F33F1">
        <w:rPr>
          <w:iCs/>
        </w:rPr>
        <w:t>all</w:t>
      </w:r>
      <w:r w:rsidR="002E00B7" w:rsidRPr="007F33F1">
        <w:rPr>
          <w:iCs/>
        </w:rPr>
        <w:t xml:space="preserve"> treatment</w:t>
      </w:r>
      <w:r w:rsidR="00E31B56" w:rsidRPr="007F33F1">
        <w:rPr>
          <w:iCs/>
        </w:rPr>
        <w:t>s</w:t>
      </w:r>
      <w:r w:rsidR="002E00B7" w:rsidRPr="007F33F1">
        <w:rPr>
          <w:iCs/>
        </w:rPr>
        <w:t>.</w:t>
      </w:r>
      <w:r w:rsidR="00C17795" w:rsidRPr="007F33F1">
        <w:rPr>
          <w:iCs/>
        </w:rPr>
        <w:t xml:space="preserve"> </w:t>
      </w:r>
      <w:r w:rsidR="00F000DD" w:rsidRPr="007F33F1">
        <w:rPr>
          <w:iCs/>
        </w:rPr>
        <w:t>T</w:t>
      </w:r>
      <w:r w:rsidR="002E00B7" w:rsidRPr="007F33F1">
        <w:rPr>
          <w:iCs/>
        </w:rPr>
        <w:t xml:space="preserve">he </w:t>
      </w:r>
      <w:r w:rsidR="004B1675" w:rsidRPr="007F33F1">
        <w:rPr>
          <w:iCs/>
        </w:rPr>
        <w:t xml:space="preserve">claim of superior </w:t>
      </w:r>
      <w:r w:rsidR="002E00B7" w:rsidRPr="007F33F1">
        <w:rPr>
          <w:iCs/>
        </w:rPr>
        <w:t xml:space="preserve">safety for </w:t>
      </w:r>
      <w:r w:rsidR="00BE77FA" w:rsidRPr="007F33F1">
        <w:rPr>
          <w:iCs/>
        </w:rPr>
        <w:t>zanubrutinib</w:t>
      </w:r>
      <w:r w:rsidR="002E00B7" w:rsidRPr="007F33F1">
        <w:rPr>
          <w:iCs/>
        </w:rPr>
        <w:t xml:space="preserve"> vs BR was based on the higher proportion of Grade ≥3 neutropenia and pneumonia with BR, but ASPEN reported other Grade ≥3 AEs</w:t>
      </w:r>
      <w:r w:rsidR="0072004A" w:rsidRPr="007F33F1">
        <w:rPr>
          <w:iCs/>
        </w:rPr>
        <w:t xml:space="preserve"> such as hypertension, anaemia, thrombocytopenia and major haemorrhage</w:t>
      </w:r>
      <w:r w:rsidR="002E00B7" w:rsidRPr="007F33F1">
        <w:rPr>
          <w:iCs/>
        </w:rPr>
        <w:t xml:space="preserve"> that were not reported in Tedeschi 2015. </w:t>
      </w:r>
      <w:r w:rsidRPr="007F33F1">
        <w:rPr>
          <w:iCs/>
        </w:rPr>
        <w:t xml:space="preserve">The submission </w:t>
      </w:r>
      <w:r w:rsidR="002E00B7" w:rsidRPr="007F33F1">
        <w:rPr>
          <w:iCs/>
        </w:rPr>
        <w:t xml:space="preserve">also </w:t>
      </w:r>
      <w:r w:rsidRPr="007F33F1">
        <w:rPr>
          <w:iCs/>
        </w:rPr>
        <w:t xml:space="preserve">did not discuss other important and severe AEs for </w:t>
      </w:r>
      <w:r w:rsidR="00BE77FA" w:rsidRPr="007F33F1">
        <w:rPr>
          <w:iCs/>
        </w:rPr>
        <w:t>zanubrutinib</w:t>
      </w:r>
      <w:r w:rsidRPr="007F33F1">
        <w:rPr>
          <w:iCs/>
        </w:rPr>
        <w:t xml:space="preserve"> such as </w:t>
      </w:r>
      <w:r w:rsidR="003319B3" w:rsidRPr="007F33F1">
        <w:rPr>
          <w:iCs/>
        </w:rPr>
        <w:t>G</w:t>
      </w:r>
      <w:r w:rsidRPr="007F33F1">
        <w:rPr>
          <w:iCs/>
        </w:rPr>
        <w:t xml:space="preserve">rade ≥3 major haemorrhage, which occurred in approximately 6% of patients treated with </w:t>
      </w:r>
      <w:r w:rsidR="00BE77FA" w:rsidRPr="007F33F1">
        <w:rPr>
          <w:iCs/>
        </w:rPr>
        <w:t>zanubrutinib</w:t>
      </w:r>
      <w:r w:rsidRPr="007F33F1">
        <w:rPr>
          <w:iCs/>
        </w:rPr>
        <w:t xml:space="preserve">. </w:t>
      </w:r>
      <w:r w:rsidR="00DD34BA" w:rsidRPr="007F33F1">
        <w:rPr>
          <w:iCs/>
        </w:rPr>
        <w:t xml:space="preserve">The PSCR maintained the claim of superior safety over Rm. The PSCR considered that addition of rituximab to one of the ‘common’ comparator arms likely biased the </w:t>
      </w:r>
      <w:r w:rsidR="002D5EBC" w:rsidRPr="007F33F1">
        <w:rPr>
          <w:iCs/>
        </w:rPr>
        <w:t xml:space="preserve">ITC </w:t>
      </w:r>
      <w:r w:rsidR="00DD34BA" w:rsidRPr="007F33F1">
        <w:rPr>
          <w:iCs/>
        </w:rPr>
        <w:t>results in favour of Rm.</w:t>
      </w:r>
      <w:r w:rsidR="00DD34BA" w:rsidRPr="007F33F1">
        <w:rPr>
          <w:rFonts w:eastAsiaTheme="minorHAnsi" w:cstheme="minorBidi"/>
          <w:iCs/>
          <w:snapToGrid/>
          <w:sz w:val="22"/>
          <w:szCs w:val="22"/>
          <w:lang w:eastAsia="en-US"/>
        </w:rPr>
        <w:t xml:space="preserve"> </w:t>
      </w:r>
      <w:r w:rsidR="00DD34BA" w:rsidRPr="007F33F1">
        <w:rPr>
          <w:iCs/>
        </w:rPr>
        <w:t xml:space="preserve">The PSCR noted that while the incidence of Grade ≥3 major haemorrhage </w:t>
      </w:r>
      <w:r w:rsidR="002D5EBC" w:rsidRPr="007F33F1">
        <w:rPr>
          <w:iCs/>
        </w:rPr>
        <w:t>was</w:t>
      </w:r>
      <w:r w:rsidR="00DD34BA" w:rsidRPr="007F33F1">
        <w:rPr>
          <w:iCs/>
        </w:rPr>
        <w:t xml:space="preserve"> higher in ASPEN than iNNOVATE, it resolved in 5 out of the 6 who experienced this AE. The PSCR </w:t>
      </w:r>
      <w:r w:rsidR="002D5EBC" w:rsidRPr="007F33F1">
        <w:rPr>
          <w:iCs/>
        </w:rPr>
        <w:t xml:space="preserve">also </w:t>
      </w:r>
      <w:r w:rsidR="00DD34BA" w:rsidRPr="007F33F1">
        <w:rPr>
          <w:iCs/>
        </w:rPr>
        <w:t xml:space="preserve">noted that clinicians generally consider neutropenia to be manageable through safety monitoring, use of granulocyte colony-stimulating factor (G-CSF) and dose reductions and </w:t>
      </w:r>
      <w:r w:rsidR="002D5EBC" w:rsidRPr="007F33F1">
        <w:rPr>
          <w:iCs/>
        </w:rPr>
        <w:t xml:space="preserve">it </w:t>
      </w:r>
      <w:r w:rsidR="00DD34BA" w:rsidRPr="007F33F1">
        <w:rPr>
          <w:iCs/>
        </w:rPr>
        <w:t xml:space="preserve">claimed that ability to manage </w:t>
      </w:r>
      <w:r w:rsidR="002D5EBC" w:rsidRPr="007F33F1">
        <w:rPr>
          <w:iCs/>
        </w:rPr>
        <w:t>AEs</w:t>
      </w:r>
      <w:r w:rsidR="00DD34BA" w:rsidRPr="007F33F1">
        <w:rPr>
          <w:iCs/>
        </w:rPr>
        <w:t xml:space="preserve"> associated with </w:t>
      </w:r>
      <w:r w:rsidR="00BE77FA" w:rsidRPr="007F33F1">
        <w:rPr>
          <w:iCs/>
        </w:rPr>
        <w:t>zanubrutinib</w:t>
      </w:r>
      <w:r w:rsidR="00DD34BA" w:rsidRPr="007F33F1">
        <w:rPr>
          <w:iCs/>
        </w:rPr>
        <w:t xml:space="preserve"> is </w:t>
      </w:r>
      <w:r w:rsidR="00DD5B40" w:rsidRPr="007F33F1">
        <w:rPr>
          <w:iCs/>
        </w:rPr>
        <w:t xml:space="preserve">shown </w:t>
      </w:r>
      <w:r w:rsidR="00DD34BA" w:rsidRPr="007F33F1">
        <w:rPr>
          <w:iCs/>
        </w:rPr>
        <w:t xml:space="preserve">by the low rate of treatment discontinuation in the </w:t>
      </w:r>
      <w:r w:rsidR="00BE77FA" w:rsidRPr="007F33F1">
        <w:rPr>
          <w:iCs/>
        </w:rPr>
        <w:t>zanubrutinib</w:t>
      </w:r>
      <w:r w:rsidR="00DD34BA" w:rsidRPr="007F33F1">
        <w:rPr>
          <w:iCs/>
        </w:rPr>
        <w:t xml:space="preserve"> arm of ASPEN (4.0%).</w:t>
      </w:r>
      <w:r w:rsidR="00DD34BA" w:rsidRPr="007F33F1">
        <w:rPr>
          <w:rFonts w:eastAsiaTheme="minorHAnsi" w:cstheme="minorBidi"/>
          <w:iCs/>
          <w:snapToGrid/>
          <w:sz w:val="22"/>
          <w:szCs w:val="22"/>
          <w:lang w:eastAsia="en-US"/>
        </w:rPr>
        <w:t xml:space="preserve"> </w:t>
      </w:r>
      <w:r w:rsidR="00DD34BA" w:rsidRPr="007F33F1">
        <w:rPr>
          <w:rFonts w:eastAsiaTheme="minorHAnsi" w:cstheme="minorBidi"/>
          <w:iCs/>
          <w:snapToGrid/>
          <w:lang w:eastAsia="en-US"/>
        </w:rPr>
        <w:t>The PSCR noted that Rm</w:t>
      </w:r>
      <w:r w:rsidR="002D5EBC" w:rsidRPr="007F33F1">
        <w:rPr>
          <w:rFonts w:eastAsiaTheme="minorHAnsi" w:cstheme="minorBidi"/>
          <w:iCs/>
          <w:snapToGrid/>
          <w:lang w:eastAsia="en-US"/>
        </w:rPr>
        <w:t>-</w:t>
      </w:r>
      <w:r w:rsidR="00DD34BA" w:rsidRPr="007F33F1">
        <w:rPr>
          <w:rFonts w:eastAsiaTheme="minorHAnsi" w:cstheme="minorBidi"/>
          <w:iCs/>
          <w:snapToGrid/>
          <w:lang w:eastAsia="en-US"/>
        </w:rPr>
        <w:t xml:space="preserve">specific AEs such as </w:t>
      </w:r>
      <w:r w:rsidR="00DD34BA" w:rsidRPr="007F33F1">
        <w:rPr>
          <w:iCs/>
        </w:rPr>
        <w:t xml:space="preserve">IgM flares are associated with several symptoms that are detrimental to patient QoL such as significant risk </w:t>
      </w:r>
      <w:r w:rsidR="002D5EBC" w:rsidRPr="007F33F1">
        <w:rPr>
          <w:iCs/>
        </w:rPr>
        <w:t>of</w:t>
      </w:r>
      <w:r w:rsidR="00DD34BA" w:rsidRPr="007F33F1">
        <w:rPr>
          <w:iCs/>
        </w:rPr>
        <w:t xml:space="preserve"> opportunistic and repeated infections. The PSCR </w:t>
      </w:r>
      <w:r w:rsidR="002D5EBC" w:rsidRPr="007F33F1">
        <w:rPr>
          <w:iCs/>
        </w:rPr>
        <w:t>argued</w:t>
      </w:r>
      <w:r w:rsidR="00DD34BA" w:rsidRPr="007F33F1">
        <w:rPr>
          <w:iCs/>
        </w:rPr>
        <w:t xml:space="preserve"> that given the slow resolution time of transient IgM increases, the detrimental effects of IgM flare represent an issue of ongoing management for patients and clinicians. The </w:t>
      </w:r>
      <w:r w:rsidR="00083363" w:rsidRPr="007F33F1">
        <w:rPr>
          <w:iCs/>
        </w:rPr>
        <w:t>PSCR also maintained the claim of superior safety over BR</w:t>
      </w:r>
      <w:r w:rsidR="002D5EBC" w:rsidRPr="007F33F1">
        <w:rPr>
          <w:iCs/>
        </w:rPr>
        <w:t>,</w:t>
      </w:r>
      <w:r w:rsidR="00083363" w:rsidRPr="007F33F1">
        <w:rPr>
          <w:iCs/>
        </w:rPr>
        <w:t xml:space="preserve"> noting BR was associated with a higher rate of treatment discontinuation compared with </w:t>
      </w:r>
      <w:r w:rsidR="00BE77FA" w:rsidRPr="007F33F1">
        <w:rPr>
          <w:iCs/>
        </w:rPr>
        <w:t>zanubrutinib</w:t>
      </w:r>
      <w:r w:rsidR="00083363" w:rsidRPr="007F33F1">
        <w:rPr>
          <w:iCs/>
        </w:rPr>
        <w:t xml:space="preserve"> when ASPEN and Study AU-003 safety results </w:t>
      </w:r>
      <w:r w:rsidR="002D5EBC" w:rsidRPr="007F33F1">
        <w:rPr>
          <w:iCs/>
        </w:rPr>
        <w:t>were</w:t>
      </w:r>
      <w:r w:rsidR="00083363" w:rsidRPr="007F33F1">
        <w:rPr>
          <w:iCs/>
        </w:rPr>
        <w:t xml:space="preserve"> pooled.</w:t>
      </w:r>
    </w:p>
    <w:p w:rsidR="00DD34BA" w:rsidRPr="007F33F1" w:rsidRDefault="00352E8A" w:rsidP="0047221E">
      <w:pPr>
        <w:pStyle w:val="ListParagraph"/>
        <w:ind w:left="1134"/>
        <w:rPr>
          <w:iCs/>
        </w:rPr>
      </w:pPr>
      <w:r w:rsidRPr="007F33F1">
        <w:rPr>
          <w:iCs/>
        </w:rPr>
        <w:t>The submission also did not discuss the implications of the difference in</w:t>
      </w:r>
      <w:r w:rsidR="00DE48DA" w:rsidRPr="007F33F1">
        <w:rPr>
          <w:iCs/>
        </w:rPr>
        <w:t xml:space="preserve"> treatment</w:t>
      </w:r>
      <w:r w:rsidRPr="007F33F1">
        <w:rPr>
          <w:iCs/>
        </w:rPr>
        <w:t xml:space="preserve"> d</w:t>
      </w:r>
      <w:r w:rsidR="002E00B7" w:rsidRPr="007F33F1">
        <w:rPr>
          <w:iCs/>
        </w:rPr>
        <w:t xml:space="preserve">uration between </w:t>
      </w:r>
      <w:r w:rsidR="00BE77FA" w:rsidRPr="007F33F1">
        <w:rPr>
          <w:iCs/>
        </w:rPr>
        <w:t>zanubrutinib</w:t>
      </w:r>
      <w:r w:rsidR="002E00B7" w:rsidRPr="007F33F1">
        <w:rPr>
          <w:iCs/>
        </w:rPr>
        <w:t xml:space="preserve"> and </w:t>
      </w:r>
      <w:r w:rsidR="00916B6C" w:rsidRPr="007F33F1">
        <w:rPr>
          <w:iCs/>
        </w:rPr>
        <w:t>chemo-immunotherapy</w:t>
      </w:r>
      <w:r w:rsidR="00DE48DA" w:rsidRPr="007F33F1">
        <w:rPr>
          <w:iCs/>
        </w:rPr>
        <w:t xml:space="preserve"> regimens</w:t>
      </w:r>
      <w:r w:rsidR="002E00B7" w:rsidRPr="007F33F1">
        <w:rPr>
          <w:iCs/>
        </w:rPr>
        <w:t xml:space="preserve">. Given </w:t>
      </w:r>
      <w:r w:rsidR="00BE77FA" w:rsidRPr="007F33F1">
        <w:rPr>
          <w:iCs/>
        </w:rPr>
        <w:t>zanubrutinib</w:t>
      </w:r>
      <w:r w:rsidRPr="007F33F1">
        <w:rPr>
          <w:iCs/>
        </w:rPr>
        <w:t xml:space="preserve"> is an indefinite-duration therapy</w:t>
      </w:r>
      <w:r w:rsidR="006E7BE9" w:rsidRPr="007F33F1">
        <w:rPr>
          <w:iCs/>
        </w:rPr>
        <w:t>,</w:t>
      </w:r>
      <w:r w:rsidR="0037322B" w:rsidRPr="007F33F1">
        <w:rPr>
          <w:iCs/>
        </w:rPr>
        <w:t xml:space="preserve"> </w:t>
      </w:r>
      <w:r w:rsidRPr="007F33F1">
        <w:rPr>
          <w:iCs/>
        </w:rPr>
        <w:t>there is potential for increased lon</w:t>
      </w:r>
      <w:r w:rsidR="0037322B" w:rsidRPr="007F33F1">
        <w:rPr>
          <w:iCs/>
        </w:rPr>
        <w:t>g-term toxicity compared with BR or Rm</w:t>
      </w:r>
      <w:r w:rsidRPr="007F33F1">
        <w:rPr>
          <w:iCs/>
        </w:rPr>
        <w:t>, which was not investigated by the included studies due to their limited follow-up.</w:t>
      </w:r>
      <w:r w:rsidR="00EF2438" w:rsidRPr="007F33F1">
        <w:rPr>
          <w:iCs/>
        </w:rPr>
        <w:t xml:space="preserve"> </w:t>
      </w:r>
      <w:r w:rsidR="009C3958" w:rsidRPr="007F33F1">
        <w:rPr>
          <w:iCs/>
        </w:rPr>
        <w:t xml:space="preserve">The PSCR stated that BTKis are associated with AEs that tend to occur early in treatment rather than later, and that no longer-term toxicities have been identified with extended </w:t>
      </w:r>
      <w:r w:rsidR="00BE77FA" w:rsidRPr="007F33F1">
        <w:rPr>
          <w:iCs/>
        </w:rPr>
        <w:t>zanubrutinib</w:t>
      </w:r>
      <w:r w:rsidR="009C3958" w:rsidRPr="007F33F1">
        <w:rPr>
          <w:iCs/>
        </w:rPr>
        <w:t xml:space="preserve"> use. The PSCR presented data</w:t>
      </w:r>
      <w:r w:rsidR="00C72478" w:rsidRPr="007F33F1">
        <w:rPr>
          <w:iCs/>
        </w:rPr>
        <w:t xml:space="preserve"> from</w:t>
      </w:r>
      <w:r w:rsidR="009C3958" w:rsidRPr="007F33F1">
        <w:rPr>
          <w:iCs/>
        </w:rPr>
        <w:t xml:space="preserve"> ASPEN showing that the incidence rates of many categories of AEs plateau after 24 months. The ESC</w:t>
      </w:r>
      <w:r w:rsidR="00C72478" w:rsidRPr="007F33F1">
        <w:rPr>
          <w:iCs/>
        </w:rPr>
        <w:t xml:space="preserve"> considered that in the absence of </w:t>
      </w:r>
      <w:r w:rsidR="009F7B60" w:rsidRPr="007F33F1">
        <w:rPr>
          <w:iCs/>
        </w:rPr>
        <w:t>comparative data, the uncertainty around the</w:t>
      </w:r>
      <w:r w:rsidR="00C72478" w:rsidRPr="007F33F1">
        <w:rPr>
          <w:iCs/>
        </w:rPr>
        <w:t xml:space="preserve"> long-</w:t>
      </w:r>
      <w:r w:rsidR="009F7B60" w:rsidRPr="007F33F1">
        <w:rPr>
          <w:iCs/>
        </w:rPr>
        <w:t xml:space="preserve">term comparative safety of </w:t>
      </w:r>
      <w:r w:rsidR="00BE77FA" w:rsidRPr="007F33F1">
        <w:rPr>
          <w:iCs/>
        </w:rPr>
        <w:t>zanubrutinib</w:t>
      </w:r>
      <w:r w:rsidR="009F7B60" w:rsidRPr="007F33F1">
        <w:rPr>
          <w:iCs/>
        </w:rPr>
        <w:t xml:space="preserve"> remain</w:t>
      </w:r>
      <w:r w:rsidR="00DD5B40" w:rsidRPr="007F33F1">
        <w:rPr>
          <w:iCs/>
        </w:rPr>
        <w:t>ed</w:t>
      </w:r>
      <w:r w:rsidR="009F7B60" w:rsidRPr="007F33F1">
        <w:rPr>
          <w:iCs/>
        </w:rPr>
        <w:t xml:space="preserve">. </w:t>
      </w:r>
    </w:p>
    <w:p w:rsidR="0037322B" w:rsidRPr="007F33F1" w:rsidRDefault="0037322B" w:rsidP="0047221E">
      <w:pPr>
        <w:pStyle w:val="3-BodyText"/>
        <w:rPr>
          <w:rFonts w:eastAsia="Calibri"/>
          <w:iCs/>
        </w:rPr>
      </w:pPr>
      <w:r w:rsidRPr="007F33F1">
        <w:rPr>
          <w:iCs/>
        </w:rPr>
        <w:t xml:space="preserve">The submission also claimed </w:t>
      </w:r>
      <w:r w:rsidR="002E00B7" w:rsidRPr="007F33F1">
        <w:rPr>
          <w:iCs/>
        </w:rPr>
        <w:t xml:space="preserve">improved effectiveness and superior safety compared to </w:t>
      </w:r>
      <w:r w:rsidR="00BE77FA" w:rsidRPr="007F33F1">
        <w:rPr>
          <w:iCs/>
        </w:rPr>
        <w:t>ibrutinib</w:t>
      </w:r>
      <w:r w:rsidR="002E00B7" w:rsidRPr="007F33F1">
        <w:rPr>
          <w:iCs/>
        </w:rPr>
        <w:t xml:space="preserve"> (as a near future comparator)</w:t>
      </w:r>
      <w:r w:rsidRPr="007F33F1">
        <w:rPr>
          <w:iCs/>
        </w:rPr>
        <w:t xml:space="preserve">. </w:t>
      </w:r>
      <w:r w:rsidR="00B4234F" w:rsidRPr="007F33F1">
        <w:rPr>
          <w:iCs/>
        </w:rPr>
        <w:t xml:space="preserve">The ESC considered the claim had been a prudent inclusion in the submission as it related to a potential near market comparator, but the ESC noted that it was not relevant for PBAC decision-making regarding </w:t>
      </w:r>
      <w:r w:rsidR="00BE77FA" w:rsidRPr="007F33F1">
        <w:rPr>
          <w:iCs/>
        </w:rPr>
        <w:t>zanubrutinib</w:t>
      </w:r>
      <w:r w:rsidR="00905FF8" w:rsidRPr="007F33F1">
        <w:rPr>
          <w:iCs/>
        </w:rPr>
        <w:t xml:space="preserve"> </w:t>
      </w:r>
      <w:r w:rsidR="00B4234F" w:rsidRPr="007F33F1">
        <w:rPr>
          <w:iCs/>
        </w:rPr>
        <w:t xml:space="preserve">at the present time. </w:t>
      </w:r>
    </w:p>
    <w:p w:rsidR="00FA40C5" w:rsidRPr="007F33F1" w:rsidRDefault="007059D2" w:rsidP="0047221E">
      <w:pPr>
        <w:pStyle w:val="3-BodyText"/>
        <w:rPr>
          <w:rFonts w:eastAsia="Calibri"/>
          <w:iCs/>
        </w:rPr>
      </w:pPr>
      <w:r w:rsidRPr="007F33F1">
        <w:rPr>
          <w:rFonts w:eastAsia="Calibri"/>
          <w:iCs/>
        </w:rPr>
        <w:t>For the TN population, t</w:t>
      </w:r>
      <w:r w:rsidR="00FA40C5" w:rsidRPr="007F33F1">
        <w:rPr>
          <w:rFonts w:eastAsia="Calibri"/>
          <w:iCs/>
        </w:rPr>
        <w:t>he PBAC considered that the claim of superior comparative effectiveness was reasonable</w:t>
      </w:r>
      <w:r w:rsidRPr="007F33F1">
        <w:rPr>
          <w:rFonts w:eastAsia="Calibri"/>
          <w:iCs/>
        </w:rPr>
        <w:t xml:space="preserve"> in terms of response outcomes</w:t>
      </w:r>
      <w:r w:rsidR="00C30085" w:rsidRPr="007F33F1">
        <w:rPr>
          <w:rFonts w:eastAsia="Calibri"/>
          <w:iCs/>
        </w:rPr>
        <w:t xml:space="preserve">. </w:t>
      </w:r>
      <w:r w:rsidRPr="007F33F1">
        <w:rPr>
          <w:rFonts w:eastAsia="Calibri"/>
          <w:iCs/>
        </w:rPr>
        <w:t xml:space="preserve">The PBAC noted that response outcomes were not compared for the R/R population. </w:t>
      </w:r>
      <w:r w:rsidR="0014561A" w:rsidRPr="007F33F1">
        <w:rPr>
          <w:rFonts w:eastAsia="Calibri"/>
          <w:iCs/>
        </w:rPr>
        <w:t xml:space="preserve">The PBAC considered </w:t>
      </w:r>
      <w:r w:rsidR="00B756DF" w:rsidRPr="007F33F1">
        <w:rPr>
          <w:rFonts w:eastAsia="Calibri"/>
          <w:iCs/>
        </w:rPr>
        <w:t xml:space="preserve">the </w:t>
      </w:r>
      <w:r w:rsidR="0014561A" w:rsidRPr="007F33F1">
        <w:rPr>
          <w:rFonts w:eastAsia="Calibri"/>
          <w:iCs/>
        </w:rPr>
        <w:t>available clinical data did not adequately support</w:t>
      </w:r>
      <w:r w:rsidRPr="007F33F1">
        <w:rPr>
          <w:rFonts w:eastAsia="Calibri"/>
          <w:iCs/>
        </w:rPr>
        <w:t xml:space="preserve"> a claim of</w:t>
      </w:r>
      <w:r w:rsidR="0014561A" w:rsidRPr="007F33F1">
        <w:rPr>
          <w:rFonts w:eastAsia="Calibri"/>
          <w:iCs/>
        </w:rPr>
        <w:t xml:space="preserve"> </w:t>
      </w:r>
      <w:r w:rsidR="00B756DF" w:rsidRPr="007F33F1">
        <w:rPr>
          <w:rFonts w:eastAsia="Calibri"/>
          <w:iCs/>
        </w:rPr>
        <w:t>superior comparative effectiveness</w:t>
      </w:r>
      <w:r w:rsidR="0014561A" w:rsidRPr="007F33F1">
        <w:rPr>
          <w:rFonts w:eastAsia="Calibri"/>
          <w:iCs/>
        </w:rPr>
        <w:t xml:space="preserve"> for </w:t>
      </w:r>
      <w:r w:rsidR="00BE77FA" w:rsidRPr="007F33F1">
        <w:rPr>
          <w:rFonts w:eastAsia="Calibri"/>
          <w:iCs/>
        </w:rPr>
        <w:t>zanubrutinib</w:t>
      </w:r>
      <w:r w:rsidR="0014561A" w:rsidRPr="007F33F1">
        <w:rPr>
          <w:rFonts w:eastAsia="Calibri"/>
          <w:iCs/>
        </w:rPr>
        <w:t xml:space="preserve"> </w:t>
      </w:r>
      <w:r w:rsidRPr="007F33F1">
        <w:rPr>
          <w:rFonts w:eastAsia="Calibri"/>
          <w:iCs/>
        </w:rPr>
        <w:t xml:space="preserve">in terms of survival outcomes </w:t>
      </w:r>
      <w:r w:rsidR="0014561A" w:rsidRPr="007F33F1">
        <w:rPr>
          <w:rFonts w:eastAsia="Calibri"/>
          <w:iCs/>
        </w:rPr>
        <w:t xml:space="preserve">in either the TN or R/R population. </w:t>
      </w:r>
    </w:p>
    <w:p w:rsidR="00FA40C5" w:rsidRPr="007F33F1" w:rsidRDefault="00FA40C5" w:rsidP="0047221E">
      <w:pPr>
        <w:pStyle w:val="3-BodyText"/>
        <w:rPr>
          <w:rFonts w:eastAsia="Calibri"/>
          <w:iCs/>
        </w:rPr>
      </w:pPr>
      <w:r w:rsidRPr="007F33F1">
        <w:rPr>
          <w:rFonts w:eastAsia="Calibri"/>
          <w:iCs/>
        </w:rPr>
        <w:t xml:space="preserve">The PBAC considered </w:t>
      </w:r>
      <w:r w:rsidR="003A24DC" w:rsidRPr="007F33F1">
        <w:rPr>
          <w:rFonts w:eastAsia="Calibri"/>
          <w:iCs/>
        </w:rPr>
        <w:t xml:space="preserve">it was difficult to assess the comparative safety of </w:t>
      </w:r>
      <w:r w:rsidR="00BE77FA" w:rsidRPr="007F33F1">
        <w:rPr>
          <w:rFonts w:eastAsia="Calibri"/>
          <w:iCs/>
        </w:rPr>
        <w:t>zanubrutinib</w:t>
      </w:r>
      <w:r w:rsidR="003A24DC" w:rsidRPr="007F33F1">
        <w:rPr>
          <w:rFonts w:eastAsia="Calibri"/>
          <w:iCs/>
        </w:rPr>
        <w:t xml:space="preserve"> given the different adverse event profile of </w:t>
      </w:r>
      <w:r w:rsidR="00BE77FA" w:rsidRPr="007F33F1">
        <w:rPr>
          <w:rFonts w:eastAsia="Calibri"/>
          <w:iCs/>
        </w:rPr>
        <w:t>zanubrutinib</w:t>
      </w:r>
      <w:r w:rsidR="003A24DC" w:rsidRPr="007F33F1">
        <w:rPr>
          <w:rFonts w:eastAsia="Calibri"/>
          <w:iCs/>
        </w:rPr>
        <w:t xml:space="preserve"> compared to Rm and BR</w:t>
      </w:r>
      <w:r w:rsidR="00BE6019" w:rsidRPr="007F33F1">
        <w:rPr>
          <w:rFonts w:eastAsia="Calibri"/>
          <w:iCs/>
        </w:rPr>
        <w:t>. It considered</w:t>
      </w:r>
      <w:r w:rsidR="008A6FEF" w:rsidRPr="007F33F1">
        <w:rPr>
          <w:rFonts w:eastAsia="Calibri"/>
          <w:iCs/>
        </w:rPr>
        <w:t xml:space="preserve"> that the evidence presented did not adequately support a claim of superior safety</w:t>
      </w:r>
      <w:r w:rsidR="003A24DC" w:rsidRPr="007F33F1">
        <w:rPr>
          <w:rFonts w:eastAsia="Calibri"/>
          <w:iCs/>
        </w:rPr>
        <w:t xml:space="preserve">. </w:t>
      </w:r>
    </w:p>
    <w:p w:rsidR="00205FD7" w:rsidRPr="007F33F1" w:rsidRDefault="00205FD7" w:rsidP="0047221E">
      <w:pPr>
        <w:pStyle w:val="4-SubsectionHeading"/>
      </w:pPr>
      <w:bookmarkStart w:id="77" w:name="_Toc22897645"/>
      <w:bookmarkStart w:id="78" w:name="_Toc71450290"/>
      <w:bookmarkStart w:id="79" w:name="_Toc72421795"/>
      <w:r w:rsidRPr="007F33F1">
        <w:t>Economic analysis</w:t>
      </w:r>
      <w:bookmarkEnd w:id="77"/>
      <w:bookmarkEnd w:id="78"/>
      <w:bookmarkEnd w:id="79"/>
      <w:r w:rsidRPr="007F33F1">
        <w:t xml:space="preserve"> </w:t>
      </w:r>
    </w:p>
    <w:p w:rsidR="00F0207A" w:rsidRPr="007F33F1" w:rsidRDefault="00F0207A" w:rsidP="0047221E">
      <w:pPr>
        <w:pStyle w:val="3-BodyText"/>
        <w:rPr>
          <w:i/>
          <w:iCs/>
        </w:rPr>
      </w:pPr>
      <w:bookmarkStart w:id="80" w:name="_Ref75265721"/>
      <w:bookmarkStart w:id="81" w:name="_Hlk76225864"/>
      <w:r w:rsidRPr="007F33F1">
        <w:t xml:space="preserve">The submission presented two separate economic evaluations </w:t>
      </w:r>
      <w:bookmarkStart w:id="82" w:name="_Hlk79229859"/>
      <w:r w:rsidRPr="007F33F1">
        <w:t xml:space="preserve">comparing </w:t>
      </w:r>
      <w:r w:rsidR="00BE77FA" w:rsidRPr="007F33F1">
        <w:t>zanubrutinib</w:t>
      </w:r>
      <w:r w:rsidRPr="007F33F1">
        <w:t xml:space="preserve"> to Rm in TN </w:t>
      </w:r>
      <w:r w:rsidR="00916B6C" w:rsidRPr="007F33F1">
        <w:t>chemo-immunotherapy</w:t>
      </w:r>
      <w:r w:rsidRPr="007F33F1">
        <w:t xml:space="preserve">-unsuitable WM patients; and </w:t>
      </w:r>
      <w:r w:rsidR="00BE77FA" w:rsidRPr="007F33F1">
        <w:t>zanubrutinib</w:t>
      </w:r>
      <w:r w:rsidRPr="007F33F1">
        <w:t xml:space="preserve"> to BR in R/R WM patients</w:t>
      </w:r>
      <w:bookmarkEnd w:id="82"/>
      <w:r w:rsidRPr="007F33F1">
        <w:t xml:space="preserve"> (herein referred to as TN and R/R models respectively). Data from three studies were used to populate the model: ASPEN-Cohort 1 (herein ASPEN) for </w:t>
      </w:r>
      <w:r w:rsidR="00BE77FA" w:rsidRPr="007F33F1">
        <w:t>zanubrutinib</w:t>
      </w:r>
      <w:r w:rsidR="00B35C69" w:rsidRPr="007F33F1">
        <w:t> </w:t>
      </w:r>
      <w:r w:rsidRPr="007F33F1">
        <w:t>PFS, OS and TTD</w:t>
      </w:r>
      <w:r w:rsidR="00443A01" w:rsidRPr="007F33F1">
        <w:t>;</w:t>
      </w:r>
      <w:r w:rsidRPr="007F33F1">
        <w:t xml:space="preserve"> iNNOVATE for Rm PFS</w:t>
      </w:r>
      <w:r w:rsidR="00443A01" w:rsidRPr="007F33F1">
        <w:t>;</w:t>
      </w:r>
      <w:r w:rsidRPr="007F33F1">
        <w:t xml:space="preserve"> and Tedesc</w:t>
      </w:r>
      <w:r w:rsidR="0043752E" w:rsidRPr="007F33F1">
        <w:t>hi 2015 for BR PFS and OS. BR </w:t>
      </w:r>
      <w:r w:rsidRPr="007F33F1">
        <w:t>OS data from Tedeschi 2015 was also used as a proxy</w:t>
      </w:r>
      <w:r w:rsidR="00A9432E" w:rsidRPr="007F33F1">
        <w:t xml:space="preserve"> </w:t>
      </w:r>
      <w:r w:rsidRPr="007F33F1">
        <w:t xml:space="preserve">for Rm </w:t>
      </w:r>
      <w:r w:rsidR="00A9432E" w:rsidRPr="007F33F1">
        <w:t>OS</w:t>
      </w:r>
      <w:r w:rsidR="00A9432E" w:rsidRPr="007F33F1">
        <w:rPr>
          <w:i/>
        </w:rPr>
        <w:t xml:space="preserve"> </w:t>
      </w:r>
      <w:r w:rsidRPr="007F33F1">
        <w:t>(discussed further below).</w:t>
      </w:r>
      <w:bookmarkEnd w:id="80"/>
      <w:r w:rsidR="00EF2438" w:rsidRPr="007F33F1">
        <w:rPr>
          <w:iCs/>
        </w:rPr>
        <w:t xml:space="preserve"> </w:t>
      </w:r>
    </w:p>
    <w:bookmarkEnd w:id="81"/>
    <w:p w:rsidR="00F0207A" w:rsidRPr="007F33F1" w:rsidRDefault="00F0207A" w:rsidP="0047221E">
      <w:pPr>
        <w:pStyle w:val="3-BodyText"/>
        <w:snapToGrid w:val="0"/>
      </w:pPr>
      <w:r w:rsidRPr="007F33F1">
        <w:t xml:space="preserve">The type of economic evaluation presented was a cost-utility analysis using partitioned survival analyses with three health states: alive without progression (PFS), alive following progression (PD), and dead. </w:t>
      </w:r>
      <w:r w:rsidRPr="007F33F1">
        <w:rPr>
          <w:iCs/>
        </w:rPr>
        <w:t>A visualisation was produced during the evaluation depicting where the two economic models fit in</w:t>
      </w:r>
      <w:r w:rsidR="0043752E" w:rsidRPr="007F33F1">
        <w:rPr>
          <w:iCs/>
        </w:rPr>
        <w:t xml:space="preserve"> the patient treatment pathway.</w:t>
      </w:r>
    </w:p>
    <w:p w:rsidR="0047221E" w:rsidRDefault="00F0207A" w:rsidP="0047221E">
      <w:pPr>
        <w:pStyle w:val="TableFigureHeading"/>
        <w:rPr>
          <w:rStyle w:val="CommentReference"/>
          <w:b/>
          <w:szCs w:val="24"/>
        </w:rPr>
      </w:pPr>
      <w:r w:rsidRPr="007F33F1">
        <w:rPr>
          <w:rStyle w:val="CommentReference"/>
          <w:b/>
          <w:szCs w:val="24"/>
        </w:rPr>
        <w:t xml:space="preserve"> </w:t>
      </w:r>
    </w:p>
    <w:p w:rsidR="00F0207A" w:rsidRPr="007F33F1" w:rsidRDefault="0047221E" w:rsidP="0047221E">
      <w:pPr>
        <w:pStyle w:val="TableFigureHeading"/>
        <w:rPr>
          <w:rStyle w:val="CommentReference"/>
          <w:b/>
          <w:szCs w:val="24"/>
        </w:rPr>
      </w:pPr>
      <w:bookmarkStart w:id="83" w:name="_GoBack"/>
      <w:bookmarkEnd w:id="83"/>
      <w:r>
        <w:rPr>
          <w:rStyle w:val="CommentReference"/>
          <w:b/>
          <w:szCs w:val="24"/>
        </w:rPr>
        <w:br w:type="column"/>
      </w:r>
      <w:r w:rsidR="00F0207A" w:rsidRPr="007F33F1">
        <w:t xml:space="preserve">Figure </w:t>
      </w:r>
      <w:r w:rsidR="00015997">
        <w:rPr>
          <w:noProof/>
        </w:rPr>
        <w:t>6</w:t>
      </w:r>
      <w:r w:rsidR="00F0207A" w:rsidRPr="007F33F1">
        <w:t xml:space="preserve">: </w:t>
      </w:r>
      <w:r w:rsidR="00F0207A" w:rsidRPr="007F33F1">
        <w:rPr>
          <w:rStyle w:val="CommentReference"/>
          <w:b/>
          <w:szCs w:val="24"/>
        </w:rPr>
        <w:t>Simplified treatment pathway</w:t>
      </w:r>
    </w:p>
    <w:p w:rsidR="00F0207A" w:rsidRPr="007F33F1" w:rsidRDefault="00F0207A" w:rsidP="0047221E">
      <w:pPr>
        <w:keepNext/>
        <w:keepLines/>
        <w:rPr>
          <w:iCs/>
        </w:rPr>
      </w:pPr>
      <w:r w:rsidRPr="007F33F1">
        <w:rPr>
          <w:noProof/>
        </w:rPr>
        <w:drawing>
          <wp:inline distT="0" distB="0" distL="0" distR="0" wp14:anchorId="536D52F2" wp14:editId="2A5D6A33">
            <wp:extent cx="5732780" cy="2425065"/>
            <wp:effectExtent l="0" t="0" r="1270" b="0"/>
            <wp:docPr id="102" name="Picture 102" title="Figure 6: Simplified treatment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t="23952" b="15567"/>
                    <a:stretch>
                      <a:fillRect/>
                    </a:stretch>
                  </pic:blipFill>
                  <pic:spPr bwMode="auto">
                    <a:xfrm>
                      <a:off x="0" y="0"/>
                      <a:ext cx="5732780" cy="2425065"/>
                    </a:xfrm>
                    <a:prstGeom prst="rect">
                      <a:avLst/>
                    </a:prstGeom>
                    <a:noFill/>
                    <a:ln>
                      <a:noFill/>
                    </a:ln>
                  </pic:spPr>
                </pic:pic>
              </a:graphicData>
            </a:graphic>
          </wp:inline>
        </w:drawing>
      </w:r>
    </w:p>
    <w:p w:rsidR="00F0207A" w:rsidRPr="007F33F1" w:rsidRDefault="00F0207A" w:rsidP="0047221E">
      <w:pPr>
        <w:pStyle w:val="TableFigureFooter"/>
        <w:rPr>
          <w:iCs/>
        </w:rPr>
      </w:pPr>
      <w:r w:rsidRPr="007F33F1">
        <w:rPr>
          <w:iCs/>
        </w:rPr>
        <w:t xml:space="preserve">Source: </w:t>
      </w:r>
      <w:r w:rsidR="0043752E" w:rsidRPr="007F33F1">
        <w:rPr>
          <w:iCs/>
        </w:rPr>
        <w:t>complied during the evaluation.</w:t>
      </w:r>
    </w:p>
    <w:p w:rsidR="00F0207A" w:rsidRPr="007F33F1" w:rsidRDefault="00F0207A" w:rsidP="0047221E">
      <w:pPr>
        <w:pStyle w:val="TableFigureFooter"/>
        <w:rPr>
          <w:iCs/>
        </w:rPr>
      </w:pPr>
      <w:r w:rsidRPr="007F33F1">
        <w:rPr>
          <w:iCs/>
        </w:rPr>
        <w:t>CIT=</w:t>
      </w:r>
      <w:r w:rsidR="00916B6C" w:rsidRPr="007F33F1">
        <w:rPr>
          <w:iCs/>
        </w:rPr>
        <w:t>chemo-immunotherapy</w:t>
      </w:r>
      <w:r w:rsidRPr="007F33F1">
        <w:rPr>
          <w:iCs/>
        </w:rPr>
        <w:t>, PD=progressed disease, PF=progression free, R/R=relapsed/refractory, TN=treatment naïve</w:t>
      </w:r>
      <w:r w:rsidR="0043752E" w:rsidRPr="007F33F1">
        <w:rPr>
          <w:iCs/>
        </w:rPr>
        <w:t>.</w:t>
      </w:r>
      <w:r w:rsidRPr="007F33F1">
        <w:rPr>
          <w:iCs/>
        </w:rPr>
        <w:t xml:space="preserve"> </w:t>
      </w:r>
    </w:p>
    <w:p w:rsidR="00F0207A" w:rsidRPr="007F33F1" w:rsidRDefault="00F0207A" w:rsidP="0047221E">
      <w:pPr>
        <w:pStyle w:val="TableFigureFooter"/>
        <w:rPr>
          <w:iCs/>
        </w:rPr>
      </w:pPr>
      <w:r w:rsidRPr="007F33F1">
        <w:rPr>
          <w:iCs/>
        </w:rPr>
        <w:t>Note: While not explicitly stated</w:t>
      </w:r>
      <w:r w:rsidR="0043752E" w:rsidRPr="007F33F1">
        <w:rPr>
          <w:iCs/>
        </w:rPr>
        <w:t>,</w:t>
      </w:r>
      <w:r w:rsidRPr="007F33F1">
        <w:rPr>
          <w:iCs/>
        </w:rPr>
        <w:t xml:space="preserve"> patients in the model can be in PF with or without treatment. Subsequent lines of treatment are not modelled outside of the first treatment in each model. Patients in R/R can enter the R/R model at any line of treatment after first line. Patients can remain in any state for multiple cycles. Patients can die in any health state. </w:t>
      </w:r>
    </w:p>
    <w:p w:rsidR="009272CA" w:rsidRPr="007F33F1" w:rsidRDefault="00CE0009" w:rsidP="0047221E">
      <w:pPr>
        <w:pStyle w:val="3-BodyText"/>
      </w:pPr>
      <w:r w:rsidRPr="007F33F1">
        <w:t xml:space="preserve">The </w:t>
      </w:r>
      <w:r w:rsidR="00F0207A" w:rsidRPr="007F33F1">
        <w:t>submission’s modelling</w:t>
      </w:r>
      <w:r w:rsidRPr="007F33F1">
        <w:t xml:space="preserve"> inherently assume</w:t>
      </w:r>
      <w:r w:rsidR="00DD5B40" w:rsidRPr="007F33F1">
        <w:t>d</w:t>
      </w:r>
      <w:r w:rsidR="00F0207A" w:rsidRPr="007F33F1">
        <w:t xml:space="preserve"> there is no link between first and subsequent lines of therapy. </w:t>
      </w:r>
      <w:r w:rsidR="00916B6C" w:rsidRPr="007F33F1">
        <w:t>Chemo-immunotherapy</w:t>
      </w:r>
      <w:r w:rsidR="002D5EBC" w:rsidRPr="007F33F1">
        <w:t xml:space="preserve"> </w:t>
      </w:r>
      <w:r w:rsidR="00F0207A" w:rsidRPr="007F33F1">
        <w:t>unsuitable patients entered the TN model and received one line of therapy</w:t>
      </w:r>
      <w:r w:rsidR="0043752E" w:rsidRPr="007F33F1">
        <w:t>. S</w:t>
      </w:r>
      <w:r w:rsidR="00F0207A" w:rsidRPr="007F33F1">
        <w:t>eparately</w:t>
      </w:r>
      <w:r w:rsidR="0043752E" w:rsidRPr="007F33F1">
        <w:t>,</w:t>
      </w:r>
      <w:r w:rsidR="00F0207A" w:rsidRPr="007F33F1">
        <w:t xml:space="preserve"> patients with at least one prior therapy entered the R/R model and received one line of treatment. While the structure selection may be driven by the lack of data for any longer-term health state transitions or efficacy in subsequent treatments, a partitioned survival structure with just one line of treatment does not reflect the relapse-remitting nature of WM.</w:t>
      </w:r>
      <w:r w:rsidR="003227F2" w:rsidRPr="007F33F1">
        <w:t xml:space="preserve"> </w:t>
      </w:r>
      <w:r w:rsidR="00AE461C" w:rsidRPr="007F33F1">
        <w:t>The PSCR accepted that patients may cycle through all relevant treatments over the entire disease course of WM.</w:t>
      </w:r>
      <w:r w:rsidR="00C0730D" w:rsidRPr="007F33F1">
        <w:t xml:space="preserve"> The PSCR stated that s</w:t>
      </w:r>
      <w:r w:rsidR="009272CA" w:rsidRPr="007F33F1">
        <w:t xml:space="preserve">ubsequent therapy costs </w:t>
      </w:r>
      <w:r w:rsidR="002D5EBC" w:rsidRPr="007F33F1">
        <w:t>were</w:t>
      </w:r>
      <w:r w:rsidR="009272CA" w:rsidRPr="007F33F1">
        <w:rPr>
          <w:i/>
          <w:iCs/>
        </w:rPr>
        <w:t xml:space="preserve"> </w:t>
      </w:r>
      <w:r w:rsidR="009272CA" w:rsidRPr="007F33F1">
        <w:t xml:space="preserve">included in the </w:t>
      </w:r>
      <w:r w:rsidR="00AE461C" w:rsidRPr="007F33F1">
        <w:t xml:space="preserve">economic evaluation </w:t>
      </w:r>
      <w:r w:rsidR="009272CA" w:rsidRPr="007F33F1">
        <w:t>and that the</w:t>
      </w:r>
      <w:r w:rsidR="00AE461C" w:rsidRPr="007F33F1">
        <w:t xml:space="preserve"> clinical effect of subsequent therapies </w:t>
      </w:r>
      <w:r w:rsidR="002D5EBC" w:rsidRPr="007F33F1">
        <w:t>was</w:t>
      </w:r>
      <w:r w:rsidR="00AE461C" w:rsidRPr="007F33F1">
        <w:t xml:space="preserve"> accounted for through the use of overall survival from the clinical studies. </w:t>
      </w:r>
      <w:r w:rsidR="003D51BD" w:rsidRPr="007F33F1">
        <w:t xml:space="preserve">The ESC </w:t>
      </w:r>
      <w:r w:rsidR="00F55834" w:rsidRPr="007F33F1">
        <w:t>noted</w:t>
      </w:r>
      <w:r w:rsidR="009272CA" w:rsidRPr="007F33F1">
        <w:t xml:space="preserve"> subsequent treatment</w:t>
      </w:r>
      <w:r w:rsidR="00C44181" w:rsidRPr="007F33F1">
        <w:t>s</w:t>
      </w:r>
      <w:r w:rsidR="009272CA" w:rsidRPr="007F33F1">
        <w:t xml:space="preserve"> were not explicitly modelled in the economic evaluation</w:t>
      </w:r>
      <w:r w:rsidR="00F66821" w:rsidRPr="007F33F1">
        <w:t>, and</w:t>
      </w:r>
      <w:r w:rsidR="002D5EBC" w:rsidRPr="007F33F1">
        <w:t xml:space="preserve"> considered</w:t>
      </w:r>
      <w:r w:rsidR="00F66821" w:rsidRPr="007F33F1">
        <w:t xml:space="preserve"> </w:t>
      </w:r>
      <w:r w:rsidR="009272CA" w:rsidRPr="007F33F1">
        <w:t xml:space="preserve">that the follow-up durations of the included studies were unlikely to capture </w:t>
      </w:r>
      <w:r w:rsidR="00C44181" w:rsidRPr="007F33F1">
        <w:t>any effects</w:t>
      </w:r>
      <w:r w:rsidR="009272CA" w:rsidRPr="007F33F1">
        <w:t xml:space="preserve"> of downstream treatments.</w:t>
      </w:r>
    </w:p>
    <w:p w:rsidR="00F0207A" w:rsidRPr="007F33F1" w:rsidRDefault="00F0207A" w:rsidP="0047221E">
      <w:pPr>
        <w:pStyle w:val="3-BodyText"/>
        <w:snapToGrid w:val="0"/>
      </w:pPr>
      <w:r w:rsidRPr="007F33F1">
        <w:t>A summary of the model is presented below.</w:t>
      </w:r>
    </w:p>
    <w:p w:rsidR="00F0207A" w:rsidRPr="007F33F1" w:rsidRDefault="00F0207A" w:rsidP="0047221E">
      <w:pPr>
        <w:pStyle w:val="TableFigureHeading"/>
        <w:keepLines/>
      </w:pPr>
      <w:r w:rsidRPr="007F33F1">
        <w:t xml:space="preserve">Table </w:t>
      </w:r>
      <w:r w:rsidR="00015997">
        <w:rPr>
          <w:noProof/>
        </w:rPr>
        <w:t>15</w:t>
      </w:r>
      <w:r w:rsidRPr="007F33F1">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1985"/>
        <w:gridCol w:w="1985"/>
        <w:gridCol w:w="3799"/>
      </w:tblGrid>
      <w:tr w:rsidR="004459C8" w:rsidRPr="007F33F1" w:rsidTr="0043752E">
        <w:trPr>
          <w:tblHeader/>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jc w:val="center"/>
              <w:rPr>
                <w:szCs w:val="20"/>
                <w:lang w:val="en-AU"/>
              </w:rPr>
            </w:pPr>
            <w:r w:rsidRPr="007F33F1">
              <w:rPr>
                <w:szCs w:val="20"/>
                <w:lang w:val="en-AU"/>
              </w:rPr>
              <w:t>Component</w:t>
            </w:r>
          </w:p>
        </w:tc>
        <w:tc>
          <w:tcPr>
            <w:tcW w:w="2196" w:type="pct"/>
            <w:gridSpan w:val="2"/>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In-tableHeading"/>
              <w:keepLines/>
              <w:jc w:val="center"/>
              <w:rPr>
                <w:szCs w:val="20"/>
                <w:lang w:val="en-AU"/>
              </w:rPr>
            </w:pPr>
            <w:r w:rsidRPr="007F33F1">
              <w:rPr>
                <w:szCs w:val="20"/>
                <w:lang w:val="en-AU"/>
              </w:rPr>
              <w:t>Description</w:t>
            </w:r>
          </w:p>
        </w:tc>
        <w:tc>
          <w:tcPr>
            <w:tcW w:w="2101" w:type="pct"/>
            <w:vMerge w:val="restart"/>
            <w:tcBorders>
              <w:top w:val="single" w:sz="4" w:space="0" w:color="auto"/>
              <w:left w:val="single" w:sz="4" w:space="0" w:color="auto"/>
              <w:bottom w:val="single" w:sz="4" w:space="0" w:color="auto"/>
              <w:right w:val="single" w:sz="4" w:space="0" w:color="auto"/>
            </w:tcBorders>
            <w:vAlign w:val="center"/>
          </w:tcPr>
          <w:p w:rsidR="00F0207A" w:rsidRPr="007F33F1" w:rsidRDefault="00E02D53" w:rsidP="0047221E">
            <w:pPr>
              <w:pStyle w:val="In-tableHeading"/>
              <w:keepLines/>
              <w:jc w:val="center"/>
              <w:rPr>
                <w:szCs w:val="20"/>
                <w:lang w:val="en-AU"/>
              </w:rPr>
            </w:pPr>
            <w:r w:rsidRPr="007F33F1">
              <w:rPr>
                <w:szCs w:val="20"/>
                <w:lang w:val="en-AU"/>
              </w:rPr>
              <w:t>Justification/comments</w:t>
            </w:r>
          </w:p>
        </w:tc>
      </w:tr>
      <w:tr w:rsidR="004459C8" w:rsidRPr="007F33F1" w:rsidTr="0043752E">
        <w:trPr>
          <w:tblHeader/>
        </w:trPr>
        <w:tc>
          <w:tcPr>
            <w:tcW w:w="703" w:type="pct"/>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keepLines/>
              <w:jc w:val="left"/>
              <w:rPr>
                <w:rFonts w:ascii="Arial Narrow" w:eastAsiaTheme="majorEastAsia" w:hAnsi="Arial Narrow" w:cs="Times New Roman"/>
                <w:b/>
                <w:sz w:val="20"/>
                <w:szCs w:val="20"/>
              </w:rPr>
            </w:pPr>
          </w:p>
        </w:tc>
        <w:tc>
          <w:tcPr>
            <w:tcW w:w="109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TN model</w:t>
            </w:r>
          </w:p>
        </w:tc>
        <w:tc>
          <w:tcPr>
            <w:tcW w:w="109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R/R model</w:t>
            </w:r>
          </w:p>
        </w:tc>
        <w:tc>
          <w:tcPr>
            <w:tcW w:w="2101" w:type="pct"/>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keepLines/>
              <w:jc w:val="left"/>
              <w:rPr>
                <w:rFonts w:ascii="Arial Narrow" w:eastAsiaTheme="majorEastAsia" w:hAnsi="Arial Narrow" w:cstheme="majorBidi"/>
                <w:bCs/>
                <w:sz w:val="20"/>
                <w:szCs w:val="20"/>
              </w:rPr>
            </w:pPr>
          </w:p>
        </w:tc>
      </w:tr>
      <w:tr w:rsidR="004459C8" w:rsidRPr="007F33F1" w:rsidTr="0043752E">
        <w:tc>
          <w:tcPr>
            <w:tcW w:w="70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Type of analysis</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Cost-utility analysis</w:t>
            </w:r>
          </w:p>
        </w:tc>
        <w:tc>
          <w:tcPr>
            <w:tcW w:w="2101"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Appropriate</w:t>
            </w:r>
          </w:p>
        </w:tc>
      </w:tr>
      <w:tr w:rsidR="004459C8" w:rsidRPr="007F33F1" w:rsidTr="0043752E">
        <w:tc>
          <w:tcPr>
            <w:tcW w:w="70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Outcomes</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Life years gained, quality-adjusted life years gained</w:t>
            </w:r>
          </w:p>
        </w:tc>
        <w:tc>
          <w:tcPr>
            <w:tcW w:w="2101"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Appropriate</w:t>
            </w:r>
          </w:p>
        </w:tc>
      </w:tr>
      <w:tr w:rsidR="004459C8" w:rsidRPr="007F33F1" w:rsidTr="0043752E">
        <w:tc>
          <w:tcPr>
            <w:tcW w:w="70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Methods used to generate results</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Partitioned survival analysis</w:t>
            </w:r>
          </w:p>
        </w:tc>
        <w:tc>
          <w:tcPr>
            <w:tcW w:w="2101"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While a Markov model ma</w:t>
            </w:r>
            <w:r w:rsidR="0043752E" w:rsidRPr="007F33F1">
              <w:rPr>
                <w:szCs w:val="20"/>
              </w:rPr>
              <w:t>y be a better fit for a relapse-</w:t>
            </w:r>
            <w:r w:rsidRPr="007F33F1">
              <w:rPr>
                <w:szCs w:val="20"/>
              </w:rPr>
              <w:t xml:space="preserve">remitting disease, there was limited data </w:t>
            </w:r>
            <w:r w:rsidR="003227F2" w:rsidRPr="007F33F1">
              <w:rPr>
                <w:szCs w:val="20"/>
              </w:rPr>
              <w:t xml:space="preserve">to inform </w:t>
            </w:r>
            <w:r w:rsidRPr="007F33F1">
              <w:rPr>
                <w:szCs w:val="20"/>
              </w:rPr>
              <w:t>the relationship between potential health states or state transitions.</w:t>
            </w:r>
          </w:p>
        </w:tc>
      </w:tr>
      <w:tr w:rsidR="00E60FE3" w:rsidRPr="007F33F1" w:rsidTr="00E60FE3">
        <w:tc>
          <w:tcPr>
            <w:tcW w:w="703" w:type="pct"/>
            <w:tcBorders>
              <w:top w:val="single" w:sz="4" w:space="0" w:color="auto"/>
              <w:left w:val="single" w:sz="4" w:space="0" w:color="auto"/>
              <w:bottom w:val="single" w:sz="4" w:space="0" w:color="auto"/>
              <w:right w:val="single" w:sz="4" w:space="0" w:color="auto"/>
            </w:tcBorders>
            <w:vAlign w:val="center"/>
            <w:hideMark/>
          </w:tcPr>
          <w:p w:rsidR="00E60FE3" w:rsidRPr="007F33F1" w:rsidRDefault="00E60FE3" w:rsidP="0047221E">
            <w:pPr>
              <w:pStyle w:val="TableText0"/>
              <w:keepLines/>
              <w:rPr>
                <w:szCs w:val="20"/>
              </w:rPr>
            </w:pPr>
            <w:r w:rsidRPr="007F33F1">
              <w:rPr>
                <w:szCs w:val="20"/>
              </w:rPr>
              <w:t>Health states</w:t>
            </w:r>
          </w:p>
        </w:tc>
        <w:tc>
          <w:tcPr>
            <w:tcW w:w="1098" w:type="pct"/>
            <w:tcBorders>
              <w:top w:val="single" w:sz="4" w:space="0" w:color="auto"/>
              <w:left w:val="single" w:sz="4" w:space="0" w:color="auto"/>
              <w:bottom w:val="single" w:sz="4" w:space="0" w:color="auto"/>
              <w:right w:val="single" w:sz="4" w:space="0" w:color="auto"/>
            </w:tcBorders>
            <w:hideMark/>
          </w:tcPr>
          <w:p w:rsidR="00E60FE3" w:rsidRPr="007F33F1" w:rsidRDefault="00E60FE3" w:rsidP="0047221E">
            <w:pPr>
              <w:pStyle w:val="TableText0"/>
              <w:keepLines/>
              <w:rPr>
                <w:szCs w:val="20"/>
              </w:rPr>
            </w:pPr>
            <w:r w:rsidRPr="007F33F1">
              <w:rPr>
                <w:szCs w:val="20"/>
              </w:rPr>
              <w:t>Three health states:</w:t>
            </w:r>
          </w:p>
          <w:p w:rsidR="00E60FE3" w:rsidRPr="007F33F1" w:rsidRDefault="00E60FE3" w:rsidP="0047221E">
            <w:pPr>
              <w:pStyle w:val="TableText0"/>
              <w:keepLines/>
              <w:numPr>
                <w:ilvl w:val="0"/>
                <w:numId w:val="7"/>
              </w:numPr>
              <w:ind w:left="131" w:hanging="131"/>
              <w:rPr>
                <w:szCs w:val="20"/>
              </w:rPr>
            </w:pPr>
            <w:r w:rsidRPr="007F33F1">
              <w:rPr>
                <w:szCs w:val="20"/>
              </w:rPr>
              <w:t xml:space="preserve">PFS </w:t>
            </w:r>
          </w:p>
          <w:p w:rsidR="00E60FE3" w:rsidRPr="007F33F1" w:rsidRDefault="00E60FE3" w:rsidP="0047221E">
            <w:pPr>
              <w:pStyle w:val="TableText0"/>
              <w:keepLines/>
              <w:numPr>
                <w:ilvl w:val="0"/>
                <w:numId w:val="7"/>
              </w:numPr>
              <w:ind w:left="131" w:hanging="131"/>
              <w:rPr>
                <w:szCs w:val="20"/>
              </w:rPr>
            </w:pPr>
            <w:r w:rsidRPr="007F33F1">
              <w:rPr>
                <w:szCs w:val="20"/>
              </w:rPr>
              <w:t xml:space="preserve">PD </w:t>
            </w:r>
          </w:p>
          <w:p w:rsidR="00E60FE3" w:rsidRPr="007F33F1" w:rsidRDefault="00E60FE3" w:rsidP="0047221E">
            <w:pPr>
              <w:pStyle w:val="TableText0"/>
              <w:keepLines/>
              <w:numPr>
                <w:ilvl w:val="0"/>
                <w:numId w:val="7"/>
              </w:numPr>
              <w:ind w:left="131" w:hanging="131"/>
              <w:rPr>
                <w:szCs w:val="20"/>
              </w:rPr>
            </w:pPr>
            <w:r w:rsidRPr="007F33F1">
              <w:rPr>
                <w:szCs w:val="20"/>
              </w:rPr>
              <w:t>Dead (absorbing state)</w:t>
            </w:r>
          </w:p>
        </w:tc>
        <w:tc>
          <w:tcPr>
            <w:tcW w:w="1098" w:type="pct"/>
            <w:tcBorders>
              <w:top w:val="single" w:sz="4" w:space="0" w:color="auto"/>
              <w:left w:val="single" w:sz="4" w:space="0" w:color="auto"/>
              <w:bottom w:val="single" w:sz="4" w:space="0" w:color="auto"/>
              <w:right w:val="single" w:sz="4" w:space="0" w:color="auto"/>
            </w:tcBorders>
          </w:tcPr>
          <w:p w:rsidR="00E60FE3" w:rsidRPr="007F33F1" w:rsidRDefault="00E60FE3" w:rsidP="0047221E">
            <w:pPr>
              <w:pStyle w:val="TableText0"/>
              <w:keepLines/>
              <w:rPr>
                <w:szCs w:val="20"/>
              </w:rPr>
            </w:pPr>
            <w:r w:rsidRPr="007F33F1">
              <w:rPr>
                <w:szCs w:val="20"/>
              </w:rPr>
              <w:t>Three health states:</w:t>
            </w:r>
          </w:p>
          <w:p w:rsidR="00E60FE3" w:rsidRPr="007F33F1" w:rsidRDefault="00E60FE3" w:rsidP="0047221E">
            <w:pPr>
              <w:pStyle w:val="TableText0"/>
              <w:keepLines/>
              <w:numPr>
                <w:ilvl w:val="0"/>
                <w:numId w:val="7"/>
              </w:numPr>
              <w:ind w:left="131" w:hanging="131"/>
              <w:rPr>
                <w:szCs w:val="20"/>
              </w:rPr>
            </w:pPr>
            <w:r w:rsidRPr="007F33F1">
              <w:rPr>
                <w:szCs w:val="20"/>
              </w:rPr>
              <w:t>PFS</w:t>
            </w:r>
          </w:p>
          <w:p w:rsidR="00E60FE3" w:rsidRPr="007F33F1" w:rsidRDefault="00E60FE3" w:rsidP="0047221E">
            <w:pPr>
              <w:pStyle w:val="TableText0"/>
              <w:keepLines/>
              <w:numPr>
                <w:ilvl w:val="0"/>
                <w:numId w:val="7"/>
              </w:numPr>
              <w:ind w:left="131" w:hanging="131"/>
              <w:rPr>
                <w:szCs w:val="20"/>
              </w:rPr>
            </w:pPr>
            <w:r w:rsidRPr="007F33F1">
              <w:rPr>
                <w:szCs w:val="20"/>
              </w:rPr>
              <w:t>PD</w:t>
            </w:r>
          </w:p>
          <w:p w:rsidR="00E60FE3" w:rsidRPr="007F33F1" w:rsidRDefault="00E60FE3" w:rsidP="0047221E">
            <w:pPr>
              <w:pStyle w:val="TableText0"/>
              <w:keepLines/>
              <w:numPr>
                <w:ilvl w:val="0"/>
                <w:numId w:val="7"/>
              </w:numPr>
              <w:ind w:left="131" w:hanging="131"/>
              <w:rPr>
                <w:szCs w:val="20"/>
              </w:rPr>
            </w:pPr>
            <w:r w:rsidRPr="007F33F1">
              <w:rPr>
                <w:szCs w:val="20"/>
              </w:rPr>
              <w:t>Dead (absorbing state)</w:t>
            </w:r>
          </w:p>
        </w:tc>
        <w:tc>
          <w:tcPr>
            <w:tcW w:w="2101" w:type="pct"/>
            <w:tcBorders>
              <w:top w:val="single" w:sz="4" w:space="0" w:color="auto"/>
              <w:left w:val="single" w:sz="4" w:space="0" w:color="auto"/>
              <w:bottom w:val="single" w:sz="4" w:space="0" w:color="auto"/>
              <w:right w:val="single" w:sz="4" w:space="0" w:color="auto"/>
            </w:tcBorders>
            <w:hideMark/>
          </w:tcPr>
          <w:p w:rsidR="00E60FE3" w:rsidRPr="007F33F1" w:rsidRDefault="00E60FE3" w:rsidP="0047221E">
            <w:pPr>
              <w:pStyle w:val="TableText0"/>
              <w:keepLines/>
              <w:rPr>
                <w:szCs w:val="20"/>
              </w:rPr>
            </w:pPr>
            <w:r w:rsidRPr="007F33F1">
              <w:rPr>
                <w:szCs w:val="20"/>
              </w:rPr>
              <w:t>Time on treatment modelled separately (extrapolated KM data from ASPEN, treatment regimen for Rm and BR as described in iNNOVATE and Tedeschi 2015, respectively).</w:t>
            </w:r>
          </w:p>
        </w:tc>
      </w:tr>
      <w:tr w:rsidR="004459C8" w:rsidRPr="007F33F1" w:rsidTr="0043752E">
        <w:tc>
          <w:tcPr>
            <w:tcW w:w="70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Cycle length</w:t>
            </w:r>
          </w:p>
        </w:tc>
        <w:tc>
          <w:tcPr>
            <w:tcW w:w="2196" w:type="pct"/>
            <w:gridSpan w:val="2"/>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rPr>
                <w:szCs w:val="20"/>
              </w:rPr>
            </w:pPr>
            <w:r w:rsidRPr="007F33F1">
              <w:rPr>
                <w:szCs w:val="20"/>
              </w:rPr>
              <w:t>28 days, half cycle correction applied</w:t>
            </w:r>
          </w:p>
        </w:tc>
        <w:tc>
          <w:tcPr>
            <w:tcW w:w="2101"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rPr>
                <w:szCs w:val="20"/>
              </w:rPr>
            </w:pPr>
            <w:r w:rsidRPr="007F33F1">
              <w:rPr>
                <w:szCs w:val="20"/>
              </w:rPr>
              <w:t>Appropriate</w:t>
            </w:r>
          </w:p>
        </w:tc>
      </w:tr>
      <w:tr w:rsidR="004459C8" w:rsidRPr="007F33F1" w:rsidTr="0043752E">
        <w:tc>
          <w:tcPr>
            <w:tcW w:w="70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rFonts w:cs="Arial"/>
                <w:szCs w:val="20"/>
              </w:rPr>
              <w:t>Time horizon</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342C2F" w:rsidRPr="007F33F1" w:rsidRDefault="00F0207A" w:rsidP="0047221E">
            <w:pPr>
              <w:pStyle w:val="TableText0"/>
              <w:keepLines/>
              <w:rPr>
                <w:rFonts w:cs="Arial"/>
                <w:szCs w:val="20"/>
              </w:rPr>
            </w:pPr>
            <w:r w:rsidRPr="007F33F1">
              <w:rPr>
                <w:rFonts w:cs="Arial"/>
                <w:szCs w:val="20"/>
              </w:rPr>
              <w:t xml:space="preserve">20 years vs </w:t>
            </w:r>
          </w:p>
          <w:p w:rsidR="00007BCE" w:rsidRPr="007F33F1" w:rsidRDefault="00342C2F" w:rsidP="0047221E">
            <w:pPr>
              <w:pStyle w:val="TableText0"/>
              <w:keepLines/>
              <w:rPr>
                <w:rFonts w:cs="Arial"/>
                <w:szCs w:val="20"/>
              </w:rPr>
            </w:pPr>
            <w:r w:rsidRPr="007F33F1">
              <w:rPr>
                <w:rFonts w:cs="Arial"/>
                <w:szCs w:val="20"/>
              </w:rPr>
              <w:t>m</w:t>
            </w:r>
            <w:r w:rsidR="009D7A5F" w:rsidRPr="007F33F1">
              <w:rPr>
                <w:rFonts w:cs="Arial"/>
                <w:szCs w:val="20"/>
              </w:rPr>
              <w:t xml:space="preserve">edian follow up of </w:t>
            </w:r>
            <w:r w:rsidR="00F0207A" w:rsidRPr="007F33F1">
              <w:rPr>
                <w:rFonts w:cs="Arial"/>
                <w:szCs w:val="20"/>
              </w:rPr>
              <w:t>19.5 months</w:t>
            </w:r>
            <w:r w:rsidR="009D7A5F" w:rsidRPr="007F33F1">
              <w:rPr>
                <w:rFonts w:cs="Arial"/>
                <w:szCs w:val="20"/>
              </w:rPr>
              <w:t xml:space="preserve"> </w:t>
            </w:r>
            <w:r w:rsidR="00F0207A" w:rsidRPr="007F33F1">
              <w:rPr>
                <w:rFonts w:cs="Arial"/>
                <w:szCs w:val="20"/>
              </w:rPr>
              <w:t xml:space="preserve">in ASPEN, </w:t>
            </w:r>
          </w:p>
          <w:p w:rsidR="00007BCE" w:rsidRPr="007F33F1" w:rsidRDefault="00F0207A" w:rsidP="0047221E">
            <w:pPr>
              <w:pStyle w:val="TableText0"/>
              <w:keepLines/>
              <w:rPr>
                <w:rFonts w:cs="Arial"/>
                <w:szCs w:val="20"/>
              </w:rPr>
            </w:pPr>
            <w:r w:rsidRPr="007F33F1">
              <w:rPr>
                <w:rFonts w:cs="Arial"/>
                <w:szCs w:val="20"/>
              </w:rPr>
              <w:t>26.5 months in iNNOVATE</w:t>
            </w:r>
            <w:r w:rsidR="00007BCE" w:rsidRPr="007F33F1">
              <w:rPr>
                <w:rFonts w:cs="Arial"/>
                <w:szCs w:val="20"/>
              </w:rPr>
              <w:t>,</w:t>
            </w:r>
            <w:r w:rsidRPr="007F33F1">
              <w:rPr>
                <w:rFonts w:cs="Arial"/>
                <w:szCs w:val="20"/>
              </w:rPr>
              <w:t xml:space="preserve"> and </w:t>
            </w:r>
          </w:p>
          <w:p w:rsidR="00F0207A" w:rsidRPr="007F33F1" w:rsidRDefault="00F0207A" w:rsidP="0047221E">
            <w:pPr>
              <w:pStyle w:val="TableText0"/>
              <w:keepLines/>
              <w:rPr>
                <w:szCs w:val="20"/>
              </w:rPr>
            </w:pPr>
            <w:r w:rsidRPr="007F33F1">
              <w:rPr>
                <w:rFonts w:cs="Arial"/>
                <w:szCs w:val="20"/>
              </w:rPr>
              <w:t>19 months in Tedeschi 2015.</w:t>
            </w:r>
          </w:p>
        </w:tc>
        <w:tc>
          <w:tcPr>
            <w:tcW w:w="2101"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iCs/>
                <w:szCs w:val="20"/>
              </w:rPr>
            </w:pPr>
            <w:r w:rsidRPr="007F33F1">
              <w:rPr>
                <w:rFonts w:cs="Arial"/>
                <w:szCs w:val="20"/>
              </w:rPr>
              <w:t xml:space="preserve">The estimation of OS left 33% of patients alive at the end of the 20-year period in the ZANU arms of both models. </w:t>
            </w:r>
            <w:r w:rsidR="009D7A5F" w:rsidRPr="007F33F1">
              <w:rPr>
                <w:rFonts w:cs="Arial"/>
                <w:szCs w:val="20"/>
              </w:rPr>
              <w:t xml:space="preserve">These patients </w:t>
            </w:r>
            <w:r w:rsidRPr="007F33F1">
              <w:rPr>
                <w:rFonts w:cs="Arial"/>
                <w:szCs w:val="20"/>
              </w:rPr>
              <w:t>therefore accrued all the benefits of longer OS without terminal care costs which would be accrued by everyone eventually (on death). There was also no long-term evidence of a sustained survival benefit for ZANU versus the two comparators.</w:t>
            </w:r>
          </w:p>
        </w:tc>
      </w:tr>
      <w:tr w:rsidR="004459C8" w:rsidRPr="007F33F1" w:rsidTr="0043752E">
        <w:trPr>
          <w:trHeight w:val="177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E02D53" w:rsidRPr="007F33F1" w:rsidRDefault="00E02D53" w:rsidP="0047221E">
            <w:pPr>
              <w:pStyle w:val="TableText0"/>
              <w:keepLines/>
              <w:rPr>
                <w:rFonts w:cs="Arial"/>
                <w:szCs w:val="20"/>
              </w:rPr>
            </w:pPr>
            <w:r w:rsidRPr="007F33F1">
              <w:rPr>
                <w:rFonts w:cs="Arial"/>
                <w:szCs w:val="20"/>
              </w:rPr>
              <w:t xml:space="preserve"> </w:t>
            </w:r>
          </w:p>
          <w:p w:rsidR="00F0207A" w:rsidRPr="007F33F1" w:rsidRDefault="00F0207A" w:rsidP="0047221E">
            <w:pPr>
              <w:pStyle w:val="TableText0"/>
              <w:keepLines/>
              <w:rPr>
                <w:szCs w:val="20"/>
              </w:rPr>
            </w:pPr>
            <w:r w:rsidRPr="007F33F1">
              <w:rPr>
                <w:rFonts w:cs="Arial"/>
                <w:szCs w:val="20"/>
              </w:rPr>
              <w:t>Allocation to health states</w:t>
            </w:r>
          </w:p>
        </w:tc>
        <w:tc>
          <w:tcPr>
            <w:tcW w:w="1098"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rPr>
                <w:szCs w:val="20"/>
              </w:rPr>
            </w:pPr>
            <w:r w:rsidRPr="007F33F1">
              <w:rPr>
                <w:rFonts w:cs="Arial"/>
                <w:szCs w:val="20"/>
              </w:rPr>
              <w:t>Based on independent parametric extrapolations of PFS and OS KM curves from ASPEN (ITT population) for ZANU, and data from iNNOVATE Rm treatment arm for PFS and Tedeschi</w:t>
            </w:r>
            <w:r w:rsidR="00007BCE" w:rsidRPr="007F33F1">
              <w:rPr>
                <w:rFonts w:cs="Arial"/>
                <w:szCs w:val="20"/>
              </w:rPr>
              <w:t> </w:t>
            </w:r>
            <w:r w:rsidRPr="007F33F1">
              <w:rPr>
                <w:rFonts w:cs="Arial"/>
                <w:szCs w:val="20"/>
              </w:rPr>
              <w:t>2015 BR treatment for OS</w:t>
            </w:r>
            <w:r w:rsidR="00524AAF" w:rsidRPr="007F33F1">
              <w:rPr>
                <w:rFonts w:cs="Arial"/>
                <w:szCs w:val="20"/>
              </w:rPr>
              <w:t xml:space="preserve"> for Rm</w:t>
            </w:r>
            <w:r w:rsidRPr="007F33F1">
              <w:rPr>
                <w:rFonts w:cs="Arial"/>
                <w:szCs w:val="20"/>
              </w:rPr>
              <w:t xml:space="preserve">. </w:t>
            </w:r>
          </w:p>
        </w:tc>
        <w:tc>
          <w:tcPr>
            <w:tcW w:w="1098" w:type="pct"/>
            <w:tcBorders>
              <w:top w:val="single" w:sz="4" w:space="0" w:color="auto"/>
              <w:left w:val="single" w:sz="4" w:space="0" w:color="auto"/>
              <w:bottom w:val="single" w:sz="4" w:space="0" w:color="auto"/>
              <w:right w:val="single" w:sz="4" w:space="0" w:color="auto"/>
            </w:tcBorders>
          </w:tcPr>
          <w:p w:rsidR="00F0207A" w:rsidRPr="007F33F1" w:rsidRDefault="00F0207A" w:rsidP="0047221E">
            <w:pPr>
              <w:pStyle w:val="TableText0"/>
              <w:keepLines/>
              <w:rPr>
                <w:rFonts w:cs="Arial"/>
                <w:szCs w:val="20"/>
              </w:rPr>
            </w:pPr>
            <w:r w:rsidRPr="007F33F1">
              <w:rPr>
                <w:rFonts w:cs="Arial"/>
                <w:szCs w:val="20"/>
              </w:rPr>
              <w:t>Based on parametric extrapolations of PFS and OS KM curves from ASPEN using a matched subset of the ITT populations for ZANU and Tedeschi 2015 for BR.</w:t>
            </w:r>
          </w:p>
          <w:p w:rsidR="00F0207A" w:rsidRPr="007F33F1" w:rsidRDefault="00F0207A" w:rsidP="0047221E">
            <w:pPr>
              <w:pStyle w:val="TableText0"/>
              <w:keepLines/>
              <w:rPr>
                <w:rFonts w:cs="Arial"/>
                <w:szCs w:val="20"/>
              </w:rPr>
            </w:pPr>
          </w:p>
          <w:p w:rsidR="00F0207A" w:rsidRPr="007F33F1" w:rsidRDefault="00F0207A" w:rsidP="0047221E">
            <w:pPr>
              <w:pStyle w:val="TableText0"/>
              <w:keepLines/>
              <w:rPr>
                <w:szCs w:val="20"/>
              </w:rPr>
            </w:pPr>
            <w:r w:rsidRPr="007F33F1">
              <w:rPr>
                <w:rFonts w:cs="Arial"/>
                <w:szCs w:val="20"/>
              </w:rPr>
              <w:t>PFS extrapolations were modelled jointly. OS was extrapolated with a different parametric extrapolation for each treatment arm.</w:t>
            </w:r>
          </w:p>
        </w:tc>
        <w:tc>
          <w:tcPr>
            <w:tcW w:w="2101" w:type="pct"/>
            <w:vMerge w:val="restar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iCs/>
                <w:szCs w:val="20"/>
              </w:rPr>
            </w:pPr>
            <w:r w:rsidRPr="007F33F1">
              <w:rPr>
                <w:iCs/>
                <w:szCs w:val="20"/>
              </w:rPr>
              <w:t>PFS and OS data used in the model to extrapolate survival were very immature, particularly for ZANU OS since few events ha</w:t>
            </w:r>
            <w:r w:rsidR="0052449F" w:rsidRPr="007F33F1">
              <w:rPr>
                <w:iCs/>
                <w:szCs w:val="20"/>
              </w:rPr>
              <w:t xml:space="preserve">d </w:t>
            </w:r>
            <w:r w:rsidRPr="007F33F1">
              <w:rPr>
                <w:iCs/>
                <w:szCs w:val="20"/>
              </w:rPr>
              <w:t>occurred in any of the treatment arms, thus any comparison of OS would be highly uncertain, magnified by extrapolating the data to 20 years.</w:t>
            </w:r>
            <w:r w:rsidR="00007BCE" w:rsidRPr="007F33F1">
              <w:rPr>
                <w:iCs/>
                <w:szCs w:val="20"/>
              </w:rPr>
              <w:t xml:space="preserve"> </w:t>
            </w:r>
            <w:r w:rsidRPr="007F33F1">
              <w:rPr>
                <w:iCs/>
                <w:szCs w:val="20"/>
              </w:rPr>
              <w:t>The TN model was</w:t>
            </w:r>
            <w:r w:rsidR="00007BCE" w:rsidRPr="007F33F1">
              <w:rPr>
                <w:iCs/>
                <w:szCs w:val="20"/>
              </w:rPr>
              <w:t xml:space="preserve"> </w:t>
            </w:r>
            <w:r w:rsidRPr="007F33F1">
              <w:rPr>
                <w:iCs/>
                <w:szCs w:val="20"/>
              </w:rPr>
              <w:t>based on data for the ITT population for ZANU</w:t>
            </w:r>
            <w:r w:rsidR="0052449F" w:rsidRPr="007F33F1">
              <w:rPr>
                <w:iCs/>
                <w:szCs w:val="20"/>
              </w:rPr>
              <w:t xml:space="preserve"> rather than data for TN patients.</w:t>
            </w:r>
            <w:r w:rsidR="00397061" w:rsidRPr="007F33F1">
              <w:rPr>
                <w:iCs/>
                <w:szCs w:val="20"/>
              </w:rPr>
              <w:t xml:space="preserve"> </w:t>
            </w:r>
            <w:r w:rsidR="0052449F" w:rsidRPr="007F33F1">
              <w:rPr>
                <w:iCs/>
                <w:szCs w:val="20"/>
              </w:rPr>
              <w:t>F</w:t>
            </w:r>
            <w:r w:rsidRPr="007F33F1">
              <w:rPr>
                <w:iCs/>
                <w:szCs w:val="20"/>
              </w:rPr>
              <w:t>or Rm, the</w:t>
            </w:r>
            <w:r w:rsidR="00397061" w:rsidRPr="007F33F1">
              <w:rPr>
                <w:iCs/>
                <w:szCs w:val="20"/>
              </w:rPr>
              <w:t xml:space="preserve"> OS</w:t>
            </w:r>
            <w:r w:rsidRPr="007F33F1">
              <w:rPr>
                <w:iCs/>
                <w:szCs w:val="20"/>
              </w:rPr>
              <w:t xml:space="preserve"> data was based on </w:t>
            </w:r>
            <w:r w:rsidR="00397061" w:rsidRPr="007F33F1">
              <w:rPr>
                <w:iCs/>
                <w:szCs w:val="20"/>
              </w:rPr>
              <w:t xml:space="preserve">OS data for </w:t>
            </w:r>
            <w:r w:rsidRPr="007F33F1">
              <w:rPr>
                <w:iCs/>
                <w:szCs w:val="20"/>
              </w:rPr>
              <w:t>BR from Tedeschi 2015 for R/R patients,</w:t>
            </w:r>
            <w:r w:rsidR="00397061" w:rsidRPr="007F33F1">
              <w:rPr>
                <w:iCs/>
                <w:szCs w:val="20"/>
              </w:rPr>
              <w:t xml:space="preserve"> which</w:t>
            </w:r>
            <w:r w:rsidRPr="007F33F1">
              <w:rPr>
                <w:iCs/>
                <w:szCs w:val="20"/>
              </w:rPr>
              <w:t xml:space="preserve"> includ</w:t>
            </w:r>
            <w:r w:rsidR="00397061" w:rsidRPr="007F33F1">
              <w:rPr>
                <w:iCs/>
                <w:szCs w:val="20"/>
              </w:rPr>
              <w:t xml:space="preserve">ed </w:t>
            </w:r>
            <w:r w:rsidRPr="007F33F1">
              <w:rPr>
                <w:iCs/>
                <w:szCs w:val="20"/>
              </w:rPr>
              <w:t>patients who were refractory to rituximab.</w:t>
            </w:r>
          </w:p>
          <w:p w:rsidR="00F0207A" w:rsidRPr="007F33F1" w:rsidRDefault="00F0207A" w:rsidP="0047221E">
            <w:pPr>
              <w:pStyle w:val="TableText0"/>
              <w:keepLines/>
              <w:rPr>
                <w:iCs/>
                <w:szCs w:val="20"/>
              </w:rPr>
            </w:pPr>
            <w:r w:rsidRPr="007F33F1">
              <w:rPr>
                <w:iCs/>
                <w:szCs w:val="20"/>
              </w:rPr>
              <w:t>Differences in the relationship between PFS and OS across arms may also be a result of the differences in</w:t>
            </w:r>
            <w:r w:rsidR="00446E0C" w:rsidRPr="007F33F1">
              <w:rPr>
                <w:i/>
                <w:iCs/>
                <w:szCs w:val="20"/>
              </w:rPr>
              <w:t xml:space="preserve"> </w:t>
            </w:r>
            <w:r w:rsidR="00446E0C" w:rsidRPr="007F33F1">
              <w:rPr>
                <w:iCs/>
                <w:szCs w:val="20"/>
              </w:rPr>
              <w:t>the</w:t>
            </w:r>
            <w:r w:rsidRPr="007F33F1">
              <w:rPr>
                <w:iCs/>
                <w:szCs w:val="20"/>
              </w:rPr>
              <w:t xml:space="preserve"> studies informing estimates particularly for Rm. </w:t>
            </w:r>
          </w:p>
        </w:tc>
      </w:tr>
      <w:tr w:rsidR="004459C8" w:rsidRPr="007F33F1" w:rsidTr="0043752E">
        <w:trPr>
          <w:trHeight w:val="269"/>
        </w:trPr>
        <w:tc>
          <w:tcPr>
            <w:tcW w:w="703" w:type="pct"/>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keepLines/>
              <w:jc w:val="left"/>
              <w:rPr>
                <w:rFonts w:ascii="Arial Narrow" w:eastAsiaTheme="majorEastAsia" w:hAnsi="Arial Narrow" w:cstheme="majorBidi"/>
                <w:bCs/>
                <w:sz w:val="20"/>
                <w:szCs w:val="20"/>
              </w:rPr>
            </w:pPr>
          </w:p>
        </w:tc>
        <w:tc>
          <w:tcPr>
            <w:tcW w:w="2196" w:type="pct"/>
            <w:gridSpan w:val="2"/>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rPr>
                <w:rFonts w:cs="Arial"/>
                <w:szCs w:val="20"/>
              </w:rPr>
            </w:pPr>
            <w:r w:rsidRPr="007F33F1">
              <w:rPr>
                <w:rFonts w:cs="Arial"/>
                <w:iCs/>
                <w:szCs w:val="20"/>
              </w:rPr>
              <w:t>In both models, PFS was modelled such that it could not exceed OS and the estimated PFS and OS could not exceed general population survival.</w:t>
            </w:r>
          </w:p>
        </w:tc>
        <w:tc>
          <w:tcPr>
            <w:tcW w:w="2101" w:type="pct"/>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keepLines/>
              <w:jc w:val="left"/>
              <w:rPr>
                <w:rFonts w:ascii="Arial Narrow" w:eastAsiaTheme="majorEastAsia" w:hAnsi="Arial Narrow" w:cstheme="majorBidi"/>
                <w:bCs/>
                <w:iCs/>
                <w:sz w:val="20"/>
                <w:szCs w:val="20"/>
              </w:rPr>
            </w:pPr>
          </w:p>
        </w:tc>
      </w:tr>
      <w:tr w:rsidR="004459C8" w:rsidRPr="007F33F1" w:rsidTr="0043752E">
        <w:tc>
          <w:tcPr>
            <w:tcW w:w="70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Utility values</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numPr>
                <w:ilvl w:val="0"/>
                <w:numId w:val="8"/>
              </w:numPr>
              <w:ind w:left="112" w:hanging="142"/>
              <w:rPr>
                <w:szCs w:val="20"/>
              </w:rPr>
            </w:pPr>
            <w:r w:rsidRPr="007F33F1">
              <w:rPr>
                <w:szCs w:val="20"/>
              </w:rPr>
              <w:t xml:space="preserve">The submission estimated utilities for </w:t>
            </w:r>
            <w:r w:rsidR="003D7140" w:rsidRPr="007F33F1">
              <w:rPr>
                <w:szCs w:val="20"/>
              </w:rPr>
              <w:t xml:space="preserve">the </w:t>
            </w:r>
            <w:r w:rsidRPr="007F33F1">
              <w:rPr>
                <w:szCs w:val="20"/>
              </w:rPr>
              <w:t xml:space="preserve">PFS health state from EQ-5D-5L data </w:t>
            </w:r>
            <w:r w:rsidRPr="007F33F1">
              <w:rPr>
                <w:iCs/>
                <w:szCs w:val="20"/>
              </w:rPr>
              <w:t>collected</w:t>
            </w:r>
            <w:r w:rsidRPr="007F33F1">
              <w:rPr>
                <w:szCs w:val="20"/>
              </w:rPr>
              <w:t xml:space="preserve"> during ASPEN until study discontinuation, but was focused on pre-progression utility.</w:t>
            </w:r>
          </w:p>
          <w:p w:rsidR="00F0207A" w:rsidRPr="007F33F1" w:rsidRDefault="00F0207A" w:rsidP="0047221E">
            <w:pPr>
              <w:pStyle w:val="TableText0"/>
              <w:keepLines/>
              <w:numPr>
                <w:ilvl w:val="0"/>
                <w:numId w:val="8"/>
              </w:numPr>
              <w:ind w:left="112" w:hanging="142"/>
              <w:rPr>
                <w:szCs w:val="20"/>
              </w:rPr>
            </w:pPr>
            <w:r w:rsidRPr="007F33F1">
              <w:rPr>
                <w:szCs w:val="20"/>
              </w:rPr>
              <w:t>PD utility decrement of 0.1 based on NICE TAs of IBRU (TA502 and TA429)</w:t>
            </w:r>
          </w:p>
          <w:p w:rsidR="00F0207A" w:rsidRPr="007F33F1" w:rsidRDefault="00F0207A" w:rsidP="0047221E">
            <w:pPr>
              <w:pStyle w:val="TableText0"/>
              <w:keepLines/>
              <w:numPr>
                <w:ilvl w:val="0"/>
                <w:numId w:val="8"/>
              </w:numPr>
              <w:ind w:left="112" w:hanging="142"/>
              <w:rPr>
                <w:szCs w:val="20"/>
              </w:rPr>
            </w:pPr>
            <w:r w:rsidRPr="007F33F1">
              <w:rPr>
                <w:szCs w:val="20"/>
              </w:rPr>
              <w:t>Adverse event disutilities were modelled separately using values reported in the NICE TA491 (IBRU for WM)</w:t>
            </w:r>
          </w:p>
        </w:tc>
        <w:tc>
          <w:tcPr>
            <w:tcW w:w="2101" w:type="pct"/>
            <w:tcBorders>
              <w:top w:val="single" w:sz="4" w:space="0" w:color="auto"/>
              <w:left w:val="single" w:sz="4" w:space="0" w:color="auto"/>
              <w:bottom w:val="single" w:sz="4" w:space="0" w:color="auto"/>
              <w:right w:val="single" w:sz="4" w:space="0" w:color="auto"/>
            </w:tcBorders>
            <w:vAlign w:val="center"/>
          </w:tcPr>
          <w:p w:rsidR="00F0207A" w:rsidRPr="007F33F1" w:rsidRDefault="00F0207A" w:rsidP="0047221E">
            <w:pPr>
              <w:pStyle w:val="TableText0"/>
              <w:keepLines/>
              <w:rPr>
                <w:iCs/>
                <w:szCs w:val="20"/>
              </w:rPr>
            </w:pPr>
            <w:r w:rsidRPr="007F33F1">
              <w:rPr>
                <w:iCs/>
                <w:szCs w:val="20"/>
              </w:rPr>
              <w:t xml:space="preserve">Utilities did not account for treatment or level of response </w:t>
            </w:r>
            <w:r w:rsidR="003D7140" w:rsidRPr="007F33F1">
              <w:rPr>
                <w:iCs/>
                <w:szCs w:val="20"/>
              </w:rPr>
              <w:t xml:space="preserve">in </w:t>
            </w:r>
            <w:r w:rsidRPr="007F33F1">
              <w:rPr>
                <w:iCs/>
                <w:szCs w:val="20"/>
              </w:rPr>
              <w:t xml:space="preserve">patients. The model slightly favoured the comparator arms. </w:t>
            </w:r>
          </w:p>
          <w:p w:rsidR="00812C4D" w:rsidRPr="007F33F1" w:rsidRDefault="00F0207A" w:rsidP="0047221E">
            <w:pPr>
              <w:pStyle w:val="TableText0"/>
              <w:keepLines/>
              <w:rPr>
                <w:iCs/>
                <w:szCs w:val="20"/>
              </w:rPr>
            </w:pPr>
            <w:r w:rsidRPr="007F33F1">
              <w:rPr>
                <w:iCs/>
                <w:szCs w:val="20"/>
              </w:rPr>
              <w:t>Utilities were based on the UK value set.</w:t>
            </w:r>
          </w:p>
          <w:p w:rsidR="00812C4D" w:rsidRPr="007F33F1" w:rsidRDefault="00F0207A" w:rsidP="0047221E">
            <w:pPr>
              <w:pStyle w:val="TableText0"/>
              <w:keepLines/>
              <w:rPr>
                <w:iCs/>
                <w:szCs w:val="20"/>
              </w:rPr>
            </w:pPr>
            <w:r w:rsidRPr="007F33F1">
              <w:rPr>
                <w:iCs/>
                <w:szCs w:val="20"/>
              </w:rPr>
              <w:t>PD disutility was not based on WM or ZANU data and therefore may not be representative of PD for WM.</w:t>
            </w:r>
          </w:p>
          <w:p w:rsidR="00F0207A" w:rsidRPr="007F33F1" w:rsidRDefault="00F0207A" w:rsidP="0047221E">
            <w:pPr>
              <w:pStyle w:val="TableText0"/>
              <w:keepLines/>
              <w:rPr>
                <w:szCs w:val="20"/>
              </w:rPr>
            </w:pPr>
            <w:r w:rsidRPr="007F33F1">
              <w:rPr>
                <w:iCs/>
                <w:szCs w:val="20"/>
              </w:rPr>
              <w:t>AEs were captured as one-off events in the model. As ZANU is an initial and maintenance drug, not all AEs were captured in ASPEN.</w:t>
            </w:r>
          </w:p>
        </w:tc>
      </w:tr>
      <w:tr w:rsidR="004459C8" w:rsidRPr="007F33F1" w:rsidTr="0043752E">
        <w:tc>
          <w:tcPr>
            <w:tcW w:w="70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Software package</w:t>
            </w:r>
          </w:p>
        </w:tc>
        <w:tc>
          <w:tcPr>
            <w:tcW w:w="2196" w:type="pct"/>
            <w:gridSpan w:val="2"/>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Excel 2010</w:t>
            </w:r>
          </w:p>
        </w:tc>
        <w:tc>
          <w:tcPr>
            <w:tcW w:w="2101"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Appropriate</w:t>
            </w:r>
          </w:p>
        </w:tc>
      </w:tr>
    </w:tbl>
    <w:p w:rsidR="00F0207A" w:rsidRPr="007F33F1" w:rsidRDefault="00F0207A" w:rsidP="0047221E">
      <w:pPr>
        <w:pStyle w:val="TableFigureFooter"/>
        <w:keepNext/>
        <w:keepLines/>
        <w:rPr>
          <w:iCs/>
        </w:rPr>
      </w:pPr>
      <w:r w:rsidRPr="007F33F1">
        <w:rPr>
          <w:iCs/>
        </w:rPr>
        <w:t>Source: Compiled during the evaluation based on data presented on pp148, 151-152 and Tables 3.7 and 3.12 in the submission.</w:t>
      </w:r>
    </w:p>
    <w:p w:rsidR="00853B69" w:rsidRPr="007F33F1" w:rsidRDefault="00F0207A" w:rsidP="0047221E">
      <w:pPr>
        <w:pStyle w:val="TableFigureFooter"/>
        <w:keepNext/>
        <w:keepLines/>
      </w:pPr>
      <w:r w:rsidRPr="007F33F1">
        <w:t>AE=adverse event, BR=bendamustine plus rituximab, EQ-5D-5L=EuroQoL 5-dimension 5-level quality of life questionnaire, IBRU=ibrutinib, KM=Kaplan-Meier, OS=overall survival, PD=progressive disease, PFS=progression free surv</w:t>
      </w:r>
      <w:r w:rsidR="00007BCE" w:rsidRPr="007F33F1">
        <w:t>ival, Rm=rituximab monotherapy</w:t>
      </w:r>
      <w:r w:rsidR="00BE77FA" w:rsidRPr="007F33F1">
        <w:t>, ZANU=zanubrutinib</w:t>
      </w:r>
      <w:r w:rsidR="00007BCE" w:rsidRPr="007F33F1">
        <w:t>.</w:t>
      </w:r>
    </w:p>
    <w:p w:rsidR="00F0207A" w:rsidRPr="007F33F1" w:rsidRDefault="00F0207A" w:rsidP="0047221E">
      <w:pPr>
        <w:pStyle w:val="3-BodyText"/>
        <w:snapToGrid w:val="0"/>
      </w:pPr>
      <w:r w:rsidRPr="007F33F1">
        <w:t xml:space="preserve">Instead of applying KM data followed by extrapolated data, the model was entirely based on </w:t>
      </w:r>
      <w:r w:rsidR="00F66821" w:rsidRPr="007F33F1">
        <w:t xml:space="preserve">modelled </w:t>
      </w:r>
      <w:r w:rsidRPr="007F33F1">
        <w:t>data for both PFS and OS. PFS and OS KM data from ASPEN, iNNOVATE and Tedeschi 2015 were used to select the best fitting parametric functions. To assist with model validation, KM data from the included study arms were sought from the sponsor during the evaluation and replotted in</w:t>
      </w:r>
      <w:r w:rsidR="00771726" w:rsidRPr="007F33F1">
        <w:t xml:space="preserve"> </w:t>
      </w:r>
      <w:r w:rsidR="00015997" w:rsidRPr="007F33F1">
        <w:t xml:space="preserve">Figure </w:t>
      </w:r>
      <w:r w:rsidR="00015997">
        <w:t>7</w:t>
      </w:r>
      <w:r w:rsidRPr="007F33F1">
        <w:t xml:space="preserve"> below. The reproduced KM curves for </w:t>
      </w:r>
      <w:r w:rsidR="00BE77FA" w:rsidRPr="007F33F1">
        <w:t>zanubrutinib</w:t>
      </w:r>
      <w:r w:rsidRPr="007F33F1">
        <w:t xml:space="preserve"> (both matched and unmatched) were not identical to those presented in the submission. The reason for this discrepancy was unclear as other plots matched those in the submission. A correction was also made by the sponsor during evaluation to change the Rm PFS to be based on ITT data from iNNOVATE, rather than data from the TN subgroup. A summary of the KM data and the extrapolation in the model is presented in </w:t>
      </w:r>
      <w:r w:rsidR="00015997" w:rsidRPr="007F33F1">
        <w:t xml:space="preserve">Table </w:t>
      </w:r>
      <w:r w:rsidR="00015997">
        <w:t>16</w:t>
      </w:r>
      <w:r w:rsidRPr="007F33F1">
        <w:t xml:space="preserve"> below.</w:t>
      </w:r>
      <w:r w:rsidR="00440389" w:rsidRPr="007F33F1">
        <w:t xml:space="preserve"> The ESC considered that the </w:t>
      </w:r>
      <w:r w:rsidR="00E3317B" w:rsidRPr="007F33F1">
        <w:t>disparity</w:t>
      </w:r>
      <w:r w:rsidR="00440389" w:rsidRPr="007F33F1">
        <w:t xml:space="preserve"> between the outcomes which form</w:t>
      </w:r>
      <w:r w:rsidR="00F10180" w:rsidRPr="007F33F1">
        <w:t>ed</w:t>
      </w:r>
      <w:r w:rsidR="00440389" w:rsidRPr="007F33F1">
        <w:t xml:space="preserve"> the basis of the submission’s superiority claim and those modelled in the economic evaluation added to the overall uncertainty associated with the results of the economic evaluation.</w:t>
      </w:r>
    </w:p>
    <w:p w:rsidR="00F0207A" w:rsidRPr="007F33F1" w:rsidRDefault="00F0207A" w:rsidP="0047221E">
      <w:pPr>
        <w:pStyle w:val="TableFigureHeading"/>
        <w:rPr>
          <w:rStyle w:val="CommentReference"/>
          <w:i/>
        </w:rPr>
      </w:pPr>
      <w:bookmarkStart w:id="84" w:name="_Ref72310836"/>
      <w:r w:rsidRPr="007F33F1">
        <w:t xml:space="preserve">Figure </w:t>
      </w:r>
      <w:r w:rsidR="00015997">
        <w:rPr>
          <w:noProof/>
        </w:rPr>
        <w:t>7</w:t>
      </w:r>
      <w:bookmarkEnd w:id="84"/>
      <w:r w:rsidRPr="007F33F1">
        <w:t>:</w:t>
      </w:r>
      <w:r w:rsidRPr="007F33F1">
        <w:rPr>
          <w:rStyle w:val="CommentReference"/>
          <w:i/>
        </w:rPr>
        <w:t xml:space="preserve"> </w:t>
      </w:r>
      <w:r w:rsidRPr="007F33F1">
        <w:t xml:space="preserve">Kaplan-Meier data </w:t>
      </w:r>
      <w:r w:rsidR="0070524E" w:rsidRPr="007F33F1">
        <w:t xml:space="preserve">associated with trials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7: Kaplan-Meier data associated with trials "/>
      </w:tblPr>
      <w:tblGrid>
        <w:gridCol w:w="4451"/>
        <w:gridCol w:w="4599"/>
      </w:tblGrid>
      <w:tr w:rsidR="00F0207A" w:rsidRPr="007F33F1" w:rsidTr="002F7BC5">
        <w:trPr>
          <w:trHeight w:val="215"/>
          <w:tblHeader/>
        </w:trPr>
        <w:tc>
          <w:tcPr>
            <w:tcW w:w="4495" w:type="dxa"/>
            <w:hideMark/>
          </w:tcPr>
          <w:p w:rsidR="00F0207A" w:rsidRPr="007F33F1" w:rsidRDefault="00F0207A" w:rsidP="0047221E">
            <w:pPr>
              <w:keepNext/>
              <w:keepLines/>
              <w:jc w:val="center"/>
              <w:rPr>
                <w:rFonts w:cs="Calibri"/>
                <w:bCs/>
                <w:szCs w:val="20"/>
              </w:rPr>
            </w:pPr>
            <w:r w:rsidRPr="007F33F1">
              <w:rPr>
                <w:rFonts w:ascii="Arial Narrow" w:hAnsi="Arial Narrow" w:cs="Calibri"/>
                <w:b/>
                <w:bCs/>
                <w:sz w:val="20"/>
                <w:szCs w:val="20"/>
              </w:rPr>
              <w:t>PFS KM</w:t>
            </w:r>
          </w:p>
        </w:tc>
        <w:tc>
          <w:tcPr>
            <w:tcW w:w="2234" w:type="dxa"/>
            <w:hideMark/>
          </w:tcPr>
          <w:p w:rsidR="00F0207A" w:rsidRPr="007F33F1" w:rsidRDefault="00F0207A" w:rsidP="0047221E">
            <w:pPr>
              <w:keepNext/>
              <w:keepLines/>
              <w:jc w:val="center"/>
              <w:rPr>
                <w:rFonts w:ascii="Arial Narrow" w:hAnsi="Arial Narrow" w:cs="Calibri"/>
                <w:b/>
                <w:bCs/>
                <w:sz w:val="20"/>
                <w:szCs w:val="20"/>
              </w:rPr>
            </w:pPr>
            <w:r w:rsidRPr="007F33F1">
              <w:rPr>
                <w:rFonts w:ascii="Arial Narrow" w:hAnsi="Arial Narrow" w:cs="Calibri"/>
                <w:b/>
                <w:bCs/>
                <w:sz w:val="20"/>
                <w:szCs w:val="20"/>
              </w:rPr>
              <w:t>OS KM</w:t>
            </w:r>
          </w:p>
        </w:tc>
      </w:tr>
      <w:tr w:rsidR="00F0207A" w:rsidRPr="007F33F1" w:rsidTr="00F0207A">
        <w:trPr>
          <w:trHeight w:val="1490"/>
        </w:trPr>
        <w:tc>
          <w:tcPr>
            <w:tcW w:w="4495" w:type="dxa"/>
            <w:hideMark/>
          </w:tcPr>
          <w:p w:rsidR="00F0207A" w:rsidRPr="007F33F1" w:rsidRDefault="00F0207A" w:rsidP="0047221E">
            <w:pPr>
              <w:keepNext/>
              <w:keepLines/>
              <w:rPr>
                <w:i/>
              </w:rPr>
            </w:pPr>
            <w:r w:rsidRPr="007F33F1">
              <w:rPr>
                <w:i/>
                <w:noProof/>
              </w:rPr>
              <w:drawing>
                <wp:inline distT="0" distB="0" distL="0" distR="0" wp14:anchorId="2413F265" wp14:editId="1D9B25E1">
                  <wp:extent cx="2663825" cy="2465070"/>
                  <wp:effectExtent l="0" t="0" r="3175" b="0"/>
                  <wp:docPr id="101" name="Picture 101" title="Figure 7: Kaplan-Meier data associated with tri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1">
                            <a:extLst>
                              <a:ext uri="{28A0092B-C50C-407E-A947-70E740481C1C}">
                                <a14:useLocalDpi xmlns:a14="http://schemas.microsoft.com/office/drawing/2010/main" val="0"/>
                              </a:ext>
                            </a:extLst>
                          </a:blip>
                          <a:srcRect r="29462"/>
                          <a:stretch>
                            <a:fillRect/>
                          </a:stretch>
                        </pic:blipFill>
                        <pic:spPr bwMode="auto">
                          <a:xfrm>
                            <a:off x="0" y="0"/>
                            <a:ext cx="2663825" cy="2465070"/>
                          </a:xfrm>
                          <a:prstGeom prst="rect">
                            <a:avLst/>
                          </a:prstGeom>
                          <a:noFill/>
                          <a:ln>
                            <a:noFill/>
                          </a:ln>
                        </pic:spPr>
                      </pic:pic>
                    </a:graphicData>
                  </a:graphic>
                </wp:inline>
              </w:drawing>
            </w:r>
          </w:p>
        </w:tc>
        <w:tc>
          <w:tcPr>
            <w:tcW w:w="2234" w:type="dxa"/>
            <w:hideMark/>
          </w:tcPr>
          <w:p w:rsidR="00F0207A" w:rsidRPr="007F33F1" w:rsidRDefault="00F0207A" w:rsidP="0047221E">
            <w:pPr>
              <w:keepNext/>
              <w:keepLines/>
              <w:rPr>
                <w:i/>
              </w:rPr>
            </w:pPr>
            <w:r w:rsidRPr="007F33F1">
              <w:rPr>
                <w:i/>
                <w:noProof/>
              </w:rPr>
              <w:drawing>
                <wp:inline distT="0" distB="0" distL="0" distR="0" wp14:anchorId="2C46D66C" wp14:editId="06CB7931">
                  <wp:extent cx="2783205" cy="2472690"/>
                  <wp:effectExtent l="0" t="0" r="0" b="3810"/>
                  <wp:docPr id="100" name="Picture 100" title="Figure 7: Kaplan-Meier data associated with tri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a:extLst>
                              <a:ext uri="{28A0092B-C50C-407E-A947-70E740481C1C}">
                                <a14:useLocalDpi xmlns:a14="http://schemas.microsoft.com/office/drawing/2010/main" val="0"/>
                              </a:ext>
                            </a:extLst>
                          </a:blip>
                          <a:srcRect r="26814"/>
                          <a:stretch>
                            <a:fillRect/>
                          </a:stretch>
                        </pic:blipFill>
                        <pic:spPr bwMode="auto">
                          <a:xfrm>
                            <a:off x="0" y="0"/>
                            <a:ext cx="2783205" cy="2472690"/>
                          </a:xfrm>
                          <a:prstGeom prst="rect">
                            <a:avLst/>
                          </a:prstGeom>
                          <a:noFill/>
                          <a:ln>
                            <a:noFill/>
                          </a:ln>
                        </pic:spPr>
                      </pic:pic>
                    </a:graphicData>
                  </a:graphic>
                </wp:inline>
              </w:drawing>
            </w:r>
          </w:p>
        </w:tc>
      </w:tr>
    </w:tbl>
    <w:p w:rsidR="00F0207A" w:rsidRPr="007F33F1" w:rsidRDefault="00F0207A" w:rsidP="0047221E">
      <w:pPr>
        <w:pStyle w:val="TableFooter"/>
        <w:rPr>
          <w:szCs w:val="18"/>
        </w:rPr>
      </w:pPr>
      <w:r w:rsidRPr="007F33F1">
        <w:rPr>
          <w:szCs w:val="18"/>
        </w:rPr>
        <w:t xml:space="preserve">Source: compiled during the evaluation using: ‘Digitized KM and re-created IPD_Tedeschi 2015_forBeiGene_2021Apr6_CEPL_Rm_Dimopolous 2018_2021Apr8.xlsx’, ‘INV PFS_wt_BR.xlsx’ and ‘OS_wt_BR.xlsx’ obtained from the sponsor during the evaluation. </w:t>
      </w:r>
    </w:p>
    <w:p w:rsidR="00F0207A" w:rsidRPr="007F33F1" w:rsidRDefault="00F0207A" w:rsidP="0047221E">
      <w:pPr>
        <w:pStyle w:val="TableFooter"/>
        <w:rPr>
          <w:szCs w:val="18"/>
        </w:rPr>
      </w:pPr>
      <w:r w:rsidRPr="007F33F1">
        <w:rPr>
          <w:szCs w:val="18"/>
        </w:rPr>
        <w:t>BR=bendamustine+rituximab, KM=Kaplan-Meier, OS=overall survival, PFS=progression free survival, Rm=rituximab monotherapy, R/R=relapsed/refractory, TN=treatment naïve, ZANU=zanubrutinib</w:t>
      </w:r>
      <w:r w:rsidR="008B4A7C" w:rsidRPr="007F33F1">
        <w:rPr>
          <w:szCs w:val="18"/>
        </w:rPr>
        <w:t>.</w:t>
      </w:r>
    </w:p>
    <w:p w:rsidR="001C00B0" w:rsidRPr="007F33F1" w:rsidRDefault="001C00B0" w:rsidP="0047221E">
      <w:pPr>
        <w:pStyle w:val="TableFooter"/>
        <w:rPr>
          <w:szCs w:val="18"/>
        </w:rPr>
      </w:pPr>
    </w:p>
    <w:p w:rsidR="00F0207A" w:rsidRPr="007F33F1" w:rsidRDefault="00F0207A" w:rsidP="0047221E">
      <w:pPr>
        <w:pStyle w:val="TableFooter"/>
        <w:rPr>
          <w:i/>
          <w:sz w:val="16"/>
        </w:rPr>
      </w:pPr>
    </w:p>
    <w:p w:rsidR="00F0207A" w:rsidRPr="007F33F1" w:rsidRDefault="00F0207A" w:rsidP="0047221E">
      <w:pPr>
        <w:pStyle w:val="TableFigureHeading"/>
      </w:pPr>
      <w:bookmarkStart w:id="85" w:name="_Ref72310863"/>
      <w:r w:rsidRPr="007F33F1">
        <w:t xml:space="preserve">Table </w:t>
      </w:r>
      <w:r w:rsidR="00015997">
        <w:rPr>
          <w:noProof/>
        </w:rPr>
        <w:t>16</w:t>
      </w:r>
      <w:bookmarkEnd w:id="85"/>
      <w:r w:rsidRPr="007F33F1">
        <w:t>: Summary of extrapolations used in the economic model by treatment arm and survival curve</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16: Summary of extrapolations used in the economic model by treatment arm and survival curve"/>
      </w:tblPr>
      <w:tblGrid>
        <w:gridCol w:w="531"/>
        <w:gridCol w:w="1868"/>
        <w:gridCol w:w="1078"/>
        <w:gridCol w:w="3021"/>
        <w:gridCol w:w="2542"/>
      </w:tblGrid>
      <w:tr w:rsidR="00F0207A" w:rsidRPr="007F33F1" w:rsidTr="002F7BC5">
        <w:trPr>
          <w:tblHeader/>
        </w:trPr>
        <w:tc>
          <w:tcPr>
            <w:tcW w:w="294"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keepNext/>
              <w:jc w:val="left"/>
              <w:rPr>
                <w:rFonts w:ascii="Arial Narrow" w:hAnsi="Arial Narrow"/>
                <w:b/>
                <w:sz w:val="20"/>
                <w:szCs w:val="20"/>
              </w:rPr>
            </w:pPr>
            <w:r w:rsidRPr="007F33F1">
              <w:rPr>
                <w:rFonts w:ascii="Arial Narrow" w:hAnsi="Arial Narrow"/>
                <w:b/>
                <w:sz w:val="20"/>
                <w:szCs w:val="20"/>
              </w:rPr>
              <w:t>Model</w:t>
            </w:r>
          </w:p>
        </w:tc>
        <w:tc>
          <w:tcPr>
            <w:tcW w:w="1033"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keepNext/>
              <w:jc w:val="left"/>
              <w:rPr>
                <w:rFonts w:ascii="Arial Narrow" w:hAnsi="Arial Narrow"/>
                <w:b/>
                <w:sz w:val="20"/>
                <w:szCs w:val="20"/>
              </w:rPr>
            </w:pPr>
            <w:r w:rsidRPr="007F33F1">
              <w:rPr>
                <w:rFonts w:ascii="Arial Narrow" w:hAnsi="Arial Narrow"/>
                <w:b/>
                <w:sz w:val="20"/>
                <w:szCs w:val="20"/>
              </w:rPr>
              <w:t>Arm (source)</w:t>
            </w:r>
          </w:p>
        </w:tc>
        <w:tc>
          <w:tcPr>
            <w:tcW w:w="596"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center"/>
              <w:rPr>
                <w:rFonts w:ascii="Arial Narrow" w:hAnsi="Arial Narrow"/>
                <w:b/>
                <w:sz w:val="20"/>
                <w:szCs w:val="20"/>
              </w:rPr>
            </w:pPr>
            <w:r w:rsidRPr="007F33F1">
              <w:rPr>
                <w:rFonts w:ascii="Arial Narrow" w:hAnsi="Arial Narrow"/>
                <w:b/>
                <w:sz w:val="20"/>
                <w:szCs w:val="20"/>
              </w:rPr>
              <w:t>PFS</w:t>
            </w:r>
          </w:p>
        </w:tc>
        <w:tc>
          <w:tcPr>
            <w:tcW w:w="1671"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center"/>
              <w:rPr>
                <w:rFonts w:ascii="Arial Narrow" w:hAnsi="Arial Narrow"/>
                <w:b/>
                <w:sz w:val="20"/>
                <w:szCs w:val="20"/>
              </w:rPr>
            </w:pPr>
            <w:r w:rsidRPr="007F33F1">
              <w:rPr>
                <w:rFonts w:ascii="Arial Narrow" w:hAnsi="Arial Narrow"/>
                <w:b/>
                <w:sz w:val="20"/>
                <w:szCs w:val="20"/>
              </w:rPr>
              <w:t>OS</w:t>
            </w:r>
          </w:p>
        </w:tc>
        <w:tc>
          <w:tcPr>
            <w:tcW w:w="1406"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b/>
                <w:sz w:val="20"/>
                <w:szCs w:val="20"/>
              </w:rPr>
            </w:pPr>
            <w:r w:rsidRPr="007F33F1">
              <w:rPr>
                <w:rFonts w:ascii="Arial Narrow" w:hAnsi="Arial Narrow"/>
                <w:b/>
                <w:sz w:val="20"/>
                <w:szCs w:val="20"/>
              </w:rPr>
              <w:t>Time on treatment</w:t>
            </w:r>
          </w:p>
        </w:tc>
      </w:tr>
      <w:tr w:rsidR="00F0207A" w:rsidRPr="007F33F1" w:rsidTr="0047221E">
        <w:trPr>
          <w:trHeight w:val="237"/>
        </w:trPr>
        <w:tc>
          <w:tcPr>
            <w:tcW w:w="294" w:type="pct"/>
            <w:vMerge w:val="restart"/>
            <w:tcBorders>
              <w:top w:val="single" w:sz="4" w:space="0" w:color="auto"/>
              <w:left w:val="single" w:sz="4" w:space="0" w:color="auto"/>
              <w:bottom w:val="double" w:sz="4" w:space="0" w:color="auto"/>
              <w:right w:val="single" w:sz="4" w:space="0" w:color="auto"/>
            </w:tcBorders>
            <w:vAlign w:val="center"/>
            <w:hideMark/>
          </w:tcPr>
          <w:p w:rsidR="00F0207A" w:rsidRPr="007F33F1" w:rsidRDefault="00F0207A" w:rsidP="0047221E">
            <w:pPr>
              <w:keepNext/>
              <w:jc w:val="left"/>
              <w:rPr>
                <w:rFonts w:ascii="Arial Narrow" w:hAnsi="Arial Narrow"/>
                <w:b/>
                <w:sz w:val="20"/>
                <w:szCs w:val="20"/>
              </w:rPr>
            </w:pPr>
            <w:r w:rsidRPr="007F33F1">
              <w:rPr>
                <w:rFonts w:ascii="Arial Narrow" w:hAnsi="Arial Narrow"/>
                <w:b/>
                <w:sz w:val="20"/>
                <w:szCs w:val="20"/>
              </w:rPr>
              <w:t>TN</w:t>
            </w:r>
          </w:p>
        </w:tc>
        <w:tc>
          <w:tcPr>
            <w:tcW w:w="1033"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ZANU</w:t>
            </w:r>
          </w:p>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(ITT ASPEN)</w:t>
            </w:r>
          </w:p>
        </w:tc>
        <w:tc>
          <w:tcPr>
            <w:tcW w:w="596" w:type="pct"/>
            <w:vMerge w:val="restart"/>
            <w:tcBorders>
              <w:top w:val="single" w:sz="4" w:space="0" w:color="auto"/>
              <w:left w:val="single" w:sz="4" w:space="0" w:color="auto"/>
              <w:bottom w:val="doub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u w:val="single"/>
              </w:rPr>
              <w:t xml:space="preserve">Independent </w:t>
            </w:r>
            <w:r w:rsidRPr="007F33F1">
              <w:rPr>
                <w:rFonts w:ascii="Arial Narrow" w:hAnsi="Arial Narrow"/>
                <w:sz w:val="20"/>
                <w:szCs w:val="20"/>
              </w:rPr>
              <w:t>exponential extrapolation, restricted to be below OS</w:t>
            </w:r>
          </w:p>
        </w:tc>
        <w:tc>
          <w:tcPr>
            <w:tcW w:w="1671"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u w:val="single"/>
              </w:rPr>
              <w:t>Independent</w:t>
            </w:r>
            <w:r w:rsidRPr="007F33F1">
              <w:rPr>
                <w:rFonts w:ascii="Arial Narrow" w:hAnsi="Arial Narrow"/>
                <w:sz w:val="20"/>
                <w:szCs w:val="20"/>
              </w:rPr>
              <w:t xml:space="preserve"> exponential extrapolation, restricted to general population mortality</w:t>
            </w:r>
          </w:p>
        </w:tc>
        <w:tc>
          <w:tcPr>
            <w:tcW w:w="1406"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ASPEN TTD extrapolation restricted to be below OS</w:t>
            </w:r>
          </w:p>
        </w:tc>
      </w:tr>
      <w:tr w:rsidR="00F0207A" w:rsidRPr="007F33F1" w:rsidTr="0047221E">
        <w:trPr>
          <w:trHeight w:val="414"/>
        </w:trPr>
        <w:tc>
          <w:tcPr>
            <w:tcW w:w="0" w:type="auto"/>
            <w:vMerge/>
            <w:tcBorders>
              <w:top w:val="single" w:sz="4" w:space="0" w:color="auto"/>
              <w:left w:val="single" w:sz="4" w:space="0" w:color="auto"/>
              <w:bottom w:val="double" w:sz="4" w:space="0" w:color="auto"/>
              <w:right w:val="single" w:sz="4" w:space="0" w:color="auto"/>
            </w:tcBorders>
            <w:vAlign w:val="center"/>
            <w:hideMark/>
          </w:tcPr>
          <w:p w:rsidR="00F0207A" w:rsidRPr="007F33F1" w:rsidRDefault="00F0207A" w:rsidP="0047221E">
            <w:pPr>
              <w:keepNext/>
              <w:jc w:val="left"/>
              <w:rPr>
                <w:rFonts w:ascii="Arial Narrow" w:hAnsi="Arial Narrow"/>
                <w:b/>
                <w:sz w:val="20"/>
                <w:szCs w:val="20"/>
              </w:rPr>
            </w:pPr>
          </w:p>
        </w:tc>
        <w:tc>
          <w:tcPr>
            <w:tcW w:w="1033" w:type="pct"/>
            <w:tcBorders>
              <w:top w:val="single" w:sz="4" w:space="0" w:color="auto"/>
              <w:left w:val="single" w:sz="4" w:space="0" w:color="auto"/>
              <w:bottom w:val="doub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 xml:space="preserve">Rm </w:t>
            </w:r>
          </w:p>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(ITT iNNOVATE for PFS</w:t>
            </w:r>
          </w:p>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Same as BR for OS)</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p>
        </w:tc>
        <w:tc>
          <w:tcPr>
            <w:tcW w:w="1671" w:type="pct"/>
            <w:tcBorders>
              <w:top w:val="single" w:sz="4" w:space="0" w:color="auto"/>
              <w:left w:val="single" w:sz="4" w:space="0" w:color="auto"/>
              <w:bottom w:val="double" w:sz="4" w:space="0" w:color="auto"/>
              <w:right w:val="single" w:sz="4" w:space="0" w:color="auto"/>
            </w:tcBorders>
            <w:vAlign w:val="center"/>
            <w:hideMark/>
          </w:tcPr>
          <w:p w:rsidR="00F0207A" w:rsidRPr="007F33F1" w:rsidRDefault="008B4A7C" w:rsidP="0047221E">
            <w:pPr>
              <w:keepNext/>
              <w:jc w:val="left"/>
              <w:rPr>
                <w:rFonts w:ascii="Arial Narrow" w:hAnsi="Arial Narrow"/>
                <w:sz w:val="20"/>
                <w:szCs w:val="20"/>
              </w:rPr>
            </w:pPr>
            <w:r w:rsidRPr="007F33F1">
              <w:rPr>
                <w:rFonts w:ascii="Arial Narrow" w:hAnsi="Arial Narrow"/>
                <w:sz w:val="20"/>
                <w:szCs w:val="20"/>
              </w:rPr>
              <w:t>Same as BR OS</w:t>
            </w:r>
          </w:p>
        </w:tc>
        <w:tc>
          <w:tcPr>
            <w:tcW w:w="1406" w:type="pct"/>
            <w:tcBorders>
              <w:top w:val="single" w:sz="4" w:space="0" w:color="auto"/>
              <w:left w:val="single" w:sz="4" w:space="0" w:color="auto"/>
              <w:bottom w:val="double" w:sz="4" w:space="0" w:color="auto"/>
              <w:right w:val="single" w:sz="4" w:space="0" w:color="auto"/>
            </w:tcBorders>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Fixed time on treatment assumed based on the planned dose in iNNOVATE</w:t>
            </w:r>
          </w:p>
        </w:tc>
      </w:tr>
      <w:tr w:rsidR="00F0207A" w:rsidRPr="007F33F1" w:rsidTr="0047221E">
        <w:trPr>
          <w:trHeight w:val="368"/>
        </w:trPr>
        <w:tc>
          <w:tcPr>
            <w:tcW w:w="294" w:type="pct"/>
            <w:vMerge w:val="restart"/>
            <w:tcBorders>
              <w:top w:val="doub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b/>
                <w:sz w:val="20"/>
                <w:szCs w:val="20"/>
              </w:rPr>
            </w:pPr>
            <w:r w:rsidRPr="007F33F1">
              <w:rPr>
                <w:rFonts w:ascii="Arial Narrow" w:hAnsi="Arial Narrow"/>
                <w:b/>
                <w:sz w:val="20"/>
                <w:szCs w:val="20"/>
              </w:rPr>
              <w:t>R/R</w:t>
            </w:r>
          </w:p>
        </w:tc>
        <w:tc>
          <w:tcPr>
            <w:tcW w:w="1033" w:type="pct"/>
            <w:tcBorders>
              <w:top w:val="doub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 xml:space="preserve">ZANU </w:t>
            </w:r>
          </w:p>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(ITT ASPEN matched to Tedeschi 2015)</w:t>
            </w:r>
          </w:p>
        </w:tc>
        <w:tc>
          <w:tcPr>
            <w:tcW w:w="596" w:type="pct"/>
            <w:vMerge w:val="restart"/>
            <w:tcBorders>
              <w:top w:val="doub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u w:val="single"/>
              </w:rPr>
              <w:t xml:space="preserve">Dependent </w:t>
            </w:r>
            <w:r w:rsidRPr="007F33F1">
              <w:rPr>
                <w:rFonts w:ascii="Arial Narrow" w:hAnsi="Arial Narrow"/>
                <w:sz w:val="20"/>
                <w:szCs w:val="20"/>
              </w:rPr>
              <w:t>exponential extrapolation, restricted to be below OS</w:t>
            </w:r>
          </w:p>
        </w:tc>
        <w:tc>
          <w:tcPr>
            <w:tcW w:w="1671" w:type="pct"/>
            <w:tcBorders>
              <w:top w:val="doub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u w:val="single"/>
              </w:rPr>
              <w:t>Independent</w:t>
            </w:r>
            <w:r w:rsidRPr="007F33F1">
              <w:rPr>
                <w:rFonts w:ascii="Arial Narrow" w:hAnsi="Arial Narrow"/>
                <w:sz w:val="20"/>
                <w:szCs w:val="20"/>
              </w:rPr>
              <w:t xml:space="preserve"> exponential extrapolation, restricted to general population mortality</w:t>
            </w:r>
          </w:p>
        </w:tc>
        <w:tc>
          <w:tcPr>
            <w:tcW w:w="1406" w:type="pct"/>
            <w:tcBorders>
              <w:top w:val="double" w:sz="4" w:space="0" w:color="auto"/>
              <w:left w:val="single" w:sz="4" w:space="0" w:color="auto"/>
              <w:bottom w:val="single" w:sz="4" w:space="0" w:color="auto"/>
              <w:right w:val="single" w:sz="4" w:space="0" w:color="auto"/>
            </w:tcBorders>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ASPEN TTD extrapolation restricted to be below OS</w:t>
            </w:r>
          </w:p>
        </w:tc>
      </w:tr>
      <w:tr w:rsidR="00F0207A" w:rsidRPr="007F33F1" w:rsidTr="0047221E">
        <w:trPr>
          <w:trHeight w:val="465"/>
        </w:trPr>
        <w:tc>
          <w:tcPr>
            <w:tcW w:w="0" w:type="auto"/>
            <w:vMerge/>
            <w:tcBorders>
              <w:top w:val="double" w:sz="4" w:space="0" w:color="auto"/>
              <w:left w:val="single" w:sz="4" w:space="0" w:color="auto"/>
              <w:bottom w:val="single" w:sz="4" w:space="0" w:color="auto"/>
              <w:right w:val="single" w:sz="4" w:space="0" w:color="auto"/>
            </w:tcBorders>
            <w:vAlign w:val="center"/>
            <w:hideMark/>
          </w:tcPr>
          <w:p w:rsidR="00F0207A" w:rsidRPr="007F33F1" w:rsidRDefault="00F0207A" w:rsidP="0047221E">
            <w:pPr>
              <w:keepNext/>
              <w:jc w:val="left"/>
              <w:rPr>
                <w:rFonts w:ascii="Arial Narrow" w:hAnsi="Arial Narrow"/>
                <w:b/>
                <w:sz w:val="20"/>
                <w:szCs w:val="20"/>
              </w:rPr>
            </w:pP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BR</w:t>
            </w:r>
          </w:p>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(Tedeschi 2015)</w:t>
            </w:r>
          </w:p>
        </w:tc>
        <w:tc>
          <w:tcPr>
            <w:tcW w:w="0" w:type="auto"/>
            <w:vMerge/>
            <w:tcBorders>
              <w:top w:val="double" w:sz="4" w:space="0" w:color="auto"/>
              <w:left w:val="single" w:sz="4" w:space="0" w:color="auto"/>
              <w:bottom w:val="single" w:sz="4" w:space="0" w:color="auto"/>
              <w:right w:val="single" w:sz="4" w:space="0" w:color="auto"/>
            </w:tcBorders>
            <w:shd w:val="clear" w:color="auto" w:fill="auto"/>
            <w:vAlign w:val="center"/>
            <w:hideMark/>
          </w:tcPr>
          <w:p w:rsidR="00F0207A" w:rsidRPr="007F33F1" w:rsidRDefault="00F0207A" w:rsidP="0047221E">
            <w:pPr>
              <w:keepNext/>
              <w:jc w:val="left"/>
              <w:rPr>
                <w:rFonts w:ascii="Arial Narrow" w:hAnsi="Arial Narrow"/>
                <w:sz w:val="20"/>
                <w:szCs w:val="20"/>
              </w:rPr>
            </w:pPr>
          </w:p>
        </w:tc>
        <w:tc>
          <w:tcPr>
            <w:tcW w:w="16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u w:val="single"/>
              </w:rPr>
              <w:t>Independent</w:t>
            </w:r>
            <w:r w:rsidRPr="007F33F1">
              <w:rPr>
                <w:rFonts w:ascii="Arial Narrow" w:hAnsi="Arial Narrow"/>
                <w:sz w:val="20"/>
                <w:szCs w:val="20"/>
              </w:rPr>
              <w:t xml:space="preserve"> Weibull extrapolation, restricted to general population mortality</w:t>
            </w:r>
          </w:p>
        </w:tc>
        <w:tc>
          <w:tcPr>
            <w:tcW w:w="1406" w:type="pct"/>
            <w:tcBorders>
              <w:top w:val="single" w:sz="4" w:space="0" w:color="auto"/>
              <w:left w:val="single" w:sz="4" w:space="0" w:color="auto"/>
              <w:bottom w:val="single" w:sz="4" w:space="0" w:color="auto"/>
              <w:right w:val="single" w:sz="4" w:space="0" w:color="auto"/>
            </w:tcBorders>
            <w:shd w:val="clear" w:color="auto" w:fill="auto"/>
            <w:hideMark/>
          </w:tcPr>
          <w:p w:rsidR="00F0207A" w:rsidRPr="007F33F1" w:rsidRDefault="00F0207A" w:rsidP="0047221E">
            <w:pPr>
              <w:keepNext/>
              <w:jc w:val="left"/>
              <w:rPr>
                <w:rFonts w:ascii="Arial Narrow" w:hAnsi="Arial Narrow"/>
                <w:sz w:val="20"/>
                <w:szCs w:val="20"/>
              </w:rPr>
            </w:pPr>
            <w:r w:rsidRPr="007F33F1">
              <w:rPr>
                <w:rFonts w:ascii="Arial Narrow" w:hAnsi="Arial Narrow"/>
                <w:sz w:val="20"/>
                <w:szCs w:val="20"/>
              </w:rPr>
              <w:t>Fixed time on treatment assumed based on the planned dose in Tedeschi 2015</w:t>
            </w:r>
          </w:p>
        </w:tc>
      </w:tr>
    </w:tbl>
    <w:p w:rsidR="00F0207A" w:rsidRPr="007F33F1" w:rsidRDefault="00F0207A" w:rsidP="0047221E">
      <w:pPr>
        <w:pStyle w:val="TableFigureFooter"/>
        <w:keepNext/>
      </w:pPr>
      <w:r w:rsidRPr="007F33F1">
        <w:t>Source: Tables 3.12 and 3.24 from the submission and compiled during the evaluation</w:t>
      </w:r>
    </w:p>
    <w:p w:rsidR="00F0207A" w:rsidRPr="007F33F1" w:rsidRDefault="00F0207A" w:rsidP="0047221E">
      <w:pPr>
        <w:pStyle w:val="TableFigureFooter"/>
        <w:keepNext/>
      </w:pPr>
      <w:r w:rsidRPr="007F33F1">
        <w:t>BR=bendamustine+rituximab, OS=overall survival, PFS=progression free survival, Rm=rituximab monotherapy, R/R=relapsed/refractory, TN=treatment naïve, TTD=time to treatment dis</w:t>
      </w:r>
      <w:r w:rsidR="008B4A7C" w:rsidRPr="007F33F1">
        <w:t>continuation, ZANU=zanubrutinib.</w:t>
      </w:r>
    </w:p>
    <w:p w:rsidR="00F0207A" w:rsidRPr="007F33F1" w:rsidRDefault="00F0207A" w:rsidP="0047221E">
      <w:pPr>
        <w:pStyle w:val="TableFigureFooter"/>
        <w:keepNext/>
      </w:pPr>
      <w:r w:rsidRPr="007F33F1">
        <w:t xml:space="preserve">Note: ZANU (matched) arm included patients matched to those in Tedeschi 2015 using the MAIC described in Section 2.6. </w:t>
      </w:r>
    </w:p>
    <w:p w:rsidR="00F0207A" w:rsidRPr="007F33F1" w:rsidRDefault="00F0207A" w:rsidP="0047221E">
      <w:pPr>
        <w:pStyle w:val="3-BodyText"/>
        <w:snapToGrid w:val="0"/>
      </w:pPr>
      <w:bookmarkStart w:id="86" w:name="_Ref79510053"/>
      <w:r w:rsidRPr="007F33F1">
        <w:t>There were significant inconsistencies in the submission’s approach to extrapolation:</w:t>
      </w:r>
      <w:bookmarkEnd w:id="86"/>
    </w:p>
    <w:p w:rsidR="00F0207A" w:rsidRPr="007F33F1" w:rsidRDefault="00F0207A" w:rsidP="0047221E">
      <w:pPr>
        <w:pStyle w:val="ListParagraph"/>
        <w:numPr>
          <w:ilvl w:val="0"/>
          <w:numId w:val="9"/>
        </w:numPr>
        <w:snapToGrid w:val="0"/>
        <w:ind w:left="1134"/>
      </w:pPr>
      <w:r w:rsidRPr="007F33F1">
        <w:t>ITT data (with a combination of TN and R</w:t>
      </w:r>
      <w:r w:rsidR="00DD5B40" w:rsidRPr="007F33F1">
        <w:t>/</w:t>
      </w:r>
      <w:r w:rsidRPr="007F33F1">
        <w:t xml:space="preserve">R patients) from ASPEN and iNNOVATE were used to represent TN patients, thus the overall model validity in the </w:t>
      </w:r>
      <w:r w:rsidR="008B4A7C" w:rsidRPr="007F33F1">
        <w:t>TN population was questionable.</w:t>
      </w:r>
    </w:p>
    <w:p w:rsidR="00F0207A" w:rsidRPr="007F33F1" w:rsidRDefault="00F0207A" w:rsidP="0047221E">
      <w:pPr>
        <w:pStyle w:val="ListParagraph"/>
        <w:numPr>
          <w:ilvl w:val="0"/>
          <w:numId w:val="9"/>
        </w:numPr>
        <w:snapToGrid w:val="0"/>
        <w:ind w:left="1134"/>
      </w:pPr>
      <w:r w:rsidRPr="007F33F1">
        <w:t>Furthermore, in the TN model, OS data for Rm were actually based on BR from the R/R model, further affecting validity. In addition, BR data was derived from Tedeschi 2015, where 18% of patients were rituximab-refractory and, therefore, would not be treated with rituximab.</w:t>
      </w:r>
    </w:p>
    <w:p w:rsidR="00F0207A" w:rsidRPr="007F33F1" w:rsidRDefault="00F0207A" w:rsidP="0047221E">
      <w:pPr>
        <w:pStyle w:val="ListParagraph"/>
        <w:numPr>
          <w:ilvl w:val="0"/>
          <w:numId w:val="9"/>
        </w:numPr>
        <w:snapToGrid w:val="0"/>
        <w:ind w:left="1134"/>
      </w:pPr>
      <w:r w:rsidRPr="007F33F1">
        <w:t xml:space="preserve">ITT data matched to Tedeschi 2015 was used in the R/R model. A </w:t>
      </w:r>
      <w:r w:rsidR="00513BAC" w:rsidRPr="007F33F1">
        <w:t>number of</w:t>
      </w:r>
      <w:r w:rsidRPr="007F33F1">
        <w:t xml:space="preserve"> important differences between Tedeschi 2015 and ASPEN could not be adjusted for in the MAIC</w:t>
      </w:r>
      <w:r w:rsidR="00CB3694" w:rsidRPr="007F33F1">
        <w:t xml:space="preserve"> (see paragraph </w:t>
      </w:r>
      <w:r w:rsidR="00015997">
        <w:t>6.51</w:t>
      </w:r>
      <w:r w:rsidR="00CB3694" w:rsidRPr="007F33F1">
        <w:t>)</w:t>
      </w:r>
      <w:r w:rsidRPr="007F33F1">
        <w:t>, affecting transitivity and potentially biasing the results against BR.</w:t>
      </w:r>
    </w:p>
    <w:p w:rsidR="00F0207A" w:rsidRPr="007F33F1" w:rsidRDefault="00F0207A" w:rsidP="0047221E">
      <w:pPr>
        <w:pStyle w:val="ListParagraph"/>
        <w:numPr>
          <w:ilvl w:val="0"/>
          <w:numId w:val="9"/>
        </w:numPr>
        <w:snapToGrid w:val="0"/>
        <w:ind w:left="1134"/>
      </w:pPr>
      <w:r w:rsidRPr="007F33F1">
        <w:t xml:space="preserve">Modelling of PFS and OS in the TN model did not consider an assessment of proportional hazards and the two treatment arms were fitted independently to parametric functions. Conversely, in the R/R model, a proportional hazard test was considered important. As proportional hazards could not be rejected for either PFS or OS, PFS was modelled dependently (where the </w:t>
      </w:r>
      <w:r w:rsidR="00BE77FA" w:rsidRPr="007F33F1">
        <w:t>zanubrutinib</w:t>
      </w:r>
      <w:r w:rsidRPr="007F33F1">
        <w:t xml:space="preserve"> and BR were jointly fitted to parametric functions with treatment as covariate) </w:t>
      </w:r>
      <w:r w:rsidR="00513BAC" w:rsidRPr="007F33F1">
        <w:t>however,</w:t>
      </w:r>
      <w:r w:rsidRPr="007F33F1">
        <w:t xml:space="preserve"> OS was still modelled independently. The submission did not justify this inconsistent approach. I</w:t>
      </w:r>
      <w:r w:rsidRPr="007F33F1">
        <w:rPr>
          <w:iCs/>
        </w:rPr>
        <w:t>n general, independent PFS extrapolations seemed reasonable. Due to data paucity, it was not possible during the evaluation to test the proportional hazard assumption for the TN model.</w:t>
      </w:r>
    </w:p>
    <w:p w:rsidR="00F0207A" w:rsidRPr="007F33F1" w:rsidRDefault="00F0207A" w:rsidP="0047221E">
      <w:pPr>
        <w:pStyle w:val="ListParagraph"/>
        <w:numPr>
          <w:ilvl w:val="0"/>
          <w:numId w:val="9"/>
        </w:numPr>
        <w:snapToGrid w:val="0"/>
        <w:ind w:left="1134"/>
        <w:rPr>
          <w:iCs/>
        </w:rPr>
      </w:pPr>
      <w:r w:rsidRPr="007F33F1">
        <w:t xml:space="preserve">Time on treatment for </w:t>
      </w:r>
      <w:r w:rsidR="00BE77FA" w:rsidRPr="007F33F1">
        <w:t>zanubrutinib</w:t>
      </w:r>
      <w:r w:rsidRPr="007F33F1">
        <w:t xml:space="preserve"> was modelled using extrapolated KM data from ASPEN whereas a fixed time on treatment was assumed for Rm and BR, based on the protocols from iNNOVATE and Tedeschi 2015. </w:t>
      </w:r>
      <w:r w:rsidRPr="007F33F1">
        <w:rPr>
          <w:iCs/>
        </w:rPr>
        <w:t>The models did not adjust for the patients who did not complete treatment with Rm or BR, even though these patients had contributed to the estimates of PFS and OS (likely with lower efficacy than those who received the recommended dose).</w:t>
      </w:r>
    </w:p>
    <w:p w:rsidR="00F0207A" w:rsidRPr="007F33F1" w:rsidRDefault="00F0207A" w:rsidP="0047221E">
      <w:pPr>
        <w:pStyle w:val="ListParagraph"/>
        <w:numPr>
          <w:ilvl w:val="0"/>
          <w:numId w:val="9"/>
        </w:numPr>
        <w:snapToGrid w:val="0"/>
        <w:ind w:left="1134" w:hanging="357"/>
        <w:rPr>
          <w:iCs/>
        </w:rPr>
      </w:pPr>
      <w:r w:rsidRPr="007F33F1">
        <w:rPr>
          <w:iCs/>
        </w:rPr>
        <w:t>The KM data used for parametric extrapolations were based on investigator-assessed PFS. There was potential for bias compared to IRC data given investigators were not blinded to treatment assignment and assessment of disease progression was somewhat subjective.</w:t>
      </w:r>
    </w:p>
    <w:p w:rsidR="00DE64F8" w:rsidRPr="007F33F1" w:rsidRDefault="00E85B36" w:rsidP="0047221E">
      <w:pPr>
        <w:pStyle w:val="3-BodyText"/>
        <w:snapToGrid w:val="0"/>
        <w:rPr>
          <w:iCs/>
        </w:rPr>
      </w:pPr>
      <w:r w:rsidRPr="007F33F1">
        <w:rPr>
          <w:iCs/>
        </w:rPr>
        <w:t>The ESC n</w:t>
      </w:r>
      <w:r w:rsidR="00D85F6C" w:rsidRPr="007F33F1">
        <w:rPr>
          <w:iCs/>
        </w:rPr>
        <w:t xml:space="preserve">oted that </w:t>
      </w:r>
      <w:r w:rsidR="00DE64F8" w:rsidRPr="007F33F1">
        <w:rPr>
          <w:iCs/>
        </w:rPr>
        <w:t xml:space="preserve">the uncertainties around interpretation of comparative effectiveness of </w:t>
      </w:r>
      <w:r w:rsidR="00BE77FA" w:rsidRPr="007F33F1">
        <w:rPr>
          <w:iCs/>
        </w:rPr>
        <w:t>zanubrutinib</w:t>
      </w:r>
      <w:r w:rsidR="00DE64F8" w:rsidRPr="007F33F1">
        <w:rPr>
          <w:iCs/>
        </w:rPr>
        <w:t xml:space="preserve"> would also be issues for the interpretation of the results of the economic analyses. </w:t>
      </w:r>
      <w:r w:rsidR="00C55243" w:rsidRPr="007F33F1">
        <w:rPr>
          <w:iCs/>
        </w:rPr>
        <w:t>The ESC considered that</w:t>
      </w:r>
      <w:r w:rsidR="00A11E0F" w:rsidRPr="007F33F1">
        <w:rPr>
          <w:iCs/>
        </w:rPr>
        <w:t xml:space="preserve"> uncertainty in the economic analyses </w:t>
      </w:r>
      <w:r w:rsidR="00E87192" w:rsidRPr="007F33F1">
        <w:rPr>
          <w:iCs/>
        </w:rPr>
        <w:t xml:space="preserve">was further increased by </w:t>
      </w:r>
      <w:r w:rsidR="00A11E0F" w:rsidRPr="007F33F1">
        <w:rPr>
          <w:iCs/>
        </w:rPr>
        <w:t xml:space="preserve">the </w:t>
      </w:r>
      <w:r w:rsidR="00E87192" w:rsidRPr="007F33F1">
        <w:rPr>
          <w:iCs/>
        </w:rPr>
        <w:t xml:space="preserve">reliance </w:t>
      </w:r>
      <w:r w:rsidR="001212D8" w:rsidRPr="007F33F1">
        <w:rPr>
          <w:iCs/>
        </w:rPr>
        <w:t xml:space="preserve">on modelled </w:t>
      </w:r>
      <w:r w:rsidR="00E87192" w:rsidRPr="007F33F1">
        <w:rPr>
          <w:iCs/>
        </w:rPr>
        <w:t xml:space="preserve">data only </w:t>
      </w:r>
      <w:r w:rsidR="00C55243" w:rsidRPr="007F33F1">
        <w:rPr>
          <w:iCs/>
        </w:rPr>
        <w:t xml:space="preserve">and inconsistencies </w:t>
      </w:r>
      <w:r w:rsidR="00A11E0F" w:rsidRPr="007F33F1">
        <w:rPr>
          <w:iCs/>
        </w:rPr>
        <w:t>between approaches taken for each extrapolation</w:t>
      </w:r>
      <w:r w:rsidR="00E87192" w:rsidRPr="007F33F1">
        <w:rPr>
          <w:iCs/>
        </w:rPr>
        <w:t>.</w:t>
      </w:r>
      <w:r w:rsidR="00A11E0F" w:rsidRPr="007F33F1">
        <w:rPr>
          <w:iCs/>
        </w:rPr>
        <w:t xml:space="preserve"> </w:t>
      </w:r>
    </w:p>
    <w:p w:rsidR="00F0207A" w:rsidRPr="007F33F1" w:rsidRDefault="00F0207A" w:rsidP="0047221E">
      <w:pPr>
        <w:pStyle w:val="3-BodyText"/>
        <w:snapToGrid w:val="0"/>
      </w:pPr>
      <w:bookmarkStart w:id="87" w:name="_Ref75016870"/>
      <w:r w:rsidRPr="007F33F1">
        <w:t xml:space="preserve">The Akaike information criterion (AIC) and Bayesian information criterion (BIC), along with visual inspection of the data were used to assess goodness of fit and curve selection. The submission stated that predictions in the unobserved period were considered for clinical plausibility when selecting the parametric curve. </w:t>
      </w:r>
      <w:r w:rsidRPr="007F33F1">
        <w:rPr>
          <w:iCs/>
        </w:rPr>
        <w:t xml:space="preserve">Given data were quite immature, it appeared that clinical plausibility was the </w:t>
      </w:r>
      <w:r w:rsidR="00513BAC" w:rsidRPr="007F33F1">
        <w:rPr>
          <w:iCs/>
        </w:rPr>
        <w:t>main</w:t>
      </w:r>
      <w:r w:rsidRPr="007F33F1">
        <w:rPr>
          <w:iCs/>
        </w:rPr>
        <w:t xml:space="preserve"> factor in extrapolation choice.</w:t>
      </w:r>
      <w:bookmarkEnd w:id="87"/>
    </w:p>
    <w:p w:rsidR="00403A6D" w:rsidRPr="007F33F1" w:rsidRDefault="00565142" w:rsidP="0047221E">
      <w:pPr>
        <w:pStyle w:val="3-BodyText"/>
        <w:snapToGrid w:val="0"/>
      </w:pPr>
      <w:bookmarkStart w:id="88" w:name="_Ref75263405"/>
      <w:r w:rsidRPr="007F33F1">
        <w:rPr>
          <w:iCs/>
        </w:rPr>
        <w:t>D</w:t>
      </w:r>
      <w:r w:rsidR="00403A6D" w:rsidRPr="007F33F1">
        <w:rPr>
          <w:iCs/>
        </w:rPr>
        <w:t>ue to limited KM data relative to model duration, all parametric functions appeared to fit the KM data initially</w:t>
      </w:r>
      <w:r w:rsidRPr="007F33F1">
        <w:rPr>
          <w:iCs/>
        </w:rPr>
        <w:t xml:space="preserve"> while</w:t>
      </w:r>
      <w:r w:rsidR="00403A6D" w:rsidRPr="007F33F1">
        <w:rPr>
          <w:iCs/>
        </w:rPr>
        <w:t xml:space="preserve"> large variations were seen in the tail end of the distributions. Even seemingly minor changes in KM data</w:t>
      </w:r>
      <w:r w:rsidR="00575D1E" w:rsidRPr="007F33F1">
        <w:rPr>
          <w:iCs/>
        </w:rPr>
        <w:t>,</w:t>
      </w:r>
      <w:r w:rsidR="00403A6D" w:rsidRPr="007F33F1">
        <w:rPr>
          <w:iCs/>
        </w:rPr>
        <w:t xml:space="preserve"> for example using ASPEN ITT data versus ASPEN ITT data matched to Tedes</w:t>
      </w:r>
      <w:r w:rsidR="00193C3C" w:rsidRPr="007F33F1">
        <w:rPr>
          <w:iCs/>
        </w:rPr>
        <w:t>c</w:t>
      </w:r>
      <w:r w:rsidR="00403A6D" w:rsidRPr="007F33F1">
        <w:rPr>
          <w:iCs/>
        </w:rPr>
        <w:t xml:space="preserve">hi 2015 for </w:t>
      </w:r>
      <w:r w:rsidR="00BE77FA" w:rsidRPr="007F33F1">
        <w:rPr>
          <w:iCs/>
        </w:rPr>
        <w:t>zanubrutinib</w:t>
      </w:r>
      <w:r w:rsidR="007D3FD3" w:rsidRPr="007F33F1">
        <w:rPr>
          <w:iCs/>
        </w:rPr>
        <w:t>,</w:t>
      </w:r>
      <w:r w:rsidR="00403A6D" w:rsidRPr="007F33F1">
        <w:rPr>
          <w:iCs/>
        </w:rPr>
        <w:t xml:space="preserve"> or swapping between jointly fitted versus independently fitted curves</w:t>
      </w:r>
      <w:r w:rsidR="00575D1E" w:rsidRPr="007F33F1">
        <w:rPr>
          <w:iCs/>
        </w:rPr>
        <w:t>,</w:t>
      </w:r>
      <w:r w:rsidR="00403A6D" w:rsidRPr="007F33F1">
        <w:rPr>
          <w:iCs/>
        </w:rPr>
        <w:t xml:space="preserve"> led to wide variations in terms of longer term predictions, further highlighting the uncertainty in the extrapolations.</w:t>
      </w:r>
      <w:bookmarkEnd w:id="88"/>
      <w:r w:rsidR="00403A6D" w:rsidRPr="007F33F1">
        <w:rPr>
          <w:iCs/>
        </w:rPr>
        <w:t xml:space="preserve"> </w:t>
      </w:r>
    </w:p>
    <w:p w:rsidR="00F0207A" w:rsidRPr="007F33F1" w:rsidRDefault="00F0207A" w:rsidP="0047221E">
      <w:pPr>
        <w:pStyle w:val="5-SubsectionSubheading"/>
      </w:pPr>
      <w:bookmarkStart w:id="89" w:name="_Toc72421796"/>
      <w:r w:rsidRPr="007F33F1">
        <w:rPr>
          <w:bCs/>
        </w:rPr>
        <w:t>Extrapolation of PFS</w:t>
      </w:r>
      <w:bookmarkEnd w:id="89"/>
    </w:p>
    <w:p w:rsidR="00403A6D" w:rsidRPr="007F33F1" w:rsidRDefault="00403A6D" w:rsidP="0047221E">
      <w:pPr>
        <w:pStyle w:val="3-BodyText"/>
        <w:snapToGrid w:val="0"/>
      </w:pPr>
      <w:r w:rsidRPr="007F33F1">
        <w:rPr>
          <w:iCs/>
        </w:rPr>
        <w:t xml:space="preserve">The </w:t>
      </w:r>
      <w:r w:rsidRPr="007F33F1">
        <w:t xml:space="preserve">exponential distribution was chosen on the above basis as the most appropriate fit for PFS in all treatment arms of both models. The only distinction was that in the R/R model, extrapolation for </w:t>
      </w:r>
      <w:r w:rsidR="00BE77FA" w:rsidRPr="007F33F1">
        <w:t>zanubrutinib</w:t>
      </w:r>
      <w:r w:rsidRPr="007F33F1">
        <w:t xml:space="preserve"> was based on a dependent function with BR rather than independent functions.</w:t>
      </w:r>
    </w:p>
    <w:p w:rsidR="00F0207A" w:rsidRPr="007F33F1" w:rsidRDefault="00F0207A" w:rsidP="0047221E">
      <w:pPr>
        <w:pStyle w:val="5-SubsectionSubheading"/>
      </w:pPr>
      <w:bookmarkStart w:id="90" w:name="_Toc72421797"/>
      <w:r w:rsidRPr="007F33F1">
        <w:t>Extrapolation of OS</w:t>
      </w:r>
      <w:bookmarkEnd w:id="90"/>
    </w:p>
    <w:p w:rsidR="00F0207A" w:rsidRPr="007F33F1" w:rsidRDefault="004449F3" w:rsidP="0047221E">
      <w:pPr>
        <w:pStyle w:val="3-BodyText"/>
        <w:snapToGrid w:val="0"/>
      </w:pPr>
      <w:r w:rsidRPr="007F33F1">
        <w:rPr>
          <w:rStyle w:val="Strong"/>
          <w:b w:val="0"/>
        </w:rPr>
        <w:t>The e</w:t>
      </w:r>
      <w:r w:rsidR="00403A6D" w:rsidRPr="007F33F1">
        <w:rPr>
          <w:rStyle w:val="Strong"/>
          <w:b w:val="0"/>
        </w:rPr>
        <w:t>xtrapolation</w:t>
      </w:r>
      <w:r w:rsidRPr="007F33F1">
        <w:rPr>
          <w:rStyle w:val="Strong"/>
          <w:b w:val="0"/>
        </w:rPr>
        <w:t>s for</w:t>
      </w:r>
      <w:r w:rsidR="00403A6D" w:rsidRPr="007F33F1">
        <w:rPr>
          <w:rStyle w:val="Strong"/>
          <w:b w:val="0"/>
        </w:rPr>
        <w:t xml:space="preserve"> OS </w:t>
      </w:r>
      <w:r w:rsidRPr="007F33F1">
        <w:rPr>
          <w:rStyle w:val="Strong"/>
          <w:b w:val="0"/>
        </w:rPr>
        <w:t>were unreliable</w:t>
      </w:r>
      <w:r w:rsidR="00403A6D" w:rsidRPr="007F33F1">
        <w:rPr>
          <w:rStyle w:val="Strong"/>
          <w:b w:val="0"/>
        </w:rPr>
        <w:t xml:space="preserve">. </w:t>
      </w:r>
      <w:r w:rsidR="00F0207A" w:rsidRPr="007F33F1">
        <w:t xml:space="preserve">Based on AIC, BIC, visual inspection and clinical plausibility, independent exponential extrapolations for </w:t>
      </w:r>
      <w:r w:rsidR="00BE77FA" w:rsidRPr="007F33F1">
        <w:t>zanubrutinib</w:t>
      </w:r>
      <w:r w:rsidR="00F0207A" w:rsidRPr="007F33F1">
        <w:t xml:space="preserve"> were chosen in both the TN and R/R models. </w:t>
      </w:r>
      <w:r w:rsidR="00F0207A" w:rsidRPr="007F33F1">
        <w:rPr>
          <w:iCs/>
        </w:rPr>
        <w:t>These produced the largest survival estimates of any extrapolation, with WM mortality matching general population mortality from about year 10 until model end. In both the TN and R/R models</w:t>
      </w:r>
      <w:r w:rsidR="0060011F" w:rsidRPr="007F33F1">
        <w:rPr>
          <w:iCs/>
        </w:rPr>
        <w:t>,</w:t>
      </w:r>
      <w:r w:rsidR="00F0207A" w:rsidRPr="007F33F1">
        <w:rPr>
          <w:iCs/>
        </w:rPr>
        <w:t xml:space="preserve"> more than 33% of patients were alive at the end of the 20-year time horizon, compared to less than 10% in the comparator arms.</w:t>
      </w:r>
      <w:r w:rsidR="000B7D2C" w:rsidRPr="007F33F1">
        <w:rPr>
          <w:iCs/>
        </w:rPr>
        <w:t xml:space="preserve"> The pre-PBAC response maintained that an overall survival gain for </w:t>
      </w:r>
      <w:r w:rsidR="00BE77FA" w:rsidRPr="007F33F1">
        <w:rPr>
          <w:iCs/>
        </w:rPr>
        <w:t>zanubrutinib</w:t>
      </w:r>
      <w:r w:rsidR="000B7D2C" w:rsidRPr="007F33F1">
        <w:rPr>
          <w:iCs/>
        </w:rPr>
        <w:t xml:space="preserve"> was plausible. The pre-PBAC response argued that </w:t>
      </w:r>
      <w:r w:rsidR="00486577" w:rsidRPr="007F33F1">
        <w:rPr>
          <w:iCs/>
        </w:rPr>
        <w:t xml:space="preserve">in the context of the limited evidence, </w:t>
      </w:r>
      <w:r w:rsidR="000B7D2C" w:rsidRPr="007F33F1">
        <w:rPr>
          <w:iCs/>
        </w:rPr>
        <w:t>the exponential distribution was the most appropriate</w:t>
      </w:r>
      <w:r w:rsidR="00486577" w:rsidRPr="007F33F1">
        <w:rPr>
          <w:iCs/>
        </w:rPr>
        <w:t xml:space="preserve"> on the basis that it</w:t>
      </w:r>
      <w:r w:rsidR="00486577" w:rsidRPr="007F33F1">
        <w:t xml:space="preserve"> </w:t>
      </w:r>
      <w:r w:rsidR="00486577" w:rsidRPr="007F33F1">
        <w:rPr>
          <w:iCs/>
        </w:rPr>
        <w:t>require</w:t>
      </w:r>
      <w:r w:rsidR="00DD5B40" w:rsidRPr="007F33F1">
        <w:rPr>
          <w:iCs/>
        </w:rPr>
        <w:t>d</w:t>
      </w:r>
      <w:r w:rsidR="00486577" w:rsidRPr="007F33F1">
        <w:rPr>
          <w:iCs/>
        </w:rPr>
        <w:t xml:space="preserve"> the fewest parameters to be specified</w:t>
      </w:r>
      <w:r w:rsidR="00486577" w:rsidRPr="007F33F1">
        <w:t xml:space="preserve"> </w:t>
      </w:r>
      <w:r w:rsidR="00486577" w:rsidRPr="007F33F1">
        <w:rPr>
          <w:iCs/>
        </w:rPr>
        <w:t>and therefore</w:t>
      </w:r>
      <w:r w:rsidR="00DD5B40" w:rsidRPr="007F33F1">
        <w:rPr>
          <w:iCs/>
        </w:rPr>
        <w:t xml:space="preserve"> was</w:t>
      </w:r>
      <w:r w:rsidR="00486577" w:rsidRPr="007F33F1">
        <w:rPr>
          <w:iCs/>
        </w:rPr>
        <w:t xml:space="preserve"> associated with the fewest assumptions beyond the observed trial data.</w:t>
      </w:r>
    </w:p>
    <w:p w:rsidR="00F0207A" w:rsidRPr="007F33F1" w:rsidRDefault="00403A6D" w:rsidP="0047221E">
      <w:pPr>
        <w:pStyle w:val="3-BodyText"/>
        <w:snapToGrid w:val="0"/>
      </w:pPr>
      <w:r w:rsidRPr="007F33F1">
        <w:t xml:space="preserve">An </w:t>
      </w:r>
      <w:r w:rsidR="00F0207A" w:rsidRPr="007F33F1">
        <w:t>independent Weibull extrapolation was chosen to estimate survival for the BR arm</w:t>
      </w:r>
      <w:r w:rsidRPr="007F33F1">
        <w:t xml:space="preserve"> based on clinical plausibility</w:t>
      </w:r>
      <w:r w:rsidR="00F0207A" w:rsidRPr="007F33F1">
        <w:t xml:space="preserve">. </w:t>
      </w:r>
      <w:r w:rsidR="00F0207A" w:rsidRPr="007F33F1">
        <w:rPr>
          <w:iCs/>
        </w:rPr>
        <w:t xml:space="preserve">This had the worst statistical fit of all the curves (highest AIC, BIC) and the second most conservative estimate of survival. The independent exponential function had the lowest AIC and BIC and would have given similar but slightly improved survival for BR compared to the Weibull distribution. No justification was presented in the submission as to why this was less clinically plausible. Other independent extrapolations of </w:t>
      </w:r>
      <w:r w:rsidR="00BE77FA" w:rsidRPr="007F33F1">
        <w:rPr>
          <w:iCs/>
        </w:rPr>
        <w:t>zanubrutinib</w:t>
      </w:r>
      <w:r w:rsidR="00F0207A" w:rsidRPr="007F33F1">
        <w:rPr>
          <w:iCs/>
        </w:rPr>
        <w:t xml:space="preserve"> and BR produced very different estimates of OS.</w:t>
      </w:r>
    </w:p>
    <w:p w:rsidR="00F0207A" w:rsidRPr="007F33F1" w:rsidRDefault="00F0207A" w:rsidP="0047221E">
      <w:pPr>
        <w:pStyle w:val="3-BodyText"/>
        <w:snapToGrid w:val="0"/>
        <w:rPr>
          <w:i/>
        </w:rPr>
      </w:pPr>
      <w:r w:rsidRPr="007F33F1">
        <w:t>The submission also used BR data from the R/R model to substitute for Rm data in the TN model</w:t>
      </w:r>
      <w:r w:rsidR="0060011F" w:rsidRPr="007F33F1">
        <w:t>,</w:t>
      </w:r>
      <w:r w:rsidRPr="007F33F1">
        <w:t xml:space="preserve"> arguing that extrapolated OS, based on Rm data from the iNNOVATE ITT population did not produced clinically plausible results</w:t>
      </w:r>
      <w:r w:rsidR="00193C3C" w:rsidRPr="007F33F1">
        <w:t>. T</w:t>
      </w:r>
      <w:r w:rsidRPr="007F33F1">
        <w:t xml:space="preserve">his was not appropriate (see </w:t>
      </w:r>
      <w:r w:rsidR="00321DAC" w:rsidRPr="007F33F1">
        <w:t>p</w:t>
      </w:r>
      <w:r w:rsidRPr="007F33F1">
        <w:t>ara</w:t>
      </w:r>
      <w:r w:rsidR="0020790B" w:rsidRPr="007F33F1">
        <w:t>graph</w:t>
      </w:r>
      <w:r w:rsidRPr="007F33F1">
        <w:t xml:space="preserve"> </w:t>
      </w:r>
      <w:r w:rsidR="00193C3C" w:rsidRPr="007F33F1">
        <w:t>below</w:t>
      </w:r>
      <w:r w:rsidRPr="007F33F1">
        <w:t>).</w:t>
      </w:r>
      <w:r w:rsidR="00EC63F1" w:rsidRPr="007F33F1">
        <w:t xml:space="preserve"> Further, t</w:t>
      </w:r>
      <w:r w:rsidR="00DA6437" w:rsidRPr="007F33F1">
        <w:t>he evaluation noted a</w:t>
      </w:r>
      <w:r w:rsidRPr="007F33F1">
        <w:t xml:space="preserve"> discrepancy </w:t>
      </w:r>
      <w:r w:rsidR="0058267C" w:rsidRPr="007F33F1">
        <w:t>in the</w:t>
      </w:r>
      <w:r w:rsidRPr="007F33F1">
        <w:t xml:space="preserve"> parameters for Rm OS extrapolation in the model </w:t>
      </w:r>
      <w:r w:rsidR="0058267C" w:rsidRPr="007F33F1">
        <w:t xml:space="preserve">where they </w:t>
      </w:r>
      <w:r w:rsidRPr="007F33F1">
        <w:t xml:space="preserve">did not match those for BR (with the exception of the exponential function) and were also different to the extrapolations based on iNNOVATE data. </w:t>
      </w:r>
    </w:p>
    <w:p w:rsidR="00F0207A" w:rsidRPr="007F33F1" w:rsidRDefault="0058267C" w:rsidP="00ED6857">
      <w:pPr>
        <w:pStyle w:val="3-BodyText"/>
      </w:pPr>
      <w:bookmarkStart w:id="91" w:name="_Ref72273487"/>
      <w:r w:rsidRPr="007F33F1">
        <w:t xml:space="preserve">Using </w:t>
      </w:r>
      <w:r w:rsidR="00F0207A" w:rsidRPr="007F33F1">
        <w:t>BR data for Rm</w:t>
      </w:r>
      <w:r w:rsidRPr="007F33F1">
        <w:t xml:space="preserve"> introduced considerable uncertainty to the model</w:t>
      </w:r>
      <w:r w:rsidR="00F0207A" w:rsidRPr="007F33F1">
        <w:t xml:space="preserve">. The KM OS curve for </w:t>
      </w:r>
      <w:r w:rsidR="00BE77FA" w:rsidRPr="007F33F1">
        <w:t>zanubrutinib</w:t>
      </w:r>
      <w:r w:rsidR="00F0207A" w:rsidRPr="007F33F1">
        <w:t xml:space="preserve"> crosse</w:t>
      </w:r>
      <w:r w:rsidR="00DD5B40" w:rsidRPr="007F33F1">
        <w:t>d</w:t>
      </w:r>
      <w:r w:rsidR="00F0207A" w:rsidRPr="007F33F1">
        <w:t xml:space="preserve"> </w:t>
      </w:r>
      <w:r w:rsidR="00852E9E" w:rsidRPr="007F33F1">
        <w:t xml:space="preserve">that for </w:t>
      </w:r>
      <w:r w:rsidR="00F0207A" w:rsidRPr="007F33F1">
        <w:t>Rm but not BR</w:t>
      </w:r>
      <w:r w:rsidR="00E9024E" w:rsidRPr="007F33F1">
        <w:rPr>
          <w:rStyle w:val="CommentReference"/>
          <w:rFonts w:cs="Times New Roman"/>
          <w:iCs/>
          <w:snapToGrid/>
        </w:rPr>
        <w:t>,</w:t>
      </w:r>
      <w:r w:rsidR="00F0207A" w:rsidRPr="007F33F1">
        <w:t xml:space="preserve"> suggesting that using BR to represent Rm likely underestimated patient survival in the Rm arm, potentially favouring </w:t>
      </w:r>
      <w:r w:rsidR="00BE77FA" w:rsidRPr="007F33F1">
        <w:t>zanubrutinib</w:t>
      </w:r>
      <w:r w:rsidR="00F0207A" w:rsidRPr="007F33F1">
        <w:t xml:space="preserve">. It could be argued that TN patients in iNNOVATE may have been fitter than TN patients in ASPEN. Within iNNOVATE, 40% of Rm patients also received </w:t>
      </w:r>
      <w:r w:rsidR="00BE77FA" w:rsidRPr="007F33F1">
        <w:t>ibrutinib</w:t>
      </w:r>
      <w:r w:rsidR="00F0207A" w:rsidRPr="007F33F1">
        <w:t xml:space="preserve"> post-Rm, which may have improved their survival. However, this </w:t>
      </w:r>
      <w:r w:rsidR="00DD5B40" w:rsidRPr="007F33F1">
        <w:t xml:space="preserve">was </w:t>
      </w:r>
      <w:r w:rsidR="00F0207A" w:rsidRPr="007F33F1">
        <w:t xml:space="preserve">reflective of current and emerging </w:t>
      </w:r>
      <w:r w:rsidR="00852E9E" w:rsidRPr="007F33F1">
        <w:t xml:space="preserve">clinical </w:t>
      </w:r>
      <w:r w:rsidR="00F0207A" w:rsidRPr="007F33F1">
        <w:t>practice where</w:t>
      </w:r>
      <w:r w:rsidR="00852E9E" w:rsidRPr="007F33F1">
        <w:t xml:space="preserve"> many</w:t>
      </w:r>
      <w:r w:rsidR="00F0207A" w:rsidRPr="007F33F1">
        <w:t xml:space="preserve"> patients appear to be accessing BTKi as second-line therapy via clinical trials or compassionate</w:t>
      </w:r>
      <w:r w:rsidR="00852E9E" w:rsidRPr="007F33F1">
        <w:t xml:space="preserve"> access</w:t>
      </w:r>
      <w:r w:rsidR="00F0207A" w:rsidRPr="007F33F1">
        <w:t>. It also highlight</w:t>
      </w:r>
      <w:r w:rsidR="00DD5B40" w:rsidRPr="007F33F1">
        <w:t>ed</w:t>
      </w:r>
      <w:r w:rsidR="00F0207A" w:rsidRPr="007F33F1">
        <w:t xml:space="preserve"> that if all patients are likely to cycle through the same treatments across their disease course, it may be unreasonable to explore a difference in OS, particularly when data informing OS is immature but generally showing no difference. </w:t>
      </w:r>
      <w:r w:rsidR="00852E9E" w:rsidRPr="007F33F1">
        <w:t>A</w:t>
      </w:r>
      <w:r w:rsidR="00F0207A" w:rsidRPr="007F33F1">
        <w:t xml:space="preserve"> sensitivity analysis assuming no difference in OS between </w:t>
      </w:r>
      <w:r w:rsidR="00BE77FA" w:rsidRPr="007F33F1">
        <w:t>zanubrutinib</w:t>
      </w:r>
      <w:r w:rsidR="00F0207A" w:rsidRPr="007F33F1">
        <w:t xml:space="preserve"> and Rm increased the ICER significantly to </w:t>
      </w:r>
      <w:r w:rsidR="00ED6857" w:rsidRPr="00ED6857">
        <w:rPr>
          <w:iCs/>
        </w:rPr>
        <w:t>$455,000 to &lt; $555,000</w:t>
      </w:r>
      <w:r w:rsidR="00F0207A" w:rsidRPr="007F33F1">
        <w:t xml:space="preserve">/QALY gained from a base case of </w:t>
      </w:r>
      <w:r w:rsidR="00ED6857" w:rsidRPr="00ED6857">
        <w:t>$75,000 to &lt; $95,000</w:t>
      </w:r>
      <w:r w:rsidR="00ED6857">
        <w:t xml:space="preserve"> </w:t>
      </w:r>
      <w:r w:rsidR="00852E9E" w:rsidRPr="007F33F1">
        <w:t xml:space="preserve">(see </w:t>
      </w:r>
      <w:r w:rsidR="00015997" w:rsidRPr="00015997">
        <w:t>Table 19</w:t>
      </w:r>
      <w:r w:rsidR="00852E9E" w:rsidRPr="007F33F1">
        <w:t>)</w:t>
      </w:r>
      <w:r w:rsidR="00F0207A" w:rsidRPr="007F33F1">
        <w:t>.</w:t>
      </w:r>
      <w:bookmarkEnd w:id="91"/>
      <w:r w:rsidR="00EE00FE" w:rsidRPr="007F33F1">
        <w:t xml:space="preserve"> The ESC considered that the modelled survival benefit was the </w:t>
      </w:r>
      <w:r w:rsidR="004606F5" w:rsidRPr="007F33F1">
        <w:t xml:space="preserve">main </w:t>
      </w:r>
      <w:r w:rsidR="00EE00FE" w:rsidRPr="007F33F1">
        <w:t>source of uncertainty in the economic model</w:t>
      </w:r>
      <w:r w:rsidR="00187695" w:rsidRPr="007F33F1">
        <w:t xml:space="preserve"> and was poorly supported by the data</w:t>
      </w:r>
      <w:r w:rsidR="00EE00FE" w:rsidRPr="007F33F1">
        <w:t xml:space="preserve">. </w:t>
      </w:r>
    </w:p>
    <w:p w:rsidR="00F0207A" w:rsidRPr="007F33F1" w:rsidRDefault="00F0207A" w:rsidP="0047221E">
      <w:pPr>
        <w:pStyle w:val="5-SubsectionSubheading"/>
      </w:pPr>
      <w:bookmarkStart w:id="92" w:name="_Toc72421798"/>
      <w:r w:rsidRPr="007F33F1">
        <w:t>Extrapolation of time on treatment</w:t>
      </w:r>
      <w:bookmarkEnd w:id="92"/>
    </w:p>
    <w:p w:rsidR="00F0207A" w:rsidRPr="007F33F1" w:rsidRDefault="00F0207A" w:rsidP="0047221E">
      <w:pPr>
        <w:pStyle w:val="3-BodyText"/>
        <w:snapToGrid w:val="0"/>
      </w:pPr>
      <w:r w:rsidRPr="007F33F1">
        <w:t xml:space="preserve">Time on treatment for </w:t>
      </w:r>
      <w:r w:rsidR="00BE77FA" w:rsidRPr="007F33F1">
        <w:t>zanubrutinib</w:t>
      </w:r>
      <w:r w:rsidRPr="007F33F1">
        <w:t xml:space="preserve"> was extrapolated using limited TTD KM data from ASPEN. The extrapolations were based on unadjusted ITT data in the TN</w:t>
      </w:r>
      <w:r w:rsidR="004054AF" w:rsidRPr="007F33F1">
        <w:t> </w:t>
      </w:r>
      <w:r w:rsidRPr="007F33F1">
        <w:t xml:space="preserve">model and ITT data matched to Tedeschi 2015 in the R/R model. Visually, all extrapolations fitted the KM data </w:t>
      </w:r>
      <w:r w:rsidR="00681665" w:rsidRPr="007F33F1">
        <w:t>well,</w:t>
      </w:r>
      <w:r w:rsidRPr="007F33F1">
        <w:t xml:space="preserve"> but large variations were seen in the tail end of the distributions. Based on statistical fit, the exponential function was chosen with an estimated average treatme</w:t>
      </w:r>
      <w:r w:rsidRPr="00C607F1">
        <w:t>nt duration of 7 years in the base case. This is however</w:t>
      </w:r>
      <w:r w:rsidRPr="00C607F1">
        <w:rPr>
          <w:iCs/>
        </w:rPr>
        <w:t xml:space="preserve"> uncertain given the small differences in the TTD KM data between the </w:t>
      </w:r>
      <w:r w:rsidRPr="00C607F1">
        <w:t xml:space="preserve">matched and unmatched groups for </w:t>
      </w:r>
      <w:r w:rsidR="00BE77FA" w:rsidRPr="00C607F1">
        <w:t>zanubrutinib</w:t>
      </w:r>
      <w:r w:rsidRPr="00C607F1">
        <w:t xml:space="preserve"> resulted in </w:t>
      </w:r>
      <w:r w:rsidR="004449F3" w:rsidRPr="00C607F1">
        <w:t xml:space="preserve">large </w:t>
      </w:r>
      <w:r w:rsidRPr="00C607F1">
        <w:t>differences in extrapolations, particularly for the Gompertz distribution where the average treatment durations varied from 7.3 years to 5.1 years</w:t>
      </w:r>
      <w:r w:rsidRPr="007F33F1">
        <w:t xml:space="preserve"> based on unmatched data and matched data respectively.</w:t>
      </w:r>
    </w:p>
    <w:p w:rsidR="00F0207A" w:rsidRPr="007F33F1" w:rsidRDefault="00F0207A" w:rsidP="0047221E">
      <w:pPr>
        <w:pStyle w:val="5-SubsectionSubheading"/>
      </w:pPr>
      <w:bookmarkStart w:id="93" w:name="_Toc72421799"/>
      <w:r w:rsidRPr="007F33F1">
        <w:t>Utilities</w:t>
      </w:r>
      <w:bookmarkEnd w:id="93"/>
    </w:p>
    <w:p w:rsidR="00F0207A" w:rsidRPr="007F33F1" w:rsidRDefault="00F0207A" w:rsidP="0047221E">
      <w:pPr>
        <w:pStyle w:val="3-BodyText"/>
        <w:snapToGrid w:val="0"/>
      </w:pPr>
      <w:r w:rsidRPr="007F33F1">
        <w:t xml:space="preserve">Health state utility for patients in the PFS state in both models, irrespective of treatment received, was assumed to be 0.791. This was based on EQ-5D-5L results from ASPEN that were first mapped to EQ-5D-3L and then regressed based on patient characteristics. For the PD health state, an assumption was made to apply a disutility of 0.1 to the PFS health state utility based on data for </w:t>
      </w:r>
      <w:r w:rsidR="00BE77FA" w:rsidRPr="007F33F1">
        <w:t>ibrutinib</w:t>
      </w:r>
      <w:r w:rsidRPr="007F33F1">
        <w:t xml:space="preserve"> in</w:t>
      </w:r>
      <w:r w:rsidR="003D51BD" w:rsidRPr="007F33F1">
        <w:t xml:space="preserve"> CLL</w:t>
      </w:r>
      <w:r w:rsidRPr="007F33F1">
        <w:t>. Disu</w:t>
      </w:r>
      <w:r w:rsidR="00AB07C4" w:rsidRPr="007F33F1">
        <w:t>tilities were also applied for G</w:t>
      </w:r>
      <w:r w:rsidRPr="007F33F1">
        <w:t>rade 3 or above AEs based on assumed AE rates from the clinical studies. While some discrepancies were detected with respect to the assumed</w:t>
      </w:r>
      <w:r w:rsidR="00AB07C4" w:rsidRPr="007F33F1">
        <w:t xml:space="preserve"> AE rates, with some important G</w:t>
      </w:r>
      <w:r w:rsidRPr="007F33F1">
        <w:t xml:space="preserve">rade 3 or above AEs omitted for </w:t>
      </w:r>
      <w:r w:rsidR="00BE77FA" w:rsidRPr="007F33F1">
        <w:t>zanubrutinib</w:t>
      </w:r>
      <w:r w:rsidRPr="007F33F1">
        <w:t xml:space="preserve"> and comparators, modelled AEs and their associated disutilities had minimal impact on the cost-effectiveness results. </w:t>
      </w:r>
      <w:r w:rsidR="009D3725" w:rsidRPr="007F33F1">
        <w:t>C</w:t>
      </w:r>
      <w:r w:rsidRPr="007F33F1">
        <w:t>hanges to the health state utilities had a moderate effect on the model results,</w:t>
      </w:r>
      <w:r w:rsidR="009D3725" w:rsidRPr="007F33F1">
        <w:t xml:space="preserve"> however</w:t>
      </w:r>
      <w:r w:rsidRPr="007F33F1">
        <w:t xml:space="preserve"> they were overshadowed by survival gains.</w:t>
      </w:r>
    </w:p>
    <w:p w:rsidR="00F0207A" w:rsidRPr="007F33F1" w:rsidRDefault="00F0207A" w:rsidP="0047221E">
      <w:pPr>
        <w:pStyle w:val="5-SubsectionSubheading"/>
      </w:pPr>
      <w:bookmarkStart w:id="94" w:name="_Toc72421800"/>
      <w:r w:rsidRPr="007F33F1">
        <w:t>Costs</w:t>
      </w:r>
      <w:bookmarkEnd w:id="94"/>
    </w:p>
    <w:p w:rsidR="00F0207A" w:rsidRPr="007F33F1" w:rsidRDefault="00F0207A" w:rsidP="0047221E">
      <w:pPr>
        <w:pStyle w:val="3-BodyText"/>
        <w:snapToGrid w:val="0"/>
      </w:pPr>
      <w:r w:rsidRPr="007F33F1">
        <w:t xml:space="preserve">For </w:t>
      </w:r>
      <w:r w:rsidR="00BE77FA" w:rsidRPr="007F33F1">
        <w:t>zanubrutinib</w:t>
      </w:r>
      <w:r w:rsidRPr="007F33F1">
        <w:t>, the per cycle cost of treatment was based on the effective AEMP of $</w:t>
      </w:r>
      <w:r w:rsidR="00785E78">
        <w:rPr>
          <w:noProof/>
          <w:color w:val="000000"/>
          <w:highlight w:val="black"/>
        </w:rPr>
        <w:t>'''''''''''''''</w:t>
      </w:r>
      <w:r w:rsidRPr="007F33F1">
        <w:t xml:space="preserve"> for 120 capsules, </w:t>
      </w:r>
      <w:r w:rsidR="00DF37AC" w:rsidRPr="007F33F1">
        <w:t>which provides</w:t>
      </w:r>
      <w:r w:rsidR="00DF37AC" w:rsidRPr="007F33F1">
        <w:rPr>
          <w:i/>
        </w:rPr>
        <w:t xml:space="preserve"> </w:t>
      </w:r>
      <w:r w:rsidRPr="007F33F1">
        <w:t xml:space="preserve">for 30 days of treatment at a dose of 320 mg per day (4x80 mg capsules) to be taken until either intolerable toxicity or disease progression, with an assumed dose intensity of 97.6%. The cost of </w:t>
      </w:r>
      <w:r w:rsidR="00BE77FA" w:rsidRPr="007F33F1">
        <w:t>zanubrutinib</w:t>
      </w:r>
      <w:r w:rsidRPr="007F33F1">
        <w:t xml:space="preserve"> should be based on the requested </w:t>
      </w:r>
      <w:r w:rsidR="00AB07C4" w:rsidRPr="007F33F1">
        <w:t xml:space="preserve">effective </w:t>
      </w:r>
      <w:r w:rsidRPr="007F33F1">
        <w:t>DPMQ of $</w:t>
      </w:r>
      <w:r w:rsidR="00785E78">
        <w:rPr>
          <w:noProof/>
          <w:color w:val="000000"/>
          <w:highlight w:val="black"/>
        </w:rPr>
        <w:t>'''''''''''''''</w:t>
      </w:r>
      <w:r w:rsidRPr="00ED6857">
        <w:t xml:space="preserve"> </w:t>
      </w:r>
      <w:r w:rsidRPr="007F33F1">
        <w:t xml:space="preserve">rather than AEMP and model results were updated to reflect this. However, given the </w:t>
      </w:r>
      <w:r w:rsidR="004449F3" w:rsidRPr="007F33F1">
        <w:t xml:space="preserve">relatively </w:t>
      </w:r>
      <w:r w:rsidRPr="007F33F1">
        <w:t>small difference, this error had minimal impact on the model results.</w:t>
      </w:r>
    </w:p>
    <w:p w:rsidR="00F0207A" w:rsidRPr="007F33F1" w:rsidRDefault="00F0207A" w:rsidP="0047221E">
      <w:pPr>
        <w:pStyle w:val="3-BodyText"/>
        <w:snapToGrid w:val="0"/>
      </w:pPr>
      <w:r w:rsidRPr="007F33F1">
        <w:t>For the comparators, the per cycle cost of Rm was based on an assumed price of $1,093.25 per 500 mg vial and the recommended dose of 375 mg/m</w:t>
      </w:r>
      <w:r w:rsidRPr="007F33F1">
        <w:rPr>
          <w:vertAlign w:val="superscript"/>
        </w:rPr>
        <w:t>2</w:t>
      </w:r>
      <w:r w:rsidRPr="007F33F1">
        <w:t xml:space="preserve"> administered weekly for two 4-week blocks with a 12-week break in between for Rm and once every 4 weeks for 6 cycles (i.e., total 24 weeks) for BR. The assumed price for rituximab 500 mg vial could not be verified, based on the PBS listing (items 4614W, 7257Y) the DPMA should be $1,327.26 for 700</w:t>
      </w:r>
      <w:r w:rsidR="00E32F3A" w:rsidRPr="007F33F1">
        <w:t xml:space="preserve"> </w:t>
      </w:r>
      <w:r w:rsidRPr="007F33F1">
        <w:t>mg (1x500</w:t>
      </w:r>
      <w:r w:rsidR="00E32F3A" w:rsidRPr="007F33F1">
        <w:t xml:space="preserve"> </w:t>
      </w:r>
      <w:r w:rsidRPr="007F33F1">
        <w:t>mg vial plus 2x100</w:t>
      </w:r>
      <w:r w:rsidR="00E32F3A" w:rsidRPr="007F33F1">
        <w:t xml:space="preserve"> </w:t>
      </w:r>
      <w:r w:rsidRPr="007F33F1">
        <w:t>mg vials). The per cycle cost of bendamustine was based on the weighted average PBS price of $1,745.54 per 2x100 mg vials at a dose of 90 mg/m</w:t>
      </w:r>
      <w:r w:rsidRPr="007F33F1">
        <w:rPr>
          <w:vertAlign w:val="superscript"/>
        </w:rPr>
        <w:t>2</w:t>
      </w:r>
      <w:r w:rsidRPr="007F33F1">
        <w:t>, administered for 2 days every four weeks for 6 cycles (24 weeks). For both Rm and BR, dosing was based on the mean body weight of 1.86 m</w:t>
      </w:r>
      <w:r w:rsidRPr="007F33F1">
        <w:rPr>
          <w:vertAlign w:val="superscript"/>
        </w:rPr>
        <w:t>2</w:t>
      </w:r>
      <w:r w:rsidRPr="007F33F1">
        <w:t xml:space="preserve"> from ASPEN. Neither comparator </w:t>
      </w:r>
      <w:r w:rsidR="00DD5B40" w:rsidRPr="007F33F1">
        <w:t>is</w:t>
      </w:r>
      <w:r w:rsidRPr="007F33F1">
        <w:t xml:space="preserve"> PBS listed in </w:t>
      </w:r>
      <w:r w:rsidR="00DD5B40" w:rsidRPr="007F33F1">
        <w:t xml:space="preserve">its </w:t>
      </w:r>
      <w:r w:rsidRPr="007F33F1">
        <w:t>respective setting.</w:t>
      </w:r>
    </w:p>
    <w:p w:rsidR="00F0207A" w:rsidRPr="007F33F1" w:rsidRDefault="00F0207A" w:rsidP="0047221E">
      <w:pPr>
        <w:pStyle w:val="3-BodyText"/>
        <w:snapToGrid w:val="0"/>
      </w:pPr>
      <w:r w:rsidRPr="007F33F1">
        <w:t xml:space="preserve">Terminal care cost was a significant driver of costs in the comparator arms, due to shorter mean survival and fewer patients alive at the end of the time horizon (&lt;10% compared to &gt;30% in the </w:t>
      </w:r>
      <w:r w:rsidR="00BE77FA" w:rsidRPr="007F33F1">
        <w:t>zanubrutinib</w:t>
      </w:r>
      <w:r w:rsidRPr="007F33F1">
        <w:t xml:space="preserve"> arms). Terminal care/end of life costs were taken from Goldsbury et al., 2018, based on final year of cancer treatment, and inflated to 2020 costs. These costs were applied in the cycle in which a patient’s death occurred. </w:t>
      </w:r>
      <w:r w:rsidR="00681665" w:rsidRPr="007F33F1">
        <w:t>However,</w:t>
      </w:r>
      <w:r w:rsidRPr="007F33F1">
        <w:t xml:space="preserve"> a scenario analysis</w:t>
      </w:r>
      <w:r w:rsidR="00DD65FA" w:rsidRPr="007F33F1">
        <w:t xml:space="preserve"> </w:t>
      </w:r>
      <w:r w:rsidRPr="007F33F1">
        <w:t>assuming all patients would accrue this cost by model end did not significantly impact the ICER (3% increase).</w:t>
      </w:r>
    </w:p>
    <w:p w:rsidR="00F0207A" w:rsidRPr="007F33F1" w:rsidRDefault="00F0207A" w:rsidP="0047221E">
      <w:pPr>
        <w:pStyle w:val="5-SubsectionSubheading"/>
      </w:pPr>
      <w:bookmarkStart w:id="95" w:name="_Toc72421801"/>
      <w:r w:rsidRPr="007F33F1">
        <w:t>Results</w:t>
      </w:r>
      <w:bookmarkEnd w:id="95"/>
    </w:p>
    <w:p w:rsidR="00F0207A" w:rsidRPr="007F33F1" w:rsidRDefault="00F0207A" w:rsidP="0047221E">
      <w:pPr>
        <w:pStyle w:val="3-BodyText"/>
        <w:keepNext/>
        <w:keepLines/>
        <w:snapToGrid w:val="0"/>
      </w:pPr>
      <w:r w:rsidRPr="007F33F1">
        <w:t>Key drivers of the model are summarised in</w:t>
      </w:r>
      <w:r w:rsidR="00403A6D" w:rsidRPr="007F33F1">
        <w:t xml:space="preserve"> </w:t>
      </w:r>
      <w:r w:rsidR="00015997" w:rsidRPr="007F33F1">
        <w:t xml:space="preserve">Table </w:t>
      </w:r>
      <w:r w:rsidR="00015997">
        <w:rPr>
          <w:noProof/>
        </w:rPr>
        <w:t>17</w:t>
      </w:r>
      <w:r w:rsidRPr="007F33F1">
        <w:t xml:space="preserve"> below.</w:t>
      </w:r>
    </w:p>
    <w:p w:rsidR="00F0207A" w:rsidRPr="007F33F1" w:rsidRDefault="00F0207A" w:rsidP="0047221E">
      <w:pPr>
        <w:pStyle w:val="TableFigureHeading"/>
        <w:keepLines/>
      </w:pPr>
      <w:bookmarkStart w:id="96" w:name="_Ref72315247"/>
      <w:bookmarkStart w:id="97" w:name="_Ref72315238"/>
      <w:r w:rsidRPr="007F33F1">
        <w:t xml:space="preserve">Table </w:t>
      </w:r>
      <w:r w:rsidR="00015997">
        <w:rPr>
          <w:noProof/>
        </w:rPr>
        <w:t>17</w:t>
      </w:r>
      <w:bookmarkEnd w:id="96"/>
      <w:r w:rsidRPr="007F33F1">
        <w:t>: Key drivers of the model - base case: TN $</w:t>
      </w:r>
      <w:r w:rsidR="00785E78">
        <w:rPr>
          <w:noProof/>
          <w:color w:val="000000"/>
          <w:highlight w:val="black"/>
        </w:rPr>
        <w:t>''''''''''''</w:t>
      </w:r>
      <w:r w:rsidR="009943D7">
        <w:rPr>
          <w:vertAlign w:val="superscript"/>
        </w:rPr>
        <w:t>1</w:t>
      </w:r>
      <w:r w:rsidRPr="007F33F1">
        <w:t>/QALY gained; R/R $</w:t>
      </w:r>
      <w:r w:rsidR="00785E78">
        <w:rPr>
          <w:noProof/>
          <w:color w:val="000000"/>
          <w:highlight w:val="black"/>
        </w:rPr>
        <w:t>'''''''''''''</w:t>
      </w:r>
      <w:r w:rsidR="009943D7">
        <w:rPr>
          <w:vertAlign w:val="superscript"/>
        </w:rPr>
        <w:t>2</w:t>
      </w:r>
      <w:r w:rsidRPr="007F33F1">
        <w:t>/QALY gained</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2835"/>
        <w:gridCol w:w="5077"/>
      </w:tblGrid>
      <w:tr w:rsidR="00F0207A" w:rsidRPr="007F33F1" w:rsidTr="00D40FD4">
        <w:trPr>
          <w:tblHeader/>
        </w:trPr>
        <w:tc>
          <w:tcPr>
            <w:tcW w:w="624"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jc w:val="center"/>
              <w:rPr>
                <w:lang w:val="en-AU"/>
              </w:rPr>
            </w:pPr>
            <w:r w:rsidRPr="007F33F1">
              <w:rPr>
                <w:lang w:val="en-AU"/>
              </w:rPr>
              <w:t>Description</w:t>
            </w:r>
          </w:p>
        </w:tc>
        <w:tc>
          <w:tcPr>
            <w:tcW w:w="156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jc w:val="center"/>
              <w:rPr>
                <w:lang w:val="en-AU"/>
              </w:rPr>
            </w:pPr>
            <w:r w:rsidRPr="007F33F1">
              <w:rPr>
                <w:lang w:val="en-AU"/>
              </w:rPr>
              <w:t>Method/Value</w:t>
            </w:r>
          </w:p>
        </w:tc>
        <w:tc>
          <w:tcPr>
            <w:tcW w:w="280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jc w:val="center"/>
              <w:rPr>
                <w:lang w:val="en-AU"/>
              </w:rPr>
            </w:pPr>
            <w:r w:rsidRPr="007F33F1">
              <w:rPr>
                <w:lang w:val="en-AU"/>
              </w:rPr>
              <w:t xml:space="preserve">Impact </w:t>
            </w:r>
          </w:p>
        </w:tc>
      </w:tr>
      <w:tr w:rsidR="00F0207A" w:rsidRPr="007F33F1" w:rsidTr="00D40FD4">
        <w:trPr>
          <w:tblHeader/>
        </w:trPr>
        <w:tc>
          <w:tcPr>
            <w:tcW w:w="624"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Time horizon</w:t>
            </w:r>
          </w:p>
        </w:tc>
        <w:tc>
          <w:tcPr>
            <w:tcW w:w="156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20 years vs 19.5 months follow up in ASPEN, 26.5 months in iNNOVATE and 19 months in Tedeschi 2015.*</w:t>
            </w:r>
          </w:p>
        </w:tc>
        <w:tc>
          <w:tcPr>
            <w:tcW w:w="280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Favoured ZANU. A reduction in the time horizon increased the ICER significantly, assuming a 10-year time horizon increased the ICERs to &gt;$</w:t>
            </w:r>
            <w:r w:rsidR="00785E78">
              <w:rPr>
                <w:noProof/>
                <w:color w:val="000000"/>
                <w:highlight w:val="black"/>
              </w:rPr>
              <w:t>''''''''''''''''''</w:t>
            </w:r>
            <w:r w:rsidR="009943D7">
              <w:rPr>
                <w:vertAlign w:val="superscript"/>
              </w:rPr>
              <w:t>3</w:t>
            </w:r>
            <w:r w:rsidRPr="007F33F1">
              <w:t xml:space="preserve"> per QALY gained in both the TN and R/R models.</w:t>
            </w:r>
          </w:p>
        </w:tc>
      </w:tr>
      <w:tr w:rsidR="00F0207A" w:rsidRPr="007F33F1" w:rsidTr="00D40FD4">
        <w:trPr>
          <w:tblHeader/>
        </w:trPr>
        <w:tc>
          <w:tcPr>
            <w:tcW w:w="624"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Use of KM data</w:t>
            </w:r>
          </w:p>
        </w:tc>
        <w:tc>
          <w:tcPr>
            <w:tcW w:w="156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Used to fit parametric functions for PFS/OS and TTD but was not directly used in the model.</w:t>
            </w:r>
          </w:p>
          <w:p w:rsidR="00F0207A" w:rsidRPr="007F33F1" w:rsidRDefault="00F0207A" w:rsidP="0047221E">
            <w:pPr>
              <w:pStyle w:val="TableText0"/>
              <w:keepLines/>
            </w:pPr>
            <w:r w:rsidRPr="007F33F1">
              <w:t>OS KM data from iNNOVATE was not used to fit the parametric functions for Rm in the TN model, but was based on BR KM data.</w:t>
            </w:r>
          </w:p>
        </w:tc>
        <w:tc>
          <w:tcPr>
            <w:tcW w:w="280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Favoured ZANU, particularly as the KM data for OS for ZANU and Rm (based on ITT data from ASPEN for ZANU and ITT data from iNNOVATE for Rm) were observed to cross (see</w:t>
            </w:r>
            <w:r w:rsidR="00E32F3A" w:rsidRPr="007F33F1">
              <w:t xml:space="preserve"> </w:t>
            </w:r>
            <w:r w:rsidR="00015997" w:rsidRPr="007F33F1">
              <w:t xml:space="preserve">Figure </w:t>
            </w:r>
            <w:r w:rsidR="00015997">
              <w:t>7</w:t>
            </w:r>
            <w:r w:rsidR="00E32F3A" w:rsidRPr="007F33F1">
              <w:t>)</w:t>
            </w:r>
            <w:r w:rsidRPr="007F33F1">
              <w:t>.</w:t>
            </w:r>
          </w:p>
          <w:p w:rsidR="00F0207A" w:rsidRPr="007F33F1" w:rsidRDefault="00F0207A" w:rsidP="0047221E">
            <w:pPr>
              <w:pStyle w:val="TableText0"/>
              <w:keepLines/>
            </w:pPr>
            <w:r w:rsidRPr="007F33F1">
              <w:t>A sensitivity analysis using KM data to 30 months followed by extrapolation increased the ICER substantially in the TN model to &gt;$</w:t>
            </w:r>
            <w:r w:rsidR="00785E78">
              <w:rPr>
                <w:noProof/>
                <w:color w:val="000000"/>
                <w:highlight w:val="black"/>
              </w:rPr>
              <w:t>''''''''''''''''''''</w:t>
            </w:r>
            <w:r w:rsidR="009943D7">
              <w:rPr>
                <w:vertAlign w:val="superscript"/>
              </w:rPr>
              <w:t>3</w:t>
            </w:r>
            <w:r w:rsidRPr="007F33F1">
              <w:t xml:space="preserve"> per QALY gained.</w:t>
            </w:r>
          </w:p>
        </w:tc>
      </w:tr>
      <w:tr w:rsidR="00F0207A" w:rsidRPr="007F33F1" w:rsidTr="00D40FD4">
        <w:trPr>
          <w:tblHeader/>
        </w:trPr>
        <w:tc>
          <w:tcPr>
            <w:tcW w:w="624"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PFS extrapolation</w:t>
            </w:r>
          </w:p>
        </w:tc>
        <w:tc>
          <w:tcPr>
            <w:tcW w:w="1568" w:type="pct"/>
            <w:tcBorders>
              <w:top w:val="single" w:sz="4" w:space="0" w:color="auto"/>
              <w:left w:val="single" w:sz="4" w:space="0" w:color="auto"/>
              <w:bottom w:val="single" w:sz="4" w:space="0" w:color="auto"/>
              <w:right w:val="single" w:sz="4" w:space="0" w:color="auto"/>
            </w:tcBorders>
            <w:vAlign w:val="center"/>
            <w:hideMark/>
          </w:tcPr>
          <w:p w:rsidR="00F0207A" w:rsidRPr="009943D7" w:rsidRDefault="00F0207A" w:rsidP="009943D7">
            <w:pPr>
              <w:pStyle w:val="TableText0"/>
              <w:keepLines/>
              <w:rPr>
                <w:vertAlign w:val="superscript"/>
              </w:rPr>
            </w:pPr>
            <w:r w:rsidRPr="007F33F1">
              <w:t>Extrapolations of ASPEN, iNNOVATE and Tedeschi 2015 applied from cycle</w:t>
            </w:r>
            <w:r w:rsidR="00D40FD4" w:rsidRPr="007F33F1">
              <w:t> </w:t>
            </w:r>
            <w:r w:rsidRPr="007F33F1">
              <w:t>1 of the model</w:t>
            </w:r>
            <w:r w:rsidR="00D40FD4" w:rsidRPr="007F33F1">
              <w:t>.</w:t>
            </w:r>
          </w:p>
        </w:tc>
        <w:tc>
          <w:tcPr>
            <w:tcW w:w="280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Favoured ZANU. 155.8% and 87.2% of incremental LYs for ZANU versus Rm and BR respectively were accrued in PFS, which ha</w:t>
            </w:r>
            <w:r w:rsidR="00DD5B40" w:rsidRPr="007F33F1">
              <w:t>d</w:t>
            </w:r>
            <w:r w:rsidRPr="007F33F1">
              <w:t xml:space="preserve"> a higher utility. </w:t>
            </w:r>
          </w:p>
          <w:p w:rsidR="00F0207A" w:rsidRPr="007F33F1" w:rsidRDefault="00F0207A" w:rsidP="0047221E">
            <w:pPr>
              <w:pStyle w:val="TableText0"/>
              <w:keepLines/>
            </w:pPr>
            <w:r w:rsidRPr="007F33F1">
              <w:t xml:space="preserve">The data used to inform the extrapolation were uncertain, using mixed TN and R/R data in both models. There were also significant differences between all the included studies affecting exchangeability and thus results of any ITCs </w:t>
            </w:r>
            <w:r w:rsidR="00DD5B40" w:rsidRPr="007F33F1">
              <w:t xml:space="preserve">were </w:t>
            </w:r>
            <w:r w:rsidRPr="007F33F1">
              <w:t>considered uncertain.</w:t>
            </w:r>
          </w:p>
        </w:tc>
      </w:tr>
      <w:tr w:rsidR="00F0207A" w:rsidRPr="007F33F1" w:rsidTr="00D40FD4">
        <w:trPr>
          <w:tblHeader/>
        </w:trPr>
        <w:tc>
          <w:tcPr>
            <w:tcW w:w="624"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OS benefit</w:t>
            </w:r>
          </w:p>
        </w:tc>
        <w:tc>
          <w:tcPr>
            <w:tcW w:w="156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 xml:space="preserve">Extrapolations based </w:t>
            </w:r>
            <w:r w:rsidR="0060011F" w:rsidRPr="007F33F1">
              <w:t>on</w:t>
            </w:r>
            <w:r w:rsidRPr="007F33F1">
              <w:t xml:space="preserve"> immature OS</w:t>
            </w:r>
            <w:r w:rsidR="00D40FD4" w:rsidRPr="007F33F1">
              <w:t> </w:t>
            </w:r>
            <w:r w:rsidRPr="007F33F1">
              <w:t>KM data from ASPEN and Tedes</w:t>
            </w:r>
            <w:r w:rsidR="00D40FD4" w:rsidRPr="007F33F1">
              <w:t>chi 2015 and applied from cycle </w:t>
            </w:r>
            <w:r w:rsidRPr="007F33F1">
              <w:t>1 of the model.</w:t>
            </w:r>
          </w:p>
          <w:p w:rsidR="00F0207A" w:rsidRPr="007F33F1" w:rsidRDefault="00F0207A" w:rsidP="0047221E">
            <w:pPr>
              <w:pStyle w:val="TableText0"/>
              <w:keepLines/>
            </w:pPr>
            <w:r w:rsidRPr="007F33F1">
              <w:t xml:space="preserve"> </w:t>
            </w:r>
          </w:p>
        </w:tc>
        <w:tc>
          <w:tcPr>
            <w:tcW w:w="2808" w:type="pct"/>
            <w:tcBorders>
              <w:top w:val="single" w:sz="4" w:space="0" w:color="auto"/>
              <w:left w:val="single" w:sz="4" w:space="0" w:color="auto"/>
              <w:bottom w:val="single" w:sz="4" w:space="0" w:color="auto"/>
              <w:right w:val="single" w:sz="4" w:space="0" w:color="auto"/>
            </w:tcBorders>
            <w:vAlign w:val="center"/>
          </w:tcPr>
          <w:p w:rsidR="00F0207A" w:rsidRPr="007F33F1" w:rsidRDefault="00F0207A" w:rsidP="0047221E">
            <w:pPr>
              <w:pStyle w:val="TableText0"/>
              <w:keepLines/>
              <w:jc w:val="both"/>
            </w:pPr>
            <w:r w:rsidRPr="007F33F1">
              <w:t>ZANU was assumed to have a sustained survival benefit over comparators. This assumption strongly favoured ZANU.</w:t>
            </w:r>
          </w:p>
          <w:p w:rsidR="00F0207A" w:rsidRPr="007F33F1" w:rsidRDefault="00F0207A" w:rsidP="0047221E">
            <w:pPr>
              <w:pStyle w:val="TableText0"/>
              <w:keepLines/>
              <w:jc w:val="both"/>
            </w:pPr>
          </w:p>
          <w:p w:rsidR="00F0207A" w:rsidRPr="007F33F1" w:rsidRDefault="00F0207A" w:rsidP="0047221E">
            <w:pPr>
              <w:pStyle w:val="TableText0"/>
              <w:keepLines/>
              <w:jc w:val="both"/>
            </w:pPr>
            <w:r w:rsidRPr="007F33F1">
              <w:t xml:space="preserve">The survival data from included studies were immature. While this was problematic/uncertain for PFS (see points above), it was even more uncertain for OS where there were even fewer events and observed OS for ZANU and Rm crosses at around 20 months, suggesting potentially no difference in OS. OS extrapolation for Rm was also based on the extrapolation for BR from the R/R population. </w:t>
            </w:r>
          </w:p>
          <w:p w:rsidR="00F0207A" w:rsidRPr="007F33F1" w:rsidRDefault="00F0207A" w:rsidP="0047221E">
            <w:pPr>
              <w:pStyle w:val="TableText0"/>
              <w:keepLines/>
              <w:jc w:val="both"/>
            </w:pPr>
          </w:p>
          <w:p w:rsidR="00F0207A" w:rsidRPr="007F33F1" w:rsidRDefault="0080146D" w:rsidP="0047221E">
            <w:pPr>
              <w:pStyle w:val="TableText0"/>
              <w:keepLines/>
              <w:jc w:val="both"/>
            </w:pPr>
            <w:r w:rsidRPr="007F33F1">
              <w:t>When</w:t>
            </w:r>
            <w:r w:rsidR="00F0207A" w:rsidRPr="007F33F1">
              <w:t xml:space="preserve"> no difference in survival (since all patients are likely to eventually cycle through the same treatments over time due to the relapse</w:t>
            </w:r>
            <w:r w:rsidR="00D40FD4" w:rsidRPr="007F33F1">
              <w:t>-</w:t>
            </w:r>
            <w:r w:rsidR="00F0207A" w:rsidRPr="007F33F1">
              <w:t>remitting nature of WM)</w:t>
            </w:r>
            <w:r w:rsidRPr="007F33F1">
              <w:t xml:space="preserve"> is assumed</w:t>
            </w:r>
            <w:r w:rsidR="00F0207A" w:rsidRPr="007F33F1">
              <w:t>, the ICER increased significantly to $</w:t>
            </w:r>
            <w:r w:rsidR="00785E78">
              <w:rPr>
                <w:noProof/>
                <w:color w:val="000000"/>
                <w:highlight w:val="black"/>
              </w:rPr>
              <w:t>''''''''''''''''''</w:t>
            </w:r>
            <w:r w:rsidR="009943D7">
              <w:rPr>
                <w:vertAlign w:val="superscript"/>
              </w:rPr>
              <w:t>4</w:t>
            </w:r>
            <w:r w:rsidR="00F0207A" w:rsidRPr="007F33F1">
              <w:t xml:space="preserve"> and $</w:t>
            </w:r>
            <w:r w:rsidR="00785E78">
              <w:rPr>
                <w:noProof/>
                <w:color w:val="000000"/>
                <w:highlight w:val="black"/>
              </w:rPr>
              <w:t>''''''''''''''''''''</w:t>
            </w:r>
            <w:r w:rsidR="009943D7">
              <w:rPr>
                <w:vertAlign w:val="superscript"/>
              </w:rPr>
              <w:t>5</w:t>
            </w:r>
            <w:r w:rsidR="00F0207A" w:rsidRPr="007F33F1">
              <w:t xml:space="preserve"> per QALY gained in the TN and R/R models.</w:t>
            </w:r>
          </w:p>
        </w:tc>
      </w:tr>
      <w:tr w:rsidR="00F0207A" w:rsidRPr="007F33F1" w:rsidTr="00D40FD4">
        <w:trPr>
          <w:tblHeader/>
        </w:trPr>
        <w:tc>
          <w:tcPr>
            <w:tcW w:w="624"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ZANU treatment duration</w:t>
            </w:r>
          </w:p>
        </w:tc>
        <w:tc>
          <w:tcPr>
            <w:tcW w:w="156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Extrapolations of ASPEN TTD KM data and applied from cycle 1 of the model</w:t>
            </w:r>
          </w:p>
        </w:tc>
        <w:tc>
          <w:tcPr>
            <w:tcW w:w="280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pPr>
            <w:r w:rsidRPr="007F33F1">
              <w:t>Based on the extrapolations</w:t>
            </w:r>
            <w:r w:rsidR="0060011F" w:rsidRPr="007F33F1">
              <w:t>,</w:t>
            </w:r>
            <w:r w:rsidRPr="007F33F1">
              <w:t xml:space="preserve"> average treatment duration with ZANU was 7 years in the base case. This resulted in a high total cost for ZANU which drove incremental costs in the model, however, the approach still likely favoured ZANU as extrapolated TTD was always below PFS.</w:t>
            </w:r>
          </w:p>
        </w:tc>
      </w:tr>
    </w:tbl>
    <w:p w:rsidR="00F0207A" w:rsidRPr="007F33F1" w:rsidRDefault="00F0207A" w:rsidP="0047221E">
      <w:pPr>
        <w:pStyle w:val="TableFigureFooter"/>
        <w:keepNext/>
        <w:keepLines/>
      </w:pPr>
      <w:r w:rsidRPr="007F33F1">
        <w:t>Source: compiled during the evaluation</w:t>
      </w:r>
    </w:p>
    <w:p w:rsidR="00B450CF" w:rsidRPr="007F33F1" w:rsidRDefault="00B450CF" w:rsidP="0047221E">
      <w:pPr>
        <w:pStyle w:val="TableFigureFooter"/>
        <w:keepNext/>
        <w:keepLines/>
      </w:pPr>
      <w:r w:rsidRPr="007F33F1">
        <w:t xml:space="preserve">BR=bendamustine+rituximab, ICER=incremental cost effectiveness ratio, </w:t>
      </w:r>
      <w:r w:rsidR="00211D52" w:rsidRPr="007F33F1">
        <w:t xml:space="preserve">ITC=indirect treatment comparison, ITT=intention to treat, </w:t>
      </w:r>
      <w:r w:rsidRPr="007F33F1">
        <w:t xml:space="preserve">KM=Kaplan Meier, LY=life year, </w:t>
      </w:r>
      <w:r w:rsidR="00211D52" w:rsidRPr="007F33F1">
        <w:t xml:space="preserve">OS=overall survival, </w:t>
      </w:r>
      <w:r w:rsidRPr="007F33F1">
        <w:t>PFS</w:t>
      </w:r>
      <w:r w:rsidR="00211D52" w:rsidRPr="007F33F1">
        <w:t>=p</w:t>
      </w:r>
      <w:r w:rsidRPr="007F33F1">
        <w:t xml:space="preserve">rogression-free survival, </w:t>
      </w:r>
      <w:r w:rsidR="00211D52" w:rsidRPr="007F33F1">
        <w:t>QALY=quality adjusted life year, R/R=relapsed/refractory, Rm=rituximab monotherapy, TN=treatment naïve, TTD</w:t>
      </w:r>
      <w:r w:rsidRPr="007F33F1">
        <w:t>=time to discontinuation, WM=</w:t>
      </w:r>
      <w:r w:rsidR="00EF2438" w:rsidRPr="007F33F1">
        <w:t>Waldenström</w:t>
      </w:r>
      <w:r w:rsidRPr="007F33F1">
        <w:t xml:space="preserve"> macroglobulinaemia</w:t>
      </w:r>
      <w:r w:rsidR="00211D52" w:rsidRPr="007F33F1">
        <w:t>, ZANU=zanubrutinib.</w:t>
      </w:r>
    </w:p>
    <w:p w:rsidR="0047221E" w:rsidRDefault="00F0207A" w:rsidP="0047221E">
      <w:pPr>
        <w:pStyle w:val="TableFigureFooter"/>
        <w:keepNext/>
        <w:keepLines/>
      </w:pPr>
      <w:r w:rsidRPr="007F33F1">
        <w:t>*</w:t>
      </w:r>
      <w:r w:rsidRPr="007F33F1">
        <w:tab/>
        <w:t>Median follow-up reported</w:t>
      </w:r>
    </w:p>
    <w:p w:rsidR="00ED6857" w:rsidRDefault="00ED6857" w:rsidP="00ED6857">
      <w:pPr>
        <w:pStyle w:val="TableFigureFooter"/>
        <w:spacing w:after="0"/>
        <w:contextualSpacing w:val="0"/>
        <w:rPr>
          <w:i/>
        </w:rPr>
      </w:pPr>
      <w:r w:rsidRPr="009868C4">
        <w:rPr>
          <w:i/>
        </w:rPr>
        <w:t>The redacted values correspond to the following ranges</w:t>
      </w:r>
      <w:r>
        <w:rPr>
          <w:i/>
        </w:rPr>
        <w:t xml:space="preserve">: </w:t>
      </w:r>
    </w:p>
    <w:p w:rsidR="00ED6857" w:rsidRDefault="00ED6857" w:rsidP="00ED6857">
      <w:pPr>
        <w:pStyle w:val="TableFigureFooter"/>
        <w:spacing w:after="0"/>
        <w:contextualSpacing w:val="0"/>
        <w:rPr>
          <w:i/>
        </w:rPr>
      </w:pPr>
      <w:r>
        <w:rPr>
          <w:i/>
          <w:vertAlign w:val="superscript"/>
        </w:rPr>
        <w:t>1</w:t>
      </w:r>
      <w:r w:rsidR="00E03308">
        <w:rPr>
          <w:i/>
        </w:rPr>
        <w:t xml:space="preserve"> </w:t>
      </w:r>
      <w:r w:rsidRPr="00ED6857">
        <w:rPr>
          <w:i/>
        </w:rPr>
        <w:t>$75,000 to &lt; $95,000</w:t>
      </w:r>
    </w:p>
    <w:p w:rsidR="00ED6857" w:rsidRDefault="00ED6857" w:rsidP="00ED6857">
      <w:pPr>
        <w:pStyle w:val="TableFigureFooter"/>
        <w:spacing w:after="0"/>
        <w:contextualSpacing w:val="0"/>
        <w:rPr>
          <w:i/>
        </w:rPr>
      </w:pPr>
      <w:r>
        <w:rPr>
          <w:i/>
          <w:vertAlign w:val="superscript"/>
        </w:rPr>
        <w:t>2</w:t>
      </w:r>
      <w:r w:rsidR="00E03308">
        <w:rPr>
          <w:i/>
        </w:rPr>
        <w:t xml:space="preserve"> </w:t>
      </w:r>
      <w:r w:rsidRPr="00ED6857">
        <w:rPr>
          <w:i/>
        </w:rPr>
        <w:t>$55,000 to &lt; $75,000</w:t>
      </w:r>
    </w:p>
    <w:p w:rsidR="00ED6857" w:rsidRDefault="00ED6857" w:rsidP="00ED6857">
      <w:pPr>
        <w:pStyle w:val="TableFigureFooter"/>
        <w:spacing w:after="0"/>
        <w:contextualSpacing w:val="0"/>
        <w:rPr>
          <w:i/>
        </w:rPr>
      </w:pPr>
      <w:r>
        <w:rPr>
          <w:i/>
          <w:vertAlign w:val="superscript"/>
        </w:rPr>
        <w:t>3</w:t>
      </w:r>
      <w:r>
        <w:rPr>
          <w:i/>
        </w:rPr>
        <w:t xml:space="preserve"> $</w:t>
      </w:r>
      <w:r w:rsidR="009943D7" w:rsidRPr="009943D7">
        <w:rPr>
          <w:i/>
        </w:rPr>
        <w:t>95,000 to &lt; $115,000</w:t>
      </w:r>
    </w:p>
    <w:p w:rsidR="00ED6857" w:rsidRDefault="00ED6857" w:rsidP="00ED6857">
      <w:pPr>
        <w:pStyle w:val="TableFigureFooter"/>
        <w:spacing w:after="0"/>
        <w:contextualSpacing w:val="0"/>
        <w:rPr>
          <w:i/>
        </w:rPr>
      </w:pPr>
      <w:r>
        <w:rPr>
          <w:i/>
          <w:vertAlign w:val="superscript"/>
        </w:rPr>
        <w:t>4</w:t>
      </w:r>
      <w:r>
        <w:rPr>
          <w:i/>
        </w:rPr>
        <w:t xml:space="preserve"> $</w:t>
      </w:r>
      <w:r w:rsidR="009943D7" w:rsidRPr="009943D7">
        <w:rPr>
          <w:i/>
        </w:rPr>
        <w:t>455,000 to &lt; $555,000</w:t>
      </w:r>
    </w:p>
    <w:p w:rsidR="009943D7" w:rsidRDefault="009943D7" w:rsidP="009943D7">
      <w:pPr>
        <w:pStyle w:val="TableFigureFooter"/>
        <w:spacing w:after="0"/>
        <w:contextualSpacing w:val="0"/>
        <w:rPr>
          <w:i/>
        </w:rPr>
      </w:pPr>
      <w:r>
        <w:rPr>
          <w:i/>
          <w:vertAlign w:val="superscript"/>
        </w:rPr>
        <w:t>5</w:t>
      </w:r>
      <w:r>
        <w:rPr>
          <w:i/>
        </w:rPr>
        <w:t xml:space="preserve"> $</w:t>
      </w:r>
      <w:r w:rsidRPr="009943D7">
        <w:rPr>
          <w:i/>
        </w:rPr>
        <w:t>655,000 to &lt; $755,000</w:t>
      </w:r>
    </w:p>
    <w:p w:rsidR="00F0207A" w:rsidRPr="007F33F1" w:rsidRDefault="00F0207A" w:rsidP="0047221E">
      <w:pPr>
        <w:pStyle w:val="TableFigureFooter"/>
        <w:keepNext/>
        <w:keepLines/>
      </w:pPr>
    </w:p>
    <w:p w:rsidR="00F0207A" w:rsidRPr="007F33F1" w:rsidRDefault="00F0207A" w:rsidP="0047221E">
      <w:pPr>
        <w:pStyle w:val="3-BodyText"/>
        <w:keepLines/>
        <w:snapToGrid w:val="0"/>
      </w:pPr>
      <w:r w:rsidRPr="007F33F1">
        <w:t>Summary results of the cost-effectiveness model are presented below.</w:t>
      </w:r>
    </w:p>
    <w:p w:rsidR="00F0207A" w:rsidRPr="007F33F1" w:rsidRDefault="00F0207A" w:rsidP="0047221E">
      <w:pPr>
        <w:pStyle w:val="TableFigureHeading"/>
      </w:pPr>
      <w:r w:rsidRPr="007F33F1">
        <w:t xml:space="preserve">Table </w:t>
      </w:r>
      <w:r w:rsidR="00015997">
        <w:rPr>
          <w:noProof/>
        </w:rPr>
        <w:t>18</w:t>
      </w:r>
      <w:r w:rsidRPr="007F33F1">
        <w:t>: Results of the stepped economic evaluation</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43"/>
        <w:gridCol w:w="1424"/>
        <w:gridCol w:w="1447"/>
        <w:gridCol w:w="1429"/>
        <w:gridCol w:w="1416"/>
        <w:gridCol w:w="1137"/>
        <w:gridCol w:w="1271"/>
      </w:tblGrid>
      <w:tr w:rsidR="00546485" w:rsidRPr="007F33F1" w:rsidTr="00546485">
        <w:trPr>
          <w:tblHeader/>
        </w:trPr>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rPr>
                <w:lang w:val="en-AU"/>
              </w:rPr>
            </w:pPr>
            <w:r w:rsidRPr="007F33F1">
              <w:rPr>
                <w:lang w:val="en-AU"/>
              </w:rPr>
              <w:t>Model</w:t>
            </w:r>
          </w:p>
        </w:tc>
        <w:tc>
          <w:tcPr>
            <w:tcW w:w="2371" w:type="pct"/>
            <w:gridSpan w:val="3"/>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Treatment naïve</w:t>
            </w:r>
          </w:p>
        </w:tc>
        <w:tc>
          <w:tcPr>
            <w:tcW w:w="210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In-tableHeading"/>
              <w:jc w:val="center"/>
              <w:rPr>
                <w:lang w:val="en-AU"/>
              </w:rPr>
            </w:pPr>
            <w:r w:rsidRPr="007F33F1">
              <w:rPr>
                <w:lang w:val="en-AU"/>
              </w:rPr>
              <w:t>Relapse/refractory</w:t>
            </w:r>
          </w:p>
        </w:tc>
      </w:tr>
      <w:tr w:rsidR="00546485" w:rsidRPr="007F33F1" w:rsidTr="00546485">
        <w:trPr>
          <w:tblHeader/>
        </w:trPr>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rPr>
                <w:lang w:val="en-AU"/>
              </w:rPr>
            </w:pPr>
            <w:r w:rsidRPr="007F33F1">
              <w:rPr>
                <w:lang w:val="en-AU"/>
              </w:rPr>
              <w:t>Step and component</w:t>
            </w:r>
          </w:p>
        </w:tc>
        <w:tc>
          <w:tcPr>
            <w:tcW w:w="785"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ZANU</w:t>
            </w:r>
          </w:p>
        </w:tc>
        <w:tc>
          <w:tcPr>
            <w:tcW w:w="79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Rm</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Increment</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207A" w:rsidRPr="007F33F1" w:rsidRDefault="00F0207A" w:rsidP="0047221E">
            <w:pPr>
              <w:pStyle w:val="In-tableHeading"/>
              <w:jc w:val="center"/>
              <w:rPr>
                <w:lang w:val="en-AU"/>
              </w:rPr>
            </w:pPr>
            <w:r w:rsidRPr="007F33F1">
              <w:rPr>
                <w:lang w:val="en-AU"/>
              </w:rPr>
              <w:t>ZANU (matched)</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207A" w:rsidRPr="007F33F1" w:rsidRDefault="00F0207A" w:rsidP="0047221E">
            <w:pPr>
              <w:pStyle w:val="In-tableHeading"/>
              <w:jc w:val="center"/>
              <w:rPr>
                <w:lang w:val="en-AU"/>
              </w:rPr>
            </w:pPr>
            <w:r w:rsidRPr="007F33F1">
              <w:rPr>
                <w:lang w:val="en-AU"/>
              </w:rPr>
              <w:t>BR</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207A" w:rsidRPr="007F33F1" w:rsidRDefault="00F0207A" w:rsidP="0047221E">
            <w:pPr>
              <w:pStyle w:val="In-tableHeading"/>
              <w:jc w:val="center"/>
              <w:rPr>
                <w:lang w:val="en-AU"/>
              </w:rPr>
            </w:pPr>
            <w:r w:rsidRPr="007F33F1">
              <w:rPr>
                <w:lang w:val="en-AU"/>
              </w:rPr>
              <w:t>Increment</w:t>
            </w:r>
          </w:p>
        </w:tc>
      </w:tr>
      <w:tr w:rsidR="00546485" w:rsidRPr="007F33F1" w:rsidTr="00546485">
        <w:tc>
          <w:tcPr>
            <w:tcW w:w="2891" w:type="pct"/>
            <w:gridSpan w:val="4"/>
            <w:tcBorders>
              <w:top w:val="single" w:sz="4" w:space="0" w:color="auto"/>
              <w:left w:val="single" w:sz="4" w:space="0" w:color="auto"/>
              <w:bottom w:val="single" w:sz="4" w:space="0" w:color="auto"/>
              <w:right w:val="nil"/>
            </w:tcBorders>
            <w:vAlign w:val="center"/>
            <w:hideMark/>
          </w:tcPr>
          <w:p w:rsidR="00F0207A" w:rsidRPr="007F33F1" w:rsidRDefault="00F0207A" w:rsidP="0047221E">
            <w:pPr>
              <w:pStyle w:val="TableText0"/>
              <w:rPr>
                <w:b/>
              </w:rPr>
            </w:pPr>
            <w:r w:rsidRPr="007F33F1">
              <w:rPr>
                <w:b/>
              </w:rPr>
              <w:t>Step 1: Time horizon captures trial length (model set to 3 years)</w:t>
            </w:r>
          </w:p>
        </w:tc>
        <w:tc>
          <w:tcPr>
            <w:tcW w:w="781"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TableText0"/>
              <w:rPr>
                <w:b/>
              </w:rPr>
            </w:pPr>
          </w:p>
        </w:tc>
        <w:tc>
          <w:tcPr>
            <w:tcW w:w="627"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TableText0"/>
              <w:rPr>
                <w:b/>
              </w:rPr>
            </w:pPr>
          </w:p>
        </w:tc>
        <w:tc>
          <w:tcPr>
            <w:tcW w:w="701" w:type="pct"/>
            <w:tcBorders>
              <w:top w:val="single" w:sz="4" w:space="0" w:color="auto"/>
              <w:left w:val="nil"/>
              <w:bottom w:val="single" w:sz="4" w:space="0" w:color="auto"/>
              <w:right w:val="single" w:sz="4" w:space="0" w:color="auto"/>
            </w:tcBorders>
            <w:shd w:val="clear" w:color="auto" w:fill="F2F2F2" w:themeFill="background1" w:themeFillShade="F2"/>
          </w:tcPr>
          <w:p w:rsidR="00F0207A" w:rsidRPr="007F33F1" w:rsidRDefault="00F0207A" w:rsidP="0047221E">
            <w:pPr>
              <w:pStyle w:val="TableText0"/>
              <w:rPr>
                <w:b/>
              </w:rPr>
            </w:pP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Costs</w:t>
            </w:r>
          </w:p>
        </w:tc>
        <w:tc>
          <w:tcPr>
            <w:tcW w:w="78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98" w:type="pct"/>
            <w:tcBorders>
              <w:top w:val="single" w:sz="4" w:space="0" w:color="auto"/>
              <w:left w:val="single" w:sz="4" w:space="0" w:color="auto"/>
              <w:bottom w:val="single" w:sz="4" w:space="0" w:color="auto"/>
              <w:right w:val="single" w:sz="4" w:space="0" w:color="auto"/>
            </w:tcBorders>
            <w:hideMark/>
          </w:tcPr>
          <w:p w:rsidR="00F0207A" w:rsidRPr="009943D7" w:rsidRDefault="00F0207A" w:rsidP="009943D7">
            <w:pPr>
              <w:pStyle w:val="TableText0"/>
              <w:jc w:val="center"/>
              <w:rPr>
                <w:rFonts w:ascii="Times" w:hAnsi="Times"/>
                <w:vertAlign w:val="superscript"/>
              </w:rPr>
            </w:pPr>
            <w:r w:rsidRPr="007F33F1">
              <w:t>$32,799</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w:t>
            </w:r>
            <w:r w:rsidR="00785E78">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$53,011</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w:t>
            </w:r>
            <w:r w:rsidR="00785E78">
              <w:rPr>
                <w:noProof/>
                <w:color w:val="000000"/>
                <w:highlight w:val="black"/>
              </w:rPr>
              <w:t>'''''''''''''''</w:t>
            </w: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LYG</w:t>
            </w:r>
          </w:p>
        </w:tc>
        <w:tc>
          <w:tcPr>
            <w:tcW w:w="78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2.83</w:t>
            </w:r>
          </w:p>
        </w:tc>
        <w:tc>
          <w:tcPr>
            <w:tcW w:w="798"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2.54</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0.29</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2.84</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2.54</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0.30</w:t>
            </w:r>
          </w:p>
        </w:tc>
      </w:tr>
      <w:tr w:rsidR="00546485" w:rsidRPr="007F33F1" w:rsidTr="00546485">
        <w:tc>
          <w:tcPr>
            <w:tcW w:w="2103" w:type="pct"/>
            <w:gridSpan w:val="3"/>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right"/>
              <w:rPr>
                <w:rFonts w:ascii="Times" w:hAnsi="Times"/>
                <w:b/>
              </w:rPr>
            </w:pPr>
            <w:r w:rsidRPr="007F33F1">
              <w:rPr>
                <w:b/>
              </w:rPr>
              <w:t>Incremental cost/extra LY gained</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b/>
              </w:rPr>
            </w:pPr>
            <w:r w:rsidRPr="007F33F1">
              <w:rPr>
                <w:b/>
              </w:rPr>
              <w:t>$</w:t>
            </w:r>
            <w:r w:rsidR="00785E78">
              <w:rPr>
                <w:b/>
                <w:noProof/>
                <w:color w:val="000000"/>
                <w:highlight w:val="black"/>
              </w:rPr>
              <w:t>''''''''''''''</w:t>
            </w:r>
            <w:r w:rsidR="009943D7">
              <w:rPr>
                <w:vertAlign w:val="superscript"/>
              </w:rPr>
              <w:t>1</w:t>
            </w:r>
          </w:p>
        </w:tc>
        <w:tc>
          <w:tcPr>
            <w:tcW w:w="140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207A" w:rsidRPr="007F33F1" w:rsidRDefault="00F0207A" w:rsidP="0047221E">
            <w:pPr>
              <w:pStyle w:val="TableText0"/>
              <w:jc w:val="center"/>
            </w:pP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rPr>
                <w:b/>
              </w:rPr>
            </w:pPr>
            <w:r w:rsidRPr="007F33F1">
              <w:rPr>
                <w:b/>
              </w:rPr>
              <w:t>$</w:t>
            </w:r>
            <w:r w:rsidR="00785E78">
              <w:rPr>
                <w:b/>
                <w:noProof/>
                <w:color w:val="000000"/>
                <w:highlight w:val="black"/>
              </w:rPr>
              <w:t>'''''''''''''''</w:t>
            </w:r>
            <w:r w:rsidR="009943D7">
              <w:rPr>
                <w:vertAlign w:val="superscript"/>
              </w:rPr>
              <w:t>1</w:t>
            </w:r>
          </w:p>
        </w:tc>
      </w:tr>
      <w:tr w:rsidR="00546485" w:rsidRPr="007F33F1" w:rsidTr="00546485">
        <w:tc>
          <w:tcPr>
            <w:tcW w:w="2891" w:type="pct"/>
            <w:gridSpan w:val="4"/>
            <w:tcBorders>
              <w:top w:val="single" w:sz="4" w:space="0" w:color="auto"/>
              <w:left w:val="single" w:sz="4" w:space="0" w:color="auto"/>
              <w:bottom w:val="single" w:sz="4" w:space="0" w:color="auto"/>
              <w:right w:val="nil"/>
            </w:tcBorders>
            <w:vAlign w:val="center"/>
            <w:hideMark/>
          </w:tcPr>
          <w:p w:rsidR="00F0207A" w:rsidRPr="007F33F1" w:rsidRDefault="00F0207A" w:rsidP="0047221E">
            <w:pPr>
              <w:pStyle w:val="In-tableHeading"/>
              <w:rPr>
                <w:lang w:val="en-AU"/>
              </w:rPr>
            </w:pPr>
            <w:r w:rsidRPr="007F33F1">
              <w:rPr>
                <w:lang w:val="en-AU"/>
              </w:rPr>
              <w:t xml:space="preserve">Step 2: </w:t>
            </w:r>
            <w:r w:rsidR="00546485" w:rsidRPr="007F33F1">
              <w:rPr>
                <w:lang w:val="en-AU"/>
              </w:rPr>
              <w:t>T</w:t>
            </w:r>
            <w:r w:rsidRPr="007F33F1">
              <w:rPr>
                <w:lang w:val="en-AU"/>
              </w:rPr>
              <w:t>ime horizon extended to 20 years</w:t>
            </w:r>
          </w:p>
        </w:tc>
        <w:tc>
          <w:tcPr>
            <w:tcW w:w="781"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In-tableHeading"/>
              <w:rPr>
                <w:lang w:val="en-AU"/>
              </w:rPr>
            </w:pPr>
          </w:p>
        </w:tc>
        <w:tc>
          <w:tcPr>
            <w:tcW w:w="627"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In-tableHeading"/>
              <w:rPr>
                <w:lang w:val="en-AU"/>
              </w:rPr>
            </w:pPr>
          </w:p>
        </w:tc>
        <w:tc>
          <w:tcPr>
            <w:tcW w:w="701" w:type="pct"/>
            <w:tcBorders>
              <w:top w:val="single" w:sz="4" w:space="0" w:color="auto"/>
              <w:left w:val="nil"/>
              <w:bottom w:val="single" w:sz="4" w:space="0" w:color="auto"/>
              <w:right w:val="single" w:sz="4" w:space="0" w:color="auto"/>
            </w:tcBorders>
            <w:shd w:val="clear" w:color="auto" w:fill="F2F2F2" w:themeFill="background1" w:themeFillShade="F2"/>
          </w:tcPr>
          <w:p w:rsidR="00F0207A" w:rsidRPr="007F33F1" w:rsidRDefault="00F0207A" w:rsidP="0047221E">
            <w:pPr>
              <w:pStyle w:val="In-tableHeading"/>
              <w:rPr>
                <w:lang w:val="en-AU"/>
              </w:rPr>
            </w:pP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Costs</w:t>
            </w:r>
          </w:p>
        </w:tc>
        <w:tc>
          <w:tcPr>
            <w:tcW w:w="78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98"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$79,845</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w:t>
            </w:r>
            <w:r w:rsidR="00785E78">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$100,057</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w:t>
            </w:r>
            <w:r w:rsidR="00785E78">
              <w:rPr>
                <w:noProof/>
                <w:color w:val="000000"/>
                <w:highlight w:val="black"/>
              </w:rPr>
              <w:t>'''''''''''''''''''''</w:t>
            </w: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LYG</w:t>
            </w:r>
          </w:p>
        </w:tc>
        <w:tc>
          <w:tcPr>
            <w:tcW w:w="78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13.57</w:t>
            </w:r>
          </w:p>
        </w:tc>
        <w:tc>
          <w:tcPr>
            <w:tcW w:w="798"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7.69</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5.88</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13.79</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7.69</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6.10</w:t>
            </w:r>
          </w:p>
        </w:tc>
      </w:tr>
      <w:tr w:rsidR="00546485" w:rsidRPr="007F33F1" w:rsidTr="00546485">
        <w:tc>
          <w:tcPr>
            <w:tcW w:w="2103" w:type="pct"/>
            <w:gridSpan w:val="3"/>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right"/>
              <w:rPr>
                <w:rFonts w:ascii="Times" w:hAnsi="Times"/>
                <w:b/>
              </w:rPr>
            </w:pPr>
            <w:r w:rsidRPr="007F33F1">
              <w:rPr>
                <w:b/>
              </w:rPr>
              <w:t>Incremental cost/extra LY gained</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b/>
              </w:rPr>
            </w:pPr>
            <w:r w:rsidRPr="007F33F1">
              <w:rPr>
                <w:b/>
              </w:rPr>
              <w:t>$</w:t>
            </w:r>
            <w:r w:rsidR="00785E78">
              <w:rPr>
                <w:b/>
                <w:noProof/>
                <w:color w:val="000000"/>
                <w:highlight w:val="black"/>
              </w:rPr>
              <w:t>'''''''''''''''</w:t>
            </w:r>
            <w:r w:rsidR="009943D7">
              <w:rPr>
                <w:vertAlign w:val="superscript"/>
              </w:rPr>
              <w:t>2</w:t>
            </w:r>
          </w:p>
        </w:tc>
        <w:tc>
          <w:tcPr>
            <w:tcW w:w="140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207A" w:rsidRPr="007F33F1" w:rsidRDefault="00F0207A" w:rsidP="0047221E">
            <w:pPr>
              <w:pStyle w:val="TableText0"/>
              <w:jc w:val="center"/>
            </w:pP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rPr>
                <w:b/>
              </w:rPr>
            </w:pPr>
            <w:r w:rsidRPr="007F33F1">
              <w:rPr>
                <w:b/>
              </w:rPr>
              <w:t>$</w:t>
            </w:r>
            <w:r w:rsidR="00785E78">
              <w:rPr>
                <w:b/>
                <w:noProof/>
                <w:color w:val="000000"/>
                <w:highlight w:val="black"/>
              </w:rPr>
              <w:t>'''''''''''''</w:t>
            </w:r>
            <w:r w:rsidR="009943D7">
              <w:rPr>
                <w:vertAlign w:val="superscript"/>
              </w:rPr>
              <w:t>3</w:t>
            </w:r>
          </w:p>
        </w:tc>
      </w:tr>
      <w:tr w:rsidR="00546485" w:rsidRPr="007F33F1" w:rsidTr="00546485">
        <w:tc>
          <w:tcPr>
            <w:tcW w:w="2891" w:type="pct"/>
            <w:gridSpan w:val="4"/>
            <w:tcBorders>
              <w:top w:val="single" w:sz="4" w:space="0" w:color="auto"/>
              <w:left w:val="single" w:sz="4" w:space="0" w:color="auto"/>
              <w:bottom w:val="single" w:sz="4" w:space="0" w:color="auto"/>
              <w:right w:val="nil"/>
            </w:tcBorders>
            <w:vAlign w:val="center"/>
            <w:hideMark/>
          </w:tcPr>
          <w:p w:rsidR="00F0207A" w:rsidRPr="007F33F1" w:rsidRDefault="00F0207A" w:rsidP="0047221E">
            <w:pPr>
              <w:pStyle w:val="In-tableHeading"/>
              <w:rPr>
                <w:lang w:val="en-AU"/>
              </w:rPr>
            </w:pPr>
            <w:r w:rsidRPr="007F33F1">
              <w:rPr>
                <w:lang w:val="en-AU"/>
              </w:rPr>
              <w:t xml:space="preserve">Step 3: </w:t>
            </w:r>
            <w:r w:rsidR="00546485" w:rsidRPr="007F33F1">
              <w:rPr>
                <w:lang w:val="en-AU"/>
              </w:rPr>
              <w:t>D</w:t>
            </w:r>
            <w:r w:rsidRPr="007F33F1">
              <w:rPr>
                <w:lang w:val="en-AU"/>
              </w:rPr>
              <w:t>iscounting (5%) included</w:t>
            </w:r>
          </w:p>
        </w:tc>
        <w:tc>
          <w:tcPr>
            <w:tcW w:w="781"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In-tableHeading"/>
              <w:rPr>
                <w:lang w:val="en-AU"/>
              </w:rPr>
            </w:pPr>
          </w:p>
        </w:tc>
        <w:tc>
          <w:tcPr>
            <w:tcW w:w="627"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In-tableHeading"/>
              <w:rPr>
                <w:lang w:val="en-AU"/>
              </w:rPr>
            </w:pPr>
          </w:p>
        </w:tc>
        <w:tc>
          <w:tcPr>
            <w:tcW w:w="701" w:type="pct"/>
            <w:tcBorders>
              <w:top w:val="single" w:sz="4" w:space="0" w:color="auto"/>
              <w:left w:val="nil"/>
              <w:bottom w:val="single" w:sz="4" w:space="0" w:color="auto"/>
              <w:right w:val="single" w:sz="4" w:space="0" w:color="auto"/>
            </w:tcBorders>
            <w:shd w:val="clear" w:color="auto" w:fill="F2F2F2" w:themeFill="background1" w:themeFillShade="F2"/>
          </w:tcPr>
          <w:p w:rsidR="00F0207A" w:rsidRPr="007F33F1" w:rsidRDefault="00F0207A" w:rsidP="0047221E">
            <w:pPr>
              <w:pStyle w:val="In-tableHeading"/>
              <w:rPr>
                <w:lang w:val="en-AU"/>
              </w:rPr>
            </w:pP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Costs</w:t>
            </w:r>
          </w:p>
        </w:tc>
        <w:tc>
          <w:tcPr>
            <w:tcW w:w="78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98"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$63,866</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w:t>
            </w:r>
            <w:r w:rsidR="00785E78">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$84,079</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85E78" w:rsidRDefault="00F0207A" w:rsidP="0047221E">
            <w:pPr>
              <w:pStyle w:val="TableText0"/>
              <w:jc w:val="center"/>
            </w:pPr>
            <w:r w:rsidRPr="009943D7">
              <w:t>$</w:t>
            </w:r>
            <w:r w:rsidR="00785E78">
              <w:rPr>
                <w:noProof/>
                <w:color w:val="000000"/>
                <w:highlight w:val="black"/>
              </w:rPr>
              <w:t>'''''''''''''''''''''</w:t>
            </w: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LYG</w:t>
            </w:r>
          </w:p>
        </w:tc>
        <w:tc>
          <w:tcPr>
            <w:tcW w:w="78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9.54</w:t>
            </w:r>
          </w:p>
        </w:tc>
        <w:tc>
          <w:tcPr>
            <w:tcW w:w="798"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5.95</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3.60</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9.68</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5.95</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3.73</w:t>
            </w:r>
          </w:p>
        </w:tc>
      </w:tr>
      <w:tr w:rsidR="00546485" w:rsidRPr="007F33F1" w:rsidTr="00546485">
        <w:tc>
          <w:tcPr>
            <w:tcW w:w="2103" w:type="pct"/>
            <w:gridSpan w:val="3"/>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right"/>
              <w:rPr>
                <w:rFonts w:ascii="Times" w:hAnsi="Times"/>
                <w:b/>
              </w:rPr>
            </w:pPr>
            <w:r w:rsidRPr="007F33F1">
              <w:rPr>
                <w:b/>
              </w:rPr>
              <w:t>Incremental cost/extra LY gained</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b/>
              </w:rPr>
            </w:pPr>
            <w:r w:rsidRPr="007F33F1">
              <w:rPr>
                <w:b/>
              </w:rPr>
              <w:t>$</w:t>
            </w:r>
            <w:r w:rsidR="00785E78">
              <w:rPr>
                <w:b/>
                <w:noProof/>
                <w:color w:val="000000"/>
                <w:highlight w:val="black"/>
              </w:rPr>
              <w:t>'''''''''''''</w:t>
            </w:r>
            <w:r w:rsidR="00283957">
              <w:rPr>
                <w:vertAlign w:val="superscript"/>
              </w:rPr>
              <w:t>2</w:t>
            </w:r>
          </w:p>
        </w:tc>
        <w:tc>
          <w:tcPr>
            <w:tcW w:w="781" w:type="pct"/>
            <w:tcBorders>
              <w:top w:val="single" w:sz="4" w:space="0" w:color="auto"/>
              <w:left w:val="single" w:sz="4" w:space="0" w:color="auto"/>
              <w:bottom w:val="single" w:sz="4" w:space="0" w:color="auto"/>
              <w:right w:val="nil"/>
            </w:tcBorders>
            <w:shd w:val="clear" w:color="auto" w:fill="F2F2F2" w:themeFill="background1" w:themeFillShade="F2"/>
          </w:tcPr>
          <w:p w:rsidR="00F0207A" w:rsidRPr="007F33F1" w:rsidRDefault="00F0207A" w:rsidP="0047221E">
            <w:pPr>
              <w:pStyle w:val="TableText0"/>
              <w:jc w:val="center"/>
            </w:pPr>
          </w:p>
        </w:tc>
        <w:tc>
          <w:tcPr>
            <w:tcW w:w="627" w:type="pct"/>
            <w:tcBorders>
              <w:top w:val="single" w:sz="4" w:space="0" w:color="auto"/>
              <w:left w:val="nil"/>
              <w:bottom w:val="single" w:sz="4" w:space="0" w:color="auto"/>
              <w:right w:val="single" w:sz="4" w:space="0" w:color="auto"/>
            </w:tcBorders>
            <w:shd w:val="clear" w:color="auto" w:fill="F2F2F2" w:themeFill="background1" w:themeFillShade="F2"/>
          </w:tcPr>
          <w:p w:rsidR="00F0207A" w:rsidRPr="007F33F1" w:rsidRDefault="00F0207A" w:rsidP="0047221E">
            <w:pPr>
              <w:pStyle w:val="TableText0"/>
              <w:jc w:val="center"/>
            </w:pP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rPr>
                <w:b/>
              </w:rPr>
            </w:pPr>
            <w:r w:rsidRPr="007F33F1">
              <w:rPr>
                <w:b/>
              </w:rPr>
              <w:t>$</w:t>
            </w:r>
            <w:r w:rsidR="00785E78">
              <w:rPr>
                <w:b/>
                <w:noProof/>
                <w:color w:val="000000"/>
                <w:highlight w:val="black"/>
              </w:rPr>
              <w:t>'''''''''''''</w:t>
            </w:r>
            <w:r w:rsidR="00283957">
              <w:rPr>
                <w:vertAlign w:val="superscript"/>
              </w:rPr>
              <w:t>2</w:t>
            </w:r>
          </w:p>
        </w:tc>
      </w:tr>
      <w:tr w:rsidR="00546485" w:rsidRPr="007F33F1" w:rsidTr="00546485">
        <w:tc>
          <w:tcPr>
            <w:tcW w:w="2891" w:type="pct"/>
            <w:gridSpan w:val="4"/>
            <w:tcBorders>
              <w:top w:val="single" w:sz="4" w:space="0" w:color="auto"/>
              <w:left w:val="single" w:sz="4" w:space="0" w:color="auto"/>
              <w:bottom w:val="single" w:sz="4" w:space="0" w:color="auto"/>
              <w:right w:val="nil"/>
            </w:tcBorders>
            <w:vAlign w:val="center"/>
            <w:hideMark/>
          </w:tcPr>
          <w:p w:rsidR="00F0207A" w:rsidRPr="007F33F1" w:rsidRDefault="00F0207A" w:rsidP="0047221E">
            <w:pPr>
              <w:pStyle w:val="In-tableHeading"/>
              <w:rPr>
                <w:lang w:val="en-AU"/>
              </w:rPr>
            </w:pPr>
            <w:r w:rsidRPr="007F33F1">
              <w:rPr>
                <w:lang w:val="en-AU"/>
              </w:rPr>
              <w:t xml:space="preserve">Step 4: </w:t>
            </w:r>
            <w:r w:rsidR="00546485" w:rsidRPr="007F33F1">
              <w:rPr>
                <w:lang w:val="en-AU"/>
              </w:rPr>
              <w:t>U</w:t>
            </w:r>
            <w:r w:rsidRPr="007F33F1">
              <w:rPr>
                <w:lang w:val="en-AU"/>
              </w:rPr>
              <w:t>tility weights applied</w:t>
            </w:r>
          </w:p>
        </w:tc>
        <w:tc>
          <w:tcPr>
            <w:tcW w:w="781"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In-tableHeading"/>
              <w:rPr>
                <w:lang w:val="en-AU"/>
              </w:rPr>
            </w:pPr>
          </w:p>
        </w:tc>
        <w:tc>
          <w:tcPr>
            <w:tcW w:w="627"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In-tableHeading"/>
              <w:rPr>
                <w:lang w:val="en-AU"/>
              </w:rPr>
            </w:pPr>
          </w:p>
        </w:tc>
        <w:tc>
          <w:tcPr>
            <w:tcW w:w="701" w:type="pct"/>
            <w:tcBorders>
              <w:top w:val="single" w:sz="4" w:space="0" w:color="auto"/>
              <w:left w:val="nil"/>
              <w:bottom w:val="single" w:sz="4" w:space="0" w:color="auto"/>
              <w:right w:val="single" w:sz="4" w:space="0" w:color="auto"/>
            </w:tcBorders>
            <w:shd w:val="clear" w:color="auto" w:fill="F2F2F2" w:themeFill="background1" w:themeFillShade="F2"/>
          </w:tcPr>
          <w:p w:rsidR="00F0207A" w:rsidRPr="007F33F1" w:rsidRDefault="00F0207A" w:rsidP="0047221E">
            <w:pPr>
              <w:pStyle w:val="In-tableHeading"/>
              <w:rPr>
                <w:lang w:val="en-AU"/>
              </w:rPr>
            </w:pP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Costs</w:t>
            </w:r>
          </w:p>
        </w:tc>
        <w:tc>
          <w:tcPr>
            <w:tcW w:w="78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98"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jc w:val="center"/>
              <w:rPr>
                <w:rFonts w:ascii="Times" w:hAnsi="Times"/>
              </w:rPr>
            </w:pPr>
            <w:r w:rsidRPr="007F33F1">
              <w:t>$63,866</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rPr>
            </w:pPr>
            <w:r w:rsidRPr="007F33F1">
              <w:t>$</w:t>
            </w:r>
            <w:r w:rsidR="00785E78">
              <w:rPr>
                <w:noProof/>
                <w:color w:val="00000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w:t>
            </w:r>
            <w:r w:rsidR="00785E78">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$84,079</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w:t>
            </w:r>
            <w:r w:rsidR="00785E78">
              <w:rPr>
                <w:noProof/>
                <w:color w:val="000000"/>
                <w:highlight w:val="black"/>
              </w:rPr>
              <w:t>'''''''''''''''''''</w:t>
            </w:r>
          </w:p>
        </w:tc>
      </w:tr>
      <w:tr w:rsidR="00546485" w:rsidRPr="007F33F1" w:rsidTr="00546485">
        <w:tc>
          <w:tcPr>
            <w:tcW w:w="52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rPr>
                <w:rFonts w:ascii="Times" w:hAnsi="Times"/>
              </w:rPr>
            </w:pPr>
            <w:r w:rsidRPr="007F33F1">
              <w:t>QALYs</w:t>
            </w:r>
          </w:p>
        </w:tc>
        <w:tc>
          <w:tcPr>
            <w:tcW w:w="785"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rPr>
            </w:pPr>
            <w:r w:rsidRPr="007F33F1">
              <w:t>7.37</w:t>
            </w:r>
          </w:p>
        </w:tc>
        <w:tc>
          <w:tcPr>
            <w:tcW w:w="798"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rPr>
            </w:pPr>
            <w:r w:rsidRPr="007F33F1">
              <w:t>4.32</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3.04</w:t>
            </w:r>
          </w:p>
        </w:tc>
        <w:tc>
          <w:tcPr>
            <w:tcW w:w="7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7.42</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4.52</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pPr>
            <w:r w:rsidRPr="007F33F1">
              <w:t>2.90</w:t>
            </w:r>
          </w:p>
        </w:tc>
      </w:tr>
      <w:tr w:rsidR="00546485" w:rsidRPr="007F33F1" w:rsidTr="00546485">
        <w:tc>
          <w:tcPr>
            <w:tcW w:w="2103" w:type="pct"/>
            <w:gridSpan w:val="3"/>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right"/>
              <w:rPr>
                <w:rFonts w:ascii="Times" w:hAnsi="Times"/>
                <w:b/>
              </w:rPr>
            </w:pPr>
            <w:r w:rsidRPr="007F33F1">
              <w:rPr>
                <w:b/>
              </w:rPr>
              <w:t>Incremental cost/extra QALY gained (base case)</w:t>
            </w:r>
          </w:p>
        </w:tc>
        <w:tc>
          <w:tcPr>
            <w:tcW w:w="787"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rPr>
                <w:rFonts w:ascii="Times" w:hAnsi="Times"/>
                <w:b/>
              </w:rPr>
            </w:pPr>
            <w:r w:rsidRPr="007F33F1">
              <w:rPr>
                <w:b/>
              </w:rPr>
              <w:t>$</w:t>
            </w:r>
            <w:r w:rsidR="00785E78">
              <w:rPr>
                <w:b/>
                <w:noProof/>
                <w:color w:val="000000"/>
                <w:highlight w:val="black"/>
              </w:rPr>
              <w:t>'''''''''''''''</w:t>
            </w:r>
            <w:r w:rsidR="00283957">
              <w:rPr>
                <w:vertAlign w:val="superscript"/>
              </w:rPr>
              <w:t>4</w:t>
            </w:r>
          </w:p>
        </w:tc>
        <w:tc>
          <w:tcPr>
            <w:tcW w:w="781" w:type="pct"/>
            <w:tcBorders>
              <w:top w:val="single" w:sz="4" w:space="0" w:color="auto"/>
              <w:left w:val="single" w:sz="4" w:space="0" w:color="auto"/>
              <w:bottom w:val="single" w:sz="4" w:space="0" w:color="auto"/>
              <w:right w:val="nil"/>
            </w:tcBorders>
            <w:shd w:val="clear" w:color="auto" w:fill="F2F2F2" w:themeFill="background1" w:themeFillShade="F2"/>
          </w:tcPr>
          <w:p w:rsidR="00F0207A" w:rsidRPr="007F33F1" w:rsidRDefault="00F0207A" w:rsidP="0047221E">
            <w:pPr>
              <w:pStyle w:val="TableText0"/>
              <w:jc w:val="center"/>
              <w:rPr>
                <w:b/>
              </w:rPr>
            </w:pPr>
          </w:p>
        </w:tc>
        <w:tc>
          <w:tcPr>
            <w:tcW w:w="627" w:type="pct"/>
            <w:tcBorders>
              <w:top w:val="single" w:sz="4" w:space="0" w:color="auto"/>
              <w:left w:val="nil"/>
              <w:bottom w:val="single" w:sz="4" w:space="0" w:color="auto"/>
              <w:right w:val="nil"/>
            </w:tcBorders>
            <w:shd w:val="clear" w:color="auto" w:fill="F2F2F2" w:themeFill="background1" w:themeFillShade="F2"/>
          </w:tcPr>
          <w:p w:rsidR="00F0207A" w:rsidRPr="007F33F1" w:rsidRDefault="00F0207A" w:rsidP="0047221E">
            <w:pPr>
              <w:pStyle w:val="TableText0"/>
              <w:jc w:val="center"/>
              <w:rPr>
                <w:b/>
              </w:rPr>
            </w:pPr>
          </w:p>
        </w:tc>
        <w:tc>
          <w:tcPr>
            <w:tcW w:w="701" w:type="pct"/>
            <w:tcBorders>
              <w:top w:val="single" w:sz="4" w:space="0" w:color="auto"/>
              <w:left w:val="nil"/>
              <w:bottom w:val="single" w:sz="4" w:space="0" w:color="auto"/>
              <w:right w:val="single" w:sz="4" w:space="0" w:color="auto"/>
            </w:tcBorders>
            <w:shd w:val="clear" w:color="auto" w:fill="F2F2F2" w:themeFill="background1" w:themeFillShade="F2"/>
            <w:hideMark/>
          </w:tcPr>
          <w:p w:rsidR="00F0207A" w:rsidRPr="007F33F1" w:rsidRDefault="00F0207A" w:rsidP="0047221E">
            <w:pPr>
              <w:pStyle w:val="TableText0"/>
              <w:jc w:val="center"/>
              <w:rPr>
                <w:b/>
              </w:rPr>
            </w:pPr>
            <w:r w:rsidRPr="007F33F1">
              <w:rPr>
                <w:b/>
              </w:rPr>
              <w:t>$</w:t>
            </w:r>
            <w:r w:rsidR="00785E78">
              <w:rPr>
                <w:b/>
                <w:noProof/>
                <w:color w:val="000000"/>
                <w:highlight w:val="black"/>
              </w:rPr>
              <w:t>''''''''''''''</w:t>
            </w:r>
            <w:r w:rsidR="00283957">
              <w:rPr>
                <w:vertAlign w:val="superscript"/>
              </w:rPr>
              <w:t>4</w:t>
            </w:r>
          </w:p>
        </w:tc>
      </w:tr>
    </w:tbl>
    <w:p w:rsidR="00F0207A" w:rsidRPr="007F33F1" w:rsidRDefault="00F0207A" w:rsidP="0047221E">
      <w:pPr>
        <w:pStyle w:val="TableFigureFooter"/>
      </w:pPr>
      <w:r w:rsidRPr="007F33F1">
        <w:t xml:space="preserve">Source: Calculated during the evaluation using Excel model </w:t>
      </w:r>
      <w:r w:rsidRPr="007F33F1">
        <w:rPr>
          <w:rFonts w:cs="Times New Roman"/>
          <w:szCs w:val="18"/>
          <w:lang w:eastAsia="en-GB"/>
        </w:rPr>
        <w:t>‘Section3_CEM_Zanubrutinib_WM_Final_Rm_PFS_Toggle.xlsm’</w:t>
      </w:r>
      <w:r w:rsidRPr="007F33F1">
        <w:t xml:space="preserve"> </w:t>
      </w:r>
    </w:p>
    <w:p w:rsidR="00F0207A" w:rsidRDefault="00F0207A" w:rsidP="0047221E">
      <w:pPr>
        <w:pStyle w:val="TableFigureFooter"/>
      </w:pPr>
      <w:r w:rsidRPr="007F33F1">
        <w:t>BR=bendamustine+rituximab, LY=life years, QALY=quality adjusted life years, Rm=rituximab monotherapy, ZANU=zanubrutinib</w:t>
      </w:r>
    </w:p>
    <w:p w:rsidR="009943D7" w:rsidRDefault="009943D7" w:rsidP="009943D7">
      <w:pPr>
        <w:pStyle w:val="TableFigureFooter"/>
        <w:spacing w:after="0"/>
        <w:contextualSpacing w:val="0"/>
        <w:rPr>
          <w:i/>
        </w:rPr>
      </w:pPr>
      <w:r w:rsidRPr="009868C4">
        <w:rPr>
          <w:i/>
        </w:rPr>
        <w:t>The redacted values correspond to the following ranges</w:t>
      </w:r>
      <w:r>
        <w:rPr>
          <w:i/>
        </w:rPr>
        <w:t xml:space="preserve">: </w:t>
      </w:r>
    </w:p>
    <w:p w:rsidR="009943D7" w:rsidRDefault="009943D7" w:rsidP="009943D7">
      <w:pPr>
        <w:pStyle w:val="TableFigureFooter"/>
        <w:spacing w:after="0"/>
        <w:contextualSpacing w:val="0"/>
        <w:rPr>
          <w:i/>
        </w:rPr>
      </w:pPr>
      <w:r>
        <w:rPr>
          <w:i/>
          <w:vertAlign w:val="superscript"/>
        </w:rPr>
        <w:t>1</w:t>
      </w:r>
      <w:r>
        <w:rPr>
          <w:i/>
        </w:rPr>
        <w:t xml:space="preserve"> $</w:t>
      </w:r>
      <w:r w:rsidRPr="009943D7">
        <w:rPr>
          <w:i/>
        </w:rPr>
        <w:t>255,000 to &lt; $355,000</w:t>
      </w:r>
    </w:p>
    <w:p w:rsidR="009943D7" w:rsidRDefault="009943D7" w:rsidP="009943D7">
      <w:pPr>
        <w:pStyle w:val="TableFigureFooter"/>
        <w:spacing w:after="0"/>
        <w:contextualSpacing w:val="0"/>
        <w:rPr>
          <w:i/>
        </w:rPr>
      </w:pPr>
      <w:r>
        <w:rPr>
          <w:i/>
          <w:vertAlign w:val="superscript"/>
        </w:rPr>
        <w:t>2</w:t>
      </w:r>
      <w:r>
        <w:rPr>
          <w:i/>
        </w:rPr>
        <w:t xml:space="preserve"> $</w:t>
      </w:r>
      <w:r w:rsidRPr="009943D7">
        <w:rPr>
          <w:i/>
        </w:rPr>
        <w:t>55,000 to &lt; $75,000</w:t>
      </w:r>
    </w:p>
    <w:p w:rsidR="009943D7" w:rsidRDefault="009943D7" w:rsidP="009943D7">
      <w:pPr>
        <w:pStyle w:val="TableFigureFooter"/>
        <w:spacing w:after="0"/>
        <w:contextualSpacing w:val="0"/>
        <w:rPr>
          <w:i/>
        </w:rPr>
      </w:pPr>
      <w:r>
        <w:rPr>
          <w:i/>
          <w:vertAlign w:val="superscript"/>
        </w:rPr>
        <w:t>3</w:t>
      </w:r>
      <w:r>
        <w:rPr>
          <w:i/>
        </w:rPr>
        <w:t xml:space="preserve"> $</w:t>
      </w:r>
      <w:r w:rsidRPr="009943D7">
        <w:rPr>
          <w:i/>
        </w:rPr>
        <w:t>45,000 to &lt; $55,000</w:t>
      </w:r>
    </w:p>
    <w:p w:rsidR="009943D7" w:rsidRDefault="009943D7" w:rsidP="009943D7">
      <w:pPr>
        <w:pStyle w:val="TableFigureFooter"/>
        <w:spacing w:after="0"/>
        <w:contextualSpacing w:val="0"/>
        <w:rPr>
          <w:i/>
        </w:rPr>
      </w:pPr>
      <w:r>
        <w:rPr>
          <w:i/>
          <w:vertAlign w:val="superscript"/>
        </w:rPr>
        <w:t>4</w:t>
      </w:r>
      <w:r>
        <w:rPr>
          <w:i/>
        </w:rPr>
        <w:t xml:space="preserve"> $</w:t>
      </w:r>
      <w:r w:rsidRPr="009943D7">
        <w:rPr>
          <w:i/>
        </w:rPr>
        <w:t>75,000 to &lt; $95,000</w:t>
      </w:r>
    </w:p>
    <w:p w:rsidR="009943D7" w:rsidRPr="009A4E42" w:rsidRDefault="009943D7" w:rsidP="009943D7">
      <w:pPr>
        <w:pStyle w:val="TableFigureFooter"/>
        <w:spacing w:after="0"/>
        <w:contextualSpacing w:val="0"/>
      </w:pPr>
    </w:p>
    <w:p w:rsidR="009943D7" w:rsidRPr="007F33F1" w:rsidRDefault="009943D7" w:rsidP="0047221E">
      <w:pPr>
        <w:pStyle w:val="TableFigureFooter"/>
      </w:pPr>
    </w:p>
    <w:p w:rsidR="00F0207A" w:rsidRPr="007F33F1" w:rsidRDefault="00F0207A" w:rsidP="0047221E">
      <w:pPr>
        <w:pStyle w:val="3-BodyText"/>
        <w:snapToGrid w:val="0"/>
      </w:pPr>
      <w:r w:rsidRPr="007F33F1">
        <w:t xml:space="preserve">Average treatment with </w:t>
      </w:r>
      <w:r w:rsidR="00BE77FA" w:rsidRPr="007F33F1">
        <w:t xml:space="preserve">zanubrutinib </w:t>
      </w:r>
      <w:r w:rsidRPr="007F33F1">
        <w:t xml:space="preserve">in the model </w:t>
      </w:r>
      <w:r w:rsidRPr="00C607F1">
        <w:t>was 7.0 years</w:t>
      </w:r>
      <w:r w:rsidRPr="007F33F1">
        <w:t xml:space="preserve"> in the base case, with benefits of </w:t>
      </w:r>
      <w:r w:rsidR="00BE77FA" w:rsidRPr="007F33F1">
        <w:t>zanubrutinib</w:t>
      </w:r>
      <w:r w:rsidRPr="007F33F1">
        <w:t xml:space="preserve"> assumed to extend beyond treatment to incremental undiscounted Life Years (L</w:t>
      </w:r>
      <w:r w:rsidR="00590AF4" w:rsidRPr="007F33F1">
        <w:t>Y</w:t>
      </w:r>
      <w:r w:rsidRPr="007F33F1">
        <w:t>s) of 7.69 and 6.10 years in the TN and R/R models respectively. There is a lack of long</w:t>
      </w:r>
      <w:r w:rsidR="00D40FD4" w:rsidRPr="007F33F1">
        <w:t>-</w:t>
      </w:r>
      <w:r w:rsidRPr="007F33F1">
        <w:t>term data supporting both the extended treatment duration and size of the LY</w:t>
      </w:r>
      <w:r w:rsidR="00C3756B" w:rsidRPr="007F33F1">
        <w:t>s</w:t>
      </w:r>
      <w:r w:rsidRPr="007F33F1">
        <w:t xml:space="preserve"> gain.</w:t>
      </w:r>
      <w:r w:rsidR="00C3756B" w:rsidRPr="007F33F1">
        <w:t xml:space="preserve"> The ESC considered the ICER</w:t>
      </w:r>
      <w:r w:rsidR="00EC4E75" w:rsidRPr="007F33F1">
        <w:t>s</w:t>
      </w:r>
      <w:r w:rsidR="00C3756B" w:rsidRPr="007F33F1">
        <w:t xml:space="preserve"> to be highly uncertain </w:t>
      </w:r>
      <w:r w:rsidR="00C74337" w:rsidRPr="007F33F1">
        <w:t xml:space="preserve">noting </w:t>
      </w:r>
      <w:r w:rsidR="00C3756B" w:rsidRPr="007F33F1">
        <w:t>that the modelled benefit</w:t>
      </w:r>
      <w:r w:rsidR="00DD65FA" w:rsidRPr="007F33F1">
        <w:t>s</w:t>
      </w:r>
      <w:r w:rsidR="00C3756B" w:rsidRPr="007F33F1">
        <w:t xml:space="preserve"> in LYs gained </w:t>
      </w:r>
      <w:r w:rsidR="00C74337" w:rsidRPr="007F33F1">
        <w:t>were essentially based entirely on assumptions</w:t>
      </w:r>
      <w:r w:rsidR="00DC43A5" w:rsidRPr="007F33F1">
        <w:t xml:space="preserve"> as the available clinical data did not</w:t>
      </w:r>
      <w:r w:rsidR="008C37C1" w:rsidRPr="007F33F1">
        <w:t xml:space="preserve"> adequately</w:t>
      </w:r>
      <w:r w:rsidR="00DC43A5" w:rsidRPr="007F33F1">
        <w:t xml:space="preserve"> support a</w:t>
      </w:r>
      <w:r w:rsidR="008C37C1" w:rsidRPr="007F33F1">
        <w:t>n incremental</w:t>
      </w:r>
      <w:r w:rsidR="00DC43A5" w:rsidRPr="007F33F1">
        <w:t xml:space="preserve"> survival benefit</w:t>
      </w:r>
      <w:r w:rsidR="00C74337" w:rsidRPr="007F33F1">
        <w:t xml:space="preserve">. </w:t>
      </w:r>
      <w:r w:rsidR="007A3597" w:rsidRPr="007F33F1">
        <w:t>Overall, the ESC considered that the ICER</w:t>
      </w:r>
      <w:r w:rsidR="00EC4E75" w:rsidRPr="007F33F1">
        <w:t>s</w:t>
      </w:r>
      <w:r w:rsidR="007A3597" w:rsidRPr="007F33F1">
        <w:t xml:space="preserve"> </w:t>
      </w:r>
      <w:r w:rsidR="00B218CA" w:rsidRPr="007F33F1">
        <w:t>were</w:t>
      </w:r>
      <w:r w:rsidR="007A3597" w:rsidRPr="007F33F1">
        <w:t xml:space="preserve"> unlikely </w:t>
      </w:r>
      <w:r w:rsidR="00DC43A5" w:rsidRPr="007F33F1">
        <w:t>informative of</w:t>
      </w:r>
      <w:r w:rsidR="007A3597" w:rsidRPr="007F33F1">
        <w:t xml:space="preserve"> the true cost-effectiveness of </w:t>
      </w:r>
      <w:r w:rsidR="00BE77FA" w:rsidRPr="007F33F1">
        <w:t>zanubrutinib</w:t>
      </w:r>
      <w:r w:rsidR="007A3597" w:rsidRPr="007F33F1">
        <w:t xml:space="preserve"> </w:t>
      </w:r>
      <w:r w:rsidR="00EC4E75" w:rsidRPr="007F33F1">
        <w:t xml:space="preserve">in each </w:t>
      </w:r>
      <w:r w:rsidR="007A3597" w:rsidRPr="007F33F1">
        <w:t>treatment setting.</w:t>
      </w:r>
      <w:r w:rsidR="00EF2438" w:rsidRPr="007F33F1">
        <w:t xml:space="preserve"> </w:t>
      </w:r>
    </w:p>
    <w:p w:rsidR="00F0207A" w:rsidRPr="007F33F1" w:rsidRDefault="00F0207A" w:rsidP="0047221E">
      <w:pPr>
        <w:pStyle w:val="3-BodyText"/>
        <w:keepNext/>
        <w:keepLines/>
        <w:snapToGrid w:val="0"/>
      </w:pPr>
      <w:r w:rsidRPr="007F33F1">
        <w:t>Key sensitivity analyses are summarised below.</w:t>
      </w:r>
    </w:p>
    <w:p w:rsidR="00F0207A" w:rsidRPr="007F33F1" w:rsidRDefault="00F0207A" w:rsidP="0047221E">
      <w:pPr>
        <w:pStyle w:val="TableFigureHeading"/>
        <w:keepLines/>
      </w:pPr>
      <w:bookmarkStart w:id="98" w:name="_Ref75016827"/>
      <w:r w:rsidRPr="007F33F1">
        <w:t xml:space="preserve">Table </w:t>
      </w:r>
      <w:r w:rsidR="00015997">
        <w:rPr>
          <w:noProof/>
        </w:rPr>
        <w:t>19</w:t>
      </w:r>
      <w:bookmarkEnd w:id="98"/>
      <w:r w:rsidRPr="007F33F1">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615"/>
        <w:gridCol w:w="830"/>
        <w:gridCol w:w="678"/>
        <w:gridCol w:w="859"/>
        <w:gridCol w:w="973"/>
        <w:gridCol w:w="698"/>
        <w:gridCol w:w="1387"/>
      </w:tblGrid>
      <w:tr w:rsidR="00403A6D" w:rsidRPr="007F33F1" w:rsidTr="0047221E">
        <w:trPr>
          <w:cantSplit/>
          <w:tblHeader/>
        </w:trPr>
        <w:tc>
          <w:tcPr>
            <w:tcW w:w="2000"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In-tableHeading"/>
              <w:keepLines/>
              <w:rPr>
                <w:lang w:val="en-AU"/>
              </w:rPr>
            </w:pPr>
            <w:r w:rsidRPr="007F33F1">
              <w:rPr>
                <w:lang w:val="en-AU"/>
              </w:rPr>
              <w:t>Model</w:t>
            </w:r>
          </w:p>
        </w:tc>
        <w:tc>
          <w:tcPr>
            <w:tcW w:w="1309" w:type="pct"/>
            <w:gridSpan w:val="3"/>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In-tableHeading"/>
              <w:keepLines/>
              <w:jc w:val="center"/>
              <w:rPr>
                <w:lang w:val="en-AU"/>
              </w:rPr>
            </w:pPr>
            <w:r w:rsidRPr="007F33F1">
              <w:rPr>
                <w:lang w:val="en-AU"/>
              </w:rPr>
              <w:t>TN ZANU vs Rm</w:t>
            </w:r>
          </w:p>
        </w:tc>
        <w:tc>
          <w:tcPr>
            <w:tcW w:w="169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207A" w:rsidRPr="007F33F1" w:rsidRDefault="00F0207A" w:rsidP="0047221E">
            <w:pPr>
              <w:pStyle w:val="In-tableHeading"/>
              <w:keepLines/>
              <w:jc w:val="center"/>
              <w:rPr>
                <w:lang w:val="en-AU"/>
              </w:rPr>
            </w:pPr>
            <w:r w:rsidRPr="007F33F1">
              <w:rPr>
                <w:lang w:val="en-AU"/>
              </w:rPr>
              <w:t>R/R ZANU (matched) vs BR</w:t>
            </w:r>
          </w:p>
        </w:tc>
      </w:tr>
      <w:tr w:rsidR="00403A6D" w:rsidRPr="007F33F1" w:rsidTr="0047221E">
        <w:trPr>
          <w:cantSplit/>
          <w:tblHeader/>
        </w:trPr>
        <w:tc>
          <w:tcPr>
            <w:tcW w:w="2000"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rPr>
                <w:lang w:val="en-AU"/>
              </w:rPr>
            </w:pPr>
            <w:r w:rsidRPr="007F33F1">
              <w:rPr>
                <w:lang w:val="en-AU"/>
              </w:rPr>
              <w:t>Analyses</w:t>
            </w:r>
          </w:p>
        </w:tc>
        <w:tc>
          <w:tcPr>
            <w:tcW w:w="459"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jc w:val="center"/>
              <w:rPr>
                <w:lang w:val="en-AU"/>
              </w:rPr>
            </w:pPr>
            <w:r w:rsidRPr="007F33F1">
              <w:rPr>
                <w:lang w:val="en-AU"/>
              </w:rPr>
              <w:t>Incre cost</w:t>
            </w:r>
          </w:p>
        </w:tc>
        <w:tc>
          <w:tcPr>
            <w:tcW w:w="375"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jc w:val="center"/>
              <w:rPr>
                <w:lang w:val="en-AU"/>
              </w:rPr>
            </w:pPr>
            <w:r w:rsidRPr="007F33F1">
              <w:rPr>
                <w:lang w:val="en-AU"/>
              </w:rPr>
              <w:t>Incre QALY</w:t>
            </w:r>
          </w:p>
        </w:tc>
        <w:tc>
          <w:tcPr>
            <w:tcW w:w="475" w:type="pct"/>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Lines/>
              <w:jc w:val="center"/>
              <w:rPr>
                <w:lang w:val="en-AU"/>
              </w:rPr>
            </w:pPr>
            <w:r w:rsidRPr="007F33F1">
              <w:rPr>
                <w:lang w:val="en-AU"/>
              </w:rPr>
              <w:t>ICER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207A" w:rsidRPr="007F33F1" w:rsidRDefault="00F0207A" w:rsidP="0047221E">
            <w:pPr>
              <w:pStyle w:val="In-tableHeading"/>
              <w:keepLines/>
              <w:jc w:val="center"/>
              <w:rPr>
                <w:lang w:val="en-AU"/>
              </w:rPr>
            </w:pPr>
            <w:r w:rsidRPr="007F33F1">
              <w:rPr>
                <w:lang w:val="en-AU"/>
              </w:rPr>
              <w:t>Incre</w:t>
            </w:r>
          </w:p>
          <w:p w:rsidR="00F0207A" w:rsidRPr="007F33F1" w:rsidRDefault="00F0207A" w:rsidP="0047221E">
            <w:pPr>
              <w:pStyle w:val="In-tableHeading"/>
              <w:keepLines/>
              <w:jc w:val="center"/>
              <w:rPr>
                <w:lang w:val="en-AU"/>
              </w:rPr>
            </w:pPr>
            <w:r w:rsidRPr="007F33F1">
              <w:rPr>
                <w:lang w:val="en-AU"/>
              </w:rPr>
              <w:t>cost</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207A" w:rsidRPr="007F33F1" w:rsidRDefault="00F0207A" w:rsidP="0047221E">
            <w:pPr>
              <w:pStyle w:val="In-tableHeading"/>
              <w:keepLines/>
              <w:jc w:val="center"/>
              <w:rPr>
                <w:lang w:val="en-AU"/>
              </w:rPr>
            </w:pPr>
            <w:r w:rsidRPr="007F33F1">
              <w:rPr>
                <w:lang w:val="en-AU"/>
              </w:rPr>
              <w:t>Incre QALY</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207A" w:rsidRPr="007F33F1" w:rsidRDefault="00F0207A" w:rsidP="0047221E">
            <w:pPr>
              <w:pStyle w:val="In-tableHeading"/>
              <w:keepLines/>
              <w:jc w:val="center"/>
              <w:rPr>
                <w:lang w:val="en-AU"/>
              </w:rPr>
            </w:pPr>
            <w:r w:rsidRPr="007F33F1">
              <w:rPr>
                <w:lang w:val="en-AU"/>
              </w:rPr>
              <w:t>ICER</w:t>
            </w:r>
          </w:p>
        </w:tc>
      </w:tr>
      <w:tr w:rsidR="00403A6D" w:rsidRPr="007F33F1" w:rsidTr="0047221E">
        <w:trPr>
          <w:cantSplit/>
          <w:tblHeader/>
        </w:trPr>
        <w:tc>
          <w:tcPr>
            <w:tcW w:w="2000"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rPr>
                <w:b/>
              </w:rPr>
            </w:pPr>
            <w:r w:rsidRPr="007F33F1">
              <w:rPr>
                <w:b/>
              </w:rPr>
              <w:t>Base case (corrected)</w:t>
            </w:r>
          </w:p>
        </w:tc>
        <w:tc>
          <w:tcPr>
            <w:tcW w:w="459"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jc w:val="center"/>
              <w:rPr>
                <w:b/>
              </w:rPr>
            </w:pPr>
            <w:r w:rsidRPr="007F33F1">
              <w:t>$</w:t>
            </w:r>
            <w:r w:rsidR="00785E78">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jc w:val="center"/>
              <w:rPr>
                <w:b/>
              </w:rPr>
            </w:pPr>
            <w:r w:rsidRPr="007F33F1">
              <w:t>3.04</w:t>
            </w:r>
          </w:p>
        </w:tc>
        <w:tc>
          <w:tcPr>
            <w:tcW w:w="47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jc w:val="center"/>
              <w:rPr>
                <w:b/>
              </w:rPr>
            </w:pPr>
            <w:r w:rsidRPr="007F33F1">
              <w:t>$</w:t>
            </w:r>
            <w:r w:rsidR="00785E78">
              <w:rPr>
                <w:noProof/>
                <w:color w:val="000000"/>
                <w:highlight w:val="black"/>
              </w:rPr>
              <w:t>'''''''''''''''</w:t>
            </w:r>
            <w:r w:rsidR="002F4B27">
              <w:rPr>
                <w:vertAlign w:val="superscript"/>
              </w:rPr>
              <w:t>1</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207A" w:rsidRPr="007F33F1" w:rsidRDefault="00F0207A" w:rsidP="0047221E">
            <w:pPr>
              <w:pStyle w:val="TableText0"/>
              <w:keepLines/>
              <w:jc w:val="center"/>
              <w:rPr>
                <w:b/>
              </w:rPr>
            </w:pPr>
            <w:r w:rsidRPr="007F33F1">
              <w:t>$</w:t>
            </w:r>
            <w:r w:rsidR="00785E78">
              <w:rPr>
                <w:noProof/>
                <w:color w:val="000000"/>
                <w:highlight w:val="black"/>
              </w:rPr>
              <w:t>'''''''''''''''''''''</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207A" w:rsidRPr="007F33F1" w:rsidRDefault="00F0207A" w:rsidP="0047221E">
            <w:pPr>
              <w:pStyle w:val="TableText0"/>
              <w:keepLines/>
              <w:jc w:val="center"/>
              <w:rPr>
                <w:b/>
              </w:rPr>
            </w:pPr>
            <w:r w:rsidRPr="007F33F1">
              <w:t>2.90</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207A" w:rsidRPr="007F33F1" w:rsidRDefault="00F0207A" w:rsidP="0047221E">
            <w:pPr>
              <w:pStyle w:val="TableText0"/>
              <w:keepLines/>
              <w:jc w:val="center"/>
              <w:rPr>
                <w:b/>
              </w:rPr>
            </w:pPr>
            <w:r w:rsidRPr="007F33F1">
              <w:t>$</w:t>
            </w:r>
            <w:r w:rsidR="00785E78">
              <w:rPr>
                <w:noProof/>
                <w:color w:val="000000"/>
                <w:highlight w:val="black"/>
              </w:rPr>
              <w:t>''''''''''''''''</w:t>
            </w:r>
            <w:r w:rsidR="002F4B27">
              <w:rPr>
                <w:vertAlign w:val="superscript"/>
              </w:rPr>
              <w:t>1</w:t>
            </w:r>
          </w:p>
        </w:tc>
      </w:tr>
      <w:tr w:rsidR="00403A6D" w:rsidRPr="007F33F1" w:rsidTr="0047221E">
        <w:trPr>
          <w:cantSplit/>
          <w:trHeight w:val="964"/>
        </w:trPr>
        <w:tc>
          <w:tcPr>
            <w:tcW w:w="2000"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pPr>
            <w:r w:rsidRPr="007F33F1">
              <w:t>Time horizon (base 20 years)</w:t>
            </w:r>
          </w:p>
          <w:p w:rsidR="00F0207A" w:rsidRPr="007F33F1" w:rsidRDefault="00F0207A" w:rsidP="0047221E">
            <w:pPr>
              <w:pStyle w:val="TableText0"/>
              <w:keepLines/>
              <w:numPr>
                <w:ilvl w:val="0"/>
                <w:numId w:val="10"/>
              </w:numPr>
              <w:ind w:left="226" w:hanging="113"/>
            </w:pPr>
            <w:r w:rsidRPr="007F33F1">
              <w:t>In trial (3 year, KM data to 30m)</w:t>
            </w:r>
          </w:p>
          <w:p w:rsidR="00F0207A" w:rsidRPr="007F33F1" w:rsidRDefault="00F0207A" w:rsidP="0047221E">
            <w:pPr>
              <w:pStyle w:val="TableText0"/>
              <w:keepLines/>
              <w:numPr>
                <w:ilvl w:val="0"/>
                <w:numId w:val="10"/>
              </w:numPr>
              <w:ind w:left="226" w:hanging="113"/>
            </w:pPr>
            <w:r w:rsidRPr="007F33F1">
              <w:t>5 year</w:t>
            </w:r>
          </w:p>
          <w:p w:rsidR="00F0207A" w:rsidRPr="007F33F1" w:rsidRDefault="00F0207A" w:rsidP="0047221E">
            <w:pPr>
              <w:pStyle w:val="TableText0"/>
              <w:keepLines/>
              <w:numPr>
                <w:ilvl w:val="0"/>
                <w:numId w:val="10"/>
              </w:numPr>
              <w:ind w:left="226" w:hanging="113"/>
            </w:pPr>
            <w:r w:rsidRPr="007F33F1">
              <w:t>10 year</w:t>
            </w:r>
          </w:p>
          <w:p w:rsidR="00F0207A" w:rsidRPr="007F33F1" w:rsidRDefault="00F0207A" w:rsidP="0047221E">
            <w:pPr>
              <w:pStyle w:val="TableText0"/>
              <w:keepLines/>
              <w:numPr>
                <w:ilvl w:val="0"/>
                <w:numId w:val="10"/>
              </w:numPr>
              <w:ind w:left="226" w:hanging="113"/>
            </w:pPr>
            <w:r w:rsidRPr="007F33F1">
              <w:t>15 year</w:t>
            </w:r>
          </w:p>
          <w:p w:rsidR="00F0207A" w:rsidRPr="007F33F1" w:rsidRDefault="00F0207A" w:rsidP="002F4B27">
            <w:pPr>
              <w:pStyle w:val="TableText0"/>
              <w:keepLines/>
              <w:numPr>
                <w:ilvl w:val="0"/>
                <w:numId w:val="10"/>
              </w:numPr>
              <w:ind w:left="226" w:hanging="113"/>
            </w:pPr>
            <w:r w:rsidRPr="007F33F1">
              <w:t>30 year</w:t>
            </w:r>
          </w:p>
        </w:tc>
        <w:tc>
          <w:tcPr>
            <w:tcW w:w="459"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tc>
        <w:tc>
          <w:tcPr>
            <w:tcW w:w="375"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0.12</w:t>
            </w:r>
          </w:p>
          <w:p w:rsidR="00F0207A" w:rsidRPr="007F33F1" w:rsidRDefault="00F0207A" w:rsidP="0047221E">
            <w:pPr>
              <w:pStyle w:val="TableText0"/>
              <w:keepLines/>
              <w:jc w:val="center"/>
            </w:pPr>
            <w:r w:rsidRPr="007F33F1">
              <w:t>0.64</w:t>
            </w:r>
          </w:p>
          <w:p w:rsidR="00F0207A" w:rsidRPr="007F33F1" w:rsidRDefault="00F0207A" w:rsidP="0047221E">
            <w:pPr>
              <w:pStyle w:val="TableText0"/>
              <w:keepLines/>
              <w:jc w:val="center"/>
            </w:pPr>
            <w:r w:rsidRPr="007F33F1">
              <w:t>1.65</w:t>
            </w:r>
          </w:p>
          <w:p w:rsidR="00F0207A" w:rsidRPr="007F33F1" w:rsidRDefault="00F0207A" w:rsidP="0047221E">
            <w:pPr>
              <w:pStyle w:val="TableText0"/>
              <w:keepLines/>
              <w:jc w:val="center"/>
            </w:pPr>
            <w:r w:rsidRPr="007F33F1">
              <w:t>2.51</w:t>
            </w:r>
          </w:p>
          <w:p w:rsidR="00F0207A" w:rsidRPr="007F33F1" w:rsidRDefault="00F0207A" w:rsidP="0047221E">
            <w:pPr>
              <w:pStyle w:val="TableText0"/>
              <w:keepLines/>
              <w:jc w:val="center"/>
            </w:pPr>
            <w:r w:rsidRPr="007F33F1">
              <w:t>3.33</w:t>
            </w:r>
          </w:p>
        </w:tc>
        <w:tc>
          <w:tcPr>
            <w:tcW w:w="475"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2</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4</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5</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6</w:t>
            </w:r>
          </w:p>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c>
          <w:tcPr>
            <w:tcW w:w="538"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p w:rsidR="00F0207A" w:rsidRPr="00785E78"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0.25</w:t>
            </w:r>
          </w:p>
          <w:p w:rsidR="00F0207A" w:rsidRPr="007F33F1" w:rsidRDefault="00F0207A" w:rsidP="0047221E">
            <w:pPr>
              <w:pStyle w:val="TableText0"/>
              <w:keepLines/>
              <w:jc w:val="center"/>
            </w:pPr>
            <w:r w:rsidRPr="007F33F1">
              <w:t>0.55</w:t>
            </w:r>
          </w:p>
          <w:p w:rsidR="00F0207A" w:rsidRPr="007F33F1" w:rsidRDefault="00F0207A" w:rsidP="0047221E">
            <w:pPr>
              <w:pStyle w:val="TableText0"/>
              <w:keepLines/>
              <w:jc w:val="center"/>
            </w:pPr>
            <w:r w:rsidRPr="007F33F1">
              <w:t>1.52</w:t>
            </w:r>
          </w:p>
          <w:p w:rsidR="00F0207A" w:rsidRPr="007F33F1" w:rsidRDefault="00F0207A" w:rsidP="0047221E">
            <w:pPr>
              <w:pStyle w:val="TableText0"/>
              <w:keepLines/>
              <w:jc w:val="center"/>
            </w:pPr>
            <w:r w:rsidRPr="007F33F1">
              <w:t>2.37</w:t>
            </w:r>
          </w:p>
          <w:p w:rsidR="00F0207A" w:rsidRPr="007F33F1" w:rsidRDefault="00F0207A" w:rsidP="0047221E">
            <w:pPr>
              <w:pStyle w:val="TableText0"/>
              <w:keepLines/>
              <w:jc w:val="center"/>
            </w:pPr>
            <w:r w:rsidRPr="007F33F1">
              <w:t>3.19</w:t>
            </w:r>
          </w:p>
        </w:tc>
        <w:tc>
          <w:tcPr>
            <w:tcW w:w="767"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85E78" w:rsidRDefault="00F0207A" w:rsidP="0047221E">
            <w:pPr>
              <w:pStyle w:val="TableText0"/>
              <w:keepLines/>
              <w:jc w:val="center"/>
            </w:pPr>
            <w:r w:rsidRPr="007F33F1">
              <w:t>$</w:t>
            </w:r>
            <w:r w:rsidR="00785E78">
              <w:rPr>
                <w:noProof/>
                <w:color w:val="000000"/>
                <w:highlight w:val="black"/>
              </w:rPr>
              <w:t>''''''''''''''''''''''</w:t>
            </w:r>
            <w:r w:rsidR="00FB48BB">
              <w:rPr>
                <w:vertAlign w:val="superscript"/>
              </w:rPr>
              <w:t>3</w:t>
            </w:r>
          </w:p>
          <w:p w:rsidR="00F0207A" w:rsidRPr="007F33F1" w:rsidRDefault="00F0207A" w:rsidP="0047221E">
            <w:pPr>
              <w:pStyle w:val="TableText0"/>
              <w:keepLines/>
              <w:jc w:val="center"/>
            </w:pPr>
            <w:r w:rsidRPr="00283957">
              <w:t>$</w:t>
            </w:r>
            <w:r w:rsidR="00785E78">
              <w:rPr>
                <w:noProof/>
                <w:color w:val="000000"/>
                <w:highlight w:val="black"/>
              </w:rPr>
              <w:t>'''''''''''''''''''</w:t>
            </w:r>
            <w:r w:rsidR="00FB48BB">
              <w:rPr>
                <w:vertAlign w:val="superscript"/>
              </w:rPr>
              <w:t>4</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5</w:t>
            </w:r>
          </w:p>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r>
      <w:tr w:rsidR="00403A6D" w:rsidRPr="007F33F1" w:rsidTr="0047221E">
        <w:trPr>
          <w:cantSplit/>
          <w:trHeight w:val="25"/>
        </w:trPr>
        <w:tc>
          <w:tcPr>
            <w:tcW w:w="2000"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pPr>
            <w:r w:rsidRPr="007F33F1">
              <w:t xml:space="preserve">Start of extrapolation (base=cycle 0) </w:t>
            </w:r>
          </w:p>
          <w:p w:rsidR="00F0207A" w:rsidRPr="007F33F1" w:rsidRDefault="00F0207A" w:rsidP="0047221E">
            <w:pPr>
              <w:pStyle w:val="TableText0"/>
              <w:keepLines/>
              <w:numPr>
                <w:ilvl w:val="0"/>
                <w:numId w:val="10"/>
              </w:numPr>
              <w:ind w:left="226" w:hanging="113"/>
            </w:pPr>
            <w:r w:rsidRPr="007F33F1">
              <w:t>KM data to 30 months</w:t>
            </w:r>
          </w:p>
        </w:tc>
        <w:tc>
          <w:tcPr>
            <w:tcW w:w="459"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2.27</w:t>
            </w:r>
          </w:p>
        </w:tc>
        <w:tc>
          <w:tcPr>
            <w:tcW w:w="4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5</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2.83</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r>
      <w:tr w:rsidR="00403A6D" w:rsidRPr="007F33F1" w:rsidTr="0047221E">
        <w:trPr>
          <w:cantSplit/>
          <w:trHeight w:val="676"/>
        </w:trPr>
        <w:tc>
          <w:tcPr>
            <w:tcW w:w="2000"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pPr>
            <w:r w:rsidRPr="007F33F1">
              <w:t>OS extrapolation (base: ZANU exp</w:t>
            </w:r>
            <w:r w:rsidR="00837768" w:rsidRPr="007F33F1">
              <w:t>,</w:t>
            </w:r>
            <w:r w:rsidRPr="007F33F1">
              <w:t xml:space="preserve"> Rm= BR Weibull)</w:t>
            </w:r>
          </w:p>
          <w:p w:rsidR="00F0207A" w:rsidRPr="007F33F1" w:rsidRDefault="00F0207A" w:rsidP="0047221E">
            <w:pPr>
              <w:pStyle w:val="TableText0"/>
              <w:keepLines/>
              <w:numPr>
                <w:ilvl w:val="0"/>
                <w:numId w:val="10"/>
              </w:numPr>
              <w:ind w:left="226" w:hanging="113"/>
            </w:pPr>
            <w:r w:rsidRPr="007F33F1">
              <w:t>No diff in survival (Rm/BR OS=ZANU OS)</w:t>
            </w:r>
          </w:p>
        </w:tc>
        <w:tc>
          <w:tcPr>
            <w:tcW w:w="459"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75"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0.56</w:t>
            </w:r>
          </w:p>
        </w:tc>
        <w:tc>
          <w:tcPr>
            <w:tcW w:w="475"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7</w:t>
            </w:r>
          </w:p>
        </w:tc>
        <w:tc>
          <w:tcPr>
            <w:tcW w:w="538"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0.33</w:t>
            </w:r>
          </w:p>
        </w:tc>
        <w:tc>
          <w:tcPr>
            <w:tcW w:w="767"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8</w:t>
            </w:r>
          </w:p>
        </w:tc>
      </w:tr>
      <w:tr w:rsidR="00403A6D" w:rsidRPr="007F33F1" w:rsidTr="0047221E">
        <w:trPr>
          <w:cantSplit/>
          <w:trHeight w:val="43"/>
        </w:trPr>
        <w:tc>
          <w:tcPr>
            <w:tcW w:w="2000" w:type="pct"/>
            <w:tcBorders>
              <w:top w:val="nil"/>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numPr>
                <w:ilvl w:val="0"/>
                <w:numId w:val="10"/>
              </w:numPr>
              <w:ind w:left="226" w:hanging="113"/>
            </w:pPr>
            <w:r w:rsidRPr="007F33F1">
              <w:t xml:space="preserve">No survival benefit off treatment^ </w:t>
            </w:r>
          </w:p>
        </w:tc>
        <w:tc>
          <w:tcPr>
            <w:tcW w:w="459" w:type="pct"/>
            <w:tcBorders>
              <w:top w:val="nil"/>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75" w:type="pct"/>
            <w:tcBorders>
              <w:top w:val="nil"/>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1.76</w:t>
            </w:r>
          </w:p>
        </w:tc>
        <w:tc>
          <w:tcPr>
            <w:tcW w:w="475" w:type="pct"/>
            <w:tcBorders>
              <w:top w:val="nil"/>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9</w:t>
            </w:r>
          </w:p>
        </w:tc>
        <w:tc>
          <w:tcPr>
            <w:tcW w:w="538"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1.56</w:t>
            </w:r>
          </w:p>
        </w:tc>
        <w:tc>
          <w:tcPr>
            <w:tcW w:w="767"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9</w:t>
            </w:r>
          </w:p>
        </w:tc>
      </w:tr>
      <w:tr w:rsidR="00403A6D" w:rsidRPr="007F33F1" w:rsidTr="0047221E">
        <w:trPr>
          <w:cantSplit/>
          <w:trHeight w:val="417"/>
        </w:trPr>
        <w:tc>
          <w:tcPr>
            <w:tcW w:w="2000"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pPr>
            <w:r w:rsidRPr="007F33F1">
              <w:t xml:space="preserve">OS extrapolation </w:t>
            </w:r>
            <w:r w:rsidRPr="007F33F1">
              <w:rPr>
                <w:b/>
              </w:rPr>
              <w:t>R/R</w:t>
            </w:r>
            <w:r w:rsidRPr="007F33F1">
              <w:t xml:space="preserve"> (base: ZANU exp, BR Weibull)</w:t>
            </w:r>
          </w:p>
          <w:p w:rsidR="00F0207A" w:rsidRPr="007F33F1" w:rsidRDefault="00F0207A" w:rsidP="0047221E">
            <w:pPr>
              <w:pStyle w:val="TableText0"/>
              <w:keepLines/>
              <w:numPr>
                <w:ilvl w:val="0"/>
                <w:numId w:val="10"/>
              </w:numPr>
              <w:ind w:left="226" w:hanging="113"/>
            </w:pPr>
            <w:r w:rsidRPr="007F33F1">
              <w:t>Dependent Weibull</w:t>
            </w:r>
          </w:p>
        </w:tc>
        <w:tc>
          <w:tcPr>
            <w:tcW w:w="459"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keepNext/>
              <w:keepLines/>
            </w:pPr>
          </w:p>
        </w:tc>
        <w:tc>
          <w:tcPr>
            <w:tcW w:w="375" w:type="pct"/>
            <w:tcBorders>
              <w:top w:val="single" w:sz="4" w:space="0" w:color="auto"/>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475" w:type="pct"/>
            <w:tcBorders>
              <w:top w:val="single" w:sz="4" w:space="0" w:color="auto"/>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538"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2.89</w:t>
            </w:r>
          </w:p>
        </w:tc>
        <w:tc>
          <w:tcPr>
            <w:tcW w:w="767"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r>
      <w:tr w:rsidR="00403A6D" w:rsidRPr="007F33F1" w:rsidTr="0047221E">
        <w:trPr>
          <w:cantSplit/>
          <w:trHeight w:val="35"/>
        </w:trPr>
        <w:tc>
          <w:tcPr>
            <w:tcW w:w="2000" w:type="pct"/>
            <w:tcBorders>
              <w:top w:val="nil"/>
              <w:left w:val="single" w:sz="4" w:space="0" w:color="auto"/>
              <w:bottom w:val="nil"/>
              <w:right w:val="single" w:sz="4" w:space="0" w:color="auto"/>
            </w:tcBorders>
            <w:vAlign w:val="bottom"/>
            <w:hideMark/>
          </w:tcPr>
          <w:p w:rsidR="00F0207A" w:rsidRPr="007F33F1" w:rsidRDefault="00F0207A" w:rsidP="0047221E">
            <w:pPr>
              <w:pStyle w:val="TableText0"/>
              <w:keepLines/>
              <w:numPr>
                <w:ilvl w:val="0"/>
                <w:numId w:val="10"/>
              </w:numPr>
              <w:ind w:left="226" w:hanging="113"/>
            </w:pPr>
            <w:r w:rsidRPr="007F33F1">
              <w:t>Dependent gamma</w:t>
            </w:r>
          </w:p>
        </w:tc>
        <w:tc>
          <w:tcPr>
            <w:tcW w:w="459" w:type="pct"/>
            <w:tcBorders>
              <w:top w:val="nil"/>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N/A</w:t>
            </w:r>
          </w:p>
        </w:tc>
        <w:tc>
          <w:tcPr>
            <w:tcW w:w="375" w:type="pct"/>
            <w:tcBorders>
              <w:top w:val="nil"/>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N/A</w:t>
            </w:r>
          </w:p>
        </w:tc>
        <w:tc>
          <w:tcPr>
            <w:tcW w:w="475" w:type="pct"/>
            <w:tcBorders>
              <w:top w:val="nil"/>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N/A</w:t>
            </w:r>
          </w:p>
        </w:tc>
        <w:tc>
          <w:tcPr>
            <w:tcW w:w="538" w:type="pct"/>
            <w:tcBorders>
              <w:top w:val="nil"/>
              <w:left w:val="single" w:sz="4" w:space="0" w:color="auto"/>
              <w:bottom w:val="nil"/>
              <w:right w:val="single" w:sz="4" w:space="0" w:color="auto"/>
            </w:tcBorders>
            <w:shd w:val="clear" w:color="auto" w:fill="D9D9D9" w:themeFill="background1" w:themeFillShade="D9"/>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nil"/>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2.81</w:t>
            </w:r>
          </w:p>
        </w:tc>
        <w:tc>
          <w:tcPr>
            <w:tcW w:w="767" w:type="pct"/>
            <w:tcBorders>
              <w:top w:val="nil"/>
              <w:left w:val="single" w:sz="4" w:space="0" w:color="auto"/>
              <w:bottom w:val="nil"/>
              <w:right w:val="single" w:sz="4" w:space="0" w:color="auto"/>
            </w:tcBorders>
            <w:shd w:val="clear" w:color="auto" w:fill="D9D9D9" w:themeFill="background1" w:themeFillShade="D9"/>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r>
      <w:tr w:rsidR="00403A6D" w:rsidRPr="007F33F1" w:rsidTr="0047221E">
        <w:trPr>
          <w:cantSplit/>
          <w:trHeight w:val="35"/>
        </w:trPr>
        <w:tc>
          <w:tcPr>
            <w:tcW w:w="2000" w:type="pct"/>
            <w:tcBorders>
              <w:top w:val="nil"/>
              <w:left w:val="single" w:sz="4" w:space="0" w:color="auto"/>
              <w:bottom w:val="nil"/>
              <w:right w:val="single" w:sz="4" w:space="0" w:color="auto"/>
            </w:tcBorders>
            <w:vAlign w:val="bottom"/>
            <w:hideMark/>
          </w:tcPr>
          <w:p w:rsidR="00F0207A" w:rsidRPr="007F33F1" w:rsidRDefault="00F0207A" w:rsidP="0047221E">
            <w:pPr>
              <w:pStyle w:val="TableText0"/>
              <w:keepLines/>
              <w:numPr>
                <w:ilvl w:val="0"/>
                <w:numId w:val="10"/>
              </w:numPr>
              <w:ind w:left="226" w:hanging="113"/>
            </w:pPr>
            <w:r w:rsidRPr="007F33F1">
              <w:t>Independent Weibull (ZANU and BR)</w:t>
            </w:r>
          </w:p>
        </w:tc>
        <w:tc>
          <w:tcPr>
            <w:tcW w:w="459" w:type="pct"/>
            <w:tcBorders>
              <w:top w:val="nil"/>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375" w:type="pct"/>
            <w:tcBorders>
              <w:top w:val="nil"/>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475" w:type="pct"/>
            <w:tcBorders>
              <w:top w:val="nil"/>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538" w:type="pct"/>
            <w:tcBorders>
              <w:top w:val="nil"/>
              <w:left w:val="single" w:sz="4" w:space="0" w:color="auto"/>
              <w:bottom w:val="nil"/>
              <w:right w:val="single" w:sz="4" w:space="0" w:color="auto"/>
            </w:tcBorders>
            <w:shd w:val="clear" w:color="auto" w:fill="D9D9D9" w:themeFill="background1" w:themeFillShade="D9"/>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nil"/>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-0.98</w:t>
            </w:r>
          </w:p>
        </w:tc>
        <w:tc>
          <w:tcPr>
            <w:tcW w:w="767" w:type="pct"/>
            <w:tcBorders>
              <w:top w:val="nil"/>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ZANU dominated</w:t>
            </w:r>
          </w:p>
        </w:tc>
      </w:tr>
      <w:tr w:rsidR="00403A6D" w:rsidRPr="007F33F1" w:rsidTr="0047221E">
        <w:trPr>
          <w:cantSplit/>
          <w:trHeight w:val="35"/>
        </w:trPr>
        <w:tc>
          <w:tcPr>
            <w:tcW w:w="2000" w:type="pct"/>
            <w:tcBorders>
              <w:top w:val="nil"/>
              <w:left w:val="single" w:sz="4" w:space="0" w:color="auto"/>
              <w:bottom w:val="nil"/>
              <w:right w:val="single" w:sz="4" w:space="0" w:color="auto"/>
            </w:tcBorders>
            <w:vAlign w:val="bottom"/>
            <w:hideMark/>
          </w:tcPr>
          <w:p w:rsidR="00F0207A" w:rsidRPr="007F33F1" w:rsidRDefault="00F0207A" w:rsidP="0047221E">
            <w:pPr>
              <w:pStyle w:val="TableText0"/>
              <w:keepLines/>
              <w:numPr>
                <w:ilvl w:val="0"/>
                <w:numId w:val="10"/>
              </w:numPr>
              <w:ind w:left="226" w:hanging="113"/>
            </w:pPr>
            <w:r w:rsidRPr="007F33F1">
              <w:t>Independent gamma (ZANU and BR)</w:t>
            </w:r>
          </w:p>
        </w:tc>
        <w:tc>
          <w:tcPr>
            <w:tcW w:w="459" w:type="pct"/>
            <w:tcBorders>
              <w:top w:val="nil"/>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375" w:type="pct"/>
            <w:tcBorders>
              <w:top w:val="nil"/>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475" w:type="pct"/>
            <w:tcBorders>
              <w:top w:val="nil"/>
              <w:left w:val="single" w:sz="4" w:space="0" w:color="auto"/>
              <w:bottom w:val="nil"/>
              <w:right w:val="single" w:sz="4" w:space="0" w:color="auto"/>
            </w:tcBorders>
            <w:vAlign w:val="bottom"/>
          </w:tcPr>
          <w:p w:rsidR="00F0207A" w:rsidRPr="007F33F1" w:rsidRDefault="00F0207A" w:rsidP="0047221E">
            <w:pPr>
              <w:pStyle w:val="TableText0"/>
              <w:keepLines/>
              <w:jc w:val="center"/>
            </w:pPr>
          </w:p>
        </w:tc>
        <w:tc>
          <w:tcPr>
            <w:tcW w:w="538" w:type="pct"/>
            <w:tcBorders>
              <w:top w:val="nil"/>
              <w:left w:val="single" w:sz="4" w:space="0" w:color="auto"/>
              <w:bottom w:val="nil"/>
              <w:right w:val="single" w:sz="4" w:space="0" w:color="auto"/>
            </w:tcBorders>
            <w:shd w:val="clear" w:color="auto" w:fill="D9D9D9" w:themeFill="background1" w:themeFillShade="D9"/>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nil"/>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0.11</w:t>
            </w:r>
          </w:p>
        </w:tc>
        <w:tc>
          <w:tcPr>
            <w:tcW w:w="767" w:type="pct"/>
            <w:tcBorders>
              <w:top w:val="nil"/>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10</w:t>
            </w:r>
          </w:p>
        </w:tc>
      </w:tr>
      <w:tr w:rsidR="00403A6D" w:rsidRPr="007F33F1" w:rsidTr="0047221E">
        <w:trPr>
          <w:cantSplit/>
        </w:trPr>
        <w:tc>
          <w:tcPr>
            <w:tcW w:w="2000"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rPr>
                <w:iCs/>
              </w:rPr>
            </w:pPr>
            <w:r w:rsidRPr="007F33F1">
              <w:t>Convergence</w:t>
            </w:r>
            <w:r w:rsidRPr="007F33F1">
              <w:rPr>
                <w:iCs/>
              </w:rPr>
              <w:t xml:space="preserve"> from Year 10 (no restriction on TTD): comparator HR used for both arms from Year 10 (base no convergence)</w:t>
            </w:r>
          </w:p>
          <w:p w:rsidR="00F0207A" w:rsidRPr="007F33F1" w:rsidRDefault="00F0207A" w:rsidP="0047221E">
            <w:pPr>
              <w:pStyle w:val="TableText0"/>
              <w:keepLines/>
              <w:numPr>
                <w:ilvl w:val="0"/>
                <w:numId w:val="10"/>
              </w:numPr>
              <w:ind w:left="226" w:hanging="113"/>
              <w:rPr>
                <w:iCs/>
              </w:rPr>
            </w:pPr>
            <w:r w:rsidRPr="007F33F1">
              <w:rPr>
                <w:iCs/>
              </w:rPr>
              <w:t>PFS</w:t>
            </w:r>
          </w:p>
          <w:p w:rsidR="00F0207A" w:rsidRPr="007F33F1" w:rsidRDefault="00F0207A" w:rsidP="0047221E">
            <w:pPr>
              <w:pStyle w:val="TableText0"/>
              <w:keepLines/>
              <w:numPr>
                <w:ilvl w:val="0"/>
                <w:numId w:val="10"/>
              </w:numPr>
              <w:ind w:left="226" w:hanging="113"/>
              <w:rPr>
                <w:iCs/>
              </w:rPr>
            </w:pPr>
            <w:r w:rsidRPr="007F33F1">
              <w:rPr>
                <w:iCs/>
              </w:rPr>
              <w:t>OS</w:t>
            </w:r>
          </w:p>
          <w:p w:rsidR="00F0207A" w:rsidRPr="007F33F1" w:rsidRDefault="00F0207A" w:rsidP="0047221E">
            <w:pPr>
              <w:pStyle w:val="TableText0"/>
              <w:keepLines/>
              <w:numPr>
                <w:ilvl w:val="0"/>
                <w:numId w:val="10"/>
              </w:numPr>
              <w:ind w:left="226" w:hanging="113"/>
              <w:rPr>
                <w:iCs/>
              </w:rPr>
            </w:pPr>
            <w:r w:rsidRPr="007F33F1">
              <w:rPr>
                <w:iCs/>
              </w:rPr>
              <w:t>PFS and OS</w:t>
            </w:r>
          </w:p>
        </w:tc>
        <w:tc>
          <w:tcPr>
            <w:tcW w:w="459"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2.93</w:t>
            </w:r>
          </w:p>
          <w:p w:rsidR="00F0207A" w:rsidRPr="007F33F1" w:rsidRDefault="00F0207A" w:rsidP="0047221E">
            <w:pPr>
              <w:pStyle w:val="TableText0"/>
              <w:keepLines/>
              <w:jc w:val="center"/>
            </w:pPr>
            <w:r w:rsidRPr="007F33F1">
              <w:t>2.62</w:t>
            </w:r>
          </w:p>
          <w:p w:rsidR="00F0207A" w:rsidRPr="007F33F1" w:rsidRDefault="00F0207A" w:rsidP="0047221E">
            <w:pPr>
              <w:pStyle w:val="TableText0"/>
              <w:keepLines/>
              <w:jc w:val="center"/>
            </w:pPr>
            <w:r w:rsidRPr="007F33F1">
              <w:t>2.50</w:t>
            </w:r>
          </w:p>
        </w:tc>
        <w:tc>
          <w:tcPr>
            <w:tcW w:w="4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6</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2.85</w:t>
            </w:r>
          </w:p>
          <w:p w:rsidR="00F0207A" w:rsidRPr="007F33F1" w:rsidRDefault="00F0207A" w:rsidP="0047221E">
            <w:pPr>
              <w:pStyle w:val="TableText0"/>
              <w:keepLines/>
              <w:jc w:val="center"/>
            </w:pPr>
            <w:r w:rsidRPr="007F33F1">
              <w:t>2.47</w:t>
            </w:r>
          </w:p>
          <w:p w:rsidR="00F0207A" w:rsidRPr="007F33F1" w:rsidRDefault="00F0207A" w:rsidP="0047221E">
            <w:pPr>
              <w:pStyle w:val="TableText0"/>
              <w:keepLines/>
              <w:jc w:val="center"/>
            </w:pPr>
            <w:r w:rsidRPr="007F33F1">
              <w:t>2.41</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6</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6</w:t>
            </w:r>
          </w:p>
        </w:tc>
      </w:tr>
      <w:tr w:rsidR="00403A6D" w:rsidRPr="007F33F1" w:rsidTr="0047221E">
        <w:trPr>
          <w:cantSplit/>
          <w:trHeight w:val="399"/>
        </w:trPr>
        <w:tc>
          <w:tcPr>
            <w:tcW w:w="2000"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pPr>
            <w:r w:rsidRPr="007F33F1">
              <w:t xml:space="preserve">Convergence from Year 5 </w:t>
            </w:r>
          </w:p>
          <w:p w:rsidR="00F0207A" w:rsidRPr="007F33F1" w:rsidRDefault="00F0207A" w:rsidP="0047221E">
            <w:pPr>
              <w:pStyle w:val="TableText0"/>
              <w:keepLines/>
              <w:numPr>
                <w:ilvl w:val="0"/>
                <w:numId w:val="10"/>
              </w:numPr>
              <w:ind w:left="226" w:hanging="113"/>
            </w:pPr>
            <w:r w:rsidRPr="007F33F1">
              <w:t>PFS and OS (no restriction on TTD)</w:t>
            </w:r>
          </w:p>
          <w:p w:rsidR="00F0207A" w:rsidRPr="007F33F1" w:rsidRDefault="00F0207A" w:rsidP="0047221E">
            <w:pPr>
              <w:pStyle w:val="TableText0"/>
              <w:keepLines/>
              <w:numPr>
                <w:ilvl w:val="0"/>
                <w:numId w:val="10"/>
              </w:numPr>
              <w:ind w:left="226" w:hanging="113"/>
            </w:pPr>
            <w:r w:rsidRPr="007F33F1">
              <w:t>PFS and OS (TTD&lt;PFS)</w:t>
            </w:r>
          </w:p>
        </w:tc>
        <w:tc>
          <w:tcPr>
            <w:tcW w:w="459"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1.54</w:t>
            </w:r>
          </w:p>
          <w:p w:rsidR="00F0207A" w:rsidRPr="007F33F1" w:rsidRDefault="00F0207A" w:rsidP="0047221E">
            <w:pPr>
              <w:pStyle w:val="TableText0"/>
              <w:keepLines/>
              <w:jc w:val="center"/>
            </w:pPr>
            <w:r w:rsidRPr="007F33F1">
              <w:t>1.54</w:t>
            </w:r>
          </w:p>
        </w:tc>
        <w:tc>
          <w:tcPr>
            <w:tcW w:w="4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4</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9</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1.48</w:t>
            </w:r>
          </w:p>
          <w:p w:rsidR="00F0207A" w:rsidRPr="007F33F1" w:rsidRDefault="00F0207A" w:rsidP="0047221E">
            <w:pPr>
              <w:pStyle w:val="TableText0"/>
              <w:keepLines/>
              <w:jc w:val="center"/>
            </w:pPr>
            <w:r w:rsidRPr="007F33F1">
              <w:t>1.48</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4</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4</w:t>
            </w:r>
          </w:p>
        </w:tc>
      </w:tr>
      <w:tr w:rsidR="00403A6D" w:rsidRPr="007F33F1" w:rsidTr="0047221E">
        <w:trPr>
          <w:cantSplit/>
          <w:trHeight w:val="536"/>
        </w:trPr>
        <w:tc>
          <w:tcPr>
            <w:tcW w:w="2000"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pPr>
            <w:r w:rsidRPr="007F33F1">
              <w:t>TTD extrapolation (ZANU exp TTD data)</w:t>
            </w:r>
          </w:p>
          <w:p w:rsidR="00F0207A" w:rsidRPr="007F33F1" w:rsidRDefault="00F0207A" w:rsidP="0047221E">
            <w:pPr>
              <w:pStyle w:val="TableText0"/>
              <w:keepLines/>
              <w:numPr>
                <w:ilvl w:val="0"/>
                <w:numId w:val="10"/>
              </w:numPr>
              <w:ind w:left="226" w:hanging="113"/>
            </w:pPr>
            <w:r w:rsidRPr="007F33F1">
              <w:t>Gompertz</w:t>
            </w:r>
          </w:p>
          <w:p w:rsidR="00F0207A" w:rsidRPr="007F33F1" w:rsidRDefault="00F0207A" w:rsidP="0047221E">
            <w:pPr>
              <w:pStyle w:val="TableText0"/>
              <w:keepLines/>
              <w:numPr>
                <w:ilvl w:val="0"/>
                <w:numId w:val="10"/>
              </w:numPr>
              <w:ind w:left="226" w:hanging="113"/>
              <w:rPr>
                <w:iCs/>
              </w:rPr>
            </w:pPr>
            <w:r w:rsidRPr="007F33F1">
              <w:rPr>
                <w:iCs/>
              </w:rPr>
              <w:t>Set equal to PFS</w:t>
            </w:r>
          </w:p>
        </w:tc>
        <w:tc>
          <w:tcPr>
            <w:tcW w:w="459" w:type="pct"/>
            <w:tcBorders>
              <w:top w:val="single" w:sz="4" w:space="0" w:color="auto"/>
              <w:left w:val="single" w:sz="4" w:space="0" w:color="auto"/>
              <w:bottom w:val="nil"/>
              <w:right w:val="single" w:sz="4" w:space="0" w:color="auto"/>
            </w:tcBorders>
            <w:vAlign w:val="bottom"/>
            <w:hideMark/>
          </w:tcPr>
          <w:p w:rsidR="00F0207A" w:rsidRPr="00785E78" w:rsidRDefault="00F0207A" w:rsidP="0047221E">
            <w:pPr>
              <w:pStyle w:val="TableText0"/>
              <w:keepLines/>
              <w:jc w:val="center"/>
            </w:pPr>
            <w:r w:rsidRPr="00283957">
              <w:t>$</w:t>
            </w:r>
            <w:r w:rsidR="00785E78">
              <w:rPr>
                <w:noProof/>
                <w:color w:val="000000"/>
                <w:highlight w:val="black"/>
              </w:rPr>
              <w:t>'''''''''''''''''</w:t>
            </w:r>
          </w:p>
          <w:p w:rsidR="00F0207A" w:rsidRPr="00785E78" w:rsidRDefault="00F0207A" w:rsidP="0047221E">
            <w:pPr>
              <w:pStyle w:val="TableText0"/>
              <w:keepLines/>
              <w:jc w:val="center"/>
            </w:pPr>
            <w:r w:rsidRPr="00283957">
              <w:t>$</w:t>
            </w:r>
            <w:r w:rsidR="00785E78">
              <w:rPr>
                <w:noProof/>
                <w:color w:val="000000"/>
                <w:highlight w:val="black"/>
              </w:rPr>
              <w:t>'''''''''''''''''''</w:t>
            </w:r>
          </w:p>
        </w:tc>
        <w:tc>
          <w:tcPr>
            <w:tcW w:w="375"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3.04</w:t>
            </w:r>
          </w:p>
          <w:p w:rsidR="00F0207A" w:rsidRPr="007F33F1" w:rsidRDefault="00F0207A" w:rsidP="0047221E">
            <w:pPr>
              <w:pStyle w:val="TableText0"/>
              <w:keepLines/>
              <w:jc w:val="center"/>
            </w:pPr>
            <w:r w:rsidRPr="007F33F1">
              <w:t>3.04</w:t>
            </w:r>
          </w:p>
        </w:tc>
        <w:tc>
          <w:tcPr>
            <w:tcW w:w="475" w:type="pct"/>
            <w:tcBorders>
              <w:top w:val="single" w:sz="4" w:space="0" w:color="auto"/>
              <w:left w:val="single" w:sz="4" w:space="0" w:color="auto"/>
              <w:bottom w:val="nil"/>
              <w:right w:val="single" w:sz="4" w:space="0" w:color="auto"/>
            </w:tcBorders>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5</w:t>
            </w:r>
          </w:p>
        </w:tc>
        <w:tc>
          <w:tcPr>
            <w:tcW w:w="538"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2.90</w:t>
            </w:r>
          </w:p>
          <w:p w:rsidR="00F0207A" w:rsidRPr="007F33F1" w:rsidRDefault="00F0207A" w:rsidP="0047221E">
            <w:pPr>
              <w:pStyle w:val="TableText0"/>
              <w:keepLines/>
              <w:jc w:val="center"/>
            </w:pPr>
            <w:r w:rsidRPr="007F33F1">
              <w:t>2.90</w:t>
            </w:r>
          </w:p>
        </w:tc>
        <w:tc>
          <w:tcPr>
            <w:tcW w:w="767" w:type="pct"/>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11</w:t>
            </w:r>
          </w:p>
          <w:p w:rsidR="00F0207A" w:rsidRPr="007F33F1" w:rsidRDefault="00F0207A" w:rsidP="0047221E">
            <w:pPr>
              <w:pStyle w:val="TableText0"/>
              <w:keepLines/>
              <w:jc w:val="center"/>
            </w:pPr>
            <w:r w:rsidRPr="007F33F1">
              <w:t>$</w:t>
            </w:r>
            <w:r w:rsidR="00785E78">
              <w:rPr>
                <w:noProof/>
                <w:color w:val="000000"/>
                <w:highlight w:val="black"/>
              </w:rPr>
              <w:t>'''''''''''''''''</w:t>
            </w:r>
            <w:r w:rsidR="00FB48BB">
              <w:rPr>
                <w:vertAlign w:val="superscript"/>
              </w:rPr>
              <w:t>6</w:t>
            </w:r>
          </w:p>
        </w:tc>
      </w:tr>
      <w:tr w:rsidR="00403A6D" w:rsidRPr="007F33F1" w:rsidTr="0047221E">
        <w:trPr>
          <w:cantSplit/>
        </w:trPr>
        <w:tc>
          <w:tcPr>
            <w:tcW w:w="2000"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pPr>
            <w:r w:rsidRPr="007F33F1">
              <w:t>Clinical stopping rule from 10 years (base no rule)</w:t>
            </w:r>
          </w:p>
        </w:tc>
        <w:tc>
          <w:tcPr>
            <w:tcW w:w="459"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jc w:val="center"/>
            </w:pPr>
            <w:r w:rsidRPr="007F33F1">
              <w:t>2.50</w:t>
            </w:r>
          </w:p>
        </w:tc>
        <w:tc>
          <w:tcPr>
            <w:tcW w:w="475" w:type="pct"/>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207A" w:rsidRPr="007F33F1" w:rsidRDefault="00F0207A" w:rsidP="0047221E">
            <w:pPr>
              <w:pStyle w:val="TableText0"/>
              <w:keepLines/>
              <w:jc w:val="center"/>
            </w:pPr>
            <w:r w:rsidRPr="007F33F1">
              <w:t>2.41</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r>
      <w:tr w:rsidR="00403A6D" w:rsidRPr="007F33F1" w:rsidTr="0047221E">
        <w:trPr>
          <w:cantSplit/>
          <w:trHeight w:val="99"/>
        </w:trPr>
        <w:tc>
          <w:tcPr>
            <w:tcW w:w="2000"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pPr>
            <w:r w:rsidRPr="007F33F1">
              <w:t>Comparator in R/R model (base BR)</w:t>
            </w:r>
          </w:p>
          <w:p w:rsidR="00F0207A" w:rsidRPr="007F33F1" w:rsidRDefault="00F0207A" w:rsidP="0047221E">
            <w:pPr>
              <w:pStyle w:val="TableText0"/>
              <w:keepLines/>
              <w:numPr>
                <w:ilvl w:val="0"/>
                <w:numId w:val="10"/>
              </w:numPr>
              <w:ind w:left="226" w:hanging="113"/>
            </w:pPr>
            <w:r w:rsidRPr="007F33F1">
              <w:t>DRC*</w:t>
            </w:r>
          </w:p>
        </w:tc>
        <w:tc>
          <w:tcPr>
            <w:tcW w:w="459"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N/A</w:t>
            </w:r>
          </w:p>
        </w:tc>
        <w:tc>
          <w:tcPr>
            <w:tcW w:w="3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N/A</w:t>
            </w:r>
          </w:p>
        </w:tc>
        <w:tc>
          <w:tcPr>
            <w:tcW w:w="475" w:type="pct"/>
            <w:tcBorders>
              <w:top w:val="single" w:sz="4" w:space="0" w:color="auto"/>
              <w:left w:val="single" w:sz="4" w:space="0" w:color="auto"/>
              <w:bottom w:val="single" w:sz="4" w:space="0" w:color="auto"/>
              <w:right w:val="single" w:sz="4" w:space="0" w:color="auto"/>
            </w:tcBorders>
            <w:vAlign w:val="bottom"/>
            <w:hideMark/>
          </w:tcPr>
          <w:p w:rsidR="00F0207A" w:rsidRPr="007F33F1" w:rsidRDefault="00F0207A" w:rsidP="0047221E">
            <w:pPr>
              <w:pStyle w:val="TableText0"/>
              <w:keepLines/>
              <w:jc w:val="center"/>
            </w:pPr>
            <w:r w:rsidRPr="007F33F1">
              <w:t>N/A</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2.90</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0207A" w:rsidRPr="007F33F1" w:rsidRDefault="00F0207A" w:rsidP="0047221E">
            <w:pPr>
              <w:pStyle w:val="TableText0"/>
              <w:keepLines/>
              <w:jc w:val="center"/>
            </w:pPr>
            <w:r w:rsidRPr="007F33F1">
              <w:t>$</w:t>
            </w:r>
            <w:r w:rsidR="00785E78">
              <w:rPr>
                <w:noProof/>
                <w:color w:val="000000"/>
                <w:highlight w:val="black"/>
              </w:rPr>
              <w:t>''''''''''''''''</w:t>
            </w:r>
            <w:r w:rsidR="002F4B27">
              <w:rPr>
                <w:vertAlign w:val="superscript"/>
              </w:rPr>
              <w:t>1</w:t>
            </w:r>
          </w:p>
        </w:tc>
      </w:tr>
    </w:tbl>
    <w:p w:rsidR="00F0207A" w:rsidRPr="007F33F1" w:rsidRDefault="00F0207A" w:rsidP="0047221E">
      <w:pPr>
        <w:pStyle w:val="TableFooter"/>
        <w:keepNext/>
        <w:keepLines/>
      </w:pPr>
      <w:r w:rsidRPr="007F33F1">
        <w:t>Source: Tables 3.22, 3.35 of the submission and compiled during the evaluation.</w:t>
      </w:r>
    </w:p>
    <w:p w:rsidR="00F0207A" w:rsidRPr="007F33F1" w:rsidRDefault="00F0207A" w:rsidP="0047221E">
      <w:pPr>
        <w:pStyle w:val="TableFooter"/>
        <w:keepNext/>
        <w:keepLines/>
      </w:pPr>
      <w:r w:rsidRPr="007F33F1">
        <w:t>BR=</w:t>
      </w:r>
      <w:r w:rsidR="00681665" w:rsidRPr="007F33F1">
        <w:t>bendamustine+rituximab</w:t>
      </w:r>
      <w:r w:rsidRPr="007F33F1">
        <w:t>, DRC=</w:t>
      </w:r>
      <w:r w:rsidRPr="007F33F1">
        <w:rPr>
          <w:iCs/>
        </w:rPr>
        <w:t xml:space="preserve"> dexamethasone, rituximab, cyclophosphamide,</w:t>
      </w:r>
      <w:r w:rsidRPr="007F33F1">
        <w:t xml:space="preserve"> exp=exponential, HR=hazard ratio, Incre=incremental, ICER=incremental cost-effectiveness ratio, m=months, OS=overall survival, PFS=progression free survival, QALY=quality adjusted life year, Rm=rituximab monotherapy, R/R=relapse/refractory, TN=treatment naïve, TTD=time to treatment discontinuation, vs=vers</w:t>
      </w:r>
      <w:r w:rsidR="00837768" w:rsidRPr="007F33F1">
        <w:t>us, y=years, ZANU=zanubrutinib.</w:t>
      </w:r>
    </w:p>
    <w:p w:rsidR="00F0207A" w:rsidRPr="007F33F1" w:rsidRDefault="00837768" w:rsidP="0047221E">
      <w:pPr>
        <w:pStyle w:val="TableFooter"/>
        <w:keepNext/>
        <w:keepLines/>
        <w:jc w:val="left"/>
      </w:pPr>
      <w:r w:rsidRPr="007F33F1">
        <w:t>*</w:t>
      </w:r>
      <w:r w:rsidR="00F0207A" w:rsidRPr="007F33F1">
        <w:t xml:space="preserve">assuming similar efficacy to BR but with lower cost, cost of DRC based on eviQ estimate for WM of $1,490 per </w:t>
      </w:r>
      <w:r w:rsidR="00681665" w:rsidRPr="007F33F1">
        <w:t>21-day</w:t>
      </w:r>
      <w:r w:rsidR="00F0207A" w:rsidRPr="007F33F1">
        <w:t xml:space="preserve"> cycle for 6 cycles Source: </w:t>
      </w:r>
      <w:r w:rsidR="00F0207A" w:rsidRPr="007F33F1">
        <w:rPr>
          <w:szCs w:val="18"/>
        </w:rPr>
        <w:t>https://www.eviq.org.au/haematology-and-bmt/lymphoma/waldenstrom-macroglobulinaemia/1654-waldenstrom-macroglobulinaemia-drc-dexametha</w:t>
      </w:r>
      <w:r w:rsidR="0001229B" w:rsidRPr="007F33F1">
        <w:rPr>
          <w:szCs w:val="18"/>
        </w:rPr>
        <w:t>.</w:t>
      </w:r>
      <w:r w:rsidR="00F0207A" w:rsidRPr="007F33F1">
        <w:t xml:space="preserve"> Administration costs were reduced by 1/3 to reflect the 2 infusions per cycle compared to the 3 in BR.</w:t>
      </w:r>
    </w:p>
    <w:p w:rsidR="00F0207A" w:rsidRDefault="00F0207A" w:rsidP="0047221E">
      <w:pPr>
        <w:pStyle w:val="TableFooter"/>
        <w:keepNext/>
        <w:keepLines/>
        <w:jc w:val="left"/>
      </w:pPr>
      <w:r w:rsidRPr="007F33F1">
        <w:t>^ZANU OS estimated as weighted average on % patients on treatment x OS based on ASPEN + % patients on treatment x OS based on Tedeschi 2015. This does not account for the uncertainty of the time on treatment extrapolation.</w:t>
      </w:r>
    </w:p>
    <w:p w:rsidR="002F4B27" w:rsidRDefault="002F4B27" w:rsidP="002F4B27">
      <w:pPr>
        <w:pStyle w:val="TableFigureFooter"/>
        <w:spacing w:after="0"/>
        <w:contextualSpacing w:val="0"/>
        <w:rPr>
          <w:i/>
        </w:rPr>
      </w:pPr>
      <w:r w:rsidRPr="009868C4">
        <w:rPr>
          <w:i/>
        </w:rPr>
        <w:t>The redacted values correspond to the following ranges</w:t>
      </w:r>
      <w:r>
        <w:rPr>
          <w:i/>
        </w:rPr>
        <w:t xml:space="preserve">: </w:t>
      </w:r>
    </w:p>
    <w:p w:rsidR="002F4B27" w:rsidRPr="00870C5D" w:rsidRDefault="002F4B27" w:rsidP="002F4B27">
      <w:pPr>
        <w:pStyle w:val="TableFigureFooter"/>
        <w:spacing w:after="0"/>
        <w:contextualSpacing w:val="0"/>
      </w:pPr>
      <w:r>
        <w:rPr>
          <w:i/>
          <w:vertAlign w:val="superscript"/>
        </w:rPr>
        <w:t>1</w:t>
      </w:r>
      <w:r>
        <w:rPr>
          <w:i/>
        </w:rPr>
        <w:t xml:space="preserve"> </w:t>
      </w:r>
      <w:r w:rsidRPr="002F4B27">
        <w:rPr>
          <w:i/>
        </w:rPr>
        <w:t>$75,000 to &lt; $95,000</w:t>
      </w:r>
    </w:p>
    <w:p w:rsidR="002F4B27" w:rsidRPr="00870C5D" w:rsidRDefault="002F4B27" w:rsidP="002F4B27">
      <w:pPr>
        <w:pStyle w:val="TableFigureFooter"/>
        <w:spacing w:after="0"/>
        <w:contextualSpacing w:val="0"/>
      </w:pPr>
      <w:r>
        <w:rPr>
          <w:i/>
          <w:vertAlign w:val="superscript"/>
        </w:rPr>
        <w:t>2</w:t>
      </w:r>
      <w:r>
        <w:rPr>
          <w:i/>
        </w:rPr>
        <w:t xml:space="preserve"> $</w:t>
      </w:r>
      <w:r w:rsidRPr="002F4B27">
        <w:rPr>
          <w:i/>
        </w:rPr>
        <w:t>855,000 to &lt; $955,000</w:t>
      </w:r>
    </w:p>
    <w:p w:rsidR="002F4B27" w:rsidRPr="00870C5D" w:rsidRDefault="002F4B27" w:rsidP="002F4B27">
      <w:pPr>
        <w:pStyle w:val="TableFigureFooter"/>
        <w:spacing w:after="0"/>
        <w:contextualSpacing w:val="0"/>
      </w:pPr>
      <w:r>
        <w:rPr>
          <w:i/>
          <w:vertAlign w:val="superscript"/>
        </w:rPr>
        <w:t>3</w:t>
      </w:r>
      <w:r>
        <w:rPr>
          <w:i/>
        </w:rPr>
        <w:t xml:space="preserve"> </w:t>
      </w:r>
      <w:r w:rsidRPr="002F4B27">
        <w:rPr>
          <w:i/>
        </w:rPr>
        <w:t>$255,000 to &lt; $355,000</w:t>
      </w:r>
    </w:p>
    <w:p w:rsidR="002F4B27" w:rsidRPr="00870C5D" w:rsidRDefault="002F4B27" w:rsidP="002F4B27">
      <w:pPr>
        <w:pStyle w:val="TableFigureFooter"/>
        <w:spacing w:after="0"/>
        <w:contextualSpacing w:val="0"/>
      </w:pPr>
      <w:r>
        <w:rPr>
          <w:i/>
          <w:vertAlign w:val="superscript"/>
        </w:rPr>
        <w:t>4</w:t>
      </w:r>
      <w:r>
        <w:rPr>
          <w:i/>
        </w:rPr>
        <w:t xml:space="preserve"> </w:t>
      </w:r>
      <w:r w:rsidRPr="002F4B27">
        <w:rPr>
          <w:i/>
        </w:rPr>
        <w:t>$155,000 to &lt; $255,000</w:t>
      </w:r>
    </w:p>
    <w:p w:rsidR="002F4B27" w:rsidRPr="00870C5D" w:rsidRDefault="002F4B27" w:rsidP="002F4B27">
      <w:pPr>
        <w:pStyle w:val="TableFigureFooter"/>
        <w:spacing w:after="0"/>
        <w:contextualSpacing w:val="0"/>
      </w:pPr>
      <w:r>
        <w:rPr>
          <w:i/>
          <w:vertAlign w:val="superscript"/>
        </w:rPr>
        <w:t>5</w:t>
      </w:r>
      <w:r w:rsidR="00FB48BB">
        <w:rPr>
          <w:i/>
        </w:rPr>
        <w:t xml:space="preserve"> </w:t>
      </w:r>
      <w:r w:rsidR="00FB48BB" w:rsidRPr="00FB48BB">
        <w:rPr>
          <w:i/>
        </w:rPr>
        <w:t>$115,000 to &lt; $135,000</w:t>
      </w:r>
    </w:p>
    <w:p w:rsidR="002F4B27" w:rsidRPr="00870C5D" w:rsidRDefault="002F4B27" w:rsidP="002F4B27">
      <w:pPr>
        <w:pStyle w:val="TableFigureFooter"/>
        <w:spacing w:after="0"/>
        <w:contextualSpacing w:val="0"/>
      </w:pPr>
      <w:r>
        <w:rPr>
          <w:i/>
          <w:vertAlign w:val="superscript"/>
        </w:rPr>
        <w:t>6</w:t>
      </w:r>
      <w:r>
        <w:rPr>
          <w:i/>
        </w:rPr>
        <w:t xml:space="preserve"> </w:t>
      </w:r>
      <w:r w:rsidR="00FB48BB" w:rsidRPr="00FB48BB">
        <w:rPr>
          <w:i/>
        </w:rPr>
        <w:t xml:space="preserve">$95,000 to &lt; $115,000 </w:t>
      </w:r>
    </w:p>
    <w:p w:rsidR="002F4B27" w:rsidRPr="00870C5D" w:rsidRDefault="002F4B27" w:rsidP="002F4B27">
      <w:pPr>
        <w:pStyle w:val="TableFigureFooter"/>
        <w:spacing w:after="0"/>
        <w:contextualSpacing w:val="0"/>
      </w:pPr>
      <w:r>
        <w:rPr>
          <w:i/>
          <w:vertAlign w:val="superscript"/>
        </w:rPr>
        <w:t>7</w:t>
      </w:r>
      <w:r>
        <w:rPr>
          <w:i/>
        </w:rPr>
        <w:t xml:space="preserve"> $</w:t>
      </w:r>
      <w:r w:rsidR="00FB48BB" w:rsidRPr="00FB48BB">
        <w:rPr>
          <w:i/>
        </w:rPr>
        <w:t>455,000 to &lt; $555,000</w:t>
      </w:r>
    </w:p>
    <w:p w:rsidR="002F4B27" w:rsidRPr="00870C5D" w:rsidRDefault="002F4B27" w:rsidP="002F4B27">
      <w:pPr>
        <w:pStyle w:val="TableFigureFooter"/>
        <w:spacing w:after="0"/>
        <w:contextualSpacing w:val="0"/>
      </w:pPr>
      <w:r>
        <w:rPr>
          <w:i/>
          <w:vertAlign w:val="superscript"/>
        </w:rPr>
        <w:t>8</w:t>
      </w:r>
      <w:r>
        <w:rPr>
          <w:i/>
        </w:rPr>
        <w:t xml:space="preserve"> $</w:t>
      </w:r>
      <w:r w:rsidR="00FB48BB" w:rsidRPr="00FB48BB">
        <w:rPr>
          <w:i/>
        </w:rPr>
        <w:t>755,000 to &lt; $855,000</w:t>
      </w:r>
    </w:p>
    <w:p w:rsidR="002F4B27" w:rsidRPr="00870C5D" w:rsidRDefault="002F4B27" w:rsidP="002F4B27">
      <w:pPr>
        <w:pStyle w:val="TableFigureFooter"/>
        <w:spacing w:after="0"/>
        <w:contextualSpacing w:val="0"/>
      </w:pPr>
      <w:r>
        <w:rPr>
          <w:i/>
          <w:vertAlign w:val="superscript"/>
        </w:rPr>
        <w:t>9</w:t>
      </w:r>
      <w:r>
        <w:rPr>
          <w:i/>
        </w:rPr>
        <w:t xml:space="preserve"> $</w:t>
      </w:r>
      <w:r w:rsidR="00FB48BB" w:rsidRPr="00FB48BB">
        <w:rPr>
          <w:i/>
        </w:rPr>
        <w:t>135,000 to &lt; $155,000</w:t>
      </w:r>
    </w:p>
    <w:p w:rsidR="002F4B27" w:rsidRPr="00870C5D" w:rsidRDefault="002F4B27" w:rsidP="002F4B27">
      <w:pPr>
        <w:pStyle w:val="TableFigureFooter"/>
        <w:spacing w:after="0"/>
        <w:contextualSpacing w:val="0"/>
      </w:pPr>
      <w:r>
        <w:rPr>
          <w:i/>
          <w:vertAlign w:val="superscript"/>
        </w:rPr>
        <w:t>10</w:t>
      </w:r>
      <w:r w:rsidR="00FB48BB">
        <w:rPr>
          <w:i/>
        </w:rPr>
        <w:t xml:space="preserve"> </w:t>
      </w:r>
      <w:r w:rsidR="00FB48BB" w:rsidRPr="00FB48BB">
        <w:rPr>
          <w:i/>
        </w:rPr>
        <w:t>&gt; $1,055,000</w:t>
      </w:r>
    </w:p>
    <w:p w:rsidR="002F4B27" w:rsidRPr="007F33F1" w:rsidRDefault="00FB48BB" w:rsidP="0047221E">
      <w:pPr>
        <w:pStyle w:val="TableFooter"/>
        <w:keepNext/>
        <w:keepLines/>
        <w:jc w:val="left"/>
      </w:pPr>
      <w:r>
        <w:rPr>
          <w:i/>
          <w:vertAlign w:val="superscript"/>
        </w:rPr>
        <w:t>11</w:t>
      </w:r>
      <w:r>
        <w:rPr>
          <w:i/>
        </w:rPr>
        <w:t xml:space="preserve"> </w:t>
      </w:r>
      <w:r w:rsidRPr="00FB48BB">
        <w:rPr>
          <w:i/>
        </w:rPr>
        <w:t>$55,000 to &lt; $75,000</w:t>
      </w:r>
    </w:p>
    <w:p w:rsidR="00F0207A" w:rsidRPr="007F33F1" w:rsidRDefault="00F0207A" w:rsidP="0047221E">
      <w:pPr>
        <w:keepNext/>
        <w:keepLines/>
      </w:pPr>
    </w:p>
    <w:p w:rsidR="00F0207A" w:rsidRPr="007F33F1" w:rsidRDefault="00F0207A" w:rsidP="0047221E">
      <w:pPr>
        <w:pStyle w:val="3-BodyText"/>
        <w:snapToGrid w:val="0"/>
      </w:pPr>
      <w:r w:rsidRPr="007F33F1">
        <w:t>Sensitivity analyses indicated that the model was most sensitive to time horizon, use of KM data, the inclusion of the large OS gain and duration of treatment effect</w:t>
      </w:r>
      <w:r w:rsidR="00837768" w:rsidRPr="007F33F1">
        <w:t>.</w:t>
      </w:r>
      <w:r w:rsidR="007A3597" w:rsidRPr="007F33F1">
        <w:t xml:space="preserve"> The ESC noted that </w:t>
      </w:r>
      <w:r w:rsidR="00EC4E75" w:rsidRPr="007F33F1">
        <w:t>the ICERs increased substantially when KM data</w:t>
      </w:r>
      <w:r w:rsidR="00DB5512" w:rsidRPr="007F33F1">
        <w:t xml:space="preserve"> (up to 30 months)</w:t>
      </w:r>
      <w:r w:rsidR="00EC4E75" w:rsidRPr="007F33F1">
        <w:t xml:space="preserve"> was used </w:t>
      </w:r>
      <w:r w:rsidR="00DB5512" w:rsidRPr="007F33F1">
        <w:t>in the model,</w:t>
      </w:r>
      <w:r w:rsidR="0053749D" w:rsidRPr="007F33F1">
        <w:t xml:space="preserve"> different OS extrapolations were applied,</w:t>
      </w:r>
      <w:r w:rsidR="00DB5512" w:rsidRPr="007F33F1">
        <w:t xml:space="preserve"> the time horizon was reduced from 20 years, no survival benefit between arms was assumed and </w:t>
      </w:r>
      <w:r w:rsidR="00C8078B" w:rsidRPr="007F33F1">
        <w:t xml:space="preserve">no survival benefit following discontinuation of </w:t>
      </w:r>
      <w:r w:rsidR="00BE77FA" w:rsidRPr="007F33F1">
        <w:t>zanubrutinib</w:t>
      </w:r>
      <w:r w:rsidR="00C8078B" w:rsidRPr="007F33F1">
        <w:t xml:space="preserve"> was assumed. </w:t>
      </w:r>
      <w:r w:rsidR="00E54133" w:rsidRPr="007F33F1">
        <w:t>T</w:t>
      </w:r>
      <w:r w:rsidR="00F77FE3" w:rsidRPr="007F33F1">
        <w:t xml:space="preserve">he ESC considered it was difficult to determine the most clinically plausible extrapolations </w:t>
      </w:r>
      <w:r w:rsidR="004148D9" w:rsidRPr="007F33F1">
        <w:t>given the current limited data</w:t>
      </w:r>
      <w:r w:rsidR="00F77FE3" w:rsidRPr="007F33F1">
        <w:t xml:space="preserve">, </w:t>
      </w:r>
      <w:r w:rsidR="00E54133" w:rsidRPr="007F33F1">
        <w:t xml:space="preserve">and as such </w:t>
      </w:r>
      <w:r w:rsidR="00F77FE3" w:rsidRPr="007F33F1">
        <w:t xml:space="preserve">the ESC considered it </w:t>
      </w:r>
      <w:r w:rsidR="004148D9" w:rsidRPr="007F33F1">
        <w:t xml:space="preserve">would have been more appropriate </w:t>
      </w:r>
      <w:r w:rsidR="009E0122" w:rsidRPr="007F33F1">
        <w:t xml:space="preserve">to assume no sustained survival benefit following </w:t>
      </w:r>
      <w:r w:rsidR="00BE77FA" w:rsidRPr="007F33F1">
        <w:t>zanubrutinib</w:t>
      </w:r>
      <w:r w:rsidR="009E0122" w:rsidRPr="007F33F1">
        <w:t xml:space="preserve"> treatment discontinuation.</w:t>
      </w:r>
      <w:r w:rsidR="00EF2438" w:rsidRPr="007F33F1">
        <w:t xml:space="preserve"> </w:t>
      </w:r>
    </w:p>
    <w:p w:rsidR="00020C07" w:rsidRPr="007F33F1" w:rsidRDefault="009E6A64" w:rsidP="0047221E">
      <w:pPr>
        <w:pStyle w:val="3-BodyText"/>
        <w:snapToGrid w:val="0"/>
        <w:rPr>
          <w:iCs/>
        </w:rPr>
      </w:pPr>
      <w:bookmarkStart w:id="99" w:name="_Ref75265745"/>
      <w:r w:rsidRPr="007F33F1">
        <w:rPr>
          <w:iCs/>
        </w:rPr>
        <w:t xml:space="preserve">While the ESC considered </w:t>
      </w:r>
      <w:r w:rsidR="0053749D" w:rsidRPr="007F33F1">
        <w:rPr>
          <w:iCs/>
        </w:rPr>
        <w:t>DRC was also a relevant</w:t>
      </w:r>
      <w:r w:rsidRPr="007F33F1">
        <w:rPr>
          <w:iCs/>
        </w:rPr>
        <w:t xml:space="preserve"> comparator in the R/R setting </w:t>
      </w:r>
      <w:r w:rsidR="00C8078B" w:rsidRPr="007F33F1">
        <w:rPr>
          <w:iCs/>
        </w:rPr>
        <w:t>with a</w:t>
      </w:r>
      <w:r w:rsidR="00477FF8" w:rsidRPr="007F33F1">
        <w:rPr>
          <w:iCs/>
        </w:rPr>
        <w:t xml:space="preserve"> lower cost and</w:t>
      </w:r>
      <w:r w:rsidRPr="007F33F1">
        <w:rPr>
          <w:iCs/>
        </w:rPr>
        <w:t xml:space="preserve"> similar efficacy</w:t>
      </w:r>
      <w:r w:rsidR="00477FF8" w:rsidRPr="007F33F1">
        <w:rPr>
          <w:iCs/>
        </w:rPr>
        <w:t xml:space="preserve"> compared</w:t>
      </w:r>
      <w:r w:rsidRPr="007F33F1">
        <w:rPr>
          <w:iCs/>
        </w:rPr>
        <w:t xml:space="preserve"> to BR (see paragraph </w:t>
      </w:r>
      <w:r w:rsidR="00015997">
        <w:rPr>
          <w:iCs/>
        </w:rPr>
        <w:t>5.6</w:t>
      </w:r>
      <w:r w:rsidRPr="007F33F1">
        <w:rPr>
          <w:iCs/>
        </w:rPr>
        <w:t>)</w:t>
      </w:r>
      <w:r w:rsidR="00B218CA" w:rsidRPr="007F33F1">
        <w:rPr>
          <w:iCs/>
        </w:rPr>
        <w:t>, t</w:t>
      </w:r>
      <w:r w:rsidRPr="007F33F1">
        <w:rPr>
          <w:iCs/>
        </w:rPr>
        <w:t xml:space="preserve">he ESC </w:t>
      </w:r>
      <w:r w:rsidR="00B218CA" w:rsidRPr="007F33F1">
        <w:rPr>
          <w:iCs/>
        </w:rPr>
        <w:t xml:space="preserve">also </w:t>
      </w:r>
      <w:r w:rsidRPr="007F33F1">
        <w:rPr>
          <w:iCs/>
        </w:rPr>
        <w:t>noted that u</w:t>
      </w:r>
      <w:r w:rsidR="00020C07" w:rsidRPr="007F33F1">
        <w:rPr>
          <w:iCs/>
        </w:rPr>
        <w:t xml:space="preserve">sing </w:t>
      </w:r>
      <w:r w:rsidR="00FE3693" w:rsidRPr="007F33F1">
        <w:rPr>
          <w:iCs/>
        </w:rPr>
        <w:t xml:space="preserve">the </w:t>
      </w:r>
      <w:r w:rsidR="00020C07" w:rsidRPr="007F33F1">
        <w:rPr>
          <w:iCs/>
        </w:rPr>
        <w:t xml:space="preserve">cost of DRC in place </w:t>
      </w:r>
      <w:r w:rsidR="00FE3693" w:rsidRPr="007F33F1">
        <w:rPr>
          <w:iCs/>
        </w:rPr>
        <w:t>of BR in the model had a relatively minor impact on the ICER.</w:t>
      </w:r>
      <w:bookmarkEnd w:id="99"/>
      <w:r w:rsidR="00FE3693" w:rsidRPr="007F33F1">
        <w:rPr>
          <w:iCs/>
        </w:rPr>
        <w:t xml:space="preserve"> </w:t>
      </w:r>
    </w:p>
    <w:p w:rsidR="00F0207A" w:rsidRPr="007F33F1" w:rsidRDefault="00F0207A" w:rsidP="0047221E">
      <w:pPr>
        <w:pStyle w:val="4-SubsectionHeading"/>
      </w:pPr>
      <w:bookmarkStart w:id="100" w:name="_Toc72421802"/>
      <w:r w:rsidRPr="007F33F1">
        <w:t>Drug cost/patient/course</w:t>
      </w:r>
      <w:bookmarkEnd w:id="100"/>
    </w:p>
    <w:p w:rsidR="00F0207A" w:rsidRPr="007F33F1" w:rsidRDefault="0001229B" w:rsidP="0047221E">
      <w:pPr>
        <w:pStyle w:val="Caption"/>
        <w:spacing w:after="0"/>
        <w:rPr>
          <w:rStyle w:val="CommentReference"/>
        </w:rPr>
      </w:pPr>
      <w:r w:rsidRPr="007F33F1">
        <w:rPr>
          <w:rFonts w:ascii="Arial Narrow" w:eastAsiaTheme="majorEastAsia" w:hAnsi="Arial Narrow" w:cstheme="majorBidi"/>
          <w:color w:val="auto"/>
          <w:sz w:val="20"/>
          <w:szCs w:val="24"/>
        </w:rPr>
        <w:t xml:space="preserve">Table </w:t>
      </w:r>
      <w:r w:rsidR="00015997">
        <w:rPr>
          <w:rFonts w:ascii="Arial Narrow" w:eastAsiaTheme="majorEastAsia" w:hAnsi="Arial Narrow" w:cstheme="majorBidi"/>
          <w:noProof/>
          <w:color w:val="auto"/>
          <w:sz w:val="20"/>
          <w:szCs w:val="24"/>
        </w:rPr>
        <w:t>20</w:t>
      </w:r>
      <w:r w:rsidR="00F0207A" w:rsidRPr="007F33F1">
        <w:rPr>
          <w:rFonts w:ascii="Arial Narrow" w:eastAsiaTheme="majorEastAsia" w:hAnsi="Arial Narrow" w:cstheme="majorBidi"/>
          <w:color w:val="auto"/>
          <w:sz w:val="20"/>
          <w:szCs w:val="24"/>
        </w:rPr>
        <w:t>: Drug cost per patient for proposed and comparator drugs</w:t>
      </w:r>
    </w:p>
    <w:tbl>
      <w:tblPr>
        <w:tblStyle w:val="TableGrid"/>
        <w:tblW w:w="9067" w:type="dxa"/>
        <w:tblCellMar>
          <w:left w:w="28" w:type="dxa"/>
          <w:right w:w="28" w:type="dxa"/>
        </w:tblCellMar>
        <w:tblLook w:val="04A0" w:firstRow="1" w:lastRow="0" w:firstColumn="1" w:lastColumn="0" w:noHBand="0" w:noVBand="1"/>
        <w:tblCaption w:val="Table 20: Drug cost per patient for proposed and comparator drugs"/>
      </w:tblPr>
      <w:tblGrid>
        <w:gridCol w:w="2766"/>
        <w:gridCol w:w="1517"/>
        <w:gridCol w:w="1517"/>
        <w:gridCol w:w="1517"/>
        <w:gridCol w:w="1750"/>
      </w:tblGrid>
      <w:tr w:rsidR="00F0207A" w:rsidRPr="007F33F1" w:rsidTr="00F0207A">
        <w:trPr>
          <w:tblHeader/>
        </w:trPr>
        <w:tc>
          <w:tcPr>
            <w:tcW w:w="2766" w:type="dxa"/>
            <w:tcBorders>
              <w:top w:val="single" w:sz="4" w:space="0" w:color="auto"/>
              <w:left w:val="single" w:sz="4" w:space="0" w:color="auto"/>
              <w:bottom w:val="single" w:sz="4" w:space="0" w:color="auto"/>
              <w:right w:val="single" w:sz="4" w:space="0" w:color="auto"/>
            </w:tcBorders>
            <w:vAlign w:val="center"/>
          </w:tcPr>
          <w:p w:rsidR="00F0207A" w:rsidRPr="007F33F1" w:rsidRDefault="00F0207A" w:rsidP="0047221E">
            <w:pPr>
              <w:pStyle w:val="In-tableHeading"/>
              <w:rPr>
                <w:lang w:val="en-AU"/>
              </w:rPr>
            </w:pP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ZANU</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Rm (TN)</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ZANU matched</w:t>
            </w:r>
          </w:p>
        </w:tc>
        <w:tc>
          <w:tcPr>
            <w:tcW w:w="175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jc w:val="center"/>
              <w:rPr>
                <w:lang w:val="en-AU"/>
              </w:rPr>
            </w:pPr>
            <w:r w:rsidRPr="007F33F1">
              <w:rPr>
                <w:lang w:val="en-AU"/>
              </w:rPr>
              <w:t>BR (R/R)</w:t>
            </w:r>
          </w:p>
        </w:tc>
      </w:tr>
      <w:tr w:rsidR="00F0207A" w:rsidRPr="007F33F1" w:rsidTr="00F0207A">
        <w:tc>
          <w:tcPr>
            <w:tcW w:w="276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pPr>
            <w:r w:rsidRPr="007F33F1">
              <w:t>Time on treatment per pt (months) in submission</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C607F1" w:rsidRDefault="00F0207A" w:rsidP="0047221E">
            <w:pPr>
              <w:pStyle w:val="TableText0"/>
              <w:jc w:val="center"/>
            </w:pPr>
            <w:r w:rsidRPr="00C607F1">
              <w:t>86.04</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C607F1" w:rsidRDefault="00F0207A" w:rsidP="0047221E">
            <w:pPr>
              <w:pStyle w:val="TableText0"/>
              <w:jc w:val="center"/>
            </w:pPr>
            <w:r w:rsidRPr="00C607F1">
              <w:t>4.24</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C607F1" w:rsidRDefault="00F0207A" w:rsidP="0047221E">
            <w:pPr>
              <w:pStyle w:val="TableText0"/>
              <w:jc w:val="center"/>
            </w:pPr>
            <w:r w:rsidRPr="00C607F1">
              <w:t>84.24</w:t>
            </w:r>
          </w:p>
        </w:tc>
        <w:tc>
          <w:tcPr>
            <w:tcW w:w="175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5.27</w:t>
            </w:r>
          </w:p>
        </w:tc>
      </w:tr>
      <w:tr w:rsidR="00F0207A" w:rsidRPr="007F33F1" w:rsidTr="00F0207A">
        <w:tc>
          <w:tcPr>
            <w:tcW w:w="276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pPr>
            <w:r w:rsidRPr="007F33F1">
              <w:t>Time on treatment per pt (months) calculated from model</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C607F1" w:rsidRDefault="00F0207A" w:rsidP="0047221E">
            <w:pPr>
              <w:pStyle w:val="TableText0"/>
              <w:jc w:val="center"/>
            </w:pPr>
            <w:r w:rsidRPr="00C607F1">
              <w:t>84.98</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C607F1" w:rsidRDefault="00F0207A" w:rsidP="0047221E">
            <w:pPr>
              <w:pStyle w:val="TableText0"/>
              <w:jc w:val="center"/>
            </w:pPr>
            <w:r w:rsidRPr="00C607F1">
              <w:t>1.70</w:t>
            </w:r>
          </w:p>
          <w:p w:rsidR="00F0207A" w:rsidRPr="00C607F1" w:rsidRDefault="00F0207A" w:rsidP="0047221E">
            <w:pPr>
              <w:pStyle w:val="TableText0"/>
              <w:jc w:val="center"/>
            </w:pPr>
            <w:r w:rsidRPr="00C607F1">
              <w:t>(4.24 incl. treatment break)</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C607F1" w:rsidRDefault="00F0207A" w:rsidP="0047221E">
            <w:pPr>
              <w:pStyle w:val="TableText0"/>
              <w:jc w:val="center"/>
            </w:pPr>
            <w:r w:rsidRPr="00C607F1">
              <w:t>82.56</w:t>
            </w:r>
          </w:p>
        </w:tc>
        <w:tc>
          <w:tcPr>
            <w:tcW w:w="175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5.27</w:t>
            </w:r>
          </w:p>
        </w:tc>
      </w:tr>
      <w:tr w:rsidR="00F0207A" w:rsidRPr="007F33F1" w:rsidTr="00F0207A">
        <w:tc>
          <w:tcPr>
            <w:tcW w:w="276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pPr>
            <w:r w:rsidRPr="007F33F1">
              <w:t>Total cost of treatment per pt (inc admin and AE costs)</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w:t>
            </w:r>
            <w:r w:rsidR="00785E78">
              <w:rPr>
                <w:noProof/>
                <w:color w:val="000000"/>
                <w:highlight w:val="black"/>
              </w:rPr>
              <w:t>'''''''''''''''''''''</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$10,662</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w:t>
            </w:r>
            <w:r w:rsidR="00785E78">
              <w:rPr>
                <w:noProof/>
                <w:color w:val="000000"/>
                <w:highlight w:val="black"/>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$30,874</w:t>
            </w:r>
          </w:p>
        </w:tc>
      </w:tr>
      <w:tr w:rsidR="00F0207A" w:rsidRPr="007F33F1" w:rsidTr="00F0207A">
        <w:tc>
          <w:tcPr>
            <w:tcW w:w="276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pPr>
            <w:r w:rsidRPr="007F33F1">
              <w:t>Cost of treatment per pt per month</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w:t>
            </w:r>
            <w:r w:rsidR="00785E78">
              <w:rPr>
                <w:noProof/>
                <w:color w:val="000000"/>
                <w:highlight w:val="black"/>
              </w:rPr>
              <w:t>'''''''''''''''''''''</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$6,275.95</w:t>
            </w:r>
          </w:p>
          <w:p w:rsidR="00F0207A" w:rsidRPr="007F33F1" w:rsidRDefault="00F0207A" w:rsidP="0047221E">
            <w:pPr>
              <w:pStyle w:val="TableText0"/>
              <w:jc w:val="center"/>
            </w:pPr>
            <w:r w:rsidRPr="007F33F1">
              <w:t>($2,513.07 incl. treatment break)</w:t>
            </w:r>
          </w:p>
        </w:tc>
        <w:tc>
          <w:tcPr>
            <w:tcW w:w="1517"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w:t>
            </w:r>
            <w:r w:rsidR="00785E78">
              <w:rPr>
                <w:noProof/>
                <w:color w:val="000000"/>
                <w:highlight w:val="black"/>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jc w:val="center"/>
            </w:pPr>
            <w:r w:rsidRPr="007F33F1">
              <w:t>$5,853.79</w:t>
            </w:r>
          </w:p>
        </w:tc>
      </w:tr>
    </w:tbl>
    <w:p w:rsidR="00F0207A" w:rsidRPr="007F33F1" w:rsidRDefault="00F0207A" w:rsidP="0047221E">
      <w:pPr>
        <w:pStyle w:val="TableFigureFooter"/>
      </w:pPr>
      <w:r w:rsidRPr="007F33F1">
        <w:t>Notes: Submission and model time on treatment could not be matched. Results presented here use values calculated from the model. Total cost of treatment was recalculated to include admin and AE costs. Costs and time on treatment are undiscounted</w:t>
      </w:r>
    </w:p>
    <w:p w:rsidR="00F0207A" w:rsidRPr="007F33F1" w:rsidRDefault="00F0207A" w:rsidP="0047221E">
      <w:pPr>
        <w:pStyle w:val="TableFigureFooter"/>
      </w:pPr>
      <w:r w:rsidRPr="007F33F1">
        <w:t xml:space="preserve">Source: Compiled during the evaluation from Excel workbook </w:t>
      </w:r>
      <w:r w:rsidRPr="007F33F1">
        <w:rPr>
          <w:rFonts w:cs="Times New Roman"/>
          <w:szCs w:val="18"/>
          <w:lang w:eastAsia="en-GB"/>
        </w:rPr>
        <w:t>‘Section3_CEM_Zanubrutinib_WM_Final_Rm_PFS_Toggle.xlsm’</w:t>
      </w:r>
    </w:p>
    <w:p w:rsidR="00F0207A" w:rsidRPr="007F33F1" w:rsidRDefault="00F0207A" w:rsidP="0047221E">
      <w:pPr>
        <w:pStyle w:val="TableFigureFooter"/>
        <w:rPr>
          <w:szCs w:val="20"/>
        </w:rPr>
      </w:pPr>
      <w:r w:rsidRPr="007F33F1">
        <w:rPr>
          <w:szCs w:val="20"/>
        </w:rPr>
        <w:t>AE=adverse event, BR=bendamustine+rituximab, PD=progressive disease, PFS=progression free survival, Rm=rituximab monotherapy, R/R=relapse/refractory, TN=treatment naïve, ZANU=zanubrutinib</w:t>
      </w:r>
    </w:p>
    <w:p w:rsidR="00776C03" w:rsidRDefault="00776C03">
      <w:pPr>
        <w:jc w:val="left"/>
        <w:rPr>
          <w:rFonts w:asciiTheme="minorHAnsi" w:eastAsiaTheme="majorEastAsia" w:hAnsiTheme="minorHAnsi" w:cstheme="majorBidi"/>
          <w:b/>
          <w:i/>
          <w:spacing w:val="5"/>
          <w:kern w:val="28"/>
          <w:sz w:val="28"/>
          <w:szCs w:val="36"/>
        </w:rPr>
      </w:pPr>
      <w:bookmarkStart w:id="101" w:name="_Toc72421803"/>
      <w:r>
        <w:br w:type="page"/>
      </w:r>
    </w:p>
    <w:p w:rsidR="00F0207A" w:rsidRPr="007F33F1" w:rsidRDefault="00F0207A" w:rsidP="0047221E">
      <w:pPr>
        <w:pStyle w:val="4-SubsectionHeading"/>
      </w:pPr>
      <w:r w:rsidRPr="007F33F1">
        <w:t>Estimated PBS usage &amp; financial implications</w:t>
      </w:r>
      <w:bookmarkEnd w:id="101"/>
    </w:p>
    <w:p w:rsidR="00852F92" w:rsidRPr="007F33F1" w:rsidRDefault="00852F92" w:rsidP="0047221E">
      <w:pPr>
        <w:pStyle w:val="3-BodyText"/>
        <w:snapToGrid w:val="0"/>
      </w:pPr>
      <w:r w:rsidRPr="007F33F1">
        <w:t>This submission was not considered by DUSC.</w:t>
      </w:r>
    </w:p>
    <w:p w:rsidR="00F0207A" w:rsidRPr="007F33F1" w:rsidRDefault="00F0207A" w:rsidP="0047221E">
      <w:pPr>
        <w:pStyle w:val="3-BodyText"/>
        <w:snapToGrid w:val="0"/>
      </w:pPr>
      <w:r w:rsidRPr="007F33F1">
        <w:t xml:space="preserve">The submission </w:t>
      </w:r>
      <w:r w:rsidR="007F33F1">
        <w:t>used</w:t>
      </w:r>
      <w:r w:rsidRPr="007F33F1">
        <w:t xml:space="preserve"> an epidemiological approach to estimate the financial implications of listing, for first- and subsequent lines of therapy. </w:t>
      </w:r>
      <w:r w:rsidRPr="007F33F1">
        <w:rPr>
          <w:iCs/>
        </w:rPr>
        <w:t xml:space="preserve">However, </w:t>
      </w:r>
      <w:r w:rsidRPr="007F33F1">
        <w:t xml:space="preserve">patients were identified using an incident approach, and this may not be appropriate given there would be an existing pool of patients who would like to initiate treatment with </w:t>
      </w:r>
      <w:r w:rsidR="00BE77FA" w:rsidRPr="007F33F1">
        <w:t>zanubrutinib</w:t>
      </w:r>
      <w:r w:rsidRPr="007F33F1">
        <w:t xml:space="preserve">. Furthermore, as the model assumed that only incident patients from two years prior would be considered, use in the R/R setting was potentially underestimated, since patients diagnosed more than two years previously may also wish to initiate </w:t>
      </w:r>
      <w:r w:rsidR="00BE77FA" w:rsidRPr="007F33F1">
        <w:t>zanubrutinib</w:t>
      </w:r>
      <w:r w:rsidRPr="007F33F1">
        <w:t>.</w:t>
      </w:r>
    </w:p>
    <w:p w:rsidR="00F0207A" w:rsidRPr="007F33F1" w:rsidRDefault="00F0207A" w:rsidP="0047221E">
      <w:pPr>
        <w:pStyle w:val="3-BodyText"/>
        <w:snapToGrid w:val="0"/>
        <w:sectPr w:rsidR="00F0207A" w:rsidRPr="007F33F1" w:rsidSect="006D69EA">
          <w:headerReference w:type="even" r:id="rId23"/>
          <w:headerReference w:type="default" r:id="rId24"/>
          <w:footerReference w:type="even" r:id="rId25"/>
          <w:footerReference w:type="default" r:id="rId26"/>
          <w:headerReference w:type="first" r:id="rId27"/>
          <w:footerReference w:type="first" r:id="rId28"/>
          <w:pgSz w:w="11907" w:h="16840"/>
          <w:pgMar w:top="1440" w:right="1417" w:bottom="1440" w:left="1440" w:header="1440" w:footer="1440" w:gutter="0"/>
          <w:pgNumType w:start="1"/>
          <w:cols w:space="720"/>
        </w:sectPr>
      </w:pPr>
      <w:r w:rsidRPr="007F33F1">
        <w:t xml:space="preserve">Key inputs applied in the financial analysis are presented below. The submission assumed substitution of </w:t>
      </w:r>
      <w:r w:rsidR="00BE77FA" w:rsidRPr="007F33F1">
        <w:t>zanubrutinib</w:t>
      </w:r>
      <w:r w:rsidRPr="007F33F1">
        <w:t xml:space="preserve"> for PBS items for Rm, chlorambucil monotherapy and rituximab+chlorambucil in the TN </w:t>
      </w:r>
      <w:r w:rsidR="00916B6C" w:rsidRPr="007F33F1">
        <w:t>chemo-immunotherapy</w:t>
      </w:r>
      <w:r w:rsidRPr="007F33F1">
        <w:t xml:space="preserve"> ineligible population; a</w:t>
      </w:r>
      <w:r w:rsidR="003F7EEA" w:rsidRPr="007F33F1">
        <w:t xml:space="preserve">nd for BR, DRC and FRC </w:t>
      </w:r>
      <w:r w:rsidRPr="007F33F1">
        <w:t xml:space="preserve">in the R/R population. The submission also included costs for filgrastim to manage neutropenia in a proportion of patients receiving </w:t>
      </w:r>
      <w:r w:rsidR="00BE77FA" w:rsidRPr="007F33F1">
        <w:t>zanubrutinib</w:t>
      </w:r>
      <w:r w:rsidRPr="007F33F1">
        <w:t>. Cost</w:t>
      </w:r>
      <w:r w:rsidR="0080146D" w:rsidRPr="007F33F1">
        <w:t>s</w:t>
      </w:r>
      <w:r w:rsidRPr="007F33F1">
        <w:t xml:space="preserve"> for dexamethasone IV (part of DRC) </w:t>
      </w:r>
      <w:r w:rsidR="0080146D" w:rsidRPr="007F33F1">
        <w:t>were</w:t>
      </w:r>
      <w:r w:rsidRPr="007F33F1">
        <w:t xml:space="preserve"> not include</w:t>
      </w:r>
      <w:r w:rsidR="0080146D" w:rsidRPr="007F33F1">
        <w:t xml:space="preserve">d in the </w:t>
      </w:r>
      <w:r w:rsidRPr="007F33F1">
        <w:t xml:space="preserve">estimates as it is not currently listed on the PBS, which was reasonable. A number of small discrepancies were detected between the drug prices used in the financial estimates and prices according to the PBS </w:t>
      </w:r>
      <w:r w:rsidR="003F7EEA" w:rsidRPr="007F33F1">
        <w:t>S</w:t>
      </w:r>
      <w:r w:rsidRPr="007F33F1">
        <w:t>chedule, however these discrepancies were unlikely to significantly impact the results. An issue with the financial analysis was the inclusion of non</w:t>
      </w:r>
      <w:r w:rsidR="003F7EEA" w:rsidRPr="007F33F1">
        <w:t>-</w:t>
      </w:r>
      <w:r w:rsidRPr="007F33F1">
        <w:t xml:space="preserve">PBS listed treatments (i.e. Rm, bendamustine) as </w:t>
      </w:r>
      <w:r w:rsidR="00D47D77" w:rsidRPr="007F33F1">
        <w:t xml:space="preserve">PBS </w:t>
      </w:r>
      <w:r w:rsidRPr="007F33F1">
        <w:t xml:space="preserve">cost offsets for </w:t>
      </w:r>
      <w:r w:rsidR="00BE77FA" w:rsidRPr="007F33F1">
        <w:t>zanubrutinib</w:t>
      </w:r>
      <w:r w:rsidRPr="007F33F1">
        <w:t xml:space="preserve">. While non-PBS treatments may be the most appropriate comparators, their costs cannot be included as </w:t>
      </w:r>
      <w:r w:rsidR="00D47D77" w:rsidRPr="007F33F1">
        <w:t xml:space="preserve">PBS </w:t>
      </w:r>
      <w:r w:rsidRPr="007F33F1">
        <w:t>cost offsets.</w:t>
      </w:r>
      <w:r w:rsidR="006912AB" w:rsidRPr="007F33F1">
        <w:t xml:space="preserve"> </w:t>
      </w:r>
    </w:p>
    <w:p w:rsidR="00F0207A" w:rsidRPr="007F33F1" w:rsidRDefault="00F0207A" w:rsidP="0047221E">
      <w:pPr>
        <w:pStyle w:val="In-tableHeading"/>
        <w:rPr>
          <w:lang w:val="en-AU"/>
        </w:rPr>
      </w:pPr>
      <w:r w:rsidRPr="007F33F1">
        <w:rPr>
          <w:lang w:val="en-AU"/>
        </w:rPr>
        <w:t xml:space="preserve">Table </w:t>
      </w:r>
      <w:r w:rsidR="00015997">
        <w:rPr>
          <w:noProof/>
          <w:lang w:val="en-AU"/>
        </w:rPr>
        <w:t>21</w:t>
      </w:r>
      <w:r w:rsidRPr="007F33F1">
        <w:rPr>
          <w:lang w:val="en-AU"/>
        </w:rPr>
        <w:t xml:space="preserve">: </w:t>
      </w:r>
      <w:r w:rsidRPr="007F33F1">
        <w:rPr>
          <w:rStyle w:val="CommentReference"/>
          <w:b/>
          <w:szCs w:val="24"/>
          <w:lang w:val="en-AU"/>
        </w:rPr>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1134"/>
        <w:gridCol w:w="6663"/>
        <w:gridCol w:w="5024"/>
      </w:tblGrid>
      <w:tr w:rsidR="00F0207A" w:rsidRPr="007F33F1" w:rsidTr="0047221E">
        <w:trPr>
          <w:cantSplit/>
          <w:tblHeader/>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Next w:val="0"/>
              <w:rPr>
                <w:lang w:val="en-AU"/>
              </w:rPr>
            </w:pPr>
            <w:r w:rsidRPr="007F33F1">
              <w:rPr>
                <w:lang w:val="en-AU"/>
              </w:rPr>
              <w:t>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Next w:val="0"/>
              <w:rPr>
                <w:lang w:val="en-AU"/>
              </w:rPr>
            </w:pPr>
            <w:r w:rsidRPr="007F33F1">
              <w:rPr>
                <w:lang w:val="en-AU"/>
              </w:rPr>
              <w:t>Value</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Next w:val="0"/>
              <w:rPr>
                <w:lang w:val="en-AU"/>
              </w:rPr>
            </w:pPr>
            <w:r w:rsidRPr="007F33F1">
              <w:rPr>
                <w:lang w:val="en-AU"/>
              </w:rPr>
              <w:t>Source</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Next w:val="0"/>
              <w:rPr>
                <w:lang w:val="en-AU"/>
              </w:rPr>
            </w:pPr>
            <w:r w:rsidRPr="007F33F1">
              <w:rPr>
                <w:lang w:val="en-AU"/>
              </w:rPr>
              <w:t>Comment</w:t>
            </w:r>
          </w:p>
        </w:tc>
      </w:tr>
      <w:tr w:rsidR="00F0207A" w:rsidRPr="007F33F1" w:rsidTr="00F0207A">
        <w:trPr>
          <w:cantSplit/>
        </w:trPr>
        <w:tc>
          <w:tcPr>
            <w:tcW w:w="13950" w:type="dxa"/>
            <w:gridSpan w:val="4"/>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In-tableHeading"/>
              <w:keepNext w:val="0"/>
              <w:rPr>
                <w:lang w:val="en-AU"/>
              </w:rPr>
            </w:pPr>
            <w:r w:rsidRPr="007F33F1">
              <w:rPr>
                <w:lang w:val="en-AU"/>
              </w:rPr>
              <w:t>Eligible population</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135988">
            <w:pPr>
              <w:pStyle w:val="TableText0"/>
              <w:keepNext w:val="0"/>
            </w:pPr>
            <w:r w:rsidRPr="007F33F1">
              <w:t>Incident patients (1L)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 xml:space="preserve">Yr 1: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2: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3: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4: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5: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6: </w:t>
            </w:r>
            <w:r w:rsidR="00785E78">
              <w:rPr>
                <w:noProof/>
                <w:color w:val="000000"/>
                <w:highlight w:val="black"/>
              </w:rPr>
              <w:t>'''''''</w:t>
            </w:r>
            <w:r w:rsidR="00135988">
              <w:rPr>
                <w:vertAlign w:val="superscript"/>
              </w:rPr>
              <w:t>1</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Estimated using a WM incidence rate of 0.37 per 100,000 (AIHW Code C88 stated). This was then applied to projected population based on ABS statistics and adjusted for PBS eligibility:</w:t>
            </w:r>
          </w:p>
          <w:p w:rsidR="00F0207A" w:rsidRPr="007F33F1" w:rsidRDefault="00F0207A" w:rsidP="0047221E">
            <w:pPr>
              <w:pStyle w:val="TableText0"/>
              <w:keepNext w:val="0"/>
              <w:numPr>
                <w:ilvl w:val="0"/>
                <w:numId w:val="11"/>
              </w:numPr>
              <w:ind w:left="247" w:hanging="142"/>
            </w:pPr>
            <w:r w:rsidRPr="007F33F1">
              <w:t>% treated (70-80%)- sponsor’s market research (increased over time)</w:t>
            </w:r>
          </w:p>
          <w:p w:rsidR="00F0207A" w:rsidRPr="007F33F1" w:rsidRDefault="00F0207A" w:rsidP="0047221E">
            <w:pPr>
              <w:pStyle w:val="TableText0"/>
              <w:keepNext w:val="0"/>
              <w:numPr>
                <w:ilvl w:val="0"/>
                <w:numId w:val="11"/>
              </w:numPr>
              <w:ind w:left="247" w:hanging="142"/>
            </w:pPr>
            <w:r w:rsidRPr="007F33F1">
              <w:t>% unsuitable for CIT (30%)- sponsor’s market research</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rPr>
                <w:iCs/>
              </w:rPr>
            </w:pPr>
            <w:r w:rsidRPr="007F33F1">
              <w:rPr>
                <w:iCs/>
              </w:rPr>
              <w:t>Data sources and calculations were reasonable. However, WM incidence could not be verified. AIHW Code C88 refers to immunoproliferative cancers, but does not specify WM subset.</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Incident patients (2L+)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 xml:space="preserve">Yr 1: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2: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3: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4: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5: </w:t>
            </w:r>
            <w:r w:rsidR="00785E78">
              <w:rPr>
                <w:noProof/>
                <w:color w:val="000000"/>
                <w:highlight w:val="black"/>
              </w:rPr>
              <w:t>''''''</w:t>
            </w:r>
            <w:r w:rsidR="00135988">
              <w:rPr>
                <w:vertAlign w:val="superscript"/>
              </w:rPr>
              <w:t>1</w:t>
            </w:r>
          </w:p>
          <w:p w:rsidR="00F0207A" w:rsidRPr="007F33F1" w:rsidRDefault="00F0207A" w:rsidP="0047221E">
            <w:pPr>
              <w:pStyle w:val="TableText0"/>
              <w:keepNext w:val="0"/>
            </w:pPr>
            <w:r w:rsidRPr="007F33F1">
              <w:t xml:space="preserve">Yr 6: </w:t>
            </w:r>
            <w:r w:rsidR="00785E78">
              <w:rPr>
                <w:noProof/>
                <w:color w:val="000000"/>
                <w:highlight w:val="black"/>
              </w:rPr>
              <w:t>''''''</w:t>
            </w:r>
            <w:r w:rsidR="00135988">
              <w:rPr>
                <w:vertAlign w:val="superscript"/>
              </w:rPr>
              <w:t>1</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Estimated using a WM incidence rate of 0.37 per 100,000 (AIHW Code C88 stated). This was then applied to projected population from 2 years prior to year of interest based on ABS statistics and adjusted for PBS eligibility:</w:t>
            </w:r>
          </w:p>
          <w:p w:rsidR="00F0207A" w:rsidRPr="007F33F1" w:rsidRDefault="00F0207A" w:rsidP="0047221E">
            <w:pPr>
              <w:pStyle w:val="TableText0"/>
              <w:keepNext w:val="0"/>
              <w:numPr>
                <w:ilvl w:val="0"/>
                <w:numId w:val="12"/>
              </w:numPr>
              <w:ind w:left="100" w:hanging="100"/>
            </w:pPr>
            <w:r w:rsidRPr="007F33F1">
              <w:t>%</w:t>
            </w:r>
            <w:r w:rsidR="00DD5B40" w:rsidRPr="007F33F1">
              <w:t xml:space="preserve"> </w:t>
            </w:r>
            <w:r w:rsidRPr="007F33F1">
              <w:t>treated (70-80%)- sponsor’s market research</w:t>
            </w:r>
          </w:p>
          <w:p w:rsidR="00F0207A" w:rsidRPr="007F33F1" w:rsidRDefault="00F0207A" w:rsidP="0047221E">
            <w:pPr>
              <w:pStyle w:val="TableText0"/>
              <w:keepNext w:val="0"/>
              <w:numPr>
                <w:ilvl w:val="0"/>
                <w:numId w:val="12"/>
              </w:numPr>
              <w:ind w:left="100" w:hanging="100"/>
            </w:pPr>
            <w:r w:rsidRPr="007F33F1">
              <w:t xml:space="preserve">% progress 2L (62%)- sponsor’s market research </w:t>
            </w:r>
          </w:p>
          <w:p w:rsidR="00F0207A" w:rsidRPr="007F33F1" w:rsidRDefault="00F0207A" w:rsidP="0047221E">
            <w:pPr>
              <w:pStyle w:val="TableText0"/>
              <w:keepNext w:val="0"/>
              <w:numPr>
                <w:ilvl w:val="0"/>
                <w:numId w:val="12"/>
              </w:numPr>
              <w:ind w:left="100" w:hanging="100"/>
            </w:pPr>
            <w:r w:rsidRPr="007F33F1">
              <w:t>%</w:t>
            </w:r>
            <w:r w:rsidR="00DD5B40" w:rsidRPr="007F33F1">
              <w:t xml:space="preserve"> </w:t>
            </w:r>
            <w:r w:rsidRPr="007F33F1">
              <w:t>survive to 2L (90%)</w:t>
            </w:r>
            <w:r w:rsidR="00105963" w:rsidRPr="007F33F1">
              <w:t>-</w:t>
            </w:r>
            <w:r w:rsidRPr="007F33F1">
              <w:t xml:space="preserve"> Castillo et al. 2015 </w:t>
            </w:r>
          </w:p>
          <w:p w:rsidR="00F0207A" w:rsidRPr="007F33F1" w:rsidRDefault="00F0207A" w:rsidP="0047221E">
            <w:pPr>
              <w:pStyle w:val="TableText0"/>
              <w:keepNext w:val="0"/>
              <w:numPr>
                <w:ilvl w:val="0"/>
                <w:numId w:val="12"/>
              </w:numPr>
              <w:ind w:left="100" w:hanging="100"/>
            </w:pPr>
            <w:r w:rsidRPr="007F33F1">
              <w:t>%</w:t>
            </w:r>
            <w:r w:rsidR="00DD5B40" w:rsidRPr="007F33F1">
              <w:t xml:space="preserve"> </w:t>
            </w:r>
            <w:r w:rsidRPr="007F33F1">
              <w:t>BTKi naïve (80%)- sponsor’s market research</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The requested restriction did not limit use of ZANU to 2L treatment and patients with WM tend to have a slow progressing disease suggesting numbers of patients with R/R using an incidence approach may be underestimated, particularly in the first year.</w:t>
            </w:r>
            <w:r w:rsidR="00E140B7" w:rsidRPr="007F33F1">
              <w:t xml:space="preserve"> </w:t>
            </w:r>
          </w:p>
          <w:p w:rsidR="00F0207A" w:rsidRPr="007F33F1" w:rsidRDefault="00F0207A" w:rsidP="0047221E">
            <w:pPr>
              <w:pStyle w:val="TableText0"/>
              <w:keepNext w:val="0"/>
              <w:rPr>
                <w:rFonts w:ascii="Calibri" w:eastAsia="Times New Roman" w:hAnsi="Calibri" w:cs="Arial"/>
                <w:bCs w:val="0"/>
                <w:sz w:val="24"/>
              </w:rPr>
            </w:pPr>
            <w:r w:rsidRPr="007F33F1">
              <w:t xml:space="preserve">Adopting of the AIHW 5-year prevalence data results in a larger R/R population (73 eligible pts in </w:t>
            </w:r>
            <w:r w:rsidR="00DD5B40" w:rsidRPr="007F33F1">
              <w:t>Year 1</w:t>
            </w:r>
            <w:r w:rsidRPr="007F33F1">
              <w:t>)</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keepLines/>
            </w:pPr>
            <w:r w:rsidRPr="007F33F1">
              <w:t>Grandfathered</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keepLines/>
            </w:pPr>
            <w:r w:rsidRPr="007F33F1">
              <w:t xml:space="preserve">Yr 1: </w:t>
            </w:r>
            <w:r w:rsidR="00785E78">
              <w:rPr>
                <w:noProof/>
                <w:color w:val="000000"/>
                <w:highlight w:val="black"/>
              </w:rPr>
              <w:t>''''''</w:t>
            </w:r>
            <w:r w:rsidR="00135988">
              <w:rPr>
                <w:vertAlign w:val="superscript"/>
              </w:rPr>
              <w:t>1</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keepLines/>
            </w:pPr>
            <w:r w:rsidRPr="007F33F1">
              <w:t>Estimated by sponsor</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keepLines/>
            </w:pPr>
            <w:r w:rsidRPr="007F33F1">
              <w:t>This number could not be verified</w:t>
            </w:r>
          </w:p>
        </w:tc>
      </w:tr>
      <w:tr w:rsidR="00F0207A" w:rsidRPr="007F33F1" w:rsidTr="00F0207A">
        <w:trPr>
          <w:cantSplit/>
        </w:trPr>
        <w:tc>
          <w:tcPr>
            <w:tcW w:w="13950" w:type="dxa"/>
            <w:gridSpan w:val="4"/>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rPr>
                <w:b/>
              </w:rPr>
            </w:pPr>
            <w:r w:rsidRPr="007F33F1">
              <w:rPr>
                <w:b/>
              </w:rPr>
              <w:t>Treatment utilisation</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Uptake rate (1L and 2L+)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 xml:space="preserve">Yr 1: </w:t>
            </w:r>
            <w:r w:rsidR="00785E78">
              <w:rPr>
                <w:noProof/>
                <w:color w:val="000000"/>
                <w:highlight w:val="black"/>
              </w:rPr>
              <w:t>'''''''</w:t>
            </w:r>
            <w:r w:rsidRPr="007F33F1">
              <w:t>%</w:t>
            </w:r>
          </w:p>
          <w:p w:rsidR="00F0207A" w:rsidRPr="007F33F1" w:rsidRDefault="00F0207A" w:rsidP="0047221E">
            <w:pPr>
              <w:pStyle w:val="TableText0"/>
              <w:keepNext w:val="0"/>
            </w:pPr>
            <w:r w:rsidRPr="007F33F1">
              <w:t xml:space="preserve">Yr 2: </w:t>
            </w:r>
            <w:r w:rsidR="00785E78">
              <w:rPr>
                <w:noProof/>
                <w:color w:val="000000"/>
                <w:highlight w:val="black"/>
              </w:rPr>
              <w:t>''''''</w:t>
            </w:r>
            <w:r w:rsidRPr="007F33F1">
              <w:t>%</w:t>
            </w:r>
          </w:p>
          <w:p w:rsidR="00F0207A" w:rsidRPr="007F33F1" w:rsidRDefault="00F0207A" w:rsidP="0047221E">
            <w:pPr>
              <w:pStyle w:val="TableText0"/>
              <w:keepNext w:val="0"/>
            </w:pPr>
            <w:r w:rsidRPr="007F33F1">
              <w:t xml:space="preserve">Yr 3-6: </w:t>
            </w:r>
            <w:r w:rsidR="00785E78">
              <w:rPr>
                <w:noProof/>
                <w:color w:val="000000"/>
                <w:highlight w:val="black"/>
              </w:rPr>
              <w:t>''''''</w:t>
            </w:r>
            <w:r w:rsidRPr="007F33F1">
              <w:t>%</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Uptake (</w:t>
            </w:r>
            <w:r w:rsidR="00785E78">
              <w:rPr>
                <w:noProof/>
                <w:color w:val="000000"/>
                <w:highlight w:val="black"/>
              </w:rPr>
              <w:t>'''''''</w:t>
            </w:r>
            <w:r w:rsidRPr="007F33F1">
              <w:t>-</w:t>
            </w:r>
            <w:r w:rsidR="00785E78">
              <w:rPr>
                <w:noProof/>
                <w:color w:val="000000"/>
                <w:highlight w:val="black"/>
              </w:rPr>
              <w:t>'''''</w:t>
            </w:r>
            <w:r w:rsidRPr="007F33F1">
              <w:t>%)- sponsor’s market research (increase over time)</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rPr>
                <w:iCs/>
              </w:rPr>
            </w:pPr>
            <w:r w:rsidRPr="007F33F1">
              <w:rPr>
                <w:iCs/>
              </w:rPr>
              <w:t xml:space="preserve">The uptake for ZANU </w:t>
            </w:r>
            <w:r w:rsidR="001E7FB0" w:rsidRPr="007F33F1">
              <w:rPr>
                <w:iCs/>
              </w:rPr>
              <w:t xml:space="preserve">was </w:t>
            </w:r>
            <w:r w:rsidRPr="007F33F1">
              <w:rPr>
                <w:iCs/>
              </w:rPr>
              <w:t xml:space="preserve">likely to be underestimated. Given the indolent nature of the disease, patients are likely to cycle through </w:t>
            </w:r>
            <w:r w:rsidR="004B44D0" w:rsidRPr="007F33F1">
              <w:rPr>
                <w:iCs/>
              </w:rPr>
              <w:t>many</w:t>
            </w:r>
            <w:r w:rsidRPr="007F33F1">
              <w:rPr>
                <w:iCs/>
              </w:rPr>
              <w:t xml:space="preserve"> treatments during their lifetimes. </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Scripts dispensed</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 xml:space="preserve">Yr 1: </w:t>
            </w:r>
            <w:r w:rsidR="00785E78">
              <w:rPr>
                <w:noProof/>
                <w:color w:val="000000"/>
                <w:highlight w:val="black"/>
              </w:rPr>
              <w:t>''''''''''</w:t>
            </w:r>
            <w:r w:rsidR="00135988">
              <w:rPr>
                <w:vertAlign w:val="superscript"/>
              </w:rPr>
              <w:t>2</w:t>
            </w:r>
          </w:p>
          <w:p w:rsidR="00F0207A" w:rsidRPr="007F33F1" w:rsidRDefault="00F0207A" w:rsidP="0047221E">
            <w:pPr>
              <w:pStyle w:val="TableText0"/>
              <w:keepNext w:val="0"/>
            </w:pPr>
            <w:r w:rsidRPr="007F33F1">
              <w:t xml:space="preserve">Yr 2: </w:t>
            </w:r>
            <w:r w:rsidR="00785E78">
              <w:rPr>
                <w:noProof/>
                <w:color w:val="000000"/>
                <w:highlight w:val="black"/>
              </w:rPr>
              <w:t>''''''''''''</w:t>
            </w:r>
            <w:r w:rsidR="00135988">
              <w:rPr>
                <w:vertAlign w:val="superscript"/>
              </w:rPr>
              <w:t>2</w:t>
            </w:r>
          </w:p>
          <w:p w:rsidR="00F0207A" w:rsidRPr="007F33F1" w:rsidRDefault="00F0207A" w:rsidP="0047221E">
            <w:pPr>
              <w:pStyle w:val="TableText0"/>
              <w:keepNext w:val="0"/>
            </w:pPr>
            <w:r w:rsidRPr="007F33F1">
              <w:t xml:space="preserve">Yr 3: </w:t>
            </w:r>
            <w:r w:rsidR="00785E78">
              <w:rPr>
                <w:noProof/>
                <w:color w:val="000000"/>
                <w:highlight w:val="black"/>
              </w:rPr>
              <w:t>''''''''''''''</w:t>
            </w:r>
            <w:r w:rsidR="00135988">
              <w:rPr>
                <w:vertAlign w:val="superscript"/>
              </w:rPr>
              <w:t>2</w:t>
            </w:r>
          </w:p>
          <w:p w:rsidR="00F0207A" w:rsidRPr="007F33F1" w:rsidRDefault="00F0207A" w:rsidP="0047221E">
            <w:pPr>
              <w:pStyle w:val="TableText0"/>
              <w:keepNext w:val="0"/>
            </w:pPr>
            <w:r w:rsidRPr="007F33F1">
              <w:t xml:space="preserve">Yr 4: </w:t>
            </w:r>
            <w:r w:rsidR="00785E78">
              <w:rPr>
                <w:noProof/>
                <w:color w:val="000000"/>
                <w:highlight w:val="black"/>
              </w:rPr>
              <w:t>'''''''''''''</w:t>
            </w:r>
            <w:r w:rsidR="00135988">
              <w:rPr>
                <w:vertAlign w:val="superscript"/>
              </w:rPr>
              <w:t>2</w:t>
            </w:r>
          </w:p>
          <w:p w:rsidR="00F0207A" w:rsidRPr="007F33F1" w:rsidRDefault="00F0207A" w:rsidP="0047221E">
            <w:pPr>
              <w:pStyle w:val="TableText0"/>
              <w:keepNext w:val="0"/>
            </w:pPr>
            <w:r w:rsidRPr="007F33F1">
              <w:t xml:space="preserve">Yr 5: </w:t>
            </w:r>
            <w:r w:rsidR="00785E78">
              <w:rPr>
                <w:noProof/>
                <w:color w:val="000000"/>
                <w:highlight w:val="black"/>
              </w:rPr>
              <w:t>'''''''''''''''</w:t>
            </w:r>
            <w:r w:rsidR="00135988">
              <w:rPr>
                <w:vertAlign w:val="superscript"/>
              </w:rPr>
              <w:t>2</w:t>
            </w:r>
          </w:p>
          <w:p w:rsidR="00F0207A" w:rsidRPr="007F33F1" w:rsidRDefault="00F0207A" w:rsidP="0047221E">
            <w:pPr>
              <w:pStyle w:val="TableText0"/>
              <w:keepNext w:val="0"/>
            </w:pPr>
            <w:r w:rsidRPr="007F33F1">
              <w:t xml:space="preserve">Yr 6: </w:t>
            </w:r>
            <w:r w:rsidR="00785E78">
              <w:rPr>
                <w:noProof/>
                <w:color w:val="000000"/>
                <w:highlight w:val="black"/>
              </w:rPr>
              <w:t>''''''''''''</w:t>
            </w:r>
            <w:r w:rsidR="00135988">
              <w:rPr>
                <w:vertAlign w:val="superscript"/>
              </w:rPr>
              <w:t>2</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Incident patient months based on an assumed average time on treatment of 50.4</w:t>
            </w:r>
            <w:r w:rsidR="001E7FB0" w:rsidRPr="007F33F1">
              <w:t> </w:t>
            </w:r>
            <w:r w:rsidRPr="007F33F1">
              <w:t xml:space="preserve">months, multiplied by 10.23 scripts per year </w:t>
            </w:r>
          </w:p>
          <w:p w:rsidR="00F0207A" w:rsidRPr="007F33F1" w:rsidRDefault="00F0207A" w:rsidP="0047221E">
            <w:pPr>
              <w:pStyle w:val="TableText0"/>
              <w:keepNext w:val="0"/>
            </w:pPr>
            <w:r w:rsidRPr="007F33F1">
              <w:t>Grandfathered patients expected to have received 6 months of treatment prior to PBS listing</w:t>
            </w:r>
          </w:p>
          <w:p w:rsidR="00F0207A" w:rsidRPr="007F33F1" w:rsidRDefault="00F0207A" w:rsidP="0047221E">
            <w:pPr>
              <w:pStyle w:val="TableText0"/>
              <w:keepNext w:val="0"/>
            </w:pPr>
            <w:r w:rsidRPr="007F33F1">
              <w:t>84% compliance was assumed</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 xml:space="preserve">The time on treatment was based on the average time on treatment when the model was restricted to a 6-year time horizon (50.1 months for R/R pts, 50.7 months for TN pts). </w:t>
            </w:r>
            <w:r w:rsidRPr="007F33F1">
              <w:rPr>
                <w:iCs/>
              </w:rPr>
              <w:t>Time on treatment should be calculated as expected for patient lifetime (using 20-year time horizon in the model</w:t>
            </w:r>
            <w:r w:rsidR="001E7FB0" w:rsidRPr="007F33F1">
              <w:rPr>
                <w:iCs/>
              </w:rPr>
              <w:t>,</w:t>
            </w:r>
            <w:r w:rsidRPr="007F33F1">
              <w:rPr>
                <w:iCs/>
              </w:rPr>
              <w:t xml:space="preserve"> average</w:t>
            </w:r>
            <w:r w:rsidR="001E7FB0" w:rsidRPr="007F33F1">
              <w:rPr>
                <w:iCs/>
              </w:rPr>
              <w:t xml:space="preserve"> time on treatment</w:t>
            </w:r>
            <w:r w:rsidRPr="007F33F1">
              <w:rPr>
                <w:iCs/>
              </w:rPr>
              <w:t xml:space="preserve"> is 85.9 months)</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Subsequent treatments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Not costed</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 xml:space="preserve">Subsequent treatment was not discussed in </w:t>
            </w:r>
            <w:r w:rsidR="00105963" w:rsidRPr="007F33F1">
              <w:t xml:space="preserve">the financial estimates section of the submission. </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rPr>
                <w:iCs/>
              </w:rPr>
            </w:pPr>
            <w:r w:rsidRPr="007F33F1">
              <w:t>The availability of ZANU represents an additional line of therapy; i.e. displace rather than replace other treatments. The costs of these treatments are expected to accrue following ZANU treatment</w:t>
            </w:r>
            <w:r w:rsidR="001E7FB0" w:rsidRPr="007F33F1">
              <w:t>.</w:t>
            </w:r>
          </w:p>
        </w:tc>
      </w:tr>
      <w:tr w:rsidR="00F0207A" w:rsidRPr="007F33F1" w:rsidTr="00F0207A">
        <w:trPr>
          <w:cantSplit/>
        </w:trPr>
        <w:tc>
          <w:tcPr>
            <w:tcW w:w="13950" w:type="dxa"/>
            <w:gridSpan w:val="4"/>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rPr>
                <w:b/>
              </w:rPr>
            </w:pPr>
            <w:r w:rsidRPr="007F33F1">
              <w:rPr>
                <w:b/>
              </w:rPr>
              <w:t>Costs</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ZANU</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w:t>
            </w:r>
            <w:r w:rsidR="00785E78">
              <w:rPr>
                <w:noProof/>
                <w:color w:val="000000"/>
                <w:highlight w:val="black"/>
              </w:rPr>
              <w:t>''''''''''''''''''''</w:t>
            </w:r>
            <w:r w:rsidRPr="007F33F1">
              <w:t xml:space="preserve"> per </w:t>
            </w:r>
          </w:p>
          <w:p w:rsidR="00F0207A" w:rsidRPr="007F33F1" w:rsidRDefault="00F0207A" w:rsidP="0047221E">
            <w:pPr>
              <w:pStyle w:val="TableText0"/>
              <w:keepNext w:val="0"/>
            </w:pPr>
            <w:r w:rsidRPr="007F33F1">
              <w:t>28 day supply</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 xml:space="preserve">DPMQ (effective) </w:t>
            </w:r>
          </w:p>
        </w:tc>
        <w:tc>
          <w:tcPr>
            <w:tcW w:w="5024" w:type="dxa"/>
            <w:vMerge w:val="restart"/>
            <w:tcBorders>
              <w:top w:val="single" w:sz="4" w:space="0" w:color="auto"/>
              <w:left w:val="single" w:sz="4" w:space="0" w:color="auto"/>
              <w:bottom w:val="single" w:sz="4" w:space="0" w:color="auto"/>
              <w:right w:val="single" w:sz="4" w:space="0" w:color="auto"/>
            </w:tcBorders>
            <w:vAlign w:val="center"/>
          </w:tcPr>
          <w:p w:rsidR="00F0207A" w:rsidRPr="007F33F1" w:rsidRDefault="00F0207A" w:rsidP="0047221E">
            <w:pPr>
              <w:pStyle w:val="TableText0"/>
              <w:keepNext w:val="0"/>
              <w:rPr>
                <w:iCs/>
              </w:rPr>
            </w:pPr>
            <w:r w:rsidRPr="007F33F1">
              <w:rPr>
                <w:iCs/>
              </w:rPr>
              <w:t xml:space="preserve">Discrepancies were noted between drug costs used in </w:t>
            </w:r>
            <w:r w:rsidR="00105963" w:rsidRPr="007F33F1">
              <w:rPr>
                <w:iCs/>
              </w:rPr>
              <w:t xml:space="preserve">the economic evaluation and the financial estimates section of the </w:t>
            </w:r>
            <w:r w:rsidRPr="007F33F1">
              <w:rPr>
                <w:iCs/>
              </w:rPr>
              <w:t>submission.</w:t>
            </w:r>
          </w:p>
          <w:p w:rsidR="00F0207A" w:rsidRPr="007F33F1" w:rsidRDefault="00F0207A" w:rsidP="0047221E">
            <w:pPr>
              <w:pStyle w:val="TableText0"/>
              <w:keepNext w:val="0"/>
              <w:rPr>
                <w:iCs/>
              </w:rPr>
            </w:pPr>
          </w:p>
          <w:p w:rsidR="00F0207A" w:rsidRPr="007F33F1" w:rsidRDefault="00F0207A" w:rsidP="0047221E">
            <w:pPr>
              <w:pStyle w:val="TableText0"/>
              <w:keepNext w:val="0"/>
              <w:rPr>
                <w:iCs/>
              </w:rPr>
            </w:pPr>
            <w:r w:rsidRPr="007F33F1">
              <w:rPr>
                <w:iCs/>
              </w:rPr>
              <w:t>The submission assumed a compliance of 84% for all substituted therapies, the source of this estimate is unknown as it was not discussed in the submission.</w:t>
            </w:r>
          </w:p>
          <w:p w:rsidR="00F0207A" w:rsidRPr="007F33F1" w:rsidRDefault="00F0207A" w:rsidP="0047221E">
            <w:pPr>
              <w:pStyle w:val="TableText0"/>
              <w:keepNext w:val="0"/>
              <w:rPr>
                <w:iCs/>
              </w:rPr>
            </w:pPr>
          </w:p>
          <w:p w:rsidR="00F0207A" w:rsidRPr="007F33F1" w:rsidRDefault="00F0207A" w:rsidP="0047221E">
            <w:pPr>
              <w:pStyle w:val="TableText0"/>
              <w:keepNext w:val="0"/>
              <w:rPr>
                <w:iCs/>
              </w:rPr>
            </w:pPr>
            <w:r w:rsidRPr="007F33F1">
              <w:rPr>
                <w:iCs/>
              </w:rPr>
              <w:t>Price used for filgrastim was based on PBS items 5741E (1</w:t>
            </w:r>
            <w:r w:rsidR="00D067FD" w:rsidRPr="007F33F1">
              <w:rPr>
                <w:iCs/>
              </w:rPr>
              <w:t xml:space="preserve"> </w:t>
            </w:r>
            <w:r w:rsidRPr="007F33F1">
              <w:rPr>
                <w:iCs/>
              </w:rPr>
              <w:t>m</w:t>
            </w:r>
            <w:r w:rsidR="00D067FD" w:rsidRPr="007F33F1">
              <w:rPr>
                <w:iCs/>
              </w:rPr>
              <w:t>L</w:t>
            </w:r>
            <w:r w:rsidRPr="007F33F1">
              <w:rPr>
                <w:iCs/>
              </w:rPr>
              <w:t xml:space="preserve"> injections) rather than the nominated 0.5ml injections (5742E and 6291D) with DPMQ $345.08.</w:t>
            </w:r>
          </w:p>
          <w:p w:rsidR="00F0207A" w:rsidRPr="007F33F1" w:rsidRDefault="00F0207A" w:rsidP="0047221E">
            <w:pPr>
              <w:pStyle w:val="TableText0"/>
              <w:keepNext w:val="0"/>
              <w:rPr>
                <w:iCs/>
              </w:rPr>
            </w:pPr>
          </w:p>
          <w:p w:rsidR="00F0207A" w:rsidRPr="007F33F1" w:rsidRDefault="00F0207A" w:rsidP="0047221E">
            <w:pPr>
              <w:pStyle w:val="TableText0"/>
              <w:keepNext w:val="0"/>
              <w:rPr>
                <w:iCs/>
              </w:rPr>
            </w:pPr>
            <w:r w:rsidRPr="007F33F1">
              <w:rPr>
                <w:iCs/>
              </w:rPr>
              <w:t>Average dose was calculated using an average BSA of 2 m</w:t>
            </w:r>
            <w:r w:rsidRPr="007F33F1">
              <w:rPr>
                <w:iCs/>
                <w:vertAlign w:val="superscript"/>
              </w:rPr>
              <w:t>2</w:t>
            </w:r>
            <w:r w:rsidRPr="007F33F1">
              <w:rPr>
                <w:iCs/>
              </w:rPr>
              <w:t xml:space="preserve"> for all substituted treatments, this differed to </w:t>
            </w:r>
            <w:r w:rsidR="00105963" w:rsidRPr="007F33F1">
              <w:rPr>
                <w:iCs/>
              </w:rPr>
              <w:t xml:space="preserve">the economic evaluation in </w:t>
            </w:r>
            <w:r w:rsidRPr="007F33F1">
              <w:rPr>
                <w:iCs/>
              </w:rPr>
              <w:t>Section 3, where a BSA of 1.86 m</w:t>
            </w:r>
            <w:r w:rsidRPr="007F33F1">
              <w:rPr>
                <w:iCs/>
                <w:vertAlign w:val="superscript"/>
              </w:rPr>
              <w:t>2</w:t>
            </w:r>
            <w:r w:rsidRPr="007F33F1">
              <w:rPr>
                <w:iCs/>
              </w:rPr>
              <w:t xml:space="preserve"> was used.</w:t>
            </w: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Filgrastim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$642.41</w:t>
            </w:r>
            <w:r w:rsidR="00652DF8" w:rsidRPr="007F33F1">
              <w:rPr>
                <w:vertAlign w:val="superscript"/>
              </w:rPr>
              <w:t>a</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PBS codes 5742F, 6291D SC Daily for up to 2 weeks per episode. Total 14 doses. 13.9% ZANU pts expected to receive for neutropenia, compliance 84%, scripts/yr 0.59</w:t>
            </w: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jc w:val="left"/>
              <w:rPr>
                <w:rFonts w:ascii="Arial Narrow" w:eastAsiaTheme="majorEastAsia" w:hAnsi="Arial Narrow" w:cstheme="majorBidi"/>
                <w:bCs/>
                <w:iCs/>
                <w:sz w:val="20"/>
              </w:rPr>
            </w:pP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BENDA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rPr>
                <w:vertAlign w:val="superscript"/>
              </w:rPr>
            </w:pPr>
            <w:r w:rsidRPr="007F33F1">
              <w:t>$1745.54</w:t>
            </w:r>
            <w:r w:rsidR="00652DF8" w:rsidRPr="007F33F1">
              <w:rPr>
                <w:vertAlign w:val="superscript"/>
              </w:rPr>
              <w:t>a</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PBS codes 10760H, 10763L, 90 mg/m2 (average dose</w:t>
            </w:r>
            <w:r w:rsidR="00652DF8" w:rsidRPr="007F33F1">
              <w:rPr>
                <w:vertAlign w:val="superscript"/>
              </w:rPr>
              <w:t>c</w:t>
            </w:r>
            <w:r w:rsidRPr="007F33F1">
              <w:t xml:space="preserve"> 180 mg) for 2 days, every 4 weeks for 6 cycles. Total doses 12. 25% R/R pts receive BENDA, compliance 84%.</w:t>
            </w: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jc w:val="left"/>
              <w:rPr>
                <w:rFonts w:ascii="Arial Narrow" w:eastAsiaTheme="majorEastAsia" w:hAnsi="Arial Narrow" w:cstheme="majorBidi"/>
                <w:bCs/>
                <w:iCs/>
                <w:sz w:val="20"/>
              </w:rPr>
            </w:pP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Cyclophos-phamide (oral)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$155.65</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PBS code 1266P 100 mg/m2 twice daily (average dose</w:t>
            </w:r>
            <w:r w:rsidR="00652DF8" w:rsidRPr="007F33F1">
              <w:rPr>
                <w:vertAlign w:val="superscript"/>
              </w:rPr>
              <w:t>c</w:t>
            </w:r>
            <w:r w:rsidRPr="007F33F1">
              <w:t xml:space="preserve"> 200 mg) for 5 days every 4 weeks for 6 cycles, for total 30 doses of 8 tabs/dose. 14% R/R pts received oral cyclophosphamide. Compliance 84%, scripts/yr 4.03.</w:t>
            </w: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jc w:val="left"/>
              <w:rPr>
                <w:rFonts w:ascii="Arial Narrow" w:eastAsiaTheme="majorEastAsia" w:hAnsi="Arial Narrow" w:cstheme="majorBidi"/>
                <w:bCs/>
                <w:iCs/>
                <w:sz w:val="20"/>
              </w:rPr>
            </w:pP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Cyclophos-phamide (IV)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$187.20</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PBS codes 4327R, 7226H 250 mg/m2 (average dose</w:t>
            </w:r>
            <w:r w:rsidR="00652DF8" w:rsidRPr="007F33F1">
              <w:rPr>
                <w:vertAlign w:val="superscript"/>
              </w:rPr>
              <w:t>c</w:t>
            </w:r>
            <w:r w:rsidRPr="007F33F1">
              <w:t>: 500 mg) for 3 days every 4 weeks for 6 cycles. Total 18 doses. 5% of R/R pts, compliance 84%, scripts/yr 15.12.</w:t>
            </w: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jc w:val="left"/>
              <w:rPr>
                <w:rFonts w:ascii="Arial Narrow" w:eastAsiaTheme="majorEastAsia" w:hAnsi="Arial Narrow" w:cstheme="majorBidi"/>
                <w:bCs/>
                <w:iCs/>
                <w:sz w:val="20"/>
              </w:rPr>
            </w:pP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Rituximab</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$1685.82</w:t>
            </w:r>
            <w:r w:rsidR="00652DF8" w:rsidRPr="007F33F1">
              <w:rPr>
                <w:vertAlign w:val="superscript"/>
              </w:rPr>
              <w:t>a</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PBS codes 4614W, 7257Y 375 mg/m2 (average dose</w:t>
            </w:r>
            <w:r w:rsidR="00652DF8" w:rsidRPr="007F33F1">
              <w:rPr>
                <w:vertAlign w:val="superscript"/>
              </w:rPr>
              <w:t>c</w:t>
            </w:r>
            <w:r w:rsidRPr="007F33F1">
              <w:t xml:space="preserve"> 750 mg) once a week for 4 weeks (1L) or every 4 weeks for 6 cycles (R/R). Average</w:t>
            </w:r>
            <w:r w:rsidR="00652DF8" w:rsidRPr="007F33F1">
              <w:rPr>
                <w:vertAlign w:val="superscript"/>
              </w:rPr>
              <w:t>b</w:t>
            </w:r>
            <w:r w:rsidRPr="007F33F1">
              <w:t xml:space="preserve"> total 5.18 doses. 47.7% pts, compliance 84%, scripts/yr 4.35</w:t>
            </w: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jc w:val="left"/>
              <w:rPr>
                <w:rFonts w:ascii="Arial Narrow" w:eastAsiaTheme="majorEastAsia" w:hAnsi="Arial Narrow" w:cstheme="majorBidi"/>
                <w:bCs/>
                <w:iCs/>
                <w:sz w:val="20"/>
              </w:rPr>
            </w:pP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Fludarabine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$179.11</w:t>
            </w:r>
            <w:r w:rsidR="00652DF8" w:rsidRPr="007F33F1">
              <w:rPr>
                <w:vertAlign w:val="superscript"/>
              </w:rPr>
              <w:t>a</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PBS codes 4393F, 7233Q 25 mg/m2 (average dose</w:t>
            </w:r>
            <w:r w:rsidR="00652DF8" w:rsidRPr="007F33F1">
              <w:rPr>
                <w:vertAlign w:val="superscript"/>
              </w:rPr>
              <w:t>c</w:t>
            </w:r>
            <w:r w:rsidRPr="007F33F1">
              <w:t xml:space="preserve"> 50 mg) for 3 days every 4 weeks for 6 cycles. Total 18 doses. 5% R/R pts, compliance 84%, script/yr 15.12</w:t>
            </w: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jc w:val="left"/>
              <w:rPr>
                <w:rFonts w:ascii="Arial Narrow" w:eastAsiaTheme="majorEastAsia" w:hAnsi="Arial Narrow" w:cstheme="majorBidi"/>
                <w:bCs/>
                <w:iCs/>
                <w:sz w:val="20"/>
              </w:rPr>
            </w:pP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Chlorambucil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$135.30</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PBS code 1163F 8 mg/m2 for 10 days every 4 weeks for a maximum 12 cycles. Total 120 doses. 16% 1L pts, compliance 84%, scripts/year 8.06</w:t>
            </w:r>
          </w:p>
        </w:tc>
        <w:tc>
          <w:tcPr>
            <w:tcW w:w="5024" w:type="dxa"/>
            <w:vMerge/>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jc w:val="left"/>
              <w:rPr>
                <w:rFonts w:ascii="Arial Narrow" w:eastAsiaTheme="majorEastAsia" w:hAnsi="Arial Narrow" w:cstheme="majorBidi"/>
                <w:bCs/>
                <w:iCs/>
                <w:sz w:val="20"/>
              </w:rPr>
            </w:pPr>
          </w:p>
        </w:tc>
      </w:tr>
      <w:tr w:rsidR="00F0207A" w:rsidRPr="007F33F1" w:rsidTr="0047221E">
        <w:trPr>
          <w:cantSplit/>
        </w:trPr>
        <w:tc>
          <w:tcPr>
            <w:tcW w:w="1129"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MBS costs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$36.00 per episode of Grade 3-4 neutropenia</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MBS: 119 (80% fee) specialty consultant physician minor attendance for patients experiencing Grade 3-4 neutropenia from ASPEN (13.9%).</w:t>
            </w:r>
          </w:p>
        </w:tc>
        <w:tc>
          <w:tcPr>
            <w:tcW w:w="5024"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Next w:val="0"/>
            </w:pPr>
            <w:r w:rsidRPr="007F33F1">
              <w:t>The submission did not account for other adverse events (BTKis are associate with bleeding events), nor the possibility that ASPEN underestimates the total number of patients who experience an adverse event (median TTD was not reached in the trial).</w:t>
            </w:r>
          </w:p>
          <w:p w:rsidR="00F0207A" w:rsidRPr="007F33F1" w:rsidRDefault="00F0207A" w:rsidP="0047221E">
            <w:pPr>
              <w:pStyle w:val="TableText0"/>
              <w:keepNext w:val="0"/>
            </w:pPr>
            <w:r w:rsidRPr="007F33F1">
              <w:t>The submission also did not estimate a reduction in administration costs (all comparators are provided intravenously, whereas ZANU is an oral therapy).</w:t>
            </w:r>
          </w:p>
        </w:tc>
      </w:tr>
    </w:tbl>
    <w:p w:rsidR="0047221E" w:rsidRPr="0047221E" w:rsidRDefault="0047221E" w:rsidP="0047221E">
      <w:pPr>
        <w:pStyle w:val="TableFigureFooter"/>
        <w:rPr>
          <w:sz w:val="17"/>
          <w:szCs w:val="17"/>
        </w:rPr>
      </w:pPr>
      <w:r w:rsidRPr="0047221E">
        <w:rPr>
          <w:sz w:val="17"/>
          <w:szCs w:val="17"/>
        </w:rPr>
        <w:t>Source: Tables 4.2, 4.4, 4.5, 4.6, 4.7, 4.10, 4.11 and Section 4.3.2 of the submission, with additional numbers from Excel model ‘Section4_Zanubrutinib_WM.xlsx’</w:t>
      </w:r>
    </w:p>
    <w:p w:rsidR="00F0207A" w:rsidRPr="0047221E" w:rsidRDefault="00F0207A" w:rsidP="0047221E">
      <w:pPr>
        <w:pStyle w:val="TableFigureFooter"/>
        <w:rPr>
          <w:sz w:val="17"/>
          <w:szCs w:val="17"/>
        </w:rPr>
      </w:pPr>
      <w:r w:rsidRPr="0047221E">
        <w:rPr>
          <w:sz w:val="17"/>
          <w:szCs w:val="17"/>
        </w:rPr>
        <w:t>1L=first-line treatment, 2L=second-line treatment, BENDA=bendamustine, BTKi=Bruton’s tyrosine Kinase inhibitor, copay(s)=copayment(s), CIT=</w:t>
      </w:r>
      <w:r w:rsidR="00916B6C" w:rsidRPr="0047221E">
        <w:rPr>
          <w:sz w:val="17"/>
          <w:szCs w:val="17"/>
        </w:rPr>
        <w:t>chemo-immunotherapy</w:t>
      </w:r>
      <w:r w:rsidRPr="0047221E">
        <w:rPr>
          <w:sz w:val="17"/>
          <w:szCs w:val="17"/>
        </w:rPr>
        <w:t>, DPMQ=dispensed price for maximum quantity, R/R=relapse/refractory, TN=treatment naïve, TTD=time to treatment discontinuation, yr=year, ZANU=zanubrutinib</w:t>
      </w:r>
      <w:r w:rsidR="003F7EEA" w:rsidRPr="0047221E">
        <w:rPr>
          <w:sz w:val="17"/>
          <w:szCs w:val="17"/>
        </w:rPr>
        <w:t>.</w:t>
      </w:r>
    </w:p>
    <w:p w:rsidR="00F0207A" w:rsidRPr="0047221E" w:rsidRDefault="00652DF8" w:rsidP="0047221E">
      <w:pPr>
        <w:pStyle w:val="TableFigureFooter"/>
        <w:rPr>
          <w:sz w:val="17"/>
          <w:szCs w:val="17"/>
        </w:rPr>
      </w:pPr>
      <w:r w:rsidRPr="0047221E">
        <w:rPr>
          <w:sz w:val="17"/>
          <w:szCs w:val="17"/>
          <w:vertAlign w:val="superscript"/>
        </w:rPr>
        <w:t>a</w:t>
      </w:r>
      <w:r w:rsidR="00F0207A" w:rsidRPr="0047221E">
        <w:rPr>
          <w:sz w:val="17"/>
          <w:szCs w:val="17"/>
          <w:vertAlign w:val="superscript"/>
        </w:rPr>
        <w:t xml:space="preserve"> </w:t>
      </w:r>
      <w:r w:rsidRPr="0047221E">
        <w:rPr>
          <w:sz w:val="17"/>
          <w:szCs w:val="17"/>
        </w:rPr>
        <w:t>W</w:t>
      </w:r>
      <w:r w:rsidR="00F0207A" w:rsidRPr="0047221E">
        <w:rPr>
          <w:sz w:val="17"/>
          <w:szCs w:val="17"/>
        </w:rPr>
        <w:t>eighted average cost assuming 28.6% public hospital 71.4% private hospital split based on bendamustine PBS usage</w:t>
      </w:r>
      <w:r w:rsidR="003F7EEA" w:rsidRPr="0047221E">
        <w:rPr>
          <w:sz w:val="17"/>
          <w:szCs w:val="17"/>
        </w:rPr>
        <w:t>.</w:t>
      </w:r>
    </w:p>
    <w:p w:rsidR="00D067FD" w:rsidRPr="0047221E" w:rsidRDefault="00652DF8" w:rsidP="0047221E">
      <w:pPr>
        <w:pStyle w:val="TableFigureFooter"/>
        <w:rPr>
          <w:sz w:val="17"/>
          <w:szCs w:val="17"/>
        </w:rPr>
      </w:pPr>
      <w:r w:rsidRPr="0047221E">
        <w:rPr>
          <w:sz w:val="17"/>
          <w:szCs w:val="17"/>
          <w:vertAlign w:val="superscript"/>
        </w:rPr>
        <w:t>b</w:t>
      </w:r>
      <w:r w:rsidR="00D067FD" w:rsidRPr="0047221E">
        <w:rPr>
          <w:sz w:val="17"/>
          <w:szCs w:val="17"/>
          <w:vertAlign w:val="superscript"/>
        </w:rPr>
        <w:t xml:space="preserve"> </w:t>
      </w:r>
      <w:r w:rsidRPr="0047221E">
        <w:rPr>
          <w:sz w:val="17"/>
          <w:szCs w:val="17"/>
        </w:rPr>
        <w:t>W</w:t>
      </w:r>
      <w:r w:rsidR="00D067FD" w:rsidRPr="0047221E">
        <w:rPr>
          <w:sz w:val="17"/>
          <w:szCs w:val="17"/>
        </w:rPr>
        <w:t>eighted by treated 1L vs 2L patients.</w:t>
      </w:r>
    </w:p>
    <w:p w:rsidR="00F0207A" w:rsidRPr="007F33F1" w:rsidRDefault="00652DF8" w:rsidP="00135988">
      <w:pPr>
        <w:pStyle w:val="TableFigureFooter"/>
        <w:spacing w:after="0"/>
      </w:pPr>
      <w:r w:rsidRPr="0047221E">
        <w:rPr>
          <w:sz w:val="17"/>
          <w:szCs w:val="17"/>
          <w:vertAlign w:val="superscript"/>
        </w:rPr>
        <w:t>c</w:t>
      </w:r>
      <w:r w:rsidR="00D067FD" w:rsidRPr="0047221E">
        <w:rPr>
          <w:sz w:val="17"/>
          <w:szCs w:val="17"/>
          <w:vertAlign w:val="superscript"/>
        </w:rPr>
        <w:t xml:space="preserve"> </w:t>
      </w:r>
      <w:r w:rsidR="00D067FD" w:rsidRPr="0047221E">
        <w:rPr>
          <w:sz w:val="17"/>
          <w:szCs w:val="17"/>
        </w:rPr>
        <w:t>Based on the submission’s assumed average patient body surface area of 2m</w:t>
      </w:r>
      <w:r w:rsidR="00D067FD" w:rsidRPr="0047221E">
        <w:rPr>
          <w:sz w:val="17"/>
          <w:szCs w:val="17"/>
          <w:vertAlign w:val="superscript"/>
        </w:rPr>
        <w:t>2</w:t>
      </w:r>
      <w:r w:rsidR="00D067FD" w:rsidRPr="0047221E">
        <w:rPr>
          <w:sz w:val="17"/>
          <w:szCs w:val="17"/>
        </w:rPr>
        <w:t xml:space="preserve"> used to calculate the quantity administered for chemo-immunotherapies.</w:t>
      </w:r>
    </w:p>
    <w:p w:rsidR="00135988" w:rsidRPr="00135988" w:rsidRDefault="00135988" w:rsidP="00135988">
      <w:pPr>
        <w:pStyle w:val="TableFigureFooter"/>
        <w:spacing w:after="0"/>
        <w:contextualSpacing w:val="0"/>
        <w:rPr>
          <w:i/>
          <w:sz w:val="17"/>
          <w:szCs w:val="17"/>
        </w:rPr>
      </w:pPr>
      <w:r w:rsidRPr="00135988">
        <w:rPr>
          <w:i/>
          <w:sz w:val="17"/>
          <w:szCs w:val="17"/>
        </w:rPr>
        <w:t xml:space="preserve">The redacted values correspond to the following ranges: </w:t>
      </w:r>
    </w:p>
    <w:p w:rsidR="00135988" w:rsidRPr="00135988" w:rsidRDefault="00135988" w:rsidP="00135988">
      <w:pPr>
        <w:pStyle w:val="TableFigureFooter"/>
        <w:spacing w:after="0"/>
        <w:contextualSpacing w:val="0"/>
        <w:rPr>
          <w:i/>
          <w:sz w:val="17"/>
          <w:szCs w:val="17"/>
        </w:rPr>
      </w:pPr>
      <w:r w:rsidRPr="00135988">
        <w:rPr>
          <w:i/>
          <w:sz w:val="17"/>
          <w:szCs w:val="17"/>
          <w:vertAlign w:val="superscript"/>
        </w:rPr>
        <w:t>1</w:t>
      </w:r>
      <w:r w:rsidRPr="00135988">
        <w:rPr>
          <w:i/>
          <w:sz w:val="17"/>
          <w:szCs w:val="17"/>
        </w:rPr>
        <w:t xml:space="preserve"> &lt; 500</w:t>
      </w:r>
    </w:p>
    <w:p w:rsidR="00135988" w:rsidRPr="00135988" w:rsidRDefault="00135988" w:rsidP="00135988">
      <w:pPr>
        <w:pStyle w:val="TableFigureFooter"/>
        <w:spacing w:after="0"/>
        <w:contextualSpacing w:val="0"/>
        <w:rPr>
          <w:i/>
          <w:sz w:val="17"/>
          <w:szCs w:val="17"/>
        </w:rPr>
      </w:pPr>
      <w:r w:rsidRPr="00135988">
        <w:rPr>
          <w:i/>
          <w:sz w:val="17"/>
          <w:szCs w:val="17"/>
          <w:vertAlign w:val="superscript"/>
        </w:rPr>
        <w:t>2</w:t>
      </w:r>
      <w:r w:rsidRPr="00135988">
        <w:rPr>
          <w:i/>
          <w:sz w:val="17"/>
          <w:szCs w:val="17"/>
        </w:rPr>
        <w:t xml:space="preserve"> 500 to &lt; 5,000</w:t>
      </w:r>
    </w:p>
    <w:p w:rsidR="00135988" w:rsidRPr="00135988" w:rsidRDefault="00135988" w:rsidP="00135988">
      <w:pPr>
        <w:pStyle w:val="TableFigureFooter"/>
        <w:spacing w:after="0"/>
        <w:contextualSpacing w:val="0"/>
        <w:rPr>
          <w:szCs w:val="16"/>
        </w:rPr>
        <w:sectPr w:rsidR="00135988" w:rsidRPr="00135988">
          <w:pgSz w:w="16840" w:h="11907" w:orient="landscape"/>
          <w:pgMar w:top="1440" w:right="1440" w:bottom="1417" w:left="1440" w:header="1440" w:footer="1440" w:gutter="0"/>
          <w:cols w:space="720"/>
        </w:sectPr>
      </w:pPr>
    </w:p>
    <w:p w:rsidR="00F0207A" w:rsidRPr="007F33F1" w:rsidRDefault="00F0207A" w:rsidP="00135988">
      <w:pPr>
        <w:pStyle w:val="3-BodyText"/>
      </w:pPr>
      <w:bookmarkStart w:id="102" w:name="_Ref75268319"/>
      <w:r w:rsidRPr="007F33F1">
        <w:t xml:space="preserve">The net cost to PBS/RPBS was estimated to be approximately </w:t>
      </w:r>
      <w:r w:rsidR="00135988" w:rsidRPr="00135988">
        <w:t>$30 million to &lt; $40 million</w:t>
      </w:r>
      <w:r w:rsidR="00135988" w:rsidRPr="00135988" w:rsidDel="00135988">
        <w:t xml:space="preserve"> </w:t>
      </w:r>
      <w:r w:rsidRPr="007F33F1">
        <w:t xml:space="preserve">over the first six years of listing </w:t>
      </w:r>
      <w:r w:rsidR="00365D71" w:rsidRPr="007F33F1">
        <w:t>(</w:t>
      </w:r>
      <w:r w:rsidR="00015997" w:rsidRPr="007F33F1">
        <w:t xml:space="preserve">Table </w:t>
      </w:r>
      <w:r w:rsidR="00015997">
        <w:t>22</w:t>
      </w:r>
      <w:r w:rsidR="00365D71" w:rsidRPr="007F33F1">
        <w:t>).</w:t>
      </w:r>
      <w:r w:rsidR="00365D71" w:rsidRPr="007F33F1">
        <w:rPr>
          <w:bCs/>
        </w:rPr>
        <w:t xml:space="preserve"> </w:t>
      </w:r>
      <w:r w:rsidR="00F81594">
        <w:t>The PBAC considered that</w:t>
      </w:r>
      <w:r w:rsidRPr="007F33F1">
        <w:t xml:space="preserve"> the financial estimates may be underestimated due to:</w:t>
      </w:r>
      <w:bookmarkEnd w:id="102"/>
    </w:p>
    <w:p w:rsidR="00FE43F2" w:rsidRPr="007F33F1" w:rsidRDefault="00FE43F2" w:rsidP="0047221E">
      <w:pPr>
        <w:pStyle w:val="ListParagraph"/>
        <w:numPr>
          <w:ilvl w:val="0"/>
          <w:numId w:val="9"/>
        </w:numPr>
        <w:snapToGrid w:val="0"/>
        <w:ind w:left="1134"/>
      </w:pPr>
      <w:r w:rsidRPr="007F33F1">
        <w:t xml:space="preserve">The number of patients was likely underestimated, particularly in the first year. The submission used incidence data from two years prior to estimate the number of R/R patients, but R/R patients are not limited to second line use (they may also use zanubrutinib in later lines of therapy). Prevalence data from 2015 suggested the number of prevalent patients may be higher. In the financial estimates, if patients did not progress two years after </w:t>
      </w:r>
      <w:r w:rsidR="00286F3E" w:rsidRPr="007F33F1">
        <w:t>diagnosis,</w:t>
      </w:r>
      <w:r w:rsidRPr="007F33F1">
        <w:t xml:space="preserve"> they did not progress at all. As WM is characterised by patients relapsing and remitting over time, it is likely that eventually nearly all patients will go on to a second line of treatment.</w:t>
      </w:r>
    </w:p>
    <w:p w:rsidR="00F0207A" w:rsidRPr="007F33F1" w:rsidRDefault="00F0207A" w:rsidP="0047221E">
      <w:pPr>
        <w:pStyle w:val="ListParagraph"/>
        <w:numPr>
          <w:ilvl w:val="0"/>
          <w:numId w:val="9"/>
        </w:numPr>
        <w:snapToGrid w:val="0"/>
        <w:ind w:left="1134"/>
      </w:pPr>
      <w:r w:rsidRPr="007F33F1">
        <w:t xml:space="preserve">Potential underestimate for </w:t>
      </w:r>
      <w:r w:rsidR="00BE77FA" w:rsidRPr="007F33F1">
        <w:t>zanubrutinib</w:t>
      </w:r>
      <w:r w:rsidRPr="007F33F1">
        <w:t xml:space="preserve"> uptake. The submission estimated an increase in uptake from 70</w:t>
      </w:r>
      <w:r w:rsidR="0080146D" w:rsidRPr="007F33F1">
        <w:t>%</w:t>
      </w:r>
      <w:r w:rsidRPr="007F33F1">
        <w:t xml:space="preserve"> to 80% over the course of the 6 years, but with limited treatment options, it is likely that eventually </w:t>
      </w:r>
      <w:r w:rsidR="009A2E14" w:rsidRPr="007F33F1">
        <w:t xml:space="preserve">nearly </w:t>
      </w:r>
      <w:r w:rsidRPr="007F33F1">
        <w:t xml:space="preserve">all patients will receive </w:t>
      </w:r>
      <w:r w:rsidR="00BE77FA" w:rsidRPr="007F33F1">
        <w:t>zanubrutinib</w:t>
      </w:r>
      <w:r w:rsidRPr="007F33F1">
        <w:t xml:space="preserve"> (i.e., if they do not receive it first or second line, they may receive it as a later line of treatment).</w:t>
      </w:r>
      <w:r w:rsidR="006912AB" w:rsidRPr="007F33F1">
        <w:t xml:space="preserve"> The ESC considered that the </w:t>
      </w:r>
      <w:r w:rsidR="003D480B" w:rsidRPr="007F33F1">
        <w:t xml:space="preserve">uptake of </w:t>
      </w:r>
      <w:r w:rsidR="00BE77FA" w:rsidRPr="007F33F1">
        <w:t>zanubrutinib</w:t>
      </w:r>
      <w:r w:rsidR="003D480B" w:rsidRPr="007F33F1">
        <w:t xml:space="preserve"> would likely be high</w:t>
      </w:r>
      <w:r w:rsidR="003526C3" w:rsidRPr="007F33F1">
        <w:t>,</w:t>
      </w:r>
      <w:r w:rsidR="003D480B" w:rsidRPr="007F33F1">
        <w:t xml:space="preserve"> particularly in the R/R population as patients would likely prefer an oral therapy over </w:t>
      </w:r>
      <w:r w:rsidR="00D067FD" w:rsidRPr="007F33F1">
        <w:t xml:space="preserve">infusible </w:t>
      </w:r>
      <w:r w:rsidR="003D480B" w:rsidRPr="007F33F1">
        <w:t xml:space="preserve">chemotherapy even if there was a good prior response with chemotherapy. </w:t>
      </w:r>
    </w:p>
    <w:p w:rsidR="00F0207A" w:rsidRPr="007F33F1" w:rsidRDefault="00F0207A" w:rsidP="0047221E">
      <w:pPr>
        <w:pStyle w:val="ListParagraph"/>
        <w:numPr>
          <w:ilvl w:val="0"/>
          <w:numId w:val="9"/>
        </w:numPr>
        <w:snapToGrid w:val="0"/>
        <w:ind w:left="1134"/>
      </w:pPr>
      <w:r w:rsidRPr="007F33F1">
        <w:t xml:space="preserve">Time </w:t>
      </w:r>
      <w:r w:rsidRPr="00C607F1">
        <w:t>on treatment (50.4 months) was based on a restricted time horizon (6 years), whereas the base case economic model estimated a longer time on treatment (85.9 months for TN patients, 83.5</w:t>
      </w:r>
      <w:r w:rsidRPr="005E6BD2">
        <w:t xml:space="preserve"> months for R/R patients</w:t>
      </w:r>
      <w:r w:rsidRPr="007F33F1">
        <w:t xml:space="preserve">) based on a 20-year time horizon. The submission presented a sensitivity analysis where time on treatment was increased to 86.4 months, which increased the total net cost to </w:t>
      </w:r>
      <w:r w:rsidR="00135988">
        <w:t>$40 million to &lt; $50 million</w:t>
      </w:r>
      <w:r w:rsidRPr="007F33F1">
        <w:t>.</w:t>
      </w:r>
    </w:p>
    <w:p w:rsidR="00F0207A" w:rsidRPr="007F33F1" w:rsidRDefault="00F0207A" w:rsidP="0047221E">
      <w:pPr>
        <w:pStyle w:val="ListParagraph"/>
        <w:numPr>
          <w:ilvl w:val="0"/>
          <w:numId w:val="9"/>
        </w:numPr>
        <w:snapToGrid w:val="0"/>
        <w:ind w:left="1134"/>
      </w:pPr>
      <w:r w:rsidRPr="007F33F1">
        <w:t xml:space="preserve">As WM is an indolent disease, it is likely that </w:t>
      </w:r>
      <w:r w:rsidR="00BE77FA" w:rsidRPr="007F33F1">
        <w:t>zanubrutinib</w:t>
      </w:r>
      <w:r w:rsidRPr="007F33F1">
        <w:t xml:space="preserve"> will displace rather than replace treatments. Therefore, patients are likely to receive currently available treatments after discontinuing </w:t>
      </w:r>
      <w:r w:rsidR="00BE77FA" w:rsidRPr="007F33F1">
        <w:t>zanubrutinib</w:t>
      </w:r>
      <w:r w:rsidRPr="007F33F1">
        <w:t xml:space="preserve">, and the savings from avoiding these treatments are overestimated. Furthermore, the submission estimated the cost of currently listed treatments based on clinician reported usage. However, several of these treatments (Rm, BR, DRC) are not subsidised by the PBS, in combination or individually, or are restricted to patient populations different from those in the submission. </w:t>
      </w:r>
      <w:r w:rsidR="00D2573F" w:rsidRPr="007F33F1">
        <w:t>The ESC noted t</w:t>
      </w:r>
      <w:r w:rsidRPr="007F33F1">
        <w:t xml:space="preserve">his slightly overestimated the potential savings, where the total net cost over 6 years increased to approximately </w:t>
      </w:r>
      <w:r w:rsidR="00135988">
        <w:t>$30 million to &lt; $40 million</w:t>
      </w:r>
      <w:r w:rsidRPr="007F33F1">
        <w:t xml:space="preserve"> if the treatments were restricted to their PBS listings.</w:t>
      </w:r>
      <w:r w:rsidR="00535C71" w:rsidRPr="007F33F1">
        <w:t xml:space="preserve"> The PSCR noted if patients go on to receive subsequent treatments after progression, this is beyond the 6</w:t>
      </w:r>
      <w:r w:rsidR="00B218CA" w:rsidRPr="007F33F1">
        <w:t>-</w:t>
      </w:r>
      <w:r w:rsidR="00535C71" w:rsidRPr="007F33F1">
        <w:t xml:space="preserve">year duration of the estimates. The ESC considered that the financial estimates should be interpreted in the context that </w:t>
      </w:r>
      <w:r w:rsidR="00D47D77" w:rsidRPr="007F33F1">
        <w:t xml:space="preserve">some </w:t>
      </w:r>
      <w:r w:rsidR="00535C71" w:rsidRPr="007F33F1">
        <w:t>patients</w:t>
      </w:r>
      <w:r w:rsidR="00D47D77" w:rsidRPr="007F33F1">
        <w:t xml:space="preserve"> will </w:t>
      </w:r>
      <w:r w:rsidR="00535C71" w:rsidRPr="007F33F1">
        <w:t xml:space="preserve">accrue costs for subsequent treatments </w:t>
      </w:r>
      <w:r w:rsidR="00D47D77" w:rsidRPr="007F33F1">
        <w:t>within</w:t>
      </w:r>
      <w:r w:rsidR="00535C71" w:rsidRPr="007F33F1">
        <w:t xml:space="preserve"> the 6-year time frame</w:t>
      </w:r>
      <w:r w:rsidR="00D47D77" w:rsidRPr="007F33F1">
        <w:t>, with others accruing these costs beyond 6 years</w:t>
      </w:r>
      <w:r w:rsidR="00535C71" w:rsidRPr="007F33F1">
        <w:t>. Further</w:t>
      </w:r>
      <w:r w:rsidR="00B218CA" w:rsidRPr="007F33F1">
        <w:t>,</w:t>
      </w:r>
      <w:r w:rsidR="00535C71" w:rsidRPr="007F33F1">
        <w:t xml:space="preserve"> the ESC considered that as per all the extrapolations presented in the economic model, the estimated treatment duration for </w:t>
      </w:r>
      <w:r w:rsidR="00BE77FA" w:rsidRPr="007F33F1">
        <w:t>zanubrutinib</w:t>
      </w:r>
      <w:r w:rsidR="00535C71" w:rsidRPr="007F33F1">
        <w:t xml:space="preserve"> was highly uncertain.</w:t>
      </w:r>
    </w:p>
    <w:p w:rsidR="00F0207A" w:rsidRPr="007F33F1" w:rsidRDefault="00BE77FA" w:rsidP="0047221E">
      <w:pPr>
        <w:pStyle w:val="ListParagraph"/>
        <w:numPr>
          <w:ilvl w:val="0"/>
          <w:numId w:val="9"/>
        </w:numPr>
        <w:snapToGrid w:val="0"/>
        <w:ind w:left="1134"/>
      </w:pPr>
      <w:r w:rsidRPr="007F33F1">
        <w:t>Zanubrutinib</w:t>
      </w:r>
      <w:r w:rsidR="00F0207A" w:rsidRPr="007F33F1">
        <w:t xml:space="preserve"> has a different safety profile to currently available treatments, and management of these (e.g., major haemorrhages) was not accounted for. There was also no long-term data on AEs in </w:t>
      </w:r>
      <w:r w:rsidRPr="007F33F1">
        <w:t>zanubrutinib</w:t>
      </w:r>
      <w:r w:rsidR="00F0207A" w:rsidRPr="007F33F1">
        <w:t xml:space="preserve"> patients and there may be AEs related to treatment discontinuation that lead to additional healthcare costs.</w:t>
      </w:r>
    </w:p>
    <w:p w:rsidR="00E9785A" w:rsidRPr="007F33F1" w:rsidRDefault="00F0207A" w:rsidP="0047221E">
      <w:pPr>
        <w:pStyle w:val="ListParagraph"/>
        <w:numPr>
          <w:ilvl w:val="0"/>
          <w:numId w:val="9"/>
        </w:numPr>
        <w:snapToGrid w:val="0"/>
        <w:ind w:left="1134"/>
      </w:pPr>
      <w:r w:rsidRPr="007F33F1">
        <w:t xml:space="preserve">The requested restriction required TN patients to be ‘unsuitable’ for </w:t>
      </w:r>
      <w:r w:rsidR="00916B6C" w:rsidRPr="007F33F1">
        <w:t>chemo-immunotherapy</w:t>
      </w:r>
      <w:r w:rsidRPr="007F33F1">
        <w:t xml:space="preserve"> but did not specify what makes them ineligible.</w:t>
      </w:r>
      <w:r w:rsidR="00711422" w:rsidRPr="007F33F1">
        <w:t xml:space="preserve"> There is potential for use outside the target PBS population (see paragraph </w:t>
      </w:r>
      <w:r w:rsidR="00015997">
        <w:t>3.3</w:t>
      </w:r>
      <w:r w:rsidR="00711422" w:rsidRPr="007F33F1">
        <w:t>)</w:t>
      </w:r>
      <w:r w:rsidRPr="007F33F1">
        <w:t xml:space="preserve">. The requested restriction also did not restrict access to patients who are BTKi-naïve. While there is guidance recommending that retreatment with </w:t>
      </w:r>
      <w:r w:rsidR="00BE77FA" w:rsidRPr="007F33F1">
        <w:t>ibrutinib</w:t>
      </w:r>
      <w:r w:rsidRPr="007F33F1">
        <w:t xml:space="preserve"> is not appropriate, there are currently no recommendations for retreatment with </w:t>
      </w:r>
      <w:r w:rsidR="00BE77FA" w:rsidRPr="007F33F1">
        <w:t xml:space="preserve">zanubrutinib </w:t>
      </w:r>
      <w:r w:rsidRPr="007F33F1">
        <w:t xml:space="preserve">or </w:t>
      </w:r>
      <w:r w:rsidR="00BE77FA" w:rsidRPr="007F33F1">
        <w:t>zanubrutinib</w:t>
      </w:r>
      <w:r w:rsidRPr="007F33F1">
        <w:t xml:space="preserve"> following </w:t>
      </w:r>
      <w:r w:rsidR="00BE77FA" w:rsidRPr="007F33F1">
        <w:t>ibrutinib</w:t>
      </w:r>
      <w:r w:rsidRPr="007F33F1">
        <w:t>.</w:t>
      </w:r>
    </w:p>
    <w:p w:rsidR="00F0207A" w:rsidRPr="007F33F1" w:rsidRDefault="00F0207A" w:rsidP="0047221E">
      <w:pPr>
        <w:pStyle w:val="3-BodyText"/>
        <w:snapToGrid w:val="0"/>
      </w:pPr>
      <w:bookmarkStart w:id="103" w:name="_Ref79672154"/>
      <w:r w:rsidRPr="007F33F1">
        <w:t xml:space="preserve">Sensitivity analyses conducted during the evaluation indicated the financial estimates were sensitive to most variables, particularly those related to number of patients receiving </w:t>
      </w:r>
      <w:r w:rsidR="00BE77FA" w:rsidRPr="007F33F1">
        <w:t>zanubrutinib</w:t>
      </w:r>
      <w:r w:rsidRPr="007F33F1">
        <w:t xml:space="preserve"> and duration of </w:t>
      </w:r>
      <w:r w:rsidR="00BE77FA" w:rsidRPr="007F33F1">
        <w:t>zanubrutinib</w:t>
      </w:r>
      <w:r w:rsidRPr="007F33F1">
        <w:t xml:space="preserve"> treatment.</w:t>
      </w:r>
      <w:bookmarkEnd w:id="103"/>
      <w:r w:rsidRPr="007F33F1">
        <w:t xml:space="preserve"> </w:t>
      </w:r>
    </w:p>
    <w:p w:rsidR="00F0207A" w:rsidRPr="007F33F1" w:rsidRDefault="00F0207A" w:rsidP="0047221E">
      <w:pPr>
        <w:pStyle w:val="TableHeading0"/>
        <w:keepNext/>
        <w:keepLines/>
      </w:pPr>
      <w:bookmarkStart w:id="104" w:name="_Ref72243888"/>
      <w:r w:rsidRPr="007F33F1">
        <w:t xml:space="preserve">Table </w:t>
      </w:r>
      <w:bookmarkStart w:id="105" w:name="_Ref72243958"/>
      <w:r w:rsidR="00015997">
        <w:rPr>
          <w:noProof/>
        </w:rPr>
        <w:t>22</w:t>
      </w:r>
      <w:bookmarkEnd w:id="105"/>
      <w:bookmarkEnd w:id="104"/>
      <w:r w:rsidRPr="007F33F1">
        <w:t>: Estimation of use and financial impact of the proposed medicine</w:t>
      </w:r>
    </w:p>
    <w:tbl>
      <w:tblPr>
        <w:tblStyle w:val="ASDTable2"/>
        <w:tblW w:w="5000" w:type="pct"/>
        <w:tblLayout w:type="fixed"/>
        <w:tblCellMar>
          <w:left w:w="28" w:type="dxa"/>
          <w:right w:w="28" w:type="dxa"/>
        </w:tblCellMar>
        <w:tblLook w:val="04A0" w:firstRow="1" w:lastRow="0" w:firstColumn="1" w:lastColumn="0" w:noHBand="0" w:noVBand="1"/>
        <w:tblCaption w:val="Table 22: Estimation of use and financial impact of the proposed medicine"/>
      </w:tblPr>
      <w:tblGrid>
        <w:gridCol w:w="2723"/>
        <w:gridCol w:w="1052"/>
        <w:gridCol w:w="1053"/>
        <w:gridCol w:w="1054"/>
        <w:gridCol w:w="1220"/>
        <w:gridCol w:w="958"/>
        <w:gridCol w:w="980"/>
      </w:tblGrid>
      <w:tr w:rsidR="00F0207A" w:rsidRPr="007F33F1" w:rsidTr="00016B11">
        <w:trPr>
          <w:tblHeader/>
        </w:trPr>
        <w:tc>
          <w:tcPr>
            <w:tcW w:w="2828" w:type="dxa"/>
            <w:tcBorders>
              <w:top w:val="single" w:sz="4" w:space="0" w:color="auto"/>
              <w:left w:val="single" w:sz="4" w:space="0" w:color="auto"/>
              <w:bottom w:val="single" w:sz="4" w:space="0" w:color="auto"/>
              <w:right w:val="single" w:sz="4" w:space="0" w:color="auto"/>
            </w:tcBorders>
            <w:vAlign w:val="center"/>
          </w:tcPr>
          <w:p w:rsidR="00F0207A" w:rsidRPr="007F33F1" w:rsidRDefault="00F0207A" w:rsidP="0047221E">
            <w:pPr>
              <w:pStyle w:val="TableText0"/>
              <w:keepLines/>
              <w:rPr>
                <w:szCs w:val="20"/>
              </w:rPr>
            </w:pP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2022</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2023</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2024</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2025</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2026</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2027</w:t>
            </w:r>
          </w:p>
        </w:tc>
      </w:tr>
      <w:tr w:rsidR="00F0207A" w:rsidRPr="007F33F1" w:rsidTr="00016B11">
        <w:tc>
          <w:tcPr>
            <w:tcW w:w="9375" w:type="dxa"/>
            <w:gridSpan w:val="7"/>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b/>
                <w:szCs w:val="20"/>
              </w:rPr>
            </w:pPr>
            <w:r w:rsidRPr="007F33F1">
              <w:rPr>
                <w:b/>
                <w:szCs w:val="20"/>
              </w:rPr>
              <w:t>Estimation of number of treated patients</w:t>
            </w:r>
          </w:p>
        </w:tc>
      </w:tr>
      <w:tr w:rsidR="00AF1184" w:rsidRPr="007F33F1" w:rsidTr="00016B11">
        <w:tc>
          <w:tcPr>
            <w:tcW w:w="9375" w:type="dxa"/>
            <w:gridSpan w:val="7"/>
            <w:tcBorders>
              <w:top w:val="single" w:sz="4" w:space="0" w:color="auto"/>
              <w:left w:val="single" w:sz="4" w:space="0" w:color="auto"/>
              <w:bottom w:val="single" w:sz="4" w:space="0" w:color="auto"/>
              <w:right w:val="single" w:sz="4" w:space="0" w:color="auto"/>
            </w:tcBorders>
            <w:vAlign w:val="center"/>
            <w:hideMark/>
          </w:tcPr>
          <w:p w:rsidR="00AF1184" w:rsidRPr="007F33F1" w:rsidRDefault="00AF1184" w:rsidP="0047221E">
            <w:pPr>
              <w:pStyle w:val="TableText0"/>
              <w:keepLines/>
              <w:rPr>
                <w:szCs w:val="20"/>
              </w:rPr>
            </w:pPr>
            <w:r w:rsidRPr="007F33F1">
              <w:rPr>
                <w:b/>
                <w:szCs w:val="20"/>
              </w:rPr>
              <w:t>1L WM</w:t>
            </w:r>
          </w:p>
        </w:tc>
      </w:tr>
      <w:tr w:rsidR="00F0207A" w:rsidRPr="007F33F1" w:rsidTr="00016B11">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 xml:space="preserve">Incident WM population </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7F6291">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7F6291">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Total 1L patients eligible</w:t>
            </w:r>
          </w:p>
        </w:tc>
        <w:tc>
          <w:tcPr>
            <w:tcW w:w="1090"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szCs w:val="20"/>
              </w:rPr>
            </w:pPr>
            <w:r>
              <w:rPr>
                <w:noProof/>
                <w:color w:val="000000"/>
                <w:szCs w:val="20"/>
                <w:highlight w:val="black"/>
              </w:rPr>
              <w:t>''''''</w:t>
            </w:r>
            <w:r w:rsidR="007F6291">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szCs w:val="20"/>
              </w:rPr>
            </w:pPr>
            <w:r>
              <w:rPr>
                <w:noProof/>
                <w:color w:val="000000"/>
                <w:szCs w:val="20"/>
                <w:highlight w:val="black"/>
              </w:rPr>
              <w:t>'''''</w:t>
            </w:r>
            <w:r w:rsidR="007F6291">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Total 1L patients treated with ZANU</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7F6291">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7F6291">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AF1184" w:rsidRPr="007F33F1" w:rsidTr="00016B11">
        <w:tc>
          <w:tcPr>
            <w:tcW w:w="9375" w:type="dxa"/>
            <w:gridSpan w:val="7"/>
            <w:tcBorders>
              <w:top w:val="single" w:sz="4" w:space="0" w:color="auto"/>
              <w:left w:val="single" w:sz="4" w:space="0" w:color="auto"/>
              <w:bottom w:val="single" w:sz="4" w:space="0" w:color="auto"/>
              <w:right w:val="single" w:sz="4" w:space="0" w:color="auto"/>
            </w:tcBorders>
            <w:vAlign w:val="center"/>
            <w:hideMark/>
          </w:tcPr>
          <w:p w:rsidR="00AF1184" w:rsidRPr="007F33F1" w:rsidRDefault="00AF1184" w:rsidP="0047221E">
            <w:pPr>
              <w:pStyle w:val="TableText0"/>
              <w:keepLines/>
              <w:rPr>
                <w:szCs w:val="20"/>
              </w:rPr>
            </w:pPr>
            <w:r w:rsidRPr="007F33F1">
              <w:rPr>
                <w:b/>
                <w:szCs w:val="20"/>
              </w:rPr>
              <w:t>R/R WM (pts diagnosed 2 yrs prior)</w:t>
            </w:r>
          </w:p>
        </w:tc>
      </w:tr>
      <w:tr w:rsidR="00F0207A" w:rsidRPr="007F33F1" w:rsidTr="00016B11">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 xml:space="preserve">Incident WM </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Total 2L+ patients eligible</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Total 2L+ patients treated with ZANU</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 xml:space="preserve">Grandfathered </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rPr>
          <w:trHeight w:val="58"/>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7F6291">
            <w:pPr>
              <w:pStyle w:val="TableText0"/>
              <w:keepLines/>
              <w:rPr>
                <w:szCs w:val="20"/>
              </w:rPr>
            </w:pPr>
            <w:r w:rsidRPr="007F33F1">
              <w:rPr>
                <w:szCs w:val="20"/>
              </w:rPr>
              <w:t xml:space="preserve">Total patients initiate ZANU </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Total patients treated ZANU</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1</w:t>
            </w:r>
          </w:p>
        </w:tc>
      </w:tr>
      <w:tr w:rsidR="00F0207A" w:rsidRPr="007F33F1" w:rsidTr="00016B11">
        <w:trPr>
          <w:trHeight w:val="230"/>
        </w:trPr>
        <w:tc>
          <w:tcPr>
            <w:tcW w:w="9375" w:type="dxa"/>
            <w:gridSpan w:val="7"/>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b/>
                <w:szCs w:val="20"/>
              </w:rPr>
            </w:pPr>
            <w:r w:rsidRPr="007F33F1">
              <w:rPr>
                <w:b/>
                <w:szCs w:val="20"/>
              </w:rPr>
              <w:t>Estimated number of ZANU scripts (PBS/RPBS)</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1L</w:t>
            </w:r>
          </w:p>
        </w:tc>
        <w:tc>
          <w:tcPr>
            <w:tcW w:w="1090"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c>
          <w:tcPr>
            <w:tcW w:w="1265"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2L+</w:t>
            </w:r>
          </w:p>
        </w:tc>
        <w:tc>
          <w:tcPr>
            <w:tcW w:w="1090"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c>
          <w:tcPr>
            <w:tcW w:w="1265"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2</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Grandfathered</w:t>
            </w:r>
          </w:p>
        </w:tc>
        <w:tc>
          <w:tcPr>
            <w:tcW w:w="1090"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Total ZANU</w:t>
            </w:r>
            <w:r w:rsidR="005A3E1B" w:rsidRPr="007F33F1">
              <w:rPr>
                <w:szCs w:val="20"/>
              </w:rPr>
              <w:t xml:space="preserve">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2</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2</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2</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szCs w:val="20"/>
              </w:rPr>
            </w:pPr>
            <w:r>
              <w:rPr>
                <w:noProof/>
                <w:color w:val="000000"/>
                <w:szCs w:val="20"/>
                <w:highlight w:val="black"/>
              </w:rPr>
              <w:t>''''''''''''</w:t>
            </w:r>
            <w:r w:rsidR="00F77DA3">
              <w:rPr>
                <w:szCs w:val="20"/>
                <w:vertAlign w:val="superscript"/>
              </w:rPr>
              <w:t>2</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5A3E1B" w:rsidP="0047221E">
            <w:pPr>
              <w:pStyle w:val="TableText0"/>
              <w:keepLines/>
              <w:rPr>
                <w:b/>
                <w:szCs w:val="20"/>
              </w:rPr>
            </w:pPr>
            <w:r w:rsidRPr="007F33F1">
              <w:rPr>
                <w:b/>
                <w:szCs w:val="20"/>
              </w:rPr>
              <w:t>Estimated effective cost of ZANU to PBS/RPBS</w:t>
            </w:r>
            <w:r w:rsidR="00450F52" w:rsidRPr="007F33F1">
              <w:rPr>
                <w:b/>
                <w:szCs w:val="20"/>
              </w:rPr>
              <w:t xml:space="preserve"> (less copay)</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w:t>
            </w:r>
            <w:r w:rsidR="00785E78">
              <w:rPr>
                <w:b/>
                <w:noProof/>
                <w:color w:val="000000"/>
                <w:szCs w:val="20"/>
                <w:highlight w:val="black"/>
              </w:rPr>
              <w:t>'''''''''''''''''</w:t>
            </w:r>
            <w:r w:rsidR="00F77DA3">
              <w:rPr>
                <w:szCs w:val="20"/>
                <w:vertAlign w:val="superscript"/>
              </w:rPr>
              <w:t>3</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w:t>
            </w:r>
            <w:r w:rsidR="00785E78">
              <w:rPr>
                <w:b/>
                <w:noProof/>
                <w:color w:val="000000"/>
                <w:szCs w:val="20"/>
                <w:highlight w:val="black"/>
              </w:rPr>
              <w:t>'''''''''''''''''''''</w:t>
            </w:r>
            <w:r w:rsidR="00F77DA3">
              <w:rPr>
                <w:szCs w:val="20"/>
                <w:vertAlign w:val="superscript"/>
              </w:rPr>
              <w:t>3</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w:t>
            </w:r>
            <w:r w:rsidR="00785E78">
              <w:rPr>
                <w:b/>
                <w:noProof/>
                <w:color w:val="000000"/>
                <w:szCs w:val="20"/>
                <w:highlight w:val="black"/>
              </w:rPr>
              <w:t>''''''''''''''''''</w:t>
            </w:r>
            <w:r w:rsidR="00F77DA3">
              <w:rPr>
                <w:szCs w:val="20"/>
                <w:vertAlign w:val="superscript"/>
              </w:rPr>
              <w:t>3</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w:t>
            </w:r>
            <w:r w:rsidR="00785E78">
              <w:rPr>
                <w:b/>
                <w:noProof/>
                <w:color w:val="000000"/>
                <w:szCs w:val="20"/>
                <w:highlight w:val="black"/>
              </w:rPr>
              <w:t>'''''''''''''''''''''</w:t>
            </w:r>
            <w:r w:rsidR="00F77DA3">
              <w:rPr>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w:t>
            </w:r>
            <w:r w:rsidR="00785E78">
              <w:rPr>
                <w:b/>
                <w:noProof/>
                <w:color w:val="000000"/>
                <w:szCs w:val="20"/>
                <w:highlight w:val="black"/>
              </w:rPr>
              <w:t>''''''''''''''''''</w:t>
            </w:r>
            <w:r w:rsidR="00F77DA3">
              <w:rPr>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w:t>
            </w:r>
            <w:r w:rsidR="00785E78">
              <w:rPr>
                <w:b/>
                <w:noProof/>
                <w:color w:val="000000"/>
                <w:szCs w:val="20"/>
                <w:highlight w:val="black"/>
              </w:rPr>
              <w:t>''''''''''''''''''</w:t>
            </w:r>
            <w:r w:rsidR="00F77DA3">
              <w:rPr>
                <w:szCs w:val="20"/>
                <w:vertAlign w:val="superscript"/>
              </w:rPr>
              <w:t>3</w:t>
            </w:r>
          </w:p>
        </w:tc>
      </w:tr>
      <w:tr w:rsidR="00F0207A" w:rsidRPr="007F33F1" w:rsidTr="00016B11">
        <w:trPr>
          <w:trHeight w:val="230"/>
        </w:trPr>
        <w:tc>
          <w:tcPr>
            <w:tcW w:w="9375" w:type="dxa"/>
            <w:gridSpan w:val="7"/>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b/>
                <w:szCs w:val="20"/>
              </w:rPr>
              <w:t>Estimation changes in use and financial impact of currently listed treatments</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AF1184" w:rsidRPr="007F33F1" w:rsidRDefault="00F0207A" w:rsidP="0047221E">
            <w:pPr>
              <w:pStyle w:val="TableText0"/>
              <w:keepLines/>
              <w:rPr>
                <w:szCs w:val="20"/>
              </w:rPr>
            </w:pPr>
            <w:r w:rsidRPr="007F33F1">
              <w:rPr>
                <w:szCs w:val="20"/>
              </w:rPr>
              <w:t xml:space="preserve">Total number of patients who would have been treated with comparators displaced by PBS listing of ZANU </w:t>
            </w:r>
          </w:p>
          <w:p w:rsidR="00F0207A" w:rsidRPr="007F33F1" w:rsidRDefault="00F0207A" w:rsidP="0047221E">
            <w:pPr>
              <w:pStyle w:val="TableText0"/>
              <w:keepLines/>
              <w:rPr>
                <w:szCs w:val="20"/>
              </w:rPr>
            </w:pPr>
            <w:r w:rsidRPr="007F33F1">
              <w:rPr>
                <w:szCs w:val="20"/>
              </w:rPr>
              <w:t>(1L+2L)</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iCs/>
                <w:szCs w:val="20"/>
              </w:rPr>
            </w:pPr>
            <w:r>
              <w:rPr>
                <w:iCs/>
                <w:noProof/>
                <w:color w:val="000000"/>
                <w:szCs w:val="20"/>
                <w:highlight w:val="black"/>
              </w:rPr>
              <w:t>''''''''''</w:t>
            </w:r>
            <w:r w:rsidR="00F77DA3">
              <w:rPr>
                <w:szCs w:val="20"/>
                <w:vertAlign w:val="superscript"/>
              </w:rPr>
              <w:t>1</w:t>
            </w:r>
          </w:p>
        </w:tc>
      </w:tr>
      <w:tr w:rsidR="00AF1184" w:rsidRPr="007F33F1" w:rsidTr="00016B11">
        <w:trPr>
          <w:trHeight w:val="230"/>
        </w:trPr>
        <w:tc>
          <w:tcPr>
            <w:tcW w:w="9375" w:type="dxa"/>
            <w:gridSpan w:val="7"/>
            <w:tcBorders>
              <w:top w:val="single" w:sz="4" w:space="0" w:color="auto"/>
              <w:left w:val="single" w:sz="4" w:space="0" w:color="auto"/>
              <w:bottom w:val="single" w:sz="4" w:space="0" w:color="auto"/>
              <w:right w:val="single" w:sz="4" w:space="0" w:color="auto"/>
            </w:tcBorders>
            <w:vAlign w:val="center"/>
          </w:tcPr>
          <w:p w:rsidR="00AF1184" w:rsidRPr="007F33F1" w:rsidRDefault="00AF1184" w:rsidP="0047221E">
            <w:pPr>
              <w:pStyle w:val="TableText0"/>
              <w:keepLines/>
              <w:rPr>
                <w:b/>
                <w:iCs/>
                <w:szCs w:val="20"/>
              </w:rPr>
            </w:pPr>
            <w:r w:rsidRPr="007F33F1">
              <w:rPr>
                <w:b/>
                <w:szCs w:val="20"/>
              </w:rPr>
              <w:t>Changes in scripts for substituted therapies</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BENDA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iCs/>
                <w:szCs w:val="20"/>
              </w:rPr>
            </w:pPr>
            <w:r w:rsidRPr="007F33F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RITUXIMAB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iCs/>
                <w:szCs w:val="20"/>
              </w:rPr>
            </w:pPr>
            <w:r w:rsidRPr="007F33F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CYCLOPHOSPHAMIDE IV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iCs/>
                <w:szCs w:val="20"/>
              </w:rPr>
            </w:pPr>
            <w:r w:rsidRPr="007F33F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CYCLOPHOSPHAMIDE oral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iCs/>
                <w:szCs w:val="20"/>
              </w:rPr>
            </w:pPr>
            <w:r w:rsidRPr="007F33F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FLUDARABINE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iCs/>
                <w:szCs w:val="20"/>
              </w:rPr>
            </w:pPr>
            <w:r w:rsidRPr="007F33F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CHLORAMBUCIL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iCs/>
                <w:szCs w:val="20"/>
              </w:rPr>
            </w:pPr>
            <w:r w:rsidRPr="007F33F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 xml:space="preserve">Total number of reduced scripts </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F0207A" w:rsidP="0047221E">
            <w:pPr>
              <w:pStyle w:val="TableText0"/>
              <w:keepLines/>
              <w:jc w:val="center"/>
              <w:rPr>
                <w:rFonts w:eastAsia="Calibri" w:cs="Times New Roman"/>
                <w:bCs w:val="0"/>
                <w:snapToGrid w:val="0"/>
                <w:szCs w:val="20"/>
              </w:rPr>
            </w:pPr>
            <w:r w:rsidRPr="007F6291">
              <w:rPr>
                <w:iCs/>
                <w:szCs w:val="20"/>
              </w:rPr>
              <w:t>-</w:t>
            </w:r>
            <w:r w:rsidR="00785E78">
              <w:rPr>
                <w:rFonts w:eastAsia="Calibri" w:cs="Times New Roman"/>
                <w:bCs w:val="0"/>
                <w:noProof/>
                <w:snapToGrid w:val="0"/>
                <w:color w:val="000000"/>
                <w:szCs w:val="20"/>
                <w:highlight w:val="black"/>
              </w:rPr>
              <w:t>'''''''''</w:t>
            </w:r>
            <w:r w:rsidR="00F77DA3">
              <w:rPr>
                <w:szCs w:val="20"/>
                <w:vertAlign w:val="superscript"/>
              </w:rPr>
              <w:t>2</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FILGRASTIM scripts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rFonts w:eastAsia="Calibri" w:cs="Times New Roman"/>
                <w:bCs w:val="0"/>
                <w:snapToGrid w:val="0"/>
                <w:szCs w:val="20"/>
              </w:rPr>
            </w:pPr>
            <w:r>
              <w:rPr>
                <w:rFonts w:eastAsia="Calibri" w:cs="Times New Roman"/>
                <w:bCs w:val="0"/>
                <w:noProof/>
                <w:snapToGrid w:val="0"/>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rFonts w:eastAsia="Calibri" w:cs="Times New Roman"/>
                <w:bCs w:val="0"/>
                <w:snapToGrid w:val="0"/>
                <w:szCs w:val="20"/>
              </w:rPr>
            </w:pPr>
            <w:r>
              <w:rPr>
                <w:rFonts w:eastAsia="Calibri" w:cs="Times New Roman"/>
                <w:bCs w:val="0"/>
                <w:noProof/>
                <w:snapToGrid w:val="0"/>
                <w:color w:val="000000"/>
                <w:szCs w:val="20"/>
                <w:highlight w:val="black"/>
              </w:rPr>
              <w:t>'''</w:t>
            </w:r>
            <w:r w:rsidR="00F77DA3">
              <w:rPr>
                <w:szCs w:val="20"/>
                <w:vertAlign w:val="superscript"/>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rFonts w:eastAsia="Calibri" w:cs="Times New Roman"/>
                <w:bCs w:val="0"/>
                <w:snapToGrid w:val="0"/>
                <w:szCs w:val="20"/>
              </w:rPr>
            </w:pPr>
            <w:r>
              <w:rPr>
                <w:rFonts w:eastAsia="Calibri" w:cs="Times New Roman"/>
                <w:bCs w:val="0"/>
                <w:noProof/>
                <w:snapToGrid w:val="0"/>
                <w:color w:val="000000"/>
                <w:szCs w:val="20"/>
                <w:highlight w:val="black"/>
              </w:rPr>
              <w:t>'''''''</w:t>
            </w:r>
            <w:r w:rsidR="00F77DA3">
              <w:rPr>
                <w:szCs w:val="20"/>
                <w:vertAlign w:val="superscript"/>
              </w:rPr>
              <w:t>1</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rFonts w:eastAsia="Calibri" w:cs="Times New Roman"/>
                <w:bCs w:val="0"/>
                <w:snapToGrid w:val="0"/>
                <w:szCs w:val="20"/>
              </w:rPr>
            </w:pPr>
            <w:r>
              <w:rPr>
                <w:rFonts w:eastAsia="Calibri" w:cs="Times New Roman"/>
                <w:bCs w:val="0"/>
                <w:noProof/>
                <w:snapToGrid w:val="0"/>
                <w:color w:val="000000"/>
                <w:szCs w:val="20"/>
                <w:highlight w:val="black"/>
              </w:rPr>
              <w:t>''''''</w:t>
            </w:r>
            <w:r w:rsidR="00F77DA3">
              <w:rPr>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rFonts w:eastAsia="Calibri" w:cs="Times New Roman"/>
                <w:bCs w:val="0"/>
                <w:snapToGrid w:val="0"/>
                <w:szCs w:val="20"/>
              </w:rPr>
            </w:pPr>
            <w:r>
              <w:rPr>
                <w:rFonts w:eastAsia="Calibri" w:cs="Times New Roman"/>
                <w:bCs w:val="0"/>
                <w:noProof/>
                <w:snapToGrid w:val="0"/>
                <w:color w:val="000000"/>
                <w:szCs w:val="20"/>
                <w:highlight w:val="black"/>
              </w:rPr>
              <w:t>''''''</w:t>
            </w:r>
            <w:r w:rsidR="00F77DA3">
              <w:rPr>
                <w:szCs w:val="20"/>
                <w:vertAlign w:val="superscript"/>
              </w:rPr>
              <w:t>1</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85E78" w:rsidRDefault="00785E78" w:rsidP="0047221E">
            <w:pPr>
              <w:pStyle w:val="TableText0"/>
              <w:keepLines/>
              <w:jc w:val="center"/>
              <w:rPr>
                <w:rFonts w:eastAsia="Calibri" w:cs="Times New Roman"/>
                <w:bCs w:val="0"/>
                <w:snapToGrid w:val="0"/>
                <w:szCs w:val="20"/>
              </w:rPr>
            </w:pPr>
            <w:r>
              <w:rPr>
                <w:rFonts w:eastAsia="Calibri" w:cs="Times New Roman"/>
                <w:bCs w:val="0"/>
                <w:noProof/>
                <w:snapToGrid w:val="0"/>
                <w:color w:val="000000"/>
                <w:szCs w:val="20"/>
                <w:highlight w:val="black"/>
              </w:rPr>
              <w:t>'''''''</w:t>
            </w:r>
            <w:r w:rsidR="00F77DA3">
              <w:rPr>
                <w:szCs w:val="20"/>
                <w:vertAlign w:val="superscript"/>
              </w:rPr>
              <w:t>1</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450F52" w:rsidRPr="007F33F1" w:rsidRDefault="00F0207A" w:rsidP="0047221E">
            <w:pPr>
              <w:pStyle w:val="TableText0"/>
              <w:keepLines/>
              <w:rPr>
                <w:b/>
                <w:szCs w:val="20"/>
              </w:rPr>
            </w:pPr>
            <w:r w:rsidRPr="007F33F1">
              <w:rPr>
                <w:b/>
                <w:szCs w:val="20"/>
              </w:rPr>
              <w:t>Total cost offset to PBS/RPBS</w:t>
            </w:r>
            <w:r w:rsidR="00450F52" w:rsidRPr="007F33F1">
              <w:rPr>
                <w:b/>
                <w:szCs w:val="20"/>
              </w:rPr>
              <w:t xml:space="preserve"> </w:t>
            </w:r>
          </w:p>
          <w:p w:rsidR="00F0207A" w:rsidRPr="007F33F1" w:rsidRDefault="00450F52" w:rsidP="0047221E">
            <w:pPr>
              <w:pStyle w:val="TableText0"/>
              <w:keepLines/>
              <w:rPr>
                <w:b/>
                <w:szCs w:val="20"/>
              </w:rPr>
            </w:pPr>
            <w:r w:rsidRPr="007F33F1">
              <w:rPr>
                <w:b/>
                <w:szCs w:val="20"/>
              </w:rPr>
              <w:t>(less copay)</w:t>
            </w:r>
          </w:p>
        </w:tc>
        <w:tc>
          <w:tcPr>
            <w:tcW w:w="1090"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highlight w:val="yellow"/>
              </w:rPr>
            </w:pPr>
            <w:r w:rsidRPr="007F33F1">
              <w:rPr>
                <w:b/>
                <w:szCs w:val="20"/>
              </w:rPr>
              <w:t>-$</w:t>
            </w:r>
            <w:r w:rsidR="00785E78">
              <w:rPr>
                <w:b/>
                <w:noProof/>
                <w:color w:val="000000"/>
                <w:szCs w:val="20"/>
                <w:highlight w:val="black"/>
              </w:rPr>
              <w:t>'''''''''''''''</w:t>
            </w:r>
            <w:r w:rsidR="00F77DA3">
              <w:rPr>
                <w:szCs w:val="20"/>
                <w:vertAlign w:val="superscript"/>
              </w:rPr>
              <w:t>3</w:t>
            </w:r>
          </w:p>
        </w:tc>
        <w:tc>
          <w:tcPr>
            <w:tcW w:w="1091"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highlight w:val="yellow"/>
              </w:rPr>
            </w:pPr>
            <w:r w:rsidRPr="007F33F1">
              <w:rPr>
                <w:b/>
                <w:szCs w:val="20"/>
              </w:rPr>
              <w:t>-$</w:t>
            </w:r>
            <w:r w:rsidR="00785E78">
              <w:rPr>
                <w:b/>
                <w:noProof/>
                <w:color w:val="000000"/>
                <w:szCs w:val="20"/>
                <w:highlight w:val="black"/>
              </w:rPr>
              <w:t>''''''''''''''''</w:t>
            </w:r>
            <w:r w:rsidR="00F77DA3">
              <w:rPr>
                <w:szCs w:val="20"/>
                <w:vertAlign w:val="superscript"/>
              </w:rPr>
              <w:t>3</w:t>
            </w:r>
          </w:p>
        </w:tc>
        <w:tc>
          <w:tcPr>
            <w:tcW w:w="1092"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highlight w:val="yellow"/>
              </w:rPr>
            </w:pPr>
            <w:r w:rsidRPr="007F33F1">
              <w:rPr>
                <w:b/>
                <w:szCs w:val="20"/>
              </w:rPr>
              <w:t>-$</w:t>
            </w:r>
            <w:r w:rsidR="00785E78">
              <w:rPr>
                <w:b/>
                <w:noProof/>
                <w:color w:val="000000"/>
                <w:szCs w:val="20"/>
                <w:highlight w:val="black"/>
              </w:rPr>
              <w:t>''''''''''''''''</w:t>
            </w:r>
            <w:r w:rsidR="00F77DA3">
              <w:rPr>
                <w:szCs w:val="20"/>
                <w:vertAlign w:val="superscript"/>
              </w:rPr>
              <w:t>3</w:t>
            </w:r>
          </w:p>
        </w:tc>
        <w:tc>
          <w:tcPr>
            <w:tcW w:w="1265"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highlight w:val="yellow"/>
              </w:rPr>
            </w:pPr>
            <w:r w:rsidRPr="007F33F1">
              <w:rPr>
                <w:b/>
                <w:szCs w:val="20"/>
              </w:rPr>
              <w:t>-$</w:t>
            </w:r>
            <w:r w:rsidR="00785E78">
              <w:rPr>
                <w:b/>
                <w:noProof/>
                <w:color w:val="000000"/>
                <w:szCs w:val="20"/>
                <w:highlight w:val="black"/>
              </w:rPr>
              <w:t>''''''''''''''''</w:t>
            </w:r>
            <w:r w:rsidR="00F77DA3">
              <w:rPr>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highlight w:val="yellow"/>
              </w:rPr>
            </w:pPr>
            <w:r w:rsidRPr="007F33F1">
              <w:rPr>
                <w:b/>
                <w:szCs w:val="20"/>
              </w:rPr>
              <w:t>-$</w:t>
            </w:r>
            <w:r w:rsidR="00785E78">
              <w:rPr>
                <w:b/>
                <w:noProof/>
                <w:color w:val="000000"/>
                <w:szCs w:val="20"/>
                <w:highlight w:val="black"/>
              </w:rPr>
              <w:t>'''''''''''''''</w:t>
            </w:r>
            <w:r w:rsidR="00F77DA3">
              <w:rPr>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jc w:val="center"/>
              <w:rPr>
                <w:b/>
                <w:szCs w:val="20"/>
              </w:rPr>
            </w:pPr>
            <w:r w:rsidRPr="007F33F1">
              <w:rPr>
                <w:b/>
                <w:szCs w:val="20"/>
              </w:rPr>
              <w:t>-$</w:t>
            </w:r>
            <w:r w:rsidR="00785E78">
              <w:rPr>
                <w:b/>
                <w:noProof/>
                <w:color w:val="000000"/>
                <w:szCs w:val="20"/>
                <w:highlight w:val="black"/>
              </w:rPr>
              <w:t>''''''''''''''''</w:t>
            </w:r>
            <w:r w:rsidR="00F77DA3">
              <w:rPr>
                <w:szCs w:val="20"/>
                <w:vertAlign w:val="superscript"/>
              </w:rPr>
              <w:t>3</w:t>
            </w:r>
          </w:p>
        </w:tc>
      </w:tr>
      <w:tr w:rsidR="00F0207A" w:rsidRPr="007F33F1" w:rsidTr="00016B11">
        <w:trPr>
          <w:trHeight w:val="230"/>
        </w:trPr>
        <w:tc>
          <w:tcPr>
            <w:tcW w:w="9375" w:type="dxa"/>
            <w:gridSpan w:val="7"/>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b/>
                <w:szCs w:val="20"/>
              </w:rPr>
              <w:t>Estimated financial implications for the PBS/RPBS and the health budget</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Net change in scripts 1L+2L+GF</w:t>
            </w:r>
          </w:p>
        </w:tc>
        <w:tc>
          <w:tcPr>
            <w:tcW w:w="1090"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
              <w:keepNext/>
              <w:keepLines/>
              <w:jc w:val="center"/>
              <w:rPr>
                <w:szCs w:val="20"/>
              </w:rPr>
            </w:pPr>
            <w:r>
              <w:rPr>
                <w:noProof/>
                <w:color w:val="000000"/>
                <w:szCs w:val="20"/>
                <w:highlight w:val="black"/>
              </w:rPr>
              <w:t>'''''''''</w:t>
            </w:r>
            <w:r w:rsidR="00F77DA3">
              <w:rPr>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
              <w:keepNext/>
              <w:keepLines/>
              <w:jc w:val="center"/>
              <w:rPr>
                <w:szCs w:val="20"/>
              </w:rPr>
            </w:pPr>
            <w:r>
              <w:rPr>
                <w:noProof/>
                <w:color w:val="000000"/>
                <w:szCs w:val="20"/>
                <w:highlight w:val="black"/>
              </w:rPr>
              <w:t>''''''''''</w:t>
            </w:r>
            <w:r w:rsidR="00F77DA3">
              <w:rPr>
                <w:szCs w:val="20"/>
                <w:vertAlign w:val="superscript"/>
              </w:rPr>
              <w:t>2</w:t>
            </w:r>
          </w:p>
        </w:tc>
        <w:tc>
          <w:tcPr>
            <w:tcW w:w="1092"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
              <w:keepNext/>
              <w:keepLines/>
              <w:jc w:val="center"/>
              <w:rPr>
                <w:szCs w:val="20"/>
              </w:rPr>
            </w:pPr>
            <w:r>
              <w:rPr>
                <w:noProof/>
                <w:color w:val="000000"/>
                <w:szCs w:val="20"/>
                <w:highlight w:val="black"/>
              </w:rPr>
              <w:t>''''''''''''''</w:t>
            </w:r>
            <w:r w:rsidR="00F77DA3">
              <w:rPr>
                <w:szCs w:val="20"/>
                <w:vertAlign w:val="superscript"/>
              </w:rPr>
              <w:t>2</w:t>
            </w:r>
          </w:p>
        </w:tc>
        <w:tc>
          <w:tcPr>
            <w:tcW w:w="1265"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
              <w:keepNext/>
              <w:keepLines/>
              <w:jc w:val="center"/>
              <w:rPr>
                <w:szCs w:val="20"/>
              </w:rPr>
            </w:pPr>
            <w:r>
              <w:rPr>
                <w:noProof/>
                <w:color w:val="000000"/>
                <w:szCs w:val="20"/>
                <w:highlight w:val="black"/>
              </w:rPr>
              <w:t>''''''''''''''</w:t>
            </w:r>
            <w:r w:rsidR="00F77DA3">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
              <w:keepNext/>
              <w:keepLines/>
              <w:jc w:val="center"/>
              <w:rPr>
                <w:szCs w:val="20"/>
              </w:rPr>
            </w:pPr>
            <w:r>
              <w:rPr>
                <w:noProof/>
                <w:color w:val="000000"/>
                <w:szCs w:val="20"/>
                <w:highlight w:val="black"/>
              </w:rPr>
              <w:t>''''''''''''</w:t>
            </w:r>
            <w:r w:rsidR="00F77DA3">
              <w:rPr>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hideMark/>
          </w:tcPr>
          <w:p w:rsidR="00F0207A" w:rsidRPr="00785E78" w:rsidRDefault="00785E78" w:rsidP="0047221E">
            <w:pPr>
              <w:pStyle w:val="Tabletext"/>
              <w:keepNext/>
              <w:keepLines/>
              <w:jc w:val="center"/>
              <w:rPr>
                <w:szCs w:val="20"/>
              </w:rPr>
            </w:pPr>
            <w:r>
              <w:rPr>
                <w:noProof/>
                <w:color w:val="000000"/>
                <w:szCs w:val="20"/>
                <w:highlight w:val="black"/>
              </w:rPr>
              <w:t>'''''''''''''</w:t>
            </w:r>
            <w:r w:rsidR="00F77DA3">
              <w:rPr>
                <w:szCs w:val="20"/>
                <w:vertAlign w:val="superscript"/>
              </w:rPr>
              <w:t>2</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Net cost PBS/RPBS</w:t>
            </w:r>
          </w:p>
        </w:tc>
        <w:tc>
          <w:tcPr>
            <w:tcW w:w="1090"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highlight w:val="yellow"/>
              </w:rPr>
            </w:pPr>
            <w:r w:rsidRPr="007F33F1">
              <w:rPr>
                <w:szCs w:val="20"/>
              </w:rPr>
              <w:t>$</w:t>
            </w:r>
            <w:r w:rsidR="00785E78">
              <w:rPr>
                <w:noProof/>
                <w:color w:val="000000"/>
                <w:szCs w:val="20"/>
                <w:highlight w:val="black"/>
              </w:rPr>
              <w:t>'''''''''''''''''''''''''</w:t>
            </w:r>
            <w:r w:rsidR="00F77DA3">
              <w:rPr>
                <w:szCs w:val="20"/>
                <w:vertAlign w:val="superscript"/>
              </w:rPr>
              <w:t>3</w:t>
            </w:r>
          </w:p>
        </w:tc>
        <w:tc>
          <w:tcPr>
            <w:tcW w:w="1091"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highlight w:val="yellow"/>
              </w:rPr>
            </w:pPr>
            <w:r w:rsidRPr="007F33F1">
              <w:rPr>
                <w:szCs w:val="20"/>
              </w:rPr>
              <w:t>$</w:t>
            </w:r>
            <w:r w:rsidR="00785E78">
              <w:rPr>
                <w:noProof/>
                <w:color w:val="000000"/>
                <w:szCs w:val="20"/>
                <w:highlight w:val="black"/>
              </w:rPr>
              <w:t>'''''''''''''''''''''''</w:t>
            </w:r>
            <w:r w:rsidR="00F77DA3">
              <w:rPr>
                <w:szCs w:val="20"/>
                <w:vertAlign w:val="superscript"/>
              </w:rPr>
              <w:t>3</w:t>
            </w:r>
          </w:p>
        </w:tc>
        <w:tc>
          <w:tcPr>
            <w:tcW w:w="1092"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highlight w:val="yellow"/>
              </w:rPr>
            </w:pPr>
            <w:r w:rsidRPr="007F33F1">
              <w:rPr>
                <w:szCs w:val="20"/>
              </w:rPr>
              <w:t>$</w:t>
            </w:r>
            <w:r w:rsidR="00785E78">
              <w:rPr>
                <w:noProof/>
                <w:color w:val="000000"/>
                <w:szCs w:val="20"/>
                <w:highlight w:val="black"/>
              </w:rPr>
              <w:t>'''''''''''''''''''''''</w:t>
            </w:r>
            <w:r w:rsidR="00F77DA3">
              <w:rPr>
                <w:szCs w:val="20"/>
                <w:vertAlign w:val="superscript"/>
              </w:rPr>
              <w:t>3</w:t>
            </w:r>
          </w:p>
        </w:tc>
        <w:tc>
          <w:tcPr>
            <w:tcW w:w="1265"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highlight w:val="yellow"/>
              </w:rPr>
            </w:pPr>
            <w:r w:rsidRPr="007F33F1">
              <w:rPr>
                <w:szCs w:val="20"/>
              </w:rPr>
              <w:t>$</w:t>
            </w:r>
            <w:r w:rsidR="00785E78">
              <w:rPr>
                <w:noProof/>
                <w:color w:val="000000"/>
                <w:szCs w:val="20"/>
                <w:highlight w:val="black"/>
              </w:rPr>
              <w:t>'''''''''''''''''''''''</w:t>
            </w:r>
            <w:r w:rsidR="00F77DA3">
              <w:rPr>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highlight w:val="yellow"/>
              </w:rPr>
            </w:pPr>
            <w:r w:rsidRPr="007F33F1">
              <w:rPr>
                <w:szCs w:val="20"/>
              </w:rPr>
              <w:t>$</w:t>
            </w:r>
            <w:r w:rsidR="00785E78">
              <w:rPr>
                <w:noProof/>
                <w:color w:val="000000"/>
                <w:szCs w:val="20"/>
                <w:highlight w:val="black"/>
              </w:rPr>
              <w:t>'''''''''''''''''''''''</w:t>
            </w:r>
            <w:r w:rsidR="00F77DA3">
              <w:rPr>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hideMark/>
          </w:tcPr>
          <w:p w:rsidR="00F0207A" w:rsidRPr="007F6291" w:rsidRDefault="00F0207A" w:rsidP="0047221E">
            <w:pPr>
              <w:pStyle w:val="Tabletext"/>
              <w:keepNext/>
              <w:keepLines/>
              <w:jc w:val="center"/>
              <w:rPr>
                <w:rFonts w:eastAsiaTheme="majorEastAsia" w:cstheme="majorBidi"/>
                <w:bCs/>
                <w:iCs/>
                <w:snapToGrid/>
                <w:szCs w:val="20"/>
              </w:rPr>
            </w:pPr>
            <w:r w:rsidRPr="007F6291">
              <w:rPr>
                <w:rFonts w:eastAsiaTheme="majorEastAsia" w:cstheme="majorBidi"/>
                <w:bCs/>
                <w:iCs/>
                <w:snapToGrid/>
                <w:szCs w:val="20"/>
              </w:rPr>
              <w:t>$</w:t>
            </w:r>
            <w:r w:rsidR="00785E78">
              <w:rPr>
                <w:rFonts w:eastAsiaTheme="majorEastAsia" w:cstheme="majorBidi"/>
                <w:bCs/>
                <w:iCs/>
                <w:noProof/>
                <w:snapToGrid/>
                <w:color w:val="000000"/>
                <w:szCs w:val="20"/>
                <w:highlight w:val="black"/>
              </w:rPr>
              <w:t>''''''''''''''''''''''</w:t>
            </w:r>
            <w:r w:rsidR="00F77DA3">
              <w:rPr>
                <w:szCs w:val="20"/>
                <w:vertAlign w:val="superscript"/>
              </w:rPr>
              <w:t>3</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szCs w:val="20"/>
              </w:rPr>
            </w:pPr>
            <w:r w:rsidRPr="007F33F1">
              <w:rPr>
                <w:szCs w:val="20"/>
              </w:rPr>
              <w:t>Net cost to MBS</w:t>
            </w:r>
            <w:r w:rsidR="00ED4272" w:rsidRPr="007F33F1">
              <w:rPr>
                <w:szCs w:val="20"/>
              </w:rPr>
              <w:t xml:space="preserve"> (item 119)</w:t>
            </w:r>
          </w:p>
        </w:tc>
        <w:tc>
          <w:tcPr>
            <w:tcW w:w="1090"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rPr>
            </w:pPr>
            <w:r w:rsidRPr="007F33F1">
              <w:rPr>
                <w:szCs w:val="20"/>
              </w:rPr>
              <w:t>$</w:t>
            </w:r>
            <w:r w:rsidR="00785E78">
              <w:rPr>
                <w:noProof/>
                <w:color w:val="000000"/>
                <w:szCs w:val="20"/>
                <w:highlight w:val="black"/>
              </w:rPr>
              <w:t>''''''''</w:t>
            </w:r>
            <w:r w:rsidR="00F77DA3">
              <w:rPr>
                <w:szCs w:val="20"/>
                <w:vertAlign w:val="superscript"/>
              </w:rPr>
              <w:t>3</w:t>
            </w:r>
          </w:p>
        </w:tc>
        <w:tc>
          <w:tcPr>
            <w:tcW w:w="1091"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rPr>
            </w:pPr>
            <w:r w:rsidRPr="007F33F1">
              <w:rPr>
                <w:szCs w:val="20"/>
              </w:rPr>
              <w:t>$</w:t>
            </w:r>
            <w:r w:rsidR="00785E78">
              <w:rPr>
                <w:noProof/>
                <w:color w:val="000000"/>
                <w:szCs w:val="20"/>
                <w:highlight w:val="black"/>
              </w:rPr>
              <w:t>'''''''''</w:t>
            </w:r>
            <w:r w:rsidR="00F77DA3">
              <w:rPr>
                <w:szCs w:val="20"/>
                <w:vertAlign w:val="superscript"/>
              </w:rPr>
              <w:t>3</w:t>
            </w:r>
          </w:p>
        </w:tc>
        <w:tc>
          <w:tcPr>
            <w:tcW w:w="1092"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rPr>
            </w:pPr>
            <w:r w:rsidRPr="007F33F1">
              <w:rPr>
                <w:szCs w:val="20"/>
              </w:rPr>
              <w:t>$</w:t>
            </w:r>
            <w:r w:rsidR="00785E78">
              <w:rPr>
                <w:noProof/>
                <w:color w:val="000000"/>
                <w:szCs w:val="20"/>
                <w:highlight w:val="black"/>
              </w:rPr>
              <w:t>'''''''''</w:t>
            </w:r>
            <w:r w:rsidR="00F77DA3">
              <w:rPr>
                <w:szCs w:val="20"/>
                <w:vertAlign w:val="superscript"/>
              </w:rPr>
              <w:t>3</w:t>
            </w:r>
          </w:p>
        </w:tc>
        <w:tc>
          <w:tcPr>
            <w:tcW w:w="1265"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rPr>
            </w:pPr>
            <w:r w:rsidRPr="007F33F1">
              <w:rPr>
                <w:szCs w:val="20"/>
              </w:rPr>
              <w:t>$</w:t>
            </w:r>
            <w:r w:rsidR="00785E78">
              <w:rPr>
                <w:noProof/>
                <w:color w:val="000000"/>
                <w:szCs w:val="20"/>
                <w:highlight w:val="black"/>
              </w:rPr>
              <w:t>''''''''''</w:t>
            </w:r>
            <w:r w:rsidR="00F77DA3">
              <w:rPr>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rPr>
            </w:pPr>
            <w:r w:rsidRPr="007F33F1">
              <w:rPr>
                <w:szCs w:val="20"/>
              </w:rPr>
              <w:t>$</w:t>
            </w:r>
            <w:r w:rsidR="00785E78">
              <w:rPr>
                <w:noProof/>
                <w:color w:val="000000"/>
                <w:szCs w:val="20"/>
                <w:highlight w:val="black"/>
              </w:rPr>
              <w:t>'''''''''</w:t>
            </w:r>
            <w:r w:rsidR="00F77DA3">
              <w:rPr>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szCs w:val="20"/>
              </w:rPr>
            </w:pPr>
            <w:r w:rsidRPr="007F33F1">
              <w:rPr>
                <w:szCs w:val="20"/>
              </w:rPr>
              <w:t>$</w:t>
            </w:r>
            <w:r w:rsidR="00785E78">
              <w:rPr>
                <w:noProof/>
                <w:color w:val="000000"/>
                <w:szCs w:val="20"/>
                <w:highlight w:val="black"/>
              </w:rPr>
              <w:t>'''''''''''''''</w:t>
            </w:r>
            <w:r w:rsidR="00F77DA3">
              <w:rPr>
                <w:szCs w:val="20"/>
                <w:vertAlign w:val="superscript"/>
              </w:rPr>
              <w:t>3</w:t>
            </w:r>
          </w:p>
        </w:tc>
      </w:tr>
      <w:tr w:rsidR="00F0207A" w:rsidRPr="007F33F1" w:rsidTr="00016B11">
        <w:trPr>
          <w:trHeight w:val="230"/>
        </w:trPr>
        <w:tc>
          <w:tcPr>
            <w:tcW w:w="2828" w:type="dxa"/>
            <w:tcBorders>
              <w:top w:val="single" w:sz="4" w:space="0" w:color="auto"/>
              <w:left w:val="single" w:sz="4" w:space="0" w:color="auto"/>
              <w:bottom w:val="single" w:sz="4" w:space="0" w:color="auto"/>
              <w:right w:val="single" w:sz="4" w:space="0" w:color="auto"/>
            </w:tcBorders>
            <w:vAlign w:val="center"/>
            <w:hideMark/>
          </w:tcPr>
          <w:p w:rsidR="00F0207A" w:rsidRPr="007F33F1" w:rsidRDefault="00F0207A" w:rsidP="0047221E">
            <w:pPr>
              <w:pStyle w:val="TableText0"/>
              <w:keepLines/>
              <w:rPr>
                <w:b/>
                <w:szCs w:val="20"/>
              </w:rPr>
            </w:pPr>
            <w:r w:rsidRPr="007F33F1">
              <w:rPr>
                <w:b/>
                <w:szCs w:val="20"/>
              </w:rPr>
              <w:t xml:space="preserve">Net </w:t>
            </w:r>
            <w:r w:rsidR="00AF1184" w:rsidRPr="007F33F1">
              <w:rPr>
                <w:b/>
                <w:szCs w:val="20"/>
              </w:rPr>
              <w:t xml:space="preserve">cost </w:t>
            </w:r>
            <w:r w:rsidRPr="007F33F1">
              <w:rPr>
                <w:b/>
                <w:szCs w:val="20"/>
              </w:rPr>
              <w:t xml:space="preserve">to </w:t>
            </w:r>
            <w:r w:rsidR="00AF1184" w:rsidRPr="007F33F1">
              <w:rPr>
                <w:b/>
                <w:szCs w:val="20"/>
              </w:rPr>
              <w:t>G</w:t>
            </w:r>
            <w:r w:rsidRPr="007F33F1">
              <w:rPr>
                <w:b/>
                <w:szCs w:val="20"/>
              </w:rPr>
              <w:t xml:space="preserve">overnment </w:t>
            </w:r>
          </w:p>
        </w:tc>
        <w:tc>
          <w:tcPr>
            <w:tcW w:w="1090"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b/>
                <w:szCs w:val="20"/>
              </w:rPr>
            </w:pPr>
            <w:r w:rsidRPr="007F33F1">
              <w:rPr>
                <w:b/>
                <w:szCs w:val="20"/>
              </w:rPr>
              <w:t>$</w:t>
            </w:r>
            <w:r w:rsidR="00785E78">
              <w:rPr>
                <w:rFonts w:eastAsiaTheme="majorEastAsia" w:cstheme="majorBidi"/>
                <w:b/>
                <w:bCs/>
                <w:noProof/>
                <w:snapToGrid/>
                <w:color w:val="000000"/>
                <w:szCs w:val="20"/>
                <w:highlight w:val="black"/>
              </w:rPr>
              <w:t>'''''''''''''''''''</w:t>
            </w:r>
            <w:r w:rsidR="00F77DA3">
              <w:rPr>
                <w:szCs w:val="20"/>
                <w:vertAlign w:val="superscript"/>
              </w:rPr>
              <w:t>3</w:t>
            </w:r>
          </w:p>
        </w:tc>
        <w:tc>
          <w:tcPr>
            <w:tcW w:w="1091"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b/>
                <w:szCs w:val="20"/>
              </w:rPr>
            </w:pPr>
            <w:r w:rsidRPr="007F33F1">
              <w:rPr>
                <w:b/>
                <w:szCs w:val="20"/>
              </w:rPr>
              <w:t>$</w:t>
            </w:r>
            <w:r w:rsidR="00785E78">
              <w:rPr>
                <w:rFonts w:eastAsiaTheme="majorEastAsia" w:cstheme="majorBidi"/>
                <w:b/>
                <w:bCs/>
                <w:noProof/>
                <w:snapToGrid/>
                <w:color w:val="000000"/>
                <w:szCs w:val="20"/>
                <w:highlight w:val="black"/>
              </w:rPr>
              <w:t>'''''''''''''''''''</w:t>
            </w:r>
            <w:r w:rsidR="00F77DA3">
              <w:rPr>
                <w:szCs w:val="20"/>
                <w:vertAlign w:val="superscript"/>
              </w:rPr>
              <w:t>3</w:t>
            </w:r>
          </w:p>
        </w:tc>
        <w:tc>
          <w:tcPr>
            <w:tcW w:w="1092"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b/>
                <w:szCs w:val="20"/>
              </w:rPr>
            </w:pPr>
            <w:r w:rsidRPr="007F33F1">
              <w:rPr>
                <w:b/>
                <w:szCs w:val="20"/>
              </w:rPr>
              <w:t>$</w:t>
            </w:r>
            <w:r w:rsidR="00785E78">
              <w:rPr>
                <w:rFonts w:eastAsiaTheme="majorEastAsia" w:cstheme="majorBidi"/>
                <w:b/>
                <w:bCs/>
                <w:noProof/>
                <w:snapToGrid/>
                <w:color w:val="000000"/>
                <w:szCs w:val="20"/>
                <w:highlight w:val="black"/>
              </w:rPr>
              <w:t>'''''''''''''''''''''</w:t>
            </w:r>
            <w:r w:rsidR="00F77DA3">
              <w:rPr>
                <w:szCs w:val="20"/>
                <w:vertAlign w:val="superscript"/>
              </w:rPr>
              <w:t>3</w:t>
            </w:r>
          </w:p>
        </w:tc>
        <w:tc>
          <w:tcPr>
            <w:tcW w:w="1265"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b/>
                <w:szCs w:val="20"/>
              </w:rPr>
            </w:pPr>
            <w:r w:rsidRPr="007F33F1">
              <w:rPr>
                <w:b/>
                <w:szCs w:val="20"/>
              </w:rPr>
              <w:t>$</w:t>
            </w:r>
            <w:r w:rsidR="00785E78">
              <w:rPr>
                <w:rFonts w:eastAsiaTheme="majorEastAsia" w:cstheme="majorBidi"/>
                <w:b/>
                <w:bCs/>
                <w:noProof/>
                <w:snapToGrid/>
                <w:color w:val="000000"/>
                <w:szCs w:val="20"/>
                <w:highlight w:val="black"/>
              </w:rPr>
              <w:t>'''''''''''''''''</w:t>
            </w:r>
            <w:r w:rsidR="00F77DA3">
              <w:rPr>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b/>
                <w:szCs w:val="20"/>
              </w:rPr>
            </w:pPr>
            <w:r w:rsidRPr="007F33F1">
              <w:rPr>
                <w:b/>
                <w:szCs w:val="20"/>
              </w:rPr>
              <w:t>$</w:t>
            </w:r>
            <w:r w:rsidR="00785E78">
              <w:rPr>
                <w:rFonts w:eastAsiaTheme="majorEastAsia" w:cstheme="majorBidi"/>
                <w:b/>
                <w:bCs/>
                <w:noProof/>
                <w:snapToGrid/>
                <w:color w:val="000000"/>
                <w:szCs w:val="20"/>
                <w:highlight w:val="black"/>
              </w:rPr>
              <w:t>'''''''''''''''''''</w:t>
            </w:r>
            <w:r w:rsidR="00F77DA3">
              <w:rPr>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hideMark/>
          </w:tcPr>
          <w:p w:rsidR="00F0207A" w:rsidRPr="007F33F1" w:rsidRDefault="00F0207A" w:rsidP="0047221E">
            <w:pPr>
              <w:pStyle w:val="Tabletext"/>
              <w:keepNext/>
              <w:keepLines/>
              <w:jc w:val="center"/>
              <w:rPr>
                <w:b/>
                <w:szCs w:val="20"/>
              </w:rPr>
            </w:pPr>
            <w:r w:rsidRPr="007F33F1">
              <w:rPr>
                <w:b/>
                <w:szCs w:val="20"/>
              </w:rPr>
              <w:t>$</w:t>
            </w:r>
            <w:r w:rsidR="00785E78">
              <w:rPr>
                <w:rFonts w:eastAsiaTheme="majorEastAsia" w:cstheme="majorBidi"/>
                <w:b/>
                <w:bCs/>
                <w:noProof/>
                <w:snapToGrid/>
                <w:color w:val="000000"/>
                <w:szCs w:val="20"/>
                <w:highlight w:val="black"/>
              </w:rPr>
              <w:t>'''''''''''''''''''</w:t>
            </w:r>
            <w:r w:rsidR="00F77DA3">
              <w:rPr>
                <w:szCs w:val="20"/>
                <w:vertAlign w:val="superscript"/>
              </w:rPr>
              <w:t>3</w:t>
            </w:r>
          </w:p>
        </w:tc>
      </w:tr>
    </w:tbl>
    <w:p w:rsidR="00F0207A" w:rsidRPr="007F33F1" w:rsidRDefault="00F0207A" w:rsidP="0047221E">
      <w:pPr>
        <w:pStyle w:val="TableFigureFooter"/>
        <w:keepNext/>
        <w:keepLines/>
      </w:pPr>
      <w:r w:rsidRPr="007F33F1">
        <w:rPr>
          <w:szCs w:val="18"/>
        </w:rPr>
        <w:t>Source: Tables 4.4, 4.5, 4.6, 4.9, 4.13, 4.16, 4.17, 4.19, 4.20 of submission and complied during the evaluation</w:t>
      </w:r>
    </w:p>
    <w:p w:rsidR="008A248A" w:rsidRDefault="00F0207A" w:rsidP="0047221E">
      <w:pPr>
        <w:pStyle w:val="TableFigureFooter"/>
        <w:keepNext/>
        <w:keepLines/>
      </w:pPr>
      <w:r w:rsidRPr="007F33F1">
        <w:t xml:space="preserve">1L=first-line treatment, 2L= second-line treatment, BENDA=bendamustine, </w:t>
      </w:r>
      <w:r w:rsidR="00450F52" w:rsidRPr="007F33F1">
        <w:t xml:space="preserve">copay=copayments, </w:t>
      </w:r>
      <w:r w:rsidRPr="007F33F1">
        <w:t>GF=grandfathered, R/R=relapse/refractory, TN=treatment naïve, ZANU=zanubrutinib</w:t>
      </w:r>
    </w:p>
    <w:p w:rsidR="007F6291" w:rsidRDefault="007F6291" w:rsidP="007F6291">
      <w:pPr>
        <w:pStyle w:val="TableFigureFooter"/>
        <w:spacing w:after="0"/>
        <w:contextualSpacing w:val="0"/>
        <w:rPr>
          <w:i/>
        </w:rPr>
      </w:pPr>
      <w:r w:rsidRPr="009868C4">
        <w:rPr>
          <w:i/>
        </w:rPr>
        <w:t>The redacted values correspond to the following ranges</w:t>
      </w:r>
      <w:r>
        <w:rPr>
          <w:i/>
        </w:rPr>
        <w:t xml:space="preserve">: </w:t>
      </w:r>
    </w:p>
    <w:p w:rsidR="007F6291" w:rsidRPr="00870C5D" w:rsidRDefault="007F6291" w:rsidP="007F6291">
      <w:pPr>
        <w:pStyle w:val="TableFigureFooter"/>
        <w:spacing w:after="0"/>
        <w:contextualSpacing w:val="0"/>
      </w:pPr>
      <w:r>
        <w:rPr>
          <w:i/>
          <w:vertAlign w:val="superscript"/>
        </w:rPr>
        <w:t>1</w:t>
      </w:r>
      <w:r>
        <w:rPr>
          <w:i/>
        </w:rPr>
        <w:t xml:space="preserve"> </w:t>
      </w:r>
      <w:r w:rsidRPr="007F6291">
        <w:rPr>
          <w:i/>
        </w:rPr>
        <w:t>&lt; 500</w:t>
      </w:r>
    </w:p>
    <w:p w:rsidR="007F6291" w:rsidRPr="00870C5D" w:rsidRDefault="007F6291" w:rsidP="007F6291">
      <w:pPr>
        <w:pStyle w:val="TableFigureFooter"/>
        <w:spacing w:after="0"/>
        <w:contextualSpacing w:val="0"/>
      </w:pPr>
      <w:r>
        <w:rPr>
          <w:i/>
          <w:vertAlign w:val="superscript"/>
        </w:rPr>
        <w:t>2</w:t>
      </w:r>
      <w:r>
        <w:rPr>
          <w:i/>
        </w:rPr>
        <w:t xml:space="preserve"> </w:t>
      </w:r>
      <w:r w:rsidRPr="007F6291">
        <w:rPr>
          <w:i/>
        </w:rPr>
        <w:t>500 to &lt; 5,000</w:t>
      </w:r>
    </w:p>
    <w:p w:rsidR="007F6291" w:rsidRPr="007F33F1" w:rsidRDefault="007F6291" w:rsidP="007F6291">
      <w:pPr>
        <w:pStyle w:val="TableFigureFooter"/>
        <w:spacing w:after="0"/>
        <w:contextualSpacing w:val="0"/>
      </w:pPr>
      <w:r>
        <w:rPr>
          <w:i/>
          <w:vertAlign w:val="superscript"/>
        </w:rPr>
        <w:t>3</w:t>
      </w:r>
      <w:r>
        <w:rPr>
          <w:i/>
        </w:rPr>
        <w:t xml:space="preserve"> </w:t>
      </w:r>
      <w:r w:rsidRPr="007F6291">
        <w:rPr>
          <w:i/>
        </w:rPr>
        <w:t>$0 to &lt; $10 million</w:t>
      </w:r>
    </w:p>
    <w:p w:rsidR="003D3BD7" w:rsidRPr="007F33F1" w:rsidRDefault="008A248A" w:rsidP="0047221E">
      <w:pPr>
        <w:rPr>
          <w:iCs/>
        </w:rPr>
      </w:pPr>
      <w:r w:rsidRPr="007F33F1">
        <w:rPr>
          <w:i/>
        </w:rPr>
        <w:t>For more detail on the PBAC’s view, see section 7 PBAC outcome.</w:t>
      </w:r>
    </w:p>
    <w:p w:rsidR="000D0535" w:rsidRPr="007F33F1" w:rsidRDefault="000D0535" w:rsidP="0047221E">
      <w:pPr>
        <w:jc w:val="left"/>
      </w:pPr>
    </w:p>
    <w:p w:rsidR="00E9785A" w:rsidRPr="007F33F1" w:rsidRDefault="00E9785A" w:rsidP="0047221E">
      <w:pPr>
        <w:pStyle w:val="4-SubsectionHeading"/>
      </w:pPr>
      <w:r w:rsidRPr="007F33F1">
        <w:t>Financial Management – Risk Sharing Arrangements</w:t>
      </w:r>
    </w:p>
    <w:p w:rsidR="00E9785A" w:rsidRPr="007F33F1" w:rsidRDefault="00E9785A" w:rsidP="0047221E">
      <w:pPr>
        <w:pStyle w:val="3-BodyText"/>
        <w:snapToGrid w:val="0"/>
      </w:pPr>
      <w:r w:rsidRPr="007F33F1">
        <w:t xml:space="preserve">The pre-PBAC response acknowledged the uncertainty around the financial estimates. The pre-PBAC response indicated that the sponsor </w:t>
      </w:r>
      <w:r w:rsidR="00531419" w:rsidRPr="007F33F1">
        <w:t xml:space="preserve">was willing to enter </w:t>
      </w:r>
      <w:r w:rsidRPr="007F33F1">
        <w:t xml:space="preserve">a </w:t>
      </w:r>
      <w:r w:rsidR="00531419" w:rsidRPr="007F33F1">
        <w:t>Risk Sharing Arrangement</w:t>
      </w:r>
      <w:r w:rsidRPr="007F33F1">
        <w:t xml:space="preserve">. </w:t>
      </w:r>
    </w:p>
    <w:p w:rsidR="000D0535" w:rsidRPr="007F33F1" w:rsidRDefault="000D0535" w:rsidP="0047221E">
      <w:pPr>
        <w:pStyle w:val="2-SectionHeading"/>
      </w:pPr>
      <w:r w:rsidRPr="007F33F1">
        <w:t xml:space="preserve">PBAC Outcome </w:t>
      </w:r>
    </w:p>
    <w:p w:rsidR="00B22CC5" w:rsidRPr="007F33F1" w:rsidRDefault="00B22CC5" w:rsidP="0047221E">
      <w:pPr>
        <w:pStyle w:val="3-BodyText"/>
      </w:pPr>
      <w:r w:rsidRPr="007F33F1">
        <w:t xml:space="preserve">The PBAC did not recommend the listing of zanubrutinib for the treatment of adult patients with Waldenström </w:t>
      </w:r>
      <w:r w:rsidR="00F81594" w:rsidRPr="007F33F1">
        <w:t>macroglobulinaemia</w:t>
      </w:r>
      <w:r w:rsidR="00407C8C" w:rsidRPr="007F33F1">
        <w:t xml:space="preserve"> (WM)</w:t>
      </w:r>
      <w:r w:rsidRPr="007F33F1">
        <w:t xml:space="preserve">. The PBAC acknowledged the meaningful consumer support and engagement with this submission, including a consumer hearing with patient group representatives held prior to the PBAC meeting. The PBAC recognised that there are no treatments on the PBS specifically for </w:t>
      </w:r>
      <w:r w:rsidR="00407C8C" w:rsidRPr="007F33F1">
        <w:t xml:space="preserve">WM </w:t>
      </w:r>
      <w:r w:rsidRPr="007F33F1">
        <w:t>and considered that zanubrutinib offered</w:t>
      </w:r>
      <w:r w:rsidR="000B6BEB" w:rsidRPr="007F33F1">
        <w:t>, for some patients,</w:t>
      </w:r>
      <w:r w:rsidRPr="007F33F1">
        <w:t xml:space="preserve"> high added therapeutic value</w:t>
      </w:r>
      <w:r w:rsidR="00A769EB" w:rsidRPr="007F33F1">
        <w:t xml:space="preserve"> </w:t>
      </w:r>
      <w:r w:rsidRPr="007F33F1">
        <w:t>in terms of</w:t>
      </w:r>
      <w:r w:rsidR="00A769EB" w:rsidRPr="007F33F1">
        <w:t xml:space="preserve"> </w:t>
      </w:r>
      <w:r w:rsidRPr="007F33F1">
        <w:t>tolerability</w:t>
      </w:r>
      <w:r w:rsidR="00B71AAC" w:rsidRPr="007F33F1">
        <w:t>, response outcomes</w:t>
      </w:r>
      <w:r w:rsidRPr="007F33F1">
        <w:t xml:space="preserve"> and </w:t>
      </w:r>
      <w:r w:rsidR="00A769EB" w:rsidRPr="007F33F1">
        <w:t>quality of life</w:t>
      </w:r>
      <w:r w:rsidRPr="007F33F1">
        <w:t xml:space="preserve">. However, the PBAC </w:t>
      </w:r>
      <w:r w:rsidR="000D2E48">
        <w:t>did not have a reliable basis to determine a cost-effective price for zanubrutinib as the economic model</w:t>
      </w:r>
      <w:r w:rsidR="008E24DE" w:rsidRPr="007F33F1">
        <w:t xml:space="preserve"> </w:t>
      </w:r>
      <w:r w:rsidR="00206C18" w:rsidRPr="007F33F1">
        <w:t>did not reflect the expected treatment outcomes of improved quality of life and reduce</w:t>
      </w:r>
      <w:r w:rsidR="005F6D5F" w:rsidRPr="007F33F1">
        <w:t>d</w:t>
      </w:r>
      <w:r w:rsidR="00206C18" w:rsidRPr="007F33F1">
        <w:t xml:space="preserve"> need for subsequent therapies,</w:t>
      </w:r>
      <w:r w:rsidR="00190B35" w:rsidRPr="007F33F1">
        <w:t xml:space="preserve"> including chemotherapy,</w:t>
      </w:r>
      <w:r w:rsidR="00206C18" w:rsidRPr="007F33F1">
        <w:t xml:space="preserve"> but instead </w:t>
      </w:r>
      <w:r w:rsidRPr="007F33F1">
        <w:t xml:space="preserve">was based on </w:t>
      </w:r>
      <w:r w:rsidR="00FD70F5">
        <w:t xml:space="preserve">projected </w:t>
      </w:r>
      <w:r w:rsidR="00206C18" w:rsidRPr="007F33F1">
        <w:t>large gains in overall survival</w:t>
      </w:r>
      <w:r w:rsidR="005F6D5F" w:rsidRPr="007F33F1">
        <w:t>,</w:t>
      </w:r>
      <w:r w:rsidR="00206C18" w:rsidRPr="007F33F1">
        <w:t xml:space="preserve"> </w:t>
      </w:r>
      <w:r w:rsidRPr="007F33F1">
        <w:t>which were not supported by the clinical data</w:t>
      </w:r>
      <w:r w:rsidR="00206C18" w:rsidRPr="007F33F1">
        <w:t xml:space="preserve"> and were considered clinically implausible</w:t>
      </w:r>
      <w:r w:rsidRPr="007F33F1">
        <w:t xml:space="preserve">. </w:t>
      </w:r>
      <w:r w:rsidR="00206C18" w:rsidRPr="007F33F1">
        <w:t>The PBAC considered the est</w:t>
      </w:r>
      <w:r w:rsidR="00190B35" w:rsidRPr="007F33F1">
        <w:t>imated use and financial impact to be underestimated.</w:t>
      </w:r>
    </w:p>
    <w:p w:rsidR="00C22A71" w:rsidRPr="007F33F1" w:rsidRDefault="00E354BD" w:rsidP="0047221E">
      <w:pPr>
        <w:pStyle w:val="3-BodyText"/>
      </w:pPr>
      <w:r w:rsidRPr="007F33F1">
        <w:t xml:space="preserve">The PBAC </w:t>
      </w:r>
      <w:r w:rsidR="00F10EB2" w:rsidRPr="007F33F1">
        <w:t>noted</w:t>
      </w:r>
      <w:r w:rsidR="00A61296" w:rsidRPr="007F33F1">
        <w:t xml:space="preserve"> the </w:t>
      </w:r>
      <w:r w:rsidR="008C3D5F" w:rsidRPr="007F33F1">
        <w:t xml:space="preserve">consumer </w:t>
      </w:r>
      <w:r w:rsidR="00B441FB" w:rsidRPr="007F33F1">
        <w:t xml:space="preserve">comments </w:t>
      </w:r>
      <w:r w:rsidR="00F10EB2" w:rsidRPr="007F33F1">
        <w:t>descri</w:t>
      </w:r>
      <w:r w:rsidR="00A61296" w:rsidRPr="007F33F1">
        <w:t>bing</w:t>
      </w:r>
      <w:r w:rsidR="00D012F9" w:rsidRPr="007F33F1">
        <w:t xml:space="preserve"> an improvement in </w:t>
      </w:r>
      <w:r w:rsidR="00F10EB2" w:rsidRPr="007F33F1">
        <w:t>quality of life</w:t>
      </w:r>
      <w:r w:rsidR="00D012F9" w:rsidRPr="007F33F1">
        <w:t xml:space="preserve"> following treatment with zanubrutinib</w:t>
      </w:r>
      <w:r w:rsidR="000D232B" w:rsidRPr="007F33F1">
        <w:t>, its tolerable safety profile,</w:t>
      </w:r>
      <w:r w:rsidR="00F10EB2" w:rsidRPr="007F33F1">
        <w:t xml:space="preserve"> and the toxicity associated with currently available chemo-immunotherapies</w:t>
      </w:r>
      <w:r w:rsidR="00D012F9" w:rsidRPr="007F33F1">
        <w:t xml:space="preserve">. The PBAC acknowledged there was a high clinical need for effective treatments for </w:t>
      </w:r>
      <w:r w:rsidR="00153B8E" w:rsidRPr="007F33F1">
        <w:t>the proposed patient population</w:t>
      </w:r>
      <w:r w:rsidR="00D012F9" w:rsidRPr="007F33F1">
        <w:t xml:space="preserve">, </w:t>
      </w:r>
      <w:r w:rsidR="00A61296" w:rsidRPr="007F33F1">
        <w:t xml:space="preserve">particularly for patients who are unable to tolerate </w:t>
      </w:r>
      <w:r w:rsidR="00B56A8A" w:rsidRPr="007F33F1">
        <w:t xml:space="preserve">chemo-immunotherapy. </w:t>
      </w:r>
      <w:r w:rsidR="00647B55" w:rsidRPr="007F33F1">
        <w:t xml:space="preserve">The PBAC considered that the consumer hearing with </w:t>
      </w:r>
      <w:r w:rsidR="00286F3E" w:rsidRPr="007F33F1">
        <w:t>WMozzies</w:t>
      </w:r>
      <w:r w:rsidR="00647B55" w:rsidRPr="007F33F1">
        <w:t xml:space="preserve"> was particularly valuable in highlighting the value of quality of life between relapsing periods of disease.</w:t>
      </w:r>
    </w:p>
    <w:p w:rsidR="0047378B" w:rsidRPr="007F33F1" w:rsidRDefault="00960B47" w:rsidP="0047221E">
      <w:pPr>
        <w:pStyle w:val="3-BodyText"/>
      </w:pPr>
      <w:r w:rsidRPr="007F33F1">
        <w:t xml:space="preserve">The PBAC considered </w:t>
      </w:r>
      <w:r w:rsidR="00647B55" w:rsidRPr="007F33F1">
        <w:t xml:space="preserve">that </w:t>
      </w:r>
      <w:r w:rsidRPr="007F33F1">
        <w:t>the restriction should</w:t>
      </w:r>
      <w:r w:rsidR="00422A15" w:rsidRPr="007F33F1">
        <w:t xml:space="preserve"> clearly define the treatment naïve population unsuitable for chemo-immunotherapy</w:t>
      </w:r>
      <w:r w:rsidR="00647B55" w:rsidRPr="007F33F1">
        <w:t>, by incorporating a CIRS score</w:t>
      </w:r>
      <w:r w:rsidR="00D71BAC" w:rsidRPr="007F33F1">
        <w:t xml:space="preserve">. </w:t>
      </w:r>
      <w:r w:rsidR="00647B55" w:rsidRPr="007F33F1">
        <w:t>P</w:t>
      </w:r>
      <w:r w:rsidR="00A9131B" w:rsidRPr="007F33F1">
        <w:t xml:space="preserve">atients with a CIRS score of </w:t>
      </w:r>
      <w:r w:rsidR="00F81594">
        <w:t>six</w:t>
      </w:r>
      <w:r w:rsidR="00A9131B" w:rsidRPr="007F33F1">
        <w:t xml:space="preserve"> or greater could be considered unsuitable for chemo-immunotherapy, similar to the current ibrutinib </w:t>
      </w:r>
      <w:r w:rsidR="00647B55" w:rsidRPr="007F33F1">
        <w:t xml:space="preserve">PBS </w:t>
      </w:r>
      <w:r w:rsidR="00A9131B" w:rsidRPr="007F33F1">
        <w:t>listing for CLL/SLL.</w:t>
      </w:r>
      <w:r w:rsidR="00455CC7" w:rsidRPr="007F33F1">
        <w:t xml:space="preserve"> </w:t>
      </w:r>
      <w:r w:rsidR="00E17961">
        <w:t>T</w:t>
      </w:r>
      <w:r w:rsidR="00E17961" w:rsidRPr="007F33F1">
        <w:t xml:space="preserve">he </w:t>
      </w:r>
      <w:r w:rsidR="0047378B" w:rsidRPr="007F33F1">
        <w:t xml:space="preserve">PBAC agreed with the ESC that use of zanubrutinib should be restricted to patients </w:t>
      </w:r>
      <w:r w:rsidR="00697C9F" w:rsidRPr="007F33F1">
        <w:t>un</w:t>
      </w:r>
      <w:r w:rsidR="0047378B" w:rsidRPr="007F33F1">
        <w:t xml:space="preserve">treated with a BTKi given the lack of evidence </w:t>
      </w:r>
      <w:r w:rsidR="00455CC7" w:rsidRPr="007F33F1">
        <w:t>to support use</w:t>
      </w:r>
      <w:r w:rsidR="00697C9F" w:rsidRPr="007F33F1">
        <w:t xml:space="preserve"> in BTKi-treated patients</w:t>
      </w:r>
      <w:r w:rsidR="0047378B" w:rsidRPr="007F33F1">
        <w:t xml:space="preserve">. However, the PBAC considered it would be appropriate to allow treatment in patients who are intolerant to another BTKi. </w:t>
      </w:r>
    </w:p>
    <w:p w:rsidR="00190B35" w:rsidRPr="007F33F1" w:rsidRDefault="00F95DF8" w:rsidP="0047221E">
      <w:pPr>
        <w:pStyle w:val="3-BodyText"/>
      </w:pPr>
      <w:r w:rsidRPr="007F33F1">
        <w:t xml:space="preserve">The PBAC </w:t>
      </w:r>
      <w:r w:rsidR="005067B4" w:rsidRPr="007F33F1">
        <w:t>accepted the nominated comparator of</w:t>
      </w:r>
      <w:r w:rsidRPr="007F33F1">
        <w:t xml:space="preserve"> rituximab monotherapy</w:t>
      </w:r>
      <w:r w:rsidR="00EB2743" w:rsidRPr="007F33F1">
        <w:t xml:space="preserve"> for the treatment naïve population</w:t>
      </w:r>
      <w:r w:rsidR="00190B35" w:rsidRPr="007F33F1">
        <w:t>, noting that the listing is for patient</w:t>
      </w:r>
      <w:r w:rsidR="006600A0" w:rsidRPr="007F33F1">
        <w:t>s</w:t>
      </w:r>
      <w:r w:rsidR="00190B35" w:rsidRPr="007F33F1">
        <w:t xml:space="preserve"> unsuitable for chemo-immunotherapy, although also acknowledged that </w:t>
      </w:r>
      <w:r w:rsidR="006600A0" w:rsidRPr="007F33F1">
        <w:t xml:space="preserve">chemo-immunotherapy may be used in this patient population </w:t>
      </w:r>
      <w:r w:rsidR="00190B35" w:rsidRPr="007F33F1">
        <w:rPr>
          <w:iCs/>
        </w:rPr>
        <w:t>with dose reductions.</w:t>
      </w:r>
    </w:p>
    <w:p w:rsidR="00C14A5B" w:rsidRPr="007F33F1" w:rsidRDefault="00F5584B" w:rsidP="0047221E">
      <w:pPr>
        <w:pStyle w:val="3-BodyText"/>
      </w:pPr>
      <w:r w:rsidRPr="007F33F1">
        <w:t xml:space="preserve">The PBAC </w:t>
      </w:r>
      <w:r w:rsidR="0045785C" w:rsidRPr="007F33F1">
        <w:t xml:space="preserve">accepted bendamustine+rituximab as an appropriate comparator for the relapsed/refractory population. The PBAC </w:t>
      </w:r>
      <w:r w:rsidR="005C77DC" w:rsidRPr="007F33F1">
        <w:t xml:space="preserve">considered that </w:t>
      </w:r>
      <w:bookmarkStart w:id="106" w:name="_Hlk79060686"/>
      <w:r w:rsidR="005C77DC" w:rsidRPr="007F33F1">
        <w:t>dexamethasone+rituximab+cyclophosphamide</w:t>
      </w:r>
      <w:bookmarkEnd w:id="106"/>
      <w:r w:rsidR="00647B55" w:rsidRPr="007F33F1">
        <w:t xml:space="preserve"> (DRC)</w:t>
      </w:r>
      <w:r w:rsidR="005C77DC" w:rsidRPr="007F33F1">
        <w:t xml:space="preserve"> would also be an appropriate comparator noting it is recommended in Australian treatment guidelines</w:t>
      </w:r>
      <w:r w:rsidR="00992108" w:rsidRPr="007F33F1">
        <w:t xml:space="preserve"> and </w:t>
      </w:r>
      <w:r w:rsidR="006600A0" w:rsidRPr="007F33F1">
        <w:t>is considered to have</w:t>
      </w:r>
      <w:r w:rsidR="00992108" w:rsidRPr="007F33F1">
        <w:t xml:space="preserve"> similar </w:t>
      </w:r>
      <w:r w:rsidR="00286F3E" w:rsidRPr="007F33F1">
        <w:t>efficacy,</w:t>
      </w:r>
      <w:r w:rsidR="00992108" w:rsidRPr="007F33F1">
        <w:t xml:space="preserve"> </w:t>
      </w:r>
      <w:r w:rsidR="006600A0" w:rsidRPr="007F33F1">
        <w:t>but</w:t>
      </w:r>
      <w:r w:rsidR="00992108" w:rsidRPr="007F33F1">
        <w:t xml:space="preserve"> a lower cost compared to bendamustine+rituximab</w:t>
      </w:r>
      <w:r w:rsidR="005C77DC" w:rsidRPr="007F33F1">
        <w:t xml:space="preserve">. </w:t>
      </w:r>
      <w:r w:rsidR="006D27C4" w:rsidRPr="007F33F1">
        <w:t xml:space="preserve">The PBAC considered that a blended comparator of </w:t>
      </w:r>
      <w:r w:rsidR="000D232B" w:rsidRPr="007F33F1">
        <w:t xml:space="preserve">bendamustine+rituximab </w:t>
      </w:r>
      <w:r w:rsidR="001E0172" w:rsidRPr="007F33F1">
        <w:t xml:space="preserve">and </w:t>
      </w:r>
      <w:r w:rsidR="00647B55" w:rsidRPr="007F33F1">
        <w:t>DRC</w:t>
      </w:r>
      <w:r w:rsidR="001E0172" w:rsidRPr="007F33F1">
        <w:t xml:space="preserve"> would </w:t>
      </w:r>
      <w:r w:rsidR="00382B4C" w:rsidRPr="007F33F1">
        <w:t>likely be</w:t>
      </w:r>
      <w:r w:rsidR="0090179C" w:rsidRPr="007F33F1">
        <w:t xml:space="preserve"> </w:t>
      </w:r>
      <w:r w:rsidR="00382B4C" w:rsidRPr="007F33F1">
        <w:t>more</w:t>
      </w:r>
      <w:r w:rsidR="001E0172" w:rsidRPr="007F33F1">
        <w:t xml:space="preserve"> representative of current clinical prac</w:t>
      </w:r>
      <w:r w:rsidR="0090179C" w:rsidRPr="007F33F1">
        <w:t xml:space="preserve">tice however, </w:t>
      </w:r>
      <w:r w:rsidR="006600A0" w:rsidRPr="007F33F1">
        <w:t xml:space="preserve">accepted that bendamustine+rituximab would likely be </w:t>
      </w:r>
      <w:r w:rsidR="004714E1" w:rsidRPr="007F33F1">
        <w:t xml:space="preserve">a </w:t>
      </w:r>
      <w:r w:rsidR="006600A0" w:rsidRPr="007F33F1">
        <w:t>reasonable proxy for both treatments.</w:t>
      </w:r>
      <w:r w:rsidR="00382B4C" w:rsidRPr="007F33F1">
        <w:t xml:space="preserve"> </w:t>
      </w:r>
      <w:r w:rsidR="00CD791D" w:rsidRPr="007F33F1">
        <w:t xml:space="preserve">The PBAC agreed with the ESC that zanubrutinib would </w:t>
      </w:r>
      <w:r w:rsidR="004714E1" w:rsidRPr="007F33F1">
        <w:t xml:space="preserve">primarily </w:t>
      </w:r>
      <w:r w:rsidR="00C14A5B" w:rsidRPr="007F33F1">
        <w:t>displace rather than replace alternative therapies given the disease is characterised by repeated cycles of disease stability followed by relapse.</w:t>
      </w:r>
    </w:p>
    <w:p w:rsidR="00134063" w:rsidRPr="007F33F1" w:rsidRDefault="00B324A0" w:rsidP="0047221E">
      <w:pPr>
        <w:pStyle w:val="3-BodyText"/>
      </w:pPr>
      <w:r w:rsidRPr="007F33F1">
        <w:t xml:space="preserve">For the treatment naïve population, </w:t>
      </w:r>
      <w:r w:rsidR="00207751" w:rsidRPr="007F33F1">
        <w:t xml:space="preserve">the submission’s claim of superior </w:t>
      </w:r>
      <w:r w:rsidR="002F56B4" w:rsidRPr="007F33F1">
        <w:t>effectiveness</w:t>
      </w:r>
      <w:r w:rsidR="00207751" w:rsidRPr="007F33F1">
        <w:t xml:space="preserve"> compared to rituximab monotherapy was based on an indirect </w:t>
      </w:r>
      <w:r w:rsidR="00F50203" w:rsidRPr="007F33F1">
        <w:t xml:space="preserve">treatment </w:t>
      </w:r>
      <w:r w:rsidR="00207751" w:rsidRPr="007F33F1">
        <w:t>comparison</w:t>
      </w:r>
      <w:r w:rsidR="00F50203" w:rsidRPr="007F33F1">
        <w:t xml:space="preserve"> (ITC)</w:t>
      </w:r>
      <w:r w:rsidR="00207751" w:rsidRPr="007F33F1">
        <w:t xml:space="preserve"> </w:t>
      </w:r>
      <w:r w:rsidR="00777B15" w:rsidRPr="007F33F1">
        <w:t>of</w:t>
      </w:r>
      <w:r w:rsidR="005659AB" w:rsidRPr="007F33F1">
        <w:t xml:space="preserve"> response outcomes for</w:t>
      </w:r>
      <w:r w:rsidR="00207751" w:rsidRPr="007F33F1">
        <w:t xml:space="preserve"> zanubrutinib</w:t>
      </w:r>
      <w:r w:rsidR="005659AB" w:rsidRPr="007F33F1">
        <w:t xml:space="preserve"> from AS</w:t>
      </w:r>
      <w:r w:rsidR="003278D2" w:rsidRPr="007F33F1">
        <w:t>PE</w:t>
      </w:r>
      <w:r w:rsidR="005659AB" w:rsidRPr="007F33F1">
        <w:t>N</w:t>
      </w:r>
      <w:r w:rsidR="00207751" w:rsidRPr="007F33F1">
        <w:t xml:space="preserve"> with </w:t>
      </w:r>
      <w:r w:rsidR="005659AB" w:rsidRPr="007F33F1">
        <w:t xml:space="preserve">those for </w:t>
      </w:r>
      <w:r w:rsidR="00207751" w:rsidRPr="007F33F1">
        <w:t>rituximab monotherapy</w:t>
      </w:r>
      <w:r w:rsidR="005659AB" w:rsidRPr="007F33F1">
        <w:t xml:space="preserve"> from iNNOVATE</w:t>
      </w:r>
      <w:r w:rsidRPr="007F33F1">
        <w:t>,</w:t>
      </w:r>
      <w:r w:rsidR="00207751" w:rsidRPr="007F33F1">
        <w:t xml:space="preserve"> </w:t>
      </w:r>
      <w:r w:rsidR="005659AB" w:rsidRPr="007F33F1">
        <w:t>with ibrutinib/ibrutinib+rituximab arms as a ‘common’ reference.</w:t>
      </w:r>
      <w:r w:rsidR="0010477B" w:rsidRPr="007F33F1">
        <w:t xml:space="preserve"> The PBAC</w:t>
      </w:r>
      <w:r w:rsidR="003278D2" w:rsidRPr="007F33F1">
        <w:t xml:space="preserve"> </w:t>
      </w:r>
      <w:r w:rsidR="00AC4C1F" w:rsidRPr="007F33F1">
        <w:t xml:space="preserve">noted </w:t>
      </w:r>
      <w:r w:rsidR="003278D2" w:rsidRPr="007F33F1">
        <w:t>there were a number</w:t>
      </w:r>
      <w:r w:rsidR="00E272E3" w:rsidRPr="007F33F1">
        <w:t xml:space="preserve"> </w:t>
      </w:r>
      <w:r w:rsidR="003278D2" w:rsidRPr="007F33F1">
        <w:t xml:space="preserve">of important differences between trials </w:t>
      </w:r>
      <w:r w:rsidR="00E272E3" w:rsidRPr="007F33F1">
        <w:t xml:space="preserve">(see paragraph </w:t>
      </w:r>
      <w:r w:rsidR="00015997">
        <w:t>6.12</w:t>
      </w:r>
      <w:r w:rsidR="00E272E3" w:rsidRPr="007F33F1">
        <w:t>)</w:t>
      </w:r>
      <w:r w:rsidR="00777B15" w:rsidRPr="007F33F1">
        <w:t>,</w:t>
      </w:r>
      <w:r w:rsidR="00AC4C1F" w:rsidRPr="007F33F1">
        <w:t xml:space="preserve"> </w:t>
      </w:r>
      <w:r w:rsidR="00091A66" w:rsidRPr="007F33F1">
        <w:t>and agreed with the ESC that it was difficult to determine the overall impact these differences may have had on the ITC</w:t>
      </w:r>
      <w:r w:rsidR="00A261A4" w:rsidRPr="007F33F1">
        <w:t xml:space="preserve">. </w:t>
      </w:r>
      <w:r w:rsidR="00FB070E" w:rsidRPr="007F33F1">
        <w:t>The PBAC agreed with the ESC that the superiority claim was likely reasonable in terms of response outcomes, noting its advice that the magnitude of benefit was uncertain, and that response outcomes are unlikely to translate into survival outcomes. Nonetheless, the PBAC was certain of a response benefit, and given the substantial value of this outcome to patients</w:t>
      </w:r>
      <w:r w:rsidR="00AF17DD">
        <w:t xml:space="preserve"> in terms of improving quality of life</w:t>
      </w:r>
      <w:r w:rsidR="00FB070E" w:rsidRPr="007F33F1">
        <w:t xml:space="preserve"> and</w:t>
      </w:r>
      <w:r w:rsidR="00AF17DD">
        <w:t xml:space="preserve"> given</w:t>
      </w:r>
      <w:r w:rsidR="00FB070E" w:rsidRPr="007F33F1">
        <w:t xml:space="preserve"> lack of treatments available on the PBS, considered that zanubrutinib </w:t>
      </w:r>
      <w:r w:rsidR="00CE4629" w:rsidRPr="007F33F1">
        <w:t>provided</w:t>
      </w:r>
      <w:r w:rsidR="00FB070E" w:rsidRPr="007F33F1">
        <w:t xml:space="preserve"> a high added therapeutic value in the treatment of WM.</w:t>
      </w:r>
    </w:p>
    <w:p w:rsidR="00F5584B" w:rsidRPr="007F33F1" w:rsidRDefault="00F27710" w:rsidP="0047221E">
      <w:pPr>
        <w:pStyle w:val="3-BodyText"/>
      </w:pPr>
      <w:r w:rsidRPr="007F33F1">
        <w:t xml:space="preserve">For the relapsed/refractory population, </w:t>
      </w:r>
      <w:r w:rsidR="00B45B5C" w:rsidRPr="007F33F1">
        <w:t xml:space="preserve">the submission’s claim of superior </w:t>
      </w:r>
      <w:r w:rsidRPr="007F33F1">
        <w:t>effectiveness</w:t>
      </w:r>
      <w:r w:rsidR="00B45B5C" w:rsidRPr="007F33F1">
        <w:t xml:space="preserve"> </w:t>
      </w:r>
      <w:r w:rsidR="00D35C36" w:rsidRPr="007F33F1">
        <w:t>compared to bendamustine+rituximab was based on unanchored match</w:t>
      </w:r>
      <w:r w:rsidR="0073331B" w:rsidRPr="007F33F1">
        <w:t>ing-</w:t>
      </w:r>
      <w:r w:rsidR="00D35C36" w:rsidRPr="007F33F1">
        <w:t>adjusted indirect comparisons</w:t>
      </w:r>
      <w:r w:rsidR="00B51377" w:rsidRPr="007F33F1">
        <w:t xml:space="preserve"> (MAICs)</w:t>
      </w:r>
      <w:r w:rsidR="00686025" w:rsidRPr="007F33F1">
        <w:t xml:space="preserve"> </w:t>
      </w:r>
      <w:r w:rsidR="002E51E4" w:rsidRPr="007F33F1">
        <w:t>using the data from ASPEN (for the ITT and relapsed/refractory population</w:t>
      </w:r>
      <w:r w:rsidR="004714E1" w:rsidRPr="007F33F1">
        <w:t>s</w:t>
      </w:r>
      <w:r w:rsidR="002E51E4" w:rsidRPr="007F33F1">
        <w:t>) and from Tedeschi 2015 (for relapsed/refractory population treated with bendamustine+rituximab).</w:t>
      </w:r>
      <w:r w:rsidR="00371D85" w:rsidRPr="007F33F1">
        <w:t xml:space="preserve"> </w:t>
      </w:r>
      <w:r w:rsidR="00D2667B" w:rsidRPr="007F33F1">
        <w:t xml:space="preserve">The PBAC noted </w:t>
      </w:r>
      <w:r w:rsidR="00A408D4" w:rsidRPr="007F33F1">
        <w:t xml:space="preserve">the </w:t>
      </w:r>
      <w:r w:rsidR="00B51377" w:rsidRPr="007F33F1">
        <w:t>resulting HRs</w:t>
      </w:r>
      <w:r w:rsidR="00A408D4" w:rsidRPr="007F33F1">
        <w:t xml:space="preserve"> </w:t>
      </w:r>
      <w:r w:rsidR="002E51E4" w:rsidRPr="007F33F1">
        <w:t xml:space="preserve">for PFS and OS </w:t>
      </w:r>
      <w:r w:rsidR="00A408D4" w:rsidRPr="007F33F1">
        <w:t xml:space="preserve">from the </w:t>
      </w:r>
      <w:r w:rsidR="00052ACB" w:rsidRPr="007F33F1">
        <w:t>MAIC</w:t>
      </w:r>
      <w:r w:rsidR="003F6C70" w:rsidRPr="007F33F1">
        <w:t>s</w:t>
      </w:r>
      <w:r w:rsidR="00052ACB" w:rsidRPr="007F33F1">
        <w:t xml:space="preserve"> favoured zanubrutinib numerically</w:t>
      </w:r>
      <w:r w:rsidR="00FF0692" w:rsidRPr="007F33F1">
        <w:t xml:space="preserve">. However, the PBAC </w:t>
      </w:r>
      <w:r w:rsidR="00760BBA" w:rsidRPr="007F33F1">
        <w:t xml:space="preserve">noted </w:t>
      </w:r>
      <w:r w:rsidR="00FF0692" w:rsidRPr="007F33F1">
        <w:t xml:space="preserve">the </w:t>
      </w:r>
      <w:r w:rsidR="00760BBA" w:rsidRPr="007F33F1">
        <w:t>survival data were immature</w:t>
      </w:r>
      <w:r w:rsidRPr="007F33F1">
        <w:t>, and</w:t>
      </w:r>
      <w:r w:rsidR="00FF0692" w:rsidRPr="007F33F1">
        <w:t xml:space="preserve"> there were differences</w:t>
      </w:r>
      <w:r w:rsidR="00571424" w:rsidRPr="007F33F1">
        <w:t xml:space="preserve"> in patient characteristics between ASPEN and Tedeschi 2015</w:t>
      </w:r>
      <w:r w:rsidRPr="007F33F1">
        <w:t>,</w:t>
      </w:r>
      <w:r w:rsidR="00571424" w:rsidRPr="007F33F1">
        <w:t xml:space="preserve"> which could not be adjusted for in the MAIC</w:t>
      </w:r>
      <w:r w:rsidRPr="007F33F1">
        <w:t>s</w:t>
      </w:r>
      <w:r w:rsidR="002C0E5F" w:rsidRPr="007F33F1">
        <w:t xml:space="preserve"> </w:t>
      </w:r>
      <w:r w:rsidR="006565FB" w:rsidRPr="007F33F1">
        <w:t>due to a number of these characteristics not being</w:t>
      </w:r>
      <w:r w:rsidR="002C0E5F" w:rsidRPr="007F33F1">
        <w:t xml:space="preserve"> reported in Tedeschi 2015</w:t>
      </w:r>
      <w:r w:rsidR="00571424" w:rsidRPr="007F33F1">
        <w:t>.</w:t>
      </w:r>
      <w:r w:rsidR="006565FB" w:rsidRPr="007F33F1">
        <w:t xml:space="preserve"> </w:t>
      </w:r>
      <w:r w:rsidR="002B04CE" w:rsidRPr="007F33F1">
        <w:t>On this basis</w:t>
      </w:r>
      <w:r w:rsidR="00801C3D" w:rsidRPr="007F33F1">
        <w:t xml:space="preserve">, the PBAC considered </w:t>
      </w:r>
      <w:r w:rsidR="005D0836" w:rsidRPr="007F33F1">
        <w:t xml:space="preserve">that </w:t>
      </w:r>
      <w:r w:rsidRPr="007F33F1">
        <w:t xml:space="preserve">the MAIC results </w:t>
      </w:r>
      <w:r w:rsidR="005D0836" w:rsidRPr="007F33F1">
        <w:t xml:space="preserve">were </w:t>
      </w:r>
      <w:r w:rsidRPr="007F33F1">
        <w:t xml:space="preserve">uncertain, and </w:t>
      </w:r>
      <w:r w:rsidR="002B04CE" w:rsidRPr="007F33F1">
        <w:t xml:space="preserve">that superior </w:t>
      </w:r>
      <w:r w:rsidRPr="007F33F1">
        <w:t>effectiveness</w:t>
      </w:r>
      <w:r w:rsidR="002B04CE" w:rsidRPr="007F33F1">
        <w:t xml:space="preserve"> in terms of survival outcomes was</w:t>
      </w:r>
      <w:r w:rsidR="00941B90" w:rsidRPr="007F33F1">
        <w:t xml:space="preserve"> not adequately supported by the data.</w:t>
      </w:r>
      <w:r w:rsidR="003F07A6" w:rsidRPr="007F33F1">
        <w:t xml:space="preserve"> The PBAC</w:t>
      </w:r>
      <w:r w:rsidR="00350EF8" w:rsidRPr="007F33F1">
        <w:t xml:space="preserve"> noted </w:t>
      </w:r>
      <w:r w:rsidR="00D04F77" w:rsidRPr="007F33F1">
        <w:t>the MAIC</w:t>
      </w:r>
      <w:r w:rsidR="00764747" w:rsidRPr="007F33F1">
        <w:t xml:space="preserve"> presented in the PSCR </w:t>
      </w:r>
      <w:r w:rsidR="00D04F77" w:rsidRPr="007F33F1">
        <w:t>indicated</w:t>
      </w:r>
      <w:r w:rsidR="00764747" w:rsidRPr="007F33F1">
        <w:t xml:space="preserve"> a benefit for zanubrutinib in terms of </w:t>
      </w:r>
      <w:r w:rsidR="005D0836" w:rsidRPr="007F33F1">
        <w:t xml:space="preserve">overall </w:t>
      </w:r>
      <w:r w:rsidR="00764747" w:rsidRPr="007F33F1">
        <w:t>response</w:t>
      </w:r>
      <w:r w:rsidR="005D0836" w:rsidRPr="007F33F1">
        <w:t xml:space="preserve"> rate</w:t>
      </w:r>
      <w:r w:rsidR="00764747" w:rsidRPr="007F33F1">
        <w:t xml:space="preserve"> outcomes</w:t>
      </w:r>
      <w:r w:rsidR="005D0836" w:rsidRPr="007F33F1">
        <w:t xml:space="preserve">, but </w:t>
      </w:r>
      <w:r w:rsidR="002920B9" w:rsidRPr="007F33F1">
        <w:t>considered</w:t>
      </w:r>
      <w:r w:rsidR="005D0836" w:rsidRPr="007F33F1">
        <w:t xml:space="preserve"> MAICs for the primary outcomes in ASPEN (VGPR/CR)</w:t>
      </w:r>
      <w:r w:rsidR="002920B9" w:rsidRPr="007F33F1">
        <w:t xml:space="preserve"> would also be informative</w:t>
      </w:r>
      <w:r w:rsidR="00FD70F5">
        <w:t xml:space="preserve"> (particularly in view of the high value of response outcomes to patients in terms of improving quality of life)</w:t>
      </w:r>
      <w:r w:rsidR="00764747" w:rsidRPr="007F33F1">
        <w:t xml:space="preserve">. The PBAC further noted the </w:t>
      </w:r>
      <w:r w:rsidR="00B401EF" w:rsidRPr="007F33F1">
        <w:t xml:space="preserve">sponsor’s </w:t>
      </w:r>
      <w:r w:rsidR="00EC73E7" w:rsidRPr="007F33F1">
        <w:t>arguments in support of a positive correlation between response and survival outcomes</w:t>
      </w:r>
      <w:r w:rsidR="00B401EF" w:rsidRPr="007F33F1">
        <w:t xml:space="preserve">, but agreed with the ESC </w:t>
      </w:r>
      <w:r w:rsidR="00B24CFE" w:rsidRPr="007F33F1">
        <w:t xml:space="preserve">that given the indolent and relapsing nature of WM, response outcomes were unlikely </w:t>
      </w:r>
      <w:r w:rsidR="00DC04A8" w:rsidRPr="007F33F1">
        <w:t xml:space="preserve">to </w:t>
      </w:r>
      <w:r w:rsidR="00B24CFE" w:rsidRPr="007F33F1">
        <w:t xml:space="preserve">predict </w:t>
      </w:r>
      <w:r w:rsidR="00896D3D" w:rsidRPr="007F33F1">
        <w:t xml:space="preserve">survival </w:t>
      </w:r>
      <w:r w:rsidR="00F4638F">
        <w:t>outcomes</w:t>
      </w:r>
      <w:r w:rsidR="00896D3D" w:rsidRPr="007F33F1">
        <w:t>.</w:t>
      </w:r>
    </w:p>
    <w:p w:rsidR="005229E2" w:rsidRPr="007F33F1" w:rsidRDefault="00326A9A" w:rsidP="0047221E">
      <w:pPr>
        <w:pStyle w:val="3-BodyText"/>
      </w:pPr>
      <w:r w:rsidRPr="007F33F1">
        <w:t xml:space="preserve">For treatment naïve patients, superior safety </w:t>
      </w:r>
      <w:r w:rsidR="004714E1" w:rsidRPr="007F33F1">
        <w:t>was</w:t>
      </w:r>
      <w:r w:rsidRPr="007F33F1">
        <w:t xml:space="preserve"> claimed based on an ITC of ASPEN and iNNOVATE; for relapsed/refractory patients, superior safety </w:t>
      </w:r>
      <w:r w:rsidR="004714E1" w:rsidRPr="007F33F1">
        <w:t>was</w:t>
      </w:r>
      <w:r w:rsidRPr="007F33F1">
        <w:t xml:space="preserve"> claimed based on a MAIC of ASPEN and Tedeschi 2015.</w:t>
      </w:r>
      <w:r w:rsidR="009C4D8C" w:rsidRPr="007F33F1">
        <w:t xml:space="preserve"> </w:t>
      </w:r>
      <w:r w:rsidR="00A6215A" w:rsidRPr="007F33F1">
        <w:t xml:space="preserve">The PBAC considered </w:t>
      </w:r>
      <w:r w:rsidR="00DC1C05" w:rsidRPr="007F33F1">
        <w:t xml:space="preserve">it was difficult to interpret the comparisons </w:t>
      </w:r>
      <w:r w:rsidR="00CC301F" w:rsidRPr="007F33F1">
        <w:t>due to</w:t>
      </w:r>
      <w:r w:rsidR="008A6FEF" w:rsidRPr="007F33F1">
        <w:t>:</w:t>
      </w:r>
      <w:r w:rsidR="00A83910" w:rsidRPr="007F33F1">
        <w:t xml:space="preserve"> </w:t>
      </w:r>
      <w:r w:rsidR="002F7F0E" w:rsidRPr="007F33F1">
        <w:t>substantial differences in the</w:t>
      </w:r>
      <w:r w:rsidR="00A83910" w:rsidRPr="007F33F1">
        <w:t xml:space="preserve"> adverse event profile </w:t>
      </w:r>
      <w:r w:rsidR="002F7F0E" w:rsidRPr="007F33F1">
        <w:t>between zanubrutinib and rituximab or bendamustine</w:t>
      </w:r>
      <w:r w:rsidR="008A6FEF" w:rsidRPr="007F33F1">
        <w:t xml:space="preserve">; </w:t>
      </w:r>
      <w:r w:rsidR="008916D6" w:rsidRPr="007F33F1">
        <w:t>the addition of rituximab</w:t>
      </w:r>
      <w:r w:rsidR="0041061B" w:rsidRPr="007F33F1">
        <w:t xml:space="preserve"> to </w:t>
      </w:r>
      <w:r w:rsidR="0085005A" w:rsidRPr="007F33F1">
        <w:t>the ‘common’</w:t>
      </w:r>
      <w:r w:rsidR="00B77840" w:rsidRPr="007F33F1">
        <w:t xml:space="preserve"> reference arm of the comparison between zanubrutinib and rituximab monotherapy</w:t>
      </w:r>
      <w:r w:rsidR="008A6FEF" w:rsidRPr="007F33F1">
        <w:t>;</w:t>
      </w:r>
      <w:r w:rsidR="0041061B" w:rsidRPr="007F33F1">
        <w:t xml:space="preserve"> </w:t>
      </w:r>
      <w:r w:rsidR="006E4D57" w:rsidRPr="007F33F1">
        <w:t>and differences in patient characteristics not adjusted for in the MAIC between zanubrutinib and bendamustine+rituximab</w:t>
      </w:r>
      <w:r w:rsidR="00B77840" w:rsidRPr="007F33F1">
        <w:t xml:space="preserve">. </w:t>
      </w:r>
      <w:r w:rsidR="00791E63" w:rsidRPr="007F33F1">
        <w:t xml:space="preserve">However, the PBAC </w:t>
      </w:r>
      <w:r w:rsidR="003D4B30" w:rsidRPr="007F33F1">
        <w:t>noted</w:t>
      </w:r>
      <w:r w:rsidR="00411B41" w:rsidRPr="007F33F1">
        <w:t xml:space="preserve"> </w:t>
      </w:r>
      <w:r w:rsidR="003D4B30" w:rsidRPr="007F33F1">
        <w:t xml:space="preserve">the safety profile for zanubrutinib appeared consistent with that for BTKis and as such, considered its safety profile to be manageable. </w:t>
      </w:r>
      <w:r w:rsidR="00411B41" w:rsidRPr="007F33F1">
        <w:t>The PBAC</w:t>
      </w:r>
      <w:r w:rsidR="003C5123" w:rsidRPr="007F33F1">
        <w:t xml:space="preserve"> noted the consumer comments indicated zanubrutinib was more tolerable compared to chemotherapy, which </w:t>
      </w:r>
      <w:r w:rsidR="00426460" w:rsidRPr="007F33F1">
        <w:t>is</w:t>
      </w:r>
      <w:r w:rsidR="003C5123" w:rsidRPr="007F33F1">
        <w:t xml:space="preserve"> </w:t>
      </w:r>
      <w:r w:rsidR="00A77E7F" w:rsidRPr="007F33F1">
        <w:t>expected with a</w:t>
      </w:r>
      <w:r w:rsidR="003C5123" w:rsidRPr="007F33F1">
        <w:t xml:space="preserve"> non-cytotoxic treatment.</w:t>
      </w:r>
      <w:r w:rsidR="0050052E" w:rsidRPr="007F33F1">
        <w:t xml:space="preserve"> Overall, the PBAC considered the </w:t>
      </w:r>
      <w:r w:rsidR="004714E1" w:rsidRPr="007F33F1">
        <w:t xml:space="preserve">claim of superior safety was not supported, especially when noting the duration of treatment with </w:t>
      </w:r>
      <w:r w:rsidR="00FE43F2" w:rsidRPr="007F33F1">
        <w:t>zanubrutinib</w:t>
      </w:r>
      <w:r w:rsidR="004714E1" w:rsidRPr="007F33F1">
        <w:t xml:space="preserve"> will be substantially longer than with the comparator treatments</w:t>
      </w:r>
      <w:r w:rsidR="0050052E" w:rsidRPr="007F33F1">
        <w:t>.</w:t>
      </w:r>
      <w:r w:rsidR="00FD70F5">
        <w:t xml:space="preserve"> </w:t>
      </w:r>
    </w:p>
    <w:p w:rsidR="00920C9A" w:rsidRPr="007F33F1" w:rsidRDefault="00BF2DAF" w:rsidP="0047221E">
      <w:pPr>
        <w:pStyle w:val="3-BodyText"/>
      </w:pPr>
      <w:r w:rsidRPr="007F33F1">
        <w:t>In terms of the economic evaluation, t</w:t>
      </w:r>
      <w:r w:rsidR="00CA59A3" w:rsidRPr="007F33F1">
        <w:t>he PBAC noted the submission presented</w:t>
      </w:r>
      <w:r w:rsidR="007D4E3F" w:rsidRPr="007F33F1">
        <w:t xml:space="preserve"> </w:t>
      </w:r>
      <w:r w:rsidR="00E06B37" w:rsidRPr="007F33F1">
        <w:t>two separate</w:t>
      </w:r>
      <w:r w:rsidR="00CA59A3" w:rsidRPr="007F33F1">
        <w:t xml:space="preserve"> </w:t>
      </w:r>
      <w:r w:rsidRPr="007F33F1">
        <w:t>partitioned survival</w:t>
      </w:r>
      <w:r w:rsidR="00CA59A3" w:rsidRPr="007F33F1">
        <w:t xml:space="preserve"> analyse</w:t>
      </w:r>
      <w:r w:rsidR="007D4E3F" w:rsidRPr="007F33F1">
        <w:t>s</w:t>
      </w:r>
      <w:r w:rsidRPr="007F33F1">
        <w:t xml:space="preserve"> comparing each population against the nominated comparators</w:t>
      </w:r>
      <w:r w:rsidR="00CA59A3" w:rsidRPr="007F33F1">
        <w:t>.</w:t>
      </w:r>
      <w:r w:rsidR="003F34A4" w:rsidRPr="007F33F1">
        <w:t xml:space="preserve"> The PBAC noted</w:t>
      </w:r>
      <w:r w:rsidR="0034227E" w:rsidRPr="007F33F1">
        <w:t xml:space="preserve"> that patients in the model</w:t>
      </w:r>
      <w:r w:rsidR="00731C7A" w:rsidRPr="007F33F1">
        <w:t>s</w:t>
      </w:r>
      <w:r w:rsidR="0034227E" w:rsidRPr="007F33F1">
        <w:t xml:space="preserve"> receive</w:t>
      </w:r>
      <w:r w:rsidR="00731C7A" w:rsidRPr="007F33F1">
        <w:t>d</w:t>
      </w:r>
      <w:r w:rsidR="0034227E" w:rsidRPr="007F33F1">
        <w:t xml:space="preserve"> only one line of therapy and because the models </w:t>
      </w:r>
      <w:r w:rsidR="00731C7A" w:rsidRPr="007F33F1">
        <w:t>were</w:t>
      </w:r>
      <w:r w:rsidR="0034227E" w:rsidRPr="007F33F1">
        <w:t xml:space="preserve"> separate, there </w:t>
      </w:r>
      <w:r w:rsidR="00731C7A" w:rsidRPr="007F33F1">
        <w:t>was</w:t>
      </w:r>
      <w:r w:rsidR="0034227E" w:rsidRPr="007F33F1">
        <w:t xml:space="preserve"> no link between first and subsequent lines of therapy. </w:t>
      </w:r>
      <w:r w:rsidR="00731C7A" w:rsidRPr="007F33F1">
        <w:t>Therefore, t</w:t>
      </w:r>
      <w:r w:rsidR="0034227E" w:rsidRPr="007F33F1">
        <w:t xml:space="preserve">he PBAC considered the model structure </w:t>
      </w:r>
      <w:r w:rsidR="0093614D" w:rsidRPr="007F33F1">
        <w:t>did not adequately reflect the</w:t>
      </w:r>
      <w:r w:rsidR="00CF37CE" w:rsidRPr="007F33F1">
        <w:t xml:space="preserve"> lifetime</w:t>
      </w:r>
      <w:r w:rsidR="0093614D" w:rsidRPr="007F33F1">
        <w:t xml:space="preserve"> experience of most patients with WM</w:t>
      </w:r>
      <w:r w:rsidR="00A00EF0" w:rsidRPr="007F33F1">
        <w:t>,</w:t>
      </w:r>
      <w:r w:rsidR="0093614D" w:rsidRPr="007F33F1">
        <w:t xml:space="preserve"> who would cycle through multiple </w:t>
      </w:r>
      <w:r w:rsidR="00A00EF0" w:rsidRPr="007F33F1">
        <w:t>available</w:t>
      </w:r>
      <w:r w:rsidR="0093614D" w:rsidRPr="007F33F1">
        <w:t xml:space="preserve"> treatments </w:t>
      </w:r>
      <w:r w:rsidR="000D46D0" w:rsidRPr="007F33F1">
        <w:t xml:space="preserve">following treatment </w:t>
      </w:r>
      <w:r w:rsidR="0093614D" w:rsidRPr="007F33F1">
        <w:t xml:space="preserve">relapse </w:t>
      </w:r>
      <w:r w:rsidR="000D46D0" w:rsidRPr="007F33F1">
        <w:t>with intervening period</w:t>
      </w:r>
      <w:r w:rsidR="00CF37CE" w:rsidRPr="007F33F1">
        <w:t>s</w:t>
      </w:r>
      <w:r w:rsidR="000D46D0" w:rsidRPr="007F33F1">
        <w:t xml:space="preserve"> of </w:t>
      </w:r>
      <w:r w:rsidR="0093614D" w:rsidRPr="007F33F1">
        <w:t>stabilise</w:t>
      </w:r>
      <w:r w:rsidR="00CF37CE" w:rsidRPr="007F33F1">
        <w:t xml:space="preserve">d </w:t>
      </w:r>
      <w:r w:rsidR="000D46D0" w:rsidRPr="007F33F1">
        <w:t>disease</w:t>
      </w:r>
      <w:r w:rsidR="0093614D" w:rsidRPr="007F33F1">
        <w:t>.</w:t>
      </w:r>
    </w:p>
    <w:p w:rsidR="00BF75D4" w:rsidRPr="007F33F1" w:rsidRDefault="002461B7" w:rsidP="0047221E">
      <w:pPr>
        <w:pStyle w:val="3-BodyText"/>
      </w:pPr>
      <w:r w:rsidRPr="007F33F1">
        <w:t xml:space="preserve">The PBAC noted </w:t>
      </w:r>
      <w:r w:rsidR="005E3BF2" w:rsidRPr="007F33F1">
        <w:t xml:space="preserve">the </w:t>
      </w:r>
      <w:r w:rsidR="00056C66" w:rsidRPr="007F33F1">
        <w:t xml:space="preserve">modelled gain in PFS and OS was based entirely on extrapolated data. The PBAC considered </w:t>
      </w:r>
      <w:r w:rsidR="00A36407" w:rsidRPr="007F33F1">
        <w:t xml:space="preserve">the modelled survival benefits </w:t>
      </w:r>
      <w:r w:rsidR="00454BB9" w:rsidRPr="007F33F1">
        <w:t>to be</w:t>
      </w:r>
      <w:r w:rsidR="00A36407" w:rsidRPr="007F33F1">
        <w:t xml:space="preserve"> uncertain due to the following:</w:t>
      </w:r>
    </w:p>
    <w:p w:rsidR="00A36407" w:rsidRPr="007F33F1" w:rsidRDefault="00C632A1" w:rsidP="0047221E">
      <w:pPr>
        <w:pStyle w:val="3-BodyText"/>
        <w:numPr>
          <w:ilvl w:val="0"/>
          <w:numId w:val="10"/>
        </w:numPr>
        <w:ind w:left="1134" w:hanging="357"/>
      </w:pPr>
      <w:bookmarkStart w:id="107" w:name="_Hlk79341821"/>
      <w:r w:rsidRPr="007F33F1">
        <w:t>There were inconsistencies in the submission’s approach to extrapolation</w:t>
      </w:r>
      <w:r w:rsidR="00024C44" w:rsidRPr="007F33F1">
        <w:t>,</w:t>
      </w:r>
      <w:r w:rsidRPr="007F33F1">
        <w:t xml:space="preserve"> which impacted model validity (see paragraph </w:t>
      </w:r>
      <w:r w:rsidR="00015997">
        <w:t>6.66</w:t>
      </w:r>
      <w:r w:rsidRPr="007F33F1">
        <w:t>)</w:t>
      </w:r>
      <w:r w:rsidR="00261973" w:rsidRPr="007F33F1">
        <w:t>.</w:t>
      </w:r>
    </w:p>
    <w:bookmarkEnd w:id="107"/>
    <w:p w:rsidR="00261973" w:rsidRPr="007F33F1" w:rsidRDefault="002E7656" w:rsidP="0047221E">
      <w:pPr>
        <w:pStyle w:val="3-BodyText"/>
        <w:numPr>
          <w:ilvl w:val="0"/>
          <w:numId w:val="10"/>
        </w:numPr>
        <w:ind w:left="1134" w:hanging="357"/>
      </w:pPr>
      <w:r w:rsidRPr="007F33F1">
        <w:t>There was limited</w:t>
      </w:r>
      <w:r w:rsidR="003114FE" w:rsidRPr="007F33F1">
        <w:t xml:space="preserve"> KM</w:t>
      </w:r>
      <w:r w:rsidRPr="007F33F1">
        <w:t xml:space="preserve"> data to validate </w:t>
      </w:r>
      <w:r w:rsidR="003114FE" w:rsidRPr="007F33F1">
        <w:t xml:space="preserve">the parametric functions </w:t>
      </w:r>
      <w:r w:rsidR="00261973" w:rsidRPr="007F33F1">
        <w:t>selected. While all functions appeared to fit the KM data, there were large variations observed between the tail ends of the distributions.</w:t>
      </w:r>
    </w:p>
    <w:p w:rsidR="00017BCA" w:rsidRPr="007F33F1" w:rsidRDefault="00017BCA" w:rsidP="0047221E">
      <w:pPr>
        <w:pStyle w:val="3-BodyText"/>
        <w:numPr>
          <w:ilvl w:val="0"/>
          <w:numId w:val="10"/>
        </w:numPr>
        <w:ind w:left="1134" w:hanging="357"/>
      </w:pPr>
      <w:r w:rsidRPr="007F33F1">
        <w:t xml:space="preserve">The model structure did not allow for effects of subsequent treatments on survival outcomes to be captured. </w:t>
      </w:r>
    </w:p>
    <w:p w:rsidR="002E7656" w:rsidRPr="007F33F1" w:rsidRDefault="00017BCA" w:rsidP="0047221E">
      <w:pPr>
        <w:pStyle w:val="3-BodyText"/>
        <w:numPr>
          <w:ilvl w:val="0"/>
          <w:numId w:val="10"/>
        </w:numPr>
        <w:ind w:left="1134" w:hanging="357"/>
      </w:pPr>
      <w:r w:rsidRPr="007F33F1">
        <w:t xml:space="preserve">The </w:t>
      </w:r>
      <w:r w:rsidR="00431229" w:rsidRPr="007F33F1">
        <w:t>PFS and OS data used in the model to extrapolate survival were immature, particularly for OS since very few deaths ha</w:t>
      </w:r>
      <w:r w:rsidR="00CF37CE" w:rsidRPr="007F33F1">
        <w:t>d</w:t>
      </w:r>
      <w:r w:rsidR="00431229" w:rsidRPr="007F33F1">
        <w:t xml:space="preserve"> occurred in any of the included trials.</w:t>
      </w:r>
    </w:p>
    <w:p w:rsidR="00AC56BB" w:rsidRPr="007F33F1" w:rsidRDefault="00AC56BB" w:rsidP="0047221E">
      <w:pPr>
        <w:pStyle w:val="3-BodyText"/>
        <w:numPr>
          <w:ilvl w:val="0"/>
          <w:numId w:val="10"/>
        </w:numPr>
        <w:ind w:left="1134" w:hanging="357"/>
      </w:pPr>
      <w:r w:rsidRPr="007F33F1">
        <w:t xml:space="preserve">The model </w:t>
      </w:r>
      <w:r w:rsidR="00F34EBF" w:rsidRPr="007F33F1">
        <w:t>was highly sensitive to</w:t>
      </w:r>
      <w:r w:rsidR="00CF227E" w:rsidRPr="007F33F1">
        <w:t xml:space="preserve"> the estimated survival benefit</w:t>
      </w:r>
      <w:r w:rsidR="00BA5CF5" w:rsidRPr="007F33F1">
        <w:t xml:space="preserve"> for zanubrutinib</w:t>
      </w:r>
      <w:r w:rsidR="00CF227E" w:rsidRPr="007F33F1">
        <w:t>, and increased substantially when i) KM data was used in the model</w:t>
      </w:r>
      <w:r w:rsidR="003904C0" w:rsidRPr="007F33F1">
        <w:t>, ii</w:t>
      </w:r>
      <w:r w:rsidR="00CF227E" w:rsidRPr="007F33F1">
        <w:t xml:space="preserve">) </w:t>
      </w:r>
      <w:r w:rsidR="003904C0" w:rsidRPr="007F33F1">
        <w:t xml:space="preserve">no </w:t>
      </w:r>
      <w:r w:rsidR="00535548" w:rsidRPr="007F33F1">
        <w:t xml:space="preserve">overall </w:t>
      </w:r>
      <w:r w:rsidR="003904C0" w:rsidRPr="007F33F1">
        <w:t xml:space="preserve">survival benefit between arms was assumed and iii) no </w:t>
      </w:r>
      <w:r w:rsidR="00535548" w:rsidRPr="007F33F1">
        <w:t xml:space="preserve">overall </w:t>
      </w:r>
      <w:r w:rsidR="003904C0" w:rsidRPr="007F33F1">
        <w:t>survival benefit following discontinuation of zanubrutinib was assumed.</w:t>
      </w:r>
    </w:p>
    <w:p w:rsidR="009F6001" w:rsidRPr="007F33F1" w:rsidRDefault="00E135B0" w:rsidP="0047221E">
      <w:pPr>
        <w:pStyle w:val="3-BodyText"/>
      </w:pPr>
      <w:r w:rsidRPr="007F33F1">
        <w:t xml:space="preserve">The PBAC </w:t>
      </w:r>
      <w:r w:rsidR="00BA5CF5" w:rsidRPr="007F33F1">
        <w:t xml:space="preserve">noted the modelled </w:t>
      </w:r>
      <w:r w:rsidR="002201F9" w:rsidRPr="007F33F1">
        <w:t xml:space="preserve">incremental </w:t>
      </w:r>
      <w:r w:rsidR="00BA5CF5" w:rsidRPr="007F33F1">
        <w:t>gain in life years</w:t>
      </w:r>
      <w:r w:rsidR="00E245F9" w:rsidRPr="007F33F1">
        <w:t xml:space="preserve"> (undiscounted) for zanubrutinib in </w:t>
      </w:r>
      <w:r w:rsidR="00BA5CF5" w:rsidRPr="007F33F1">
        <w:t>the treatment naïve and relapsed/refractory population</w:t>
      </w:r>
      <w:r w:rsidR="00E245F9" w:rsidRPr="007F33F1">
        <w:t>s</w:t>
      </w:r>
      <w:r w:rsidR="00BA5CF5" w:rsidRPr="007F33F1">
        <w:t xml:space="preserve"> </w:t>
      </w:r>
      <w:r w:rsidR="00E245F9" w:rsidRPr="007F33F1">
        <w:t xml:space="preserve">was 5.88 and 6.10 </w:t>
      </w:r>
      <w:r w:rsidR="00BA5CF5" w:rsidRPr="007F33F1">
        <w:t>respectively</w:t>
      </w:r>
      <w:r w:rsidR="00E245F9" w:rsidRPr="007F33F1">
        <w:t>,</w:t>
      </w:r>
      <w:r w:rsidR="00BA5CF5" w:rsidRPr="007F33F1">
        <w:t xml:space="preserve"> </w:t>
      </w:r>
      <w:r w:rsidR="002201F9" w:rsidRPr="007F33F1">
        <w:t>and more than 33% patients receiving zanubrutinib remained alive at the end of the 20-year time horizon</w:t>
      </w:r>
      <w:r w:rsidR="00CE4629" w:rsidRPr="007F33F1">
        <w:t xml:space="preserve"> in both models</w:t>
      </w:r>
      <w:r w:rsidR="002201F9" w:rsidRPr="007F33F1">
        <w:t xml:space="preserve">. The PBAC considered this was not clinically plausible noting </w:t>
      </w:r>
      <w:r w:rsidR="001D5160" w:rsidRPr="007F33F1">
        <w:t>the median age of patients with WM is</w:t>
      </w:r>
      <w:r w:rsidR="00454BB9" w:rsidRPr="007F33F1">
        <w:t xml:space="preserve"> around</w:t>
      </w:r>
      <w:r w:rsidR="001D5160" w:rsidRPr="007F33F1">
        <w:t xml:space="preserve"> 70 years.</w:t>
      </w:r>
      <w:r w:rsidR="006D74C6" w:rsidRPr="007F33F1">
        <w:t xml:space="preserve"> </w:t>
      </w:r>
    </w:p>
    <w:p w:rsidR="00342325" w:rsidRPr="007F33F1" w:rsidRDefault="009362EA" w:rsidP="0047221E">
      <w:pPr>
        <w:pStyle w:val="3-BodyText"/>
      </w:pPr>
      <w:r w:rsidRPr="007F33F1">
        <w:t xml:space="preserve">The PBAC noted </w:t>
      </w:r>
      <w:r w:rsidR="00EA15F8" w:rsidRPr="007F33F1">
        <w:t xml:space="preserve">the </w:t>
      </w:r>
      <w:r w:rsidR="003C210E" w:rsidRPr="007F33F1">
        <w:t xml:space="preserve">utility value for the PFS health state was based on EQ-5D-5L results from ASPEN that were first mapped to EQ-5D-3L and then regressed based on patient characteristics. The PBAC noted the model applied the same utility value for treatment naïve and relapsed/refractory patients in the PFS health state irrespective of treatment administered. </w:t>
      </w:r>
      <w:r w:rsidR="008F196A" w:rsidRPr="007F33F1">
        <w:t xml:space="preserve">The PBAC </w:t>
      </w:r>
      <w:r w:rsidR="00FB2327" w:rsidRPr="007F33F1">
        <w:t xml:space="preserve">considered this approach potentially underestimated the utility benefit associated with zanubrutinib. </w:t>
      </w:r>
    </w:p>
    <w:p w:rsidR="00535548" w:rsidRPr="007F33F1" w:rsidRDefault="00884D13" w:rsidP="0047221E">
      <w:pPr>
        <w:pStyle w:val="3-BodyText"/>
      </w:pPr>
      <w:r w:rsidRPr="007F33F1">
        <w:t>In the model</w:t>
      </w:r>
      <w:r w:rsidR="00C572B3" w:rsidRPr="007F33F1">
        <w:t>,</w:t>
      </w:r>
      <w:r w:rsidR="00CE4629" w:rsidRPr="007F33F1">
        <w:t xml:space="preserve"> the time on treatment for zanubrutinib was extrapolated using data from ASPEN and the estimated treatment duration varied substantially depending on the </w:t>
      </w:r>
      <w:r w:rsidRPr="007F33F1">
        <w:t>extrapolation</w:t>
      </w:r>
      <w:r w:rsidR="00CE4629" w:rsidRPr="007F33F1">
        <w:t xml:space="preserve"> function chosen</w:t>
      </w:r>
      <w:r w:rsidRPr="007F33F1">
        <w:t xml:space="preserve"> as well as whether the matched or unmatched </w:t>
      </w:r>
      <w:r w:rsidR="00C572B3" w:rsidRPr="007F33F1">
        <w:t>zanubrutinib</w:t>
      </w:r>
      <w:r w:rsidRPr="007F33F1">
        <w:t xml:space="preserve"> data were used</w:t>
      </w:r>
      <w:r w:rsidR="00CE4629" w:rsidRPr="007F33F1">
        <w:t>.</w:t>
      </w:r>
      <w:r w:rsidRPr="007F33F1">
        <w:t xml:space="preserve"> The PBAC noted the expected treatment duration was long, </w:t>
      </w:r>
      <w:r w:rsidR="00C572B3" w:rsidRPr="007F33F1">
        <w:t>seven</w:t>
      </w:r>
      <w:r w:rsidRPr="007F33F1">
        <w:t xml:space="preserve"> years in the base case analysis, and the model results were sensitive to</w:t>
      </w:r>
      <w:r w:rsidR="00DE7523" w:rsidRPr="007F33F1">
        <w:t xml:space="preserve"> treatment</w:t>
      </w:r>
      <w:r w:rsidRPr="007F33F1">
        <w:t xml:space="preserve"> </w:t>
      </w:r>
      <w:r w:rsidR="00CE4629" w:rsidRPr="007F33F1">
        <w:t>duration.</w:t>
      </w:r>
      <w:r w:rsidRPr="007F33F1">
        <w:t xml:space="preserve"> The PBAC further noted with a </w:t>
      </w:r>
      <w:r w:rsidR="00C572B3" w:rsidRPr="007F33F1">
        <w:t>seven</w:t>
      </w:r>
      <w:r w:rsidRPr="007F33F1">
        <w:t xml:space="preserve"> year treatment duration, the cost per patient for </w:t>
      </w:r>
      <w:r w:rsidR="00C572B3" w:rsidRPr="007F33F1">
        <w:t>zanubrutinib</w:t>
      </w:r>
      <w:r w:rsidR="00DE7523" w:rsidRPr="007F33F1">
        <w:t xml:space="preserve"> was approximately $</w:t>
      </w:r>
      <w:r w:rsidR="00785E78">
        <w:rPr>
          <w:noProof/>
          <w:color w:val="000000"/>
          <w:highlight w:val="black"/>
        </w:rPr>
        <w:t>''''''''''''''</w:t>
      </w:r>
      <w:r w:rsidR="00DE7523" w:rsidRPr="007F33F1">
        <w:t>-$</w:t>
      </w:r>
      <w:r w:rsidR="00785E78">
        <w:rPr>
          <w:noProof/>
          <w:color w:val="000000"/>
          <w:highlight w:val="black"/>
        </w:rPr>
        <w:t>''''''''''''''''</w:t>
      </w:r>
      <w:r w:rsidR="00DE7523" w:rsidRPr="007F33F1">
        <w:t xml:space="preserve">, and </w:t>
      </w:r>
      <w:bookmarkStart w:id="108" w:name="_Hlk79750318"/>
      <w:r w:rsidR="00DE7523" w:rsidRPr="007F33F1">
        <w:t>noted that this cost was high in comparison to other treatments for indolent diseases and did not reflect a cost-effective price given the benefits observed in the trials, and those expected over the longer term.</w:t>
      </w:r>
      <w:r w:rsidRPr="007F33F1">
        <w:t xml:space="preserve"> </w:t>
      </w:r>
      <w:bookmarkEnd w:id="108"/>
    </w:p>
    <w:p w:rsidR="00A36407" w:rsidRPr="007F33F1" w:rsidRDefault="00535548" w:rsidP="0047221E">
      <w:pPr>
        <w:pStyle w:val="3-BodyText"/>
      </w:pPr>
      <w:r w:rsidRPr="007F33F1">
        <w:t xml:space="preserve">Overall, the PBAC considered the economic model was unreliable as </w:t>
      </w:r>
      <w:r w:rsidR="008E24DE" w:rsidRPr="007F33F1">
        <w:t xml:space="preserve">it </w:t>
      </w:r>
      <w:r w:rsidRPr="007F33F1">
        <w:t>did not reflect the expected treatment outcomes of improved quality of life and reduced need for subsequent therapies, including chemotherapy, but instead was based on</w:t>
      </w:r>
      <w:r w:rsidR="00FD70F5">
        <w:t xml:space="preserve"> projected</w:t>
      </w:r>
      <w:r w:rsidRPr="007F33F1">
        <w:t xml:space="preserve"> large gains in overall survival, which were not supported by the clinical data and were considered clinically implausible. </w:t>
      </w:r>
      <w:r w:rsidR="00E93976" w:rsidRPr="007F33F1">
        <w:t>The PBAC considered that any resubmission should include a revised</w:t>
      </w:r>
      <w:r w:rsidR="00585459" w:rsidRPr="007F33F1">
        <w:t xml:space="preserve"> model </w:t>
      </w:r>
      <w:r w:rsidR="00525C16" w:rsidRPr="007F33F1">
        <w:t xml:space="preserve">that </w:t>
      </w:r>
      <w:r w:rsidR="00E93976" w:rsidRPr="007F33F1">
        <w:t>more accurately reflects the clinical course of WM</w:t>
      </w:r>
      <w:r w:rsidR="00585459" w:rsidRPr="007F33F1">
        <w:t xml:space="preserve"> and </w:t>
      </w:r>
      <w:r w:rsidR="00024C44" w:rsidRPr="007F33F1">
        <w:t xml:space="preserve">where </w:t>
      </w:r>
      <w:r w:rsidRPr="007F33F1">
        <w:t xml:space="preserve">the benefits of treatment are consistent with those expected. </w:t>
      </w:r>
    </w:p>
    <w:p w:rsidR="00A00854" w:rsidRPr="007F33F1" w:rsidRDefault="00F22490" w:rsidP="0047221E">
      <w:pPr>
        <w:pStyle w:val="3-BodyText"/>
      </w:pPr>
      <w:r w:rsidRPr="007F33F1">
        <w:t xml:space="preserve">The PBAC noted that an epidemiological approach was used to estimate the financial impact of listing zanubrutinib. </w:t>
      </w:r>
      <w:r w:rsidR="00FE6D58" w:rsidRPr="007F33F1">
        <w:t xml:space="preserve">The PBAC </w:t>
      </w:r>
      <w:r w:rsidR="000D42DD" w:rsidRPr="007F33F1">
        <w:t xml:space="preserve">agreed with the evaluation that the impact was likely underestimated, noting </w:t>
      </w:r>
      <w:r w:rsidR="0035362A" w:rsidRPr="007F33F1">
        <w:t xml:space="preserve">the number of patients receiving zanubrutinib (due to underestimating the number of </w:t>
      </w:r>
      <w:r w:rsidR="0090366A" w:rsidRPr="007F33F1">
        <w:t xml:space="preserve">eligible </w:t>
      </w:r>
      <w:r w:rsidR="0035362A" w:rsidRPr="007F33F1">
        <w:t xml:space="preserve">patients and uptake) and the </w:t>
      </w:r>
      <w:r w:rsidR="00522786" w:rsidRPr="007F33F1">
        <w:t>duration of treatment</w:t>
      </w:r>
      <w:r w:rsidR="0035362A" w:rsidRPr="007F33F1">
        <w:t xml:space="preserve"> were likely underestimated</w:t>
      </w:r>
      <w:r w:rsidR="00A048A1" w:rsidRPr="007F33F1">
        <w:t xml:space="preserve"> (see paragraph </w:t>
      </w:r>
      <w:r w:rsidR="00015997">
        <w:t>6.90</w:t>
      </w:r>
      <w:r w:rsidR="00A048A1" w:rsidRPr="007F33F1">
        <w:t xml:space="preserve">). The PBAC </w:t>
      </w:r>
      <w:r w:rsidR="000D42DD" w:rsidRPr="007F33F1">
        <w:t>agreed with the consumer hearing comments</w:t>
      </w:r>
      <w:r w:rsidR="00A048A1" w:rsidRPr="007F33F1">
        <w:t xml:space="preserve"> that uptake for zanubrutinib </w:t>
      </w:r>
      <w:r w:rsidR="008A4891" w:rsidRPr="007F33F1">
        <w:t>would be high, particularly in the relapsed/refractory setting</w:t>
      </w:r>
      <w:r w:rsidR="008839C0" w:rsidRPr="007F33F1">
        <w:t>,</w:t>
      </w:r>
      <w:r w:rsidR="008A4891" w:rsidRPr="007F33F1">
        <w:t xml:space="preserve"> </w:t>
      </w:r>
      <w:r w:rsidR="00AE0B7B" w:rsidRPr="007F33F1">
        <w:t>as</w:t>
      </w:r>
      <w:r w:rsidR="008A4891" w:rsidRPr="007F33F1">
        <w:t xml:space="preserve"> patient</w:t>
      </w:r>
      <w:r w:rsidR="00AE0B7B" w:rsidRPr="007F33F1">
        <w:t>s</w:t>
      </w:r>
      <w:r w:rsidR="009154EC" w:rsidRPr="007F33F1">
        <w:t xml:space="preserve"> and clinician</w:t>
      </w:r>
      <w:r w:rsidR="00AE0B7B" w:rsidRPr="007F33F1">
        <w:t>s</w:t>
      </w:r>
      <w:r w:rsidR="008A4891" w:rsidRPr="007F33F1">
        <w:t xml:space="preserve"> </w:t>
      </w:r>
      <w:r w:rsidR="00AE0B7B" w:rsidRPr="007F33F1">
        <w:t>would prefer</w:t>
      </w:r>
      <w:r w:rsidR="00286FBC" w:rsidRPr="007F33F1">
        <w:t xml:space="preserve"> to limit treatment with cytotoxic chemotherapy</w:t>
      </w:r>
      <w:r w:rsidR="009154EC" w:rsidRPr="007F33F1">
        <w:t>. The PBAC noted the discrepancy between time on treatment in the economic analysis</w:t>
      </w:r>
      <w:r w:rsidR="00AE0B7B" w:rsidRPr="007F33F1">
        <w:t xml:space="preserve"> (85.9 months for treatment naïve patients and 83.5 months for relapsed/refractory patients)</w:t>
      </w:r>
      <w:r w:rsidR="009154EC" w:rsidRPr="007F33F1">
        <w:t xml:space="preserve"> compared to the financial estimates (</w:t>
      </w:r>
      <w:r w:rsidR="00AE0B7B" w:rsidRPr="007F33F1">
        <w:t>50.4 months)</w:t>
      </w:r>
      <w:r w:rsidR="00286FBC" w:rsidRPr="007F33F1">
        <w:t xml:space="preserve">. </w:t>
      </w:r>
      <w:r w:rsidR="00665D2F" w:rsidRPr="007F33F1">
        <w:t xml:space="preserve">The PBAC considered </w:t>
      </w:r>
      <w:r w:rsidR="005C101D" w:rsidRPr="007F33F1">
        <w:t xml:space="preserve">that </w:t>
      </w:r>
      <w:r w:rsidR="000D42DD" w:rsidRPr="007F33F1">
        <w:t xml:space="preserve">PBS </w:t>
      </w:r>
      <w:r w:rsidR="00665D2F" w:rsidRPr="007F33F1">
        <w:t xml:space="preserve">cost-offsets </w:t>
      </w:r>
      <w:r w:rsidR="005C101D" w:rsidRPr="007F33F1">
        <w:t>for bendamustine and rituximab</w:t>
      </w:r>
      <w:r w:rsidR="00B152F4" w:rsidRPr="007F33F1">
        <w:t xml:space="preserve"> monotherapy</w:t>
      </w:r>
      <w:r w:rsidR="005C101D" w:rsidRPr="007F33F1">
        <w:t xml:space="preserve"> were inappropriate </w:t>
      </w:r>
      <w:r w:rsidR="00B152F4" w:rsidRPr="007F33F1">
        <w:t xml:space="preserve">given </w:t>
      </w:r>
      <w:r w:rsidR="000D42DD" w:rsidRPr="007F33F1">
        <w:t xml:space="preserve">these therapies are not </w:t>
      </w:r>
      <w:r w:rsidR="0035362A" w:rsidRPr="007F33F1">
        <w:t xml:space="preserve">PBS </w:t>
      </w:r>
      <w:r w:rsidR="000D42DD" w:rsidRPr="007F33F1">
        <w:t>subsidised</w:t>
      </w:r>
      <w:r w:rsidR="00A82018" w:rsidRPr="007F33F1">
        <w:t>.</w:t>
      </w:r>
      <w:r w:rsidR="000A6283" w:rsidRPr="007F33F1">
        <w:t xml:space="preserve"> </w:t>
      </w:r>
      <w:r w:rsidR="00A82018" w:rsidRPr="007F33F1">
        <w:t>The PBAC</w:t>
      </w:r>
      <w:r w:rsidR="000A6283" w:rsidRPr="007F33F1">
        <w:t xml:space="preserve"> </w:t>
      </w:r>
      <w:r w:rsidR="0035362A" w:rsidRPr="007F33F1">
        <w:t xml:space="preserve">noted the treatment duration is uncertain given the limited follow-up in the clinical trials compared with the </w:t>
      </w:r>
      <w:r w:rsidR="00F4638F">
        <w:t>expected long</w:t>
      </w:r>
      <w:r w:rsidR="0035362A" w:rsidRPr="007F33F1">
        <w:t xml:space="preserve"> time on treatment and foreshadowed</w:t>
      </w:r>
      <w:r w:rsidR="000A6283" w:rsidRPr="007F33F1">
        <w:t xml:space="preserve"> that</w:t>
      </w:r>
      <w:r w:rsidR="0035362A" w:rsidRPr="007F33F1">
        <w:t xml:space="preserve"> this risk could potentially be managed with</w:t>
      </w:r>
      <w:r w:rsidR="000A6283" w:rsidRPr="007F33F1">
        <w:t xml:space="preserve"> an </w:t>
      </w:r>
      <w:r w:rsidR="00A82018" w:rsidRPr="007F33F1">
        <w:t>RSA</w:t>
      </w:r>
      <w:r w:rsidR="00984AC4" w:rsidRPr="007F33F1">
        <w:t xml:space="preserve">. </w:t>
      </w:r>
    </w:p>
    <w:p w:rsidR="000D0535" w:rsidRPr="007F33F1" w:rsidRDefault="00905FF8" w:rsidP="0047221E">
      <w:pPr>
        <w:pStyle w:val="3-BodyText"/>
      </w:pPr>
      <w:r w:rsidRPr="007F33F1">
        <w:t>The PBAC considered zanubrutinib addresses a high and urgent unmet clinical need and was expected to provide a substantial and clinically relevant improvement in efficacy, over alternative therapies. However, the PBAC considered a</w:t>
      </w:r>
      <w:r w:rsidR="00960B47" w:rsidRPr="007F33F1">
        <w:t xml:space="preserve"> </w:t>
      </w:r>
      <w:r w:rsidRPr="007F33F1">
        <w:t xml:space="preserve">number of issues remained outstanding. Before a resubmission for </w:t>
      </w:r>
      <w:r w:rsidR="00973E64" w:rsidRPr="007F33F1">
        <w:t>zanubrutinib</w:t>
      </w:r>
      <w:r w:rsidRPr="007F33F1">
        <w:t xml:space="preserve"> is made, the PBAC would like to offer the sponsor a solution-focussed workshop with one or more members of the PBAC, to explore feasible options to address the following issues:</w:t>
      </w:r>
    </w:p>
    <w:p w:rsidR="000D453F" w:rsidRPr="007F33F1" w:rsidRDefault="00053BDE" w:rsidP="0047221E">
      <w:pPr>
        <w:pStyle w:val="3-BodyText"/>
        <w:numPr>
          <w:ilvl w:val="0"/>
          <w:numId w:val="10"/>
        </w:numPr>
        <w:ind w:left="1134" w:hanging="357"/>
      </w:pPr>
      <w:r w:rsidRPr="007F33F1">
        <w:t>The structure of the economic</w:t>
      </w:r>
      <w:r w:rsidR="003D6F3A" w:rsidRPr="007F33F1">
        <w:t xml:space="preserve"> model</w:t>
      </w:r>
      <w:r w:rsidRPr="007F33F1">
        <w:t>(s): the</w:t>
      </w:r>
      <w:r w:rsidR="003D6F3A" w:rsidRPr="007F33F1">
        <w:t xml:space="preserve"> structure </w:t>
      </w:r>
      <w:r w:rsidRPr="007F33F1">
        <w:t>should</w:t>
      </w:r>
      <w:r w:rsidR="003D6F3A" w:rsidRPr="007F33F1">
        <w:t xml:space="preserve"> more accurately reflect the chronic relapsing nature of WM</w:t>
      </w:r>
      <w:r w:rsidRPr="007F33F1">
        <w:t xml:space="preserve"> and the expected outcomes of treatment</w:t>
      </w:r>
      <w:r w:rsidR="003D6F3A" w:rsidRPr="007F33F1">
        <w:t>.</w:t>
      </w:r>
    </w:p>
    <w:p w:rsidR="00053BDE" w:rsidRPr="007F33F1" w:rsidRDefault="00053BDE" w:rsidP="0047221E">
      <w:pPr>
        <w:pStyle w:val="3-BodyText"/>
        <w:numPr>
          <w:ilvl w:val="0"/>
          <w:numId w:val="10"/>
        </w:numPr>
        <w:ind w:left="1134" w:hanging="357"/>
      </w:pPr>
      <w:r w:rsidRPr="007F33F1">
        <w:t>The inputs for the economic model(s): the inputs</w:t>
      </w:r>
      <w:r w:rsidR="0090366A" w:rsidRPr="007F33F1">
        <w:t xml:space="preserve"> should be consistently applied for the treatment naïve and relapsed/refractory settings. </w:t>
      </w:r>
    </w:p>
    <w:p w:rsidR="0090366A" w:rsidRPr="007F33F1" w:rsidRDefault="0090366A" w:rsidP="0047221E">
      <w:pPr>
        <w:pStyle w:val="3-BodyText"/>
        <w:numPr>
          <w:ilvl w:val="0"/>
          <w:numId w:val="10"/>
        </w:numPr>
        <w:ind w:left="1134" w:hanging="357"/>
      </w:pPr>
      <w:r w:rsidRPr="007F33F1">
        <w:t>The inputs for the financial estimates, including the likely number of eligible patients, the uptake and treatment duration.</w:t>
      </w:r>
    </w:p>
    <w:p w:rsidR="00973E64" w:rsidRPr="007F33F1" w:rsidRDefault="00973E64" w:rsidP="0047221E">
      <w:pPr>
        <w:pStyle w:val="3-BodyText"/>
      </w:pPr>
      <w:r w:rsidRPr="007F33F1">
        <w:t xml:space="preserve">The workshop agenda would be based on the issues for resolution outlined above. Should the sponsor accept this offer, a facilitated resolution pathway may be acceptable for the resubmission (as defined in the </w:t>
      </w:r>
      <w:r w:rsidRPr="007F33F1">
        <w:rPr>
          <w:i/>
          <w:iCs/>
        </w:rPr>
        <w:t>Procedure guidance for listing medicines on the Pharmaceutical Benefits Scheme</w:t>
      </w:r>
      <w:r w:rsidRPr="007F33F1">
        <w:t>). It should be noted that any advice provided by members of the PBAC, the sponsor or the department in a workshop is in no way binding on the PBAC, the Department, sponsor, evaluation groups or sub-committees of the PBAC. If this option is not acceptable to the sponsor, a standard re-entry pathway is available.</w:t>
      </w:r>
    </w:p>
    <w:p w:rsidR="00534594" w:rsidRPr="007F33F1" w:rsidRDefault="00534594" w:rsidP="0047221E">
      <w:pPr>
        <w:pStyle w:val="3-BodyText"/>
      </w:pPr>
      <w:r w:rsidRPr="007F33F1">
        <w:t>The PBAC noted that this submission is eligible for an independent review.</w:t>
      </w:r>
    </w:p>
    <w:p w:rsidR="000D0535" w:rsidRPr="007F33F1" w:rsidRDefault="000D0535" w:rsidP="0047221E">
      <w:pPr>
        <w:spacing w:before="240"/>
        <w:rPr>
          <w:rFonts w:asciiTheme="minorHAnsi" w:hAnsiTheme="minorHAnsi"/>
          <w:b/>
          <w:bCs/>
          <w:snapToGrid w:val="0"/>
        </w:rPr>
      </w:pPr>
      <w:r w:rsidRPr="007F33F1">
        <w:rPr>
          <w:rFonts w:asciiTheme="minorHAnsi" w:hAnsiTheme="minorHAnsi"/>
          <w:b/>
          <w:bCs/>
          <w:snapToGrid w:val="0"/>
        </w:rPr>
        <w:t>Outcome:</w:t>
      </w:r>
    </w:p>
    <w:p w:rsidR="00E17961" w:rsidRDefault="004548FF" w:rsidP="0047221E">
      <w:pPr>
        <w:rPr>
          <w:rFonts w:asciiTheme="minorHAnsi" w:hAnsiTheme="minorHAnsi"/>
          <w:bCs/>
          <w:snapToGrid w:val="0"/>
        </w:rPr>
      </w:pPr>
      <w:r w:rsidRPr="007F33F1">
        <w:rPr>
          <w:rFonts w:asciiTheme="minorHAnsi" w:hAnsiTheme="minorHAnsi"/>
          <w:bCs/>
          <w:snapToGrid w:val="0"/>
        </w:rPr>
        <w:t>Not recommended</w:t>
      </w:r>
    </w:p>
    <w:p w:rsidR="00ED6857" w:rsidRDefault="00ED6857" w:rsidP="0047221E">
      <w:pPr>
        <w:rPr>
          <w:rFonts w:asciiTheme="minorHAnsi" w:hAnsiTheme="minorHAnsi"/>
          <w:bCs/>
          <w:snapToGrid w:val="0"/>
        </w:rPr>
      </w:pPr>
    </w:p>
    <w:p w:rsidR="00ED6857" w:rsidRPr="00ED6857" w:rsidRDefault="00ED6857" w:rsidP="00ED6857">
      <w:pPr>
        <w:pStyle w:val="2-SectionHeading"/>
      </w:pPr>
      <w:r w:rsidRPr="00C07617">
        <w:t>9</w:t>
      </w:r>
      <w:r w:rsidRPr="00C07617">
        <w:tab/>
        <w:t>Context for Decision</w:t>
      </w:r>
    </w:p>
    <w:p w:rsidR="00ED6857" w:rsidRPr="007129F2" w:rsidRDefault="00ED6857" w:rsidP="00C607F1">
      <w:pPr>
        <w:spacing w:after="120"/>
        <w:ind w:left="68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D6857" w:rsidRPr="00ED6857" w:rsidRDefault="00ED6857" w:rsidP="00ED6857">
      <w:pPr>
        <w:pStyle w:val="2-SectionHeading"/>
      </w:pPr>
      <w:r>
        <w:t>10</w:t>
      </w:r>
      <w:r w:rsidRPr="00C07617">
        <w:t xml:space="preserve"> </w:t>
      </w:r>
      <w:r>
        <w:t>Sponsor’s Comment</w:t>
      </w:r>
    </w:p>
    <w:p w:rsidR="00ED6857" w:rsidRPr="001179AC" w:rsidRDefault="003F6EB6" w:rsidP="00C607F1">
      <w:pPr>
        <w:spacing w:after="120"/>
        <w:ind w:left="680"/>
        <w:rPr>
          <w:bCs/>
        </w:rPr>
      </w:pPr>
      <w:r w:rsidRPr="003F6EB6">
        <w:rPr>
          <w:bCs/>
        </w:rPr>
        <w:t>Beigene welcomes the opportunity to participate in a solution-focussed workshop to make zanubrutinib available on the PBS for patients with WM as soon as possible.</w:t>
      </w:r>
    </w:p>
    <w:p w:rsidR="00ED6857" w:rsidRPr="007F33F1" w:rsidRDefault="00ED6857" w:rsidP="0047221E"/>
    <w:sectPr w:rsidR="00ED6857" w:rsidRPr="007F33F1" w:rsidSect="00393078">
      <w:pgSz w:w="11907" w:h="16840" w:code="9"/>
      <w:pgMar w:top="1440" w:right="1417"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9DB" w:rsidRDefault="00D529DB" w:rsidP="00124A51">
      <w:r>
        <w:separator/>
      </w:r>
    </w:p>
    <w:p w:rsidR="00D529DB" w:rsidRDefault="00D529DB"/>
  </w:endnote>
  <w:endnote w:type="continuationSeparator" w:id="0">
    <w:p w:rsidR="00D529DB" w:rsidRDefault="00D529DB" w:rsidP="00124A51">
      <w:r>
        <w:continuationSeparator/>
      </w:r>
    </w:p>
    <w:p w:rsidR="00D529DB" w:rsidRDefault="00D52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raphik">
    <w:charset w:val="00"/>
    <w:family w:val="swiss"/>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B" w:rsidRDefault="00D52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B" w:rsidRDefault="00D529DB" w:rsidP="00393078">
    <w:pPr>
      <w:pStyle w:val="Footer"/>
      <w:jc w:val="center"/>
    </w:pPr>
  </w:p>
  <w:p w:rsidR="00D529DB" w:rsidRDefault="00D529DB" w:rsidP="00135988">
    <w:pPr>
      <w:keepNext/>
      <w:tabs>
        <w:tab w:val="center" w:pos="4153"/>
        <w:tab w:val="right" w:pos="8306"/>
      </w:tabs>
      <w:ind w:left="360"/>
      <w:jc w:val="center"/>
    </w:pPr>
    <w:r w:rsidRPr="0000309F">
      <w:rPr>
        <w:b/>
        <w:lang w:eastAsia="en-US"/>
      </w:rPr>
      <w:fldChar w:fldCharType="begin"/>
    </w:r>
    <w:r w:rsidRPr="0000309F">
      <w:rPr>
        <w:b/>
        <w:lang w:eastAsia="en-US"/>
      </w:rPr>
      <w:instrText xml:space="preserve"> PAGE   \* MERGEFORMAT </w:instrText>
    </w:r>
    <w:r w:rsidRPr="0000309F">
      <w:rPr>
        <w:b/>
        <w:lang w:eastAsia="en-US"/>
      </w:rPr>
      <w:fldChar w:fldCharType="separate"/>
    </w:r>
    <w:r w:rsidR="00333BEC">
      <w:rPr>
        <w:b/>
        <w:noProof/>
        <w:lang w:eastAsia="en-US"/>
      </w:rPr>
      <w:t>53</w:t>
    </w:r>
    <w:r w:rsidRPr="0000309F">
      <w:rPr>
        <w:b/>
        <w:noProof/>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B" w:rsidRDefault="00D52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9DB" w:rsidRDefault="00D529DB" w:rsidP="00124A51">
      <w:r>
        <w:separator/>
      </w:r>
    </w:p>
    <w:p w:rsidR="00D529DB" w:rsidRDefault="00D529DB"/>
  </w:footnote>
  <w:footnote w:type="continuationSeparator" w:id="0">
    <w:p w:rsidR="00D529DB" w:rsidRDefault="00D529DB" w:rsidP="00124A51">
      <w:r>
        <w:continuationSeparator/>
      </w:r>
    </w:p>
    <w:p w:rsidR="00D529DB" w:rsidRDefault="00D529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B" w:rsidRDefault="00D52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B" w:rsidRPr="00DB00AA" w:rsidRDefault="00D529DB" w:rsidP="0000309F">
    <w:pPr>
      <w:keepNext/>
      <w:tabs>
        <w:tab w:val="center" w:pos="4153"/>
        <w:tab w:val="right" w:pos="8306"/>
      </w:tabs>
      <w:ind w:left="360"/>
      <w:jc w:val="center"/>
      <w:rPr>
        <w:i/>
        <w:color w:val="808080"/>
        <w:lang w:eastAsia="en-US"/>
      </w:rPr>
    </w:pPr>
    <w:r w:rsidRPr="00ED6857">
      <w:rPr>
        <w:i/>
        <w:color w:val="808080"/>
        <w:lang w:eastAsia="en-US"/>
      </w:rPr>
      <w:t xml:space="preserve">Public Summary Document </w:t>
    </w:r>
    <w:r w:rsidRPr="00DB00AA">
      <w:rPr>
        <w:i/>
        <w:color w:val="808080"/>
        <w:lang w:eastAsia="en-US"/>
      </w:rPr>
      <w:t>– July 2021 PBAC Meeting</w:t>
    </w:r>
  </w:p>
  <w:p w:rsidR="00D529DB" w:rsidRPr="008C7ECB" w:rsidRDefault="00D52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B" w:rsidRDefault="00D52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247830"/>
    <w:multiLevelType w:val="hybridMultilevel"/>
    <w:tmpl w:val="48DECB52"/>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36E0D"/>
    <w:multiLevelType w:val="hybridMultilevel"/>
    <w:tmpl w:val="4CCA52DA"/>
    <w:lvl w:ilvl="0" w:tplc="0EC05FE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B0F1C"/>
    <w:multiLevelType w:val="multilevel"/>
    <w:tmpl w:val="C5A0FD3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9559D5"/>
    <w:multiLevelType w:val="hybridMultilevel"/>
    <w:tmpl w:val="7CF68EB2"/>
    <w:lvl w:ilvl="0" w:tplc="EFFE7450">
      <w:start w:val="1"/>
      <w:numFmt w:val="decimal"/>
      <w:lvlText w:val="%1."/>
      <w:lvlJc w:val="left"/>
      <w:pPr>
        <w:ind w:left="720" w:hanging="360"/>
      </w:pPr>
      <w:rPr>
        <w:rFonts w:asciiTheme="minorHAnsi" w:hAnsiTheme="minorHAnsi" w:cstheme="minorHAnsi"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160FE"/>
    <w:multiLevelType w:val="hybridMultilevel"/>
    <w:tmpl w:val="8B92FCB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C2A1E"/>
    <w:multiLevelType w:val="hybridMultilevel"/>
    <w:tmpl w:val="C4F0D10E"/>
    <w:lvl w:ilvl="0" w:tplc="862A94FE">
      <w:numFmt w:val="bullet"/>
      <w:lvlText w:val="•"/>
      <w:lvlJc w:val="left"/>
      <w:pPr>
        <w:ind w:left="720" w:hanging="360"/>
      </w:pPr>
      <w:rPr>
        <w:rFonts w:ascii="Arial Narrow" w:eastAsia="Batang"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EA08D2CE"/>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BF73AEB"/>
    <w:multiLevelType w:val="hybridMultilevel"/>
    <w:tmpl w:val="B4163F92"/>
    <w:lvl w:ilvl="0" w:tplc="B268D584">
      <w:start w:val="1"/>
      <w:numFmt w:val="lowerRoman"/>
      <w:pStyle w:val="TableBullets"/>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D1B8B"/>
    <w:multiLevelType w:val="hybridMultilevel"/>
    <w:tmpl w:val="A01A9286"/>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53672A"/>
    <w:multiLevelType w:val="hybridMultilevel"/>
    <w:tmpl w:val="0706B9D8"/>
    <w:lvl w:ilvl="0" w:tplc="272C22B2">
      <w:start w:val="1"/>
      <w:numFmt w:val="decimal"/>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2"/>
  </w:num>
  <w:num w:numId="2">
    <w:abstractNumId w:val="9"/>
  </w:num>
  <w:num w:numId="3">
    <w:abstractNumId w:val="10"/>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2"/>
  </w:num>
  <w:num w:numId="9">
    <w:abstractNumId w:val="7"/>
  </w:num>
  <w:num w:numId="10">
    <w:abstractNumId w:val="5"/>
  </w:num>
  <w:num w:numId="11">
    <w:abstractNumId w:val="11"/>
  </w:num>
  <w:num w:numId="12">
    <w:abstractNumId w:val="1"/>
  </w:num>
  <w:num w:numId="13">
    <w:abstractNumId w:val="4"/>
  </w:num>
  <w:num w:numId="14">
    <w:abstractNumId w:val="13"/>
  </w:num>
  <w:num w:numId="15">
    <w:abstractNumId w:val="10"/>
  </w:num>
  <w:num w:numId="16">
    <w:abstractNumId w:val="10"/>
  </w:num>
  <w:num w:numId="17">
    <w:abstractNumId w:val="12"/>
  </w:num>
  <w:num w:numId="18">
    <w:abstractNumId w:val="10"/>
  </w:num>
  <w:num w:numId="19">
    <w:abstractNumId w:val="12"/>
  </w:num>
  <w:num w:numId="20">
    <w:abstractNumId w:val="10"/>
  </w:num>
  <w:num w:numId="21">
    <w:abstractNumId w:val="10"/>
  </w:num>
  <w:num w:numId="22">
    <w:abstractNumId w:val="12"/>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FR" w:vendorID="64" w:dllVersion="0" w:nlCheck="1" w:checkStyle="0"/>
  <w:activeWritingStyle w:appName="MSWord" w:lang="en-AU" w:vendorID="64" w:dllVersion="0" w:nlCheck="1" w:checkStyle="0"/>
  <w:activeWritingStyle w:appName="MSWord" w:lang="es-ES" w:vendorID="64" w:dllVersion="4096" w:nlCheck="1" w:checkStyle="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A4A"/>
    <w:rsid w:val="0000309F"/>
    <w:rsid w:val="00003499"/>
    <w:rsid w:val="0000398E"/>
    <w:rsid w:val="000039B7"/>
    <w:rsid w:val="00004DB5"/>
    <w:rsid w:val="0000639A"/>
    <w:rsid w:val="00006E76"/>
    <w:rsid w:val="000077FD"/>
    <w:rsid w:val="00007BCE"/>
    <w:rsid w:val="0001055E"/>
    <w:rsid w:val="0001211D"/>
    <w:rsid w:val="0001229B"/>
    <w:rsid w:val="00013247"/>
    <w:rsid w:val="000135BF"/>
    <w:rsid w:val="000146F9"/>
    <w:rsid w:val="00015886"/>
    <w:rsid w:val="00015997"/>
    <w:rsid w:val="000162EF"/>
    <w:rsid w:val="000163D8"/>
    <w:rsid w:val="0001666F"/>
    <w:rsid w:val="00016B11"/>
    <w:rsid w:val="000176F2"/>
    <w:rsid w:val="00017BCA"/>
    <w:rsid w:val="0002006C"/>
    <w:rsid w:val="0002025E"/>
    <w:rsid w:val="000207C9"/>
    <w:rsid w:val="00020A55"/>
    <w:rsid w:val="00020C07"/>
    <w:rsid w:val="00021820"/>
    <w:rsid w:val="00021E45"/>
    <w:rsid w:val="0002225F"/>
    <w:rsid w:val="0002306A"/>
    <w:rsid w:val="00023763"/>
    <w:rsid w:val="00024C44"/>
    <w:rsid w:val="00025283"/>
    <w:rsid w:val="0002548F"/>
    <w:rsid w:val="0002550A"/>
    <w:rsid w:val="000274B8"/>
    <w:rsid w:val="00031CA1"/>
    <w:rsid w:val="0003219C"/>
    <w:rsid w:val="000335E6"/>
    <w:rsid w:val="00033863"/>
    <w:rsid w:val="00034484"/>
    <w:rsid w:val="00035844"/>
    <w:rsid w:val="00035862"/>
    <w:rsid w:val="00035DC0"/>
    <w:rsid w:val="00036829"/>
    <w:rsid w:val="00036C86"/>
    <w:rsid w:val="00037117"/>
    <w:rsid w:val="00037F73"/>
    <w:rsid w:val="00040485"/>
    <w:rsid w:val="00040895"/>
    <w:rsid w:val="00041AFE"/>
    <w:rsid w:val="000435EE"/>
    <w:rsid w:val="00043C37"/>
    <w:rsid w:val="00045017"/>
    <w:rsid w:val="00045801"/>
    <w:rsid w:val="00045A2B"/>
    <w:rsid w:val="0004698F"/>
    <w:rsid w:val="00050B93"/>
    <w:rsid w:val="000529F9"/>
    <w:rsid w:val="00052ACB"/>
    <w:rsid w:val="0005377C"/>
    <w:rsid w:val="000539D0"/>
    <w:rsid w:val="00053BDE"/>
    <w:rsid w:val="00054621"/>
    <w:rsid w:val="000546D7"/>
    <w:rsid w:val="00056BC2"/>
    <w:rsid w:val="00056C66"/>
    <w:rsid w:val="00056ECF"/>
    <w:rsid w:val="000604DF"/>
    <w:rsid w:val="0006080B"/>
    <w:rsid w:val="00060ADD"/>
    <w:rsid w:val="000646F8"/>
    <w:rsid w:val="00065114"/>
    <w:rsid w:val="000653B5"/>
    <w:rsid w:val="00066360"/>
    <w:rsid w:val="000666EE"/>
    <w:rsid w:val="00066AF8"/>
    <w:rsid w:val="00071248"/>
    <w:rsid w:val="00071776"/>
    <w:rsid w:val="000720B9"/>
    <w:rsid w:val="000737F7"/>
    <w:rsid w:val="0007425B"/>
    <w:rsid w:val="000761C9"/>
    <w:rsid w:val="0007672F"/>
    <w:rsid w:val="00076B54"/>
    <w:rsid w:val="0007704E"/>
    <w:rsid w:val="000774F0"/>
    <w:rsid w:val="00080909"/>
    <w:rsid w:val="000812CA"/>
    <w:rsid w:val="00081940"/>
    <w:rsid w:val="000819B4"/>
    <w:rsid w:val="00081E63"/>
    <w:rsid w:val="0008258D"/>
    <w:rsid w:val="00083363"/>
    <w:rsid w:val="0008341F"/>
    <w:rsid w:val="00083A5C"/>
    <w:rsid w:val="00083E99"/>
    <w:rsid w:val="00084FA8"/>
    <w:rsid w:val="000856C5"/>
    <w:rsid w:val="00085C31"/>
    <w:rsid w:val="00086DDD"/>
    <w:rsid w:val="00086F5D"/>
    <w:rsid w:val="00087A44"/>
    <w:rsid w:val="00087B3C"/>
    <w:rsid w:val="000902D9"/>
    <w:rsid w:val="00090C7E"/>
    <w:rsid w:val="00091A66"/>
    <w:rsid w:val="00092600"/>
    <w:rsid w:val="0009262B"/>
    <w:rsid w:val="000929BF"/>
    <w:rsid w:val="00093310"/>
    <w:rsid w:val="000939E1"/>
    <w:rsid w:val="00094377"/>
    <w:rsid w:val="0009445C"/>
    <w:rsid w:val="00094A0F"/>
    <w:rsid w:val="00094D7C"/>
    <w:rsid w:val="00095200"/>
    <w:rsid w:val="0009586E"/>
    <w:rsid w:val="00095920"/>
    <w:rsid w:val="000959AA"/>
    <w:rsid w:val="00095FE5"/>
    <w:rsid w:val="00096284"/>
    <w:rsid w:val="00097C32"/>
    <w:rsid w:val="00097D06"/>
    <w:rsid w:val="000A1BC0"/>
    <w:rsid w:val="000A500A"/>
    <w:rsid w:val="000A559A"/>
    <w:rsid w:val="000A571A"/>
    <w:rsid w:val="000A6039"/>
    <w:rsid w:val="000A6283"/>
    <w:rsid w:val="000A6453"/>
    <w:rsid w:val="000A6B16"/>
    <w:rsid w:val="000A6C14"/>
    <w:rsid w:val="000A7453"/>
    <w:rsid w:val="000A7D08"/>
    <w:rsid w:val="000A7D66"/>
    <w:rsid w:val="000B0121"/>
    <w:rsid w:val="000B0670"/>
    <w:rsid w:val="000B0E75"/>
    <w:rsid w:val="000B21C0"/>
    <w:rsid w:val="000B2DCB"/>
    <w:rsid w:val="000B39CC"/>
    <w:rsid w:val="000B44E2"/>
    <w:rsid w:val="000B4761"/>
    <w:rsid w:val="000B5198"/>
    <w:rsid w:val="000B5CE0"/>
    <w:rsid w:val="000B65DD"/>
    <w:rsid w:val="000B6BEB"/>
    <w:rsid w:val="000B6CAC"/>
    <w:rsid w:val="000B7612"/>
    <w:rsid w:val="000B78AE"/>
    <w:rsid w:val="000B791D"/>
    <w:rsid w:val="000B7D2C"/>
    <w:rsid w:val="000C1B21"/>
    <w:rsid w:val="000C2BDD"/>
    <w:rsid w:val="000C3AAF"/>
    <w:rsid w:val="000C3DF9"/>
    <w:rsid w:val="000C446C"/>
    <w:rsid w:val="000C56A4"/>
    <w:rsid w:val="000C6713"/>
    <w:rsid w:val="000C6961"/>
    <w:rsid w:val="000C6D74"/>
    <w:rsid w:val="000C6F40"/>
    <w:rsid w:val="000C7396"/>
    <w:rsid w:val="000C7662"/>
    <w:rsid w:val="000D0535"/>
    <w:rsid w:val="000D1BFC"/>
    <w:rsid w:val="000D1D5D"/>
    <w:rsid w:val="000D232B"/>
    <w:rsid w:val="000D2443"/>
    <w:rsid w:val="000D281A"/>
    <w:rsid w:val="000D2848"/>
    <w:rsid w:val="000D2E48"/>
    <w:rsid w:val="000D2FB2"/>
    <w:rsid w:val="000D326A"/>
    <w:rsid w:val="000D42DD"/>
    <w:rsid w:val="000D453F"/>
    <w:rsid w:val="000D46D0"/>
    <w:rsid w:val="000D51FB"/>
    <w:rsid w:val="000D54DD"/>
    <w:rsid w:val="000D615E"/>
    <w:rsid w:val="000D6491"/>
    <w:rsid w:val="000D7311"/>
    <w:rsid w:val="000D78EE"/>
    <w:rsid w:val="000E0640"/>
    <w:rsid w:val="000E0CE1"/>
    <w:rsid w:val="000E0DB3"/>
    <w:rsid w:val="000E135D"/>
    <w:rsid w:val="000E19A7"/>
    <w:rsid w:val="000E2031"/>
    <w:rsid w:val="000E2B23"/>
    <w:rsid w:val="000E76E4"/>
    <w:rsid w:val="000F00BA"/>
    <w:rsid w:val="000F08E8"/>
    <w:rsid w:val="000F2C42"/>
    <w:rsid w:val="000F2C82"/>
    <w:rsid w:val="000F316A"/>
    <w:rsid w:val="000F3C74"/>
    <w:rsid w:val="000F478B"/>
    <w:rsid w:val="000F4BB8"/>
    <w:rsid w:val="000F4FA9"/>
    <w:rsid w:val="000F53FB"/>
    <w:rsid w:val="000F7127"/>
    <w:rsid w:val="000F7B54"/>
    <w:rsid w:val="000F7F5C"/>
    <w:rsid w:val="00100300"/>
    <w:rsid w:val="00100F8A"/>
    <w:rsid w:val="0010452E"/>
    <w:rsid w:val="00104620"/>
    <w:rsid w:val="0010477B"/>
    <w:rsid w:val="00104E09"/>
    <w:rsid w:val="00105963"/>
    <w:rsid w:val="00105AE2"/>
    <w:rsid w:val="001060C6"/>
    <w:rsid w:val="001063B2"/>
    <w:rsid w:val="00106B80"/>
    <w:rsid w:val="0011032E"/>
    <w:rsid w:val="001116F9"/>
    <w:rsid w:val="00112F9B"/>
    <w:rsid w:val="0011348B"/>
    <w:rsid w:val="0011572E"/>
    <w:rsid w:val="00115982"/>
    <w:rsid w:val="00115C38"/>
    <w:rsid w:val="00116C53"/>
    <w:rsid w:val="00116C9B"/>
    <w:rsid w:val="00117818"/>
    <w:rsid w:val="001212D8"/>
    <w:rsid w:val="001213A7"/>
    <w:rsid w:val="00121799"/>
    <w:rsid w:val="001222FC"/>
    <w:rsid w:val="001226F7"/>
    <w:rsid w:val="00123902"/>
    <w:rsid w:val="0012397C"/>
    <w:rsid w:val="00124A51"/>
    <w:rsid w:val="00126587"/>
    <w:rsid w:val="00126621"/>
    <w:rsid w:val="00126B1D"/>
    <w:rsid w:val="001276D1"/>
    <w:rsid w:val="001301E9"/>
    <w:rsid w:val="00130681"/>
    <w:rsid w:val="0013074C"/>
    <w:rsid w:val="0013135C"/>
    <w:rsid w:val="00131D82"/>
    <w:rsid w:val="001325E9"/>
    <w:rsid w:val="00132759"/>
    <w:rsid w:val="00132B22"/>
    <w:rsid w:val="00133D36"/>
    <w:rsid w:val="00134063"/>
    <w:rsid w:val="0013409F"/>
    <w:rsid w:val="00135988"/>
    <w:rsid w:val="00135A85"/>
    <w:rsid w:val="00135D32"/>
    <w:rsid w:val="0013644F"/>
    <w:rsid w:val="001367E3"/>
    <w:rsid w:val="00137645"/>
    <w:rsid w:val="00137C4E"/>
    <w:rsid w:val="00137F1D"/>
    <w:rsid w:val="0014015A"/>
    <w:rsid w:val="00140E99"/>
    <w:rsid w:val="00143964"/>
    <w:rsid w:val="00143F67"/>
    <w:rsid w:val="00145220"/>
    <w:rsid w:val="001453DF"/>
    <w:rsid w:val="00145540"/>
    <w:rsid w:val="0014561A"/>
    <w:rsid w:val="00145646"/>
    <w:rsid w:val="001456B0"/>
    <w:rsid w:val="00146E04"/>
    <w:rsid w:val="00146E75"/>
    <w:rsid w:val="00147033"/>
    <w:rsid w:val="00147D09"/>
    <w:rsid w:val="00151CB7"/>
    <w:rsid w:val="00151DF2"/>
    <w:rsid w:val="00152864"/>
    <w:rsid w:val="00153749"/>
    <w:rsid w:val="00153B8E"/>
    <w:rsid w:val="0015567B"/>
    <w:rsid w:val="00155FBC"/>
    <w:rsid w:val="00156C97"/>
    <w:rsid w:val="00156F8F"/>
    <w:rsid w:val="00157130"/>
    <w:rsid w:val="001576B1"/>
    <w:rsid w:val="0016047B"/>
    <w:rsid w:val="00160A4C"/>
    <w:rsid w:val="00161550"/>
    <w:rsid w:val="001624EB"/>
    <w:rsid w:val="00162913"/>
    <w:rsid w:val="00163056"/>
    <w:rsid w:val="00163EFF"/>
    <w:rsid w:val="00163F66"/>
    <w:rsid w:val="00165B20"/>
    <w:rsid w:val="001661FB"/>
    <w:rsid w:val="00166DA5"/>
    <w:rsid w:val="001671A0"/>
    <w:rsid w:val="0016767F"/>
    <w:rsid w:val="00167D74"/>
    <w:rsid w:val="00172B24"/>
    <w:rsid w:val="00173565"/>
    <w:rsid w:val="00173B07"/>
    <w:rsid w:val="001751FA"/>
    <w:rsid w:val="00175EC0"/>
    <w:rsid w:val="0018058B"/>
    <w:rsid w:val="00180D86"/>
    <w:rsid w:val="00181D9C"/>
    <w:rsid w:val="001828EB"/>
    <w:rsid w:val="00183609"/>
    <w:rsid w:val="00184B0E"/>
    <w:rsid w:val="0018553A"/>
    <w:rsid w:val="00185BC8"/>
    <w:rsid w:val="0018752F"/>
    <w:rsid w:val="00187695"/>
    <w:rsid w:val="001902AE"/>
    <w:rsid w:val="00190B35"/>
    <w:rsid w:val="00191B76"/>
    <w:rsid w:val="001928D6"/>
    <w:rsid w:val="00193838"/>
    <w:rsid w:val="00193C3C"/>
    <w:rsid w:val="00193D7B"/>
    <w:rsid w:val="001940C2"/>
    <w:rsid w:val="00194AD8"/>
    <w:rsid w:val="00195222"/>
    <w:rsid w:val="001975D8"/>
    <w:rsid w:val="0019776B"/>
    <w:rsid w:val="001A07A4"/>
    <w:rsid w:val="001A0B56"/>
    <w:rsid w:val="001A178E"/>
    <w:rsid w:val="001A1D97"/>
    <w:rsid w:val="001A371A"/>
    <w:rsid w:val="001A43FA"/>
    <w:rsid w:val="001A47C5"/>
    <w:rsid w:val="001A4FA8"/>
    <w:rsid w:val="001A54A6"/>
    <w:rsid w:val="001A59FB"/>
    <w:rsid w:val="001A5E9E"/>
    <w:rsid w:val="001A6354"/>
    <w:rsid w:val="001A6366"/>
    <w:rsid w:val="001A7AE8"/>
    <w:rsid w:val="001B03C1"/>
    <w:rsid w:val="001B12E0"/>
    <w:rsid w:val="001B204E"/>
    <w:rsid w:val="001B22B6"/>
    <w:rsid w:val="001B2372"/>
    <w:rsid w:val="001B3443"/>
    <w:rsid w:val="001B44EA"/>
    <w:rsid w:val="001B498F"/>
    <w:rsid w:val="001B4D20"/>
    <w:rsid w:val="001B5D52"/>
    <w:rsid w:val="001B7811"/>
    <w:rsid w:val="001C00B0"/>
    <w:rsid w:val="001C1597"/>
    <w:rsid w:val="001C2877"/>
    <w:rsid w:val="001C2A9B"/>
    <w:rsid w:val="001C3820"/>
    <w:rsid w:val="001C3A0D"/>
    <w:rsid w:val="001C4299"/>
    <w:rsid w:val="001C444D"/>
    <w:rsid w:val="001C4847"/>
    <w:rsid w:val="001C4874"/>
    <w:rsid w:val="001C4E10"/>
    <w:rsid w:val="001C4F79"/>
    <w:rsid w:val="001C5255"/>
    <w:rsid w:val="001C5F94"/>
    <w:rsid w:val="001C6E66"/>
    <w:rsid w:val="001C6F4D"/>
    <w:rsid w:val="001C7308"/>
    <w:rsid w:val="001D0048"/>
    <w:rsid w:val="001D0281"/>
    <w:rsid w:val="001D0539"/>
    <w:rsid w:val="001D071E"/>
    <w:rsid w:val="001D090B"/>
    <w:rsid w:val="001D1100"/>
    <w:rsid w:val="001D1391"/>
    <w:rsid w:val="001D24D4"/>
    <w:rsid w:val="001D25D7"/>
    <w:rsid w:val="001D2B09"/>
    <w:rsid w:val="001D2E66"/>
    <w:rsid w:val="001D33B5"/>
    <w:rsid w:val="001D38D7"/>
    <w:rsid w:val="001D50B2"/>
    <w:rsid w:val="001D5160"/>
    <w:rsid w:val="001D5D98"/>
    <w:rsid w:val="001D7645"/>
    <w:rsid w:val="001E0172"/>
    <w:rsid w:val="001E13E4"/>
    <w:rsid w:val="001E1E59"/>
    <w:rsid w:val="001E1E86"/>
    <w:rsid w:val="001E209D"/>
    <w:rsid w:val="001E238E"/>
    <w:rsid w:val="001E2483"/>
    <w:rsid w:val="001E2B1E"/>
    <w:rsid w:val="001E2CFF"/>
    <w:rsid w:val="001E2F24"/>
    <w:rsid w:val="001E30D4"/>
    <w:rsid w:val="001E34DF"/>
    <w:rsid w:val="001E52EB"/>
    <w:rsid w:val="001E61D2"/>
    <w:rsid w:val="001E6380"/>
    <w:rsid w:val="001E70CF"/>
    <w:rsid w:val="001E740C"/>
    <w:rsid w:val="001E7AAE"/>
    <w:rsid w:val="001E7B70"/>
    <w:rsid w:val="001E7FB0"/>
    <w:rsid w:val="001F0DFE"/>
    <w:rsid w:val="001F1235"/>
    <w:rsid w:val="001F1875"/>
    <w:rsid w:val="001F1CB3"/>
    <w:rsid w:val="001F38B5"/>
    <w:rsid w:val="001F4081"/>
    <w:rsid w:val="001F55C2"/>
    <w:rsid w:val="001F5CF7"/>
    <w:rsid w:val="001F6CFA"/>
    <w:rsid w:val="001F7361"/>
    <w:rsid w:val="002000CD"/>
    <w:rsid w:val="0020094C"/>
    <w:rsid w:val="002011B0"/>
    <w:rsid w:val="0020188F"/>
    <w:rsid w:val="002027AC"/>
    <w:rsid w:val="00203181"/>
    <w:rsid w:val="00203783"/>
    <w:rsid w:val="0020385F"/>
    <w:rsid w:val="00203BAC"/>
    <w:rsid w:val="00203D06"/>
    <w:rsid w:val="00205E98"/>
    <w:rsid w:val="00205FD7"/>
    <w:rsid w:val="002068A0"/>
    <w:rsid w:val="0020695C"/>
    <w:rsid w:val="00206C18"/>
    <w:rsid w:val="00206E1E"/>
    <w:rsid w:val="00207021"/>
    <w:rsid w:val="0020732F"/>
    <w:rsid w:val="00207751"/>
    <w:rsid w:val="0020790B"/>
    <w:rsid w:val="00207D00"/>
    <w:rsid w:val="002105C1"/>
    <w:rsid w:val="00211D52"/>
    <w:rsid w:val="00211FA7"/>
    <w:rsid w:val="0021338F"/>
    <w:rsid w:val="00213EF5"/>
    <w:rsid w:val="0021436B"/>
    <w:rsid w:val="0021542A"/>
    <w:rsid w:val="00216BF5"/>
    <w:rsid w:val="00216F0D"/>
    <w:rsid w:val="00217BCB"/>
    <w:rsid w:val="00217CF6"/>
    <w:rsid w:val="002201F9"/>
    <w:rsid w:val="00223B49"/>
    <w:rsid w:val="00223BA8"/>
    <w:rsid w:val="00223BBE"/>
    <w:rsid w:val="00223D5A"/>
    <w:rsid w:val="00224179"/>
    <w:rsid w:val="00224CDC"/>
    <w:rsid w:val="00224DD4"/>
    <w:rsid w:val="00225A4D"/>
    <w:rsid w:val="00225FF3"/>
    <w:rsid w:val="00226143"/>
    <w:rsid w:val="002278A0"/>
    <w:rsid w:val="002309CC"/>
    <w:rsid w:val="00231D2D"/>
    <w:rsid w:val="00231D97"/>
    <w:rsid w:val="0023209F"/>
    <w:rsid w:val="00232B1D"/>
    <w:rsid w:val="00233C01"/>
    <w:rsid w:val="0023413C"/>
    <w:rsid w:val="00234414"/>
    <w:rsid w:val="002346F0"/>
    <w:rsid w:val="00235777"/>
    <w:rsid w:val="0023629D"/>
    <w:rsid w:val="00237255"/>
    <w:rsid w:val="0023743F"/>
    <w:rsid w:val="00237B51"/>
    <w:rsid w:val="00237B9D"/>
    <w:rsid w:val="00237ECF"/>
    <w:rsid w:val="00241EF6"/>
    <w:rsid w:val="002421FB"/>
    <w:rsid w:val="002424AF"/>
    <w:rsid w:val="002436C7"/>
    <w:rsid w:val="002439DC"/>
    <w:rsid w:val="00243CE4"/>
    <w:rsid w:val="002441D2"/>
    <w:rsid w:val="00244C5F"/>
    <w:rsid w:val="00244DC8"/>
    <w:rsid w:val="002458BA"/>
    <w:rsid w:val="00245CE9"/>
    <w:rsid w:val="002461B7"/>
    <w:rsid w:val="0024636C"/>
    <w:rsid w:val="00247126"/>
    <w:rsid w:val="0024783C"/>
    <w:rsid w:val="00247925"/>
    <w:rsid w:val="00250A84"/>
    <w:rsid w:val="00251006"/>
    <w:rsid w:val="0025167F"/>
    <w:rsid w:val="002523C9"/>
    <w:rsid w:val="002524D5"/>
    <w:rsid w:val="00252502"/>
    <w:rsid w:val="00253759"/>
    <w:rsid w:val="0025377B"/>
    <w:rsid w:val="00253B1D"/>
    <w:rsid w:val="00253DC1"/>
    <w:rsid w:val="00254DCF"/>
    <w:rsid w:val="0025534B"/>
    <w:rsid w:val="00255402"/>
    <w:rsid w:val="00255BB7"/>
    <w:rsid w:val="0025625F"/>
    <w:rsid w:val="00256B46"/>
    <w:rsid w:val="00257342"/>
    <w:rsid w:val="00257541"/>
    <w:rsid w:val="00257A39"/>
    <w:rsid w:val="00257AC4"/>
    <w:rsid w:val="00261973"/>
    <w:rsid w:val="00261BA2"/>
    <w:rsid w:val="00261EEF"/>
    <w:rsid w:val="00262A1A"/>
    <w:rsid w:val="00262A87"/>
    <w:rsid w:val="00263916"/>
    <w:rsid w:val="002640E0"/>
    <w:rsid w:val="00264584"/>
    <w:rsid w:val="00264D26"/>
    <w:rsid w:val="00265A36"/>
    <w:rsid w:val="00267642"/>
    <w:rsid w:val="00267A94"/>
    <w:rsid w:val="00267AEA"/>
    <w:rsid w:val="002700E6"/>
    <w:rsid w:val="00270272"/>
    <w:rsid w:val="00270F2C"/>
    <w:rsid w:val="00271101"/>
    <w:rsid w:val="0027294B"/>
    <w:rsid w:val="00273EB4"/>
    <w:rsid w:val="00274682"/>
    <w:rsid w:val="00275C5A"/>
    <w:rsid w:val="002764C5"/>
    <w:rsid w:val="00276783"/>
    <w:rsid w:val="00276AD0"/>
    <w:rsid w:val="00277EF9"/>
    <w:rsid w:val="00281014"/>
    <w:rsid w:val="00281384"/>
    <w:rsid w:val="0028368A"/>
    <w:rsid w:val="00283957"/>
    <w:rsid w:val="0028665D"/>
    <w:rsid w:val="002869E5"/>
    <w:rsid w:val="00286F3E"/>
    <w:rsid w:val="00286FBC"/>
    <w:rsid w:val="00287158"/>
    <w:rsid w:val="00290D59"/>
    <w:rsid w:val="002920B9"/>
    <w:rsid w:val="00292FE2"/>
    <w:rsid w:val="00293664"/>
    <w:rsid w:val="00294AEB"/>
    <w:rsid w:val="00295F29"/>
    <w:rsid w:val="002A02F1"/>
    <w:rsid w:val="002A14AB"/>
    <w:rsid w:val="002A2831"/>
    <w:rsid w:val="002A2ADE"/>
    <w:rsid w:val="002A2F50"/>
    <w:rsid w:val="002A3D40"/>
    <w:rsid w:val="002A4B33"/>
    <w:rsid w:val="002A4E48"/>
    <w:rsid w:val="002A64EF"/>
    <w:rsid w:val="002B04CE"/>
    <w:rsid w:val="002B05A1"/>
    <w:rsid w:val="002B062C"/>
    <w:rsid w:val="002B09A4"/>
    <w:rsid w:val="002B1041"/>
    <w:rsid w:val="002B14B5"/>
    <w:rsid w:val="002B1C1F"/>
    <w:rsid w:val="002B2EF4"/>
    <w:rsid w:val="002B432F"/>
    <w:rsid w:val="002B6156"/>
    <w:rsid w:val="002B62B3"/>
    <w:rsid w:val="002B6754"/>
    <w:rsid w:val="002B6CCE"/>
    <w:rsid w:val="002C0E5F"/>
    <w:rsid w:val="002C24DA"/>
    <w:rsid w:val="002C2510"/>
    <w:rsid w:val="002C2775"/>
    <w:rsid w:val="002C27C1"/>
    <w:rsid w:val="002C3E75"/>
    <w:rsid w:val="002C4098"/>
    <w:rsid w:val="002C4C2A"/>
    <w:rsid w:val="002C5099"/>
    <w:rsid w:val="002C5889"/>
    <w:rsid w:val="002C6427"/>
    <w:rsid w:val="002C71CE"/>
    <w:rsid w:val="002C7D0F"/>
    <w:rsid w:val="002D08F8"/>
    <w:rsid w:val="002D1132"/>
    <w:rsid w:val="002D138E"/>
    <w:rsid w:val="002D1BE8"/>
    <w:rsid w:val="002D2A7E"/>
    <w:rsid w:val="002D2E11"/>
    <w:rsid w:val="002D3BF9"/>
    <w:rsid w:val="002D4CB8"/>
    <w:rsid w:val="002D577C"/>
    <w:rsid w:val="002D5EBC"/>
    <w:rsid w:val="002D630A"/>
    <w:rsid w:val="002D6535"/>
    <w:rsid w:val="002E00B7"/>
    <w:rsid w:val="002E1071"/>
    <w:rsid w:val="002E1552"/>
    <w:rsid w:val="002E15B9"/>
    <w:rsid w:val="002E2158"/>
    <w:rsid w:val="002E2D65"/>
    <w:rsid w:val="002E388A"/>
    <w:rsid w:val="002E3A07"/>
    <w:rsid w:val="002E45FA"/>
    <w:rsid w:val="002E4F02"/>
    <w:rsid w:val="002E51E4"/>
    <w:rsid w:val="002E60EF"/>
    <w:rsid w:val="002E6433"/>
    <w:rsid w:val="002E6827"/>
    <w:rsid w:val="002E7656"/>
    <w:rsid w:val="002E7714"/>
    <w:rsid w:val="002E7722"/>
    <w:rsid w:val="002F07BA"/>
    <w:rsid w:val="002F0DA9"/>
    <w:rsid w:val="002F1014"/>
    <w:rsid w:val="002F126D"/>
    <w:rsid w:val="002F332E"/>
    <w:rsid w:val="002F352A"/>
    <w:rsid w:val="002F36C9"/>
    <w:rsid w:val="002F422A"/>
    <w:rsid w:val="002F4B27"/>
    <w:rsid w:val="002F55FF"/>
    <w:rsid w:val="002F56B4"/>
    <w:rsid w:val="002F643C"/>
    <w:rsid w:val="002F71C0"/>
    <w:rsid w:val="002F74F1"/>
    <w:rsid w:val="002F7BC5"/>
    <w:rsid w:val="002F7F0E"/>
    <w:rsid w:val="00301017"/>
    <w:rsid w:val="0030155F"/>
    <w:rsid w:val="003017A2"/>
    <w:rsid w:val="003017D4"/>
    <w:rsid w:val="0030237F"/>
    <w:rsid w:val="003027B2"/>
    <w:rsid w:val="00303B97"/>
    <w:rsid w:val="00303F01"/>
    <w:rsid w:val="00304042"/>
    <w:rsid w:val="003054FC"/>
    <w:rsid w:val="0030587B"/>
    <w:rsid w:val="00306D98"/>
    <w:rsid w:val="0030786C"/>
    <w:rsid w:val="0031031A"/>
    <w:rsid w:val="00310981"/>
    <w:rsid w:val="00310A31"/>
    <w:rsid w:val="00310BDA"/>
    <w:rsid w:val="00310DC5"/>
    <w:rsid w:val="0031144D"/>
    <w:rsid w:val="003114FE"/>
    <w:rsid w:val="00311B1D"/>
    <w:rsid w:val="003124D9"/>
    <w:rsid w:val="00312594"/>
    <w:rsid w:val="003127C2"/>
    <w:rsid w:val="00312B4A"/>
    <w:rsid w:val="00315385"/>
    <w:rsid w:val="00315498"/>
    <w:rsid w:val="00316474"/>
    <w:rsid w:val="00316F11"/>
    <w:rsid w:val="00321DAC"/>
    <w:rsid w:val="00322107"/>
    <w:rsid w:val="00322229"/>
    <w:rsid w:val="00322355"/>
    <w:rsid w:val="003227F2"/>
    <w:rsid w:val="00322846"/>
    <w:rsid w:val="00322FF5"/>
    <w:rsid w:val="00324E80"/>
    <w:rsid w:val="00325BC9"/>
    <w:rsid w:val="00326A9A"/>
    <w:rsid w:val="00326DA7"/>
    <w:rsid w:val="003270E4"/>
    <w:rsid w:val="003278D2"/>
    <w:rsid w:val="00327B05"/>
    <w:rsid w:val="00330DAA"/>
    <w:rsid w:val="00330E61"/>
    <w:rsid w:val="00330F5C"/>
    <w:rsid w:val="003319B3"/>
    <w:rsid w:val="003329F5"/>
    <w:rsid w:val="0033358F"/>
    <w:rsid w:val="00333BEC"/>
    <w:rsid w:val="00335223"/>
    <w:rsid w:val="00336542"/>
    <w:rsid w:val="003366C9"/>
    <w:rsid w:val="00337080"/>
    <w:rsid w:val="003371B0"/>
    <w:rsid w:val="003373C7"/>
    <w:rsid w:val="003379B8"/>
    <w:rsid w:val="00337A08"/>
    <w:rsid w:val="00340DF1"/>
    <w:rsid w:val="003413F9"/>
    <w:rsid w:val="00342061"/>
    <w:rsid w:val="0034227E"/>
    <w:rsid w:val="003422CF"/>
    <w:rsid w:val="00342325"/>
    <w:rsid w:val="00342522"/>
    <w:rsid w:val="00342C2F"/>
    <w:rsid w:val="00342DA4"/>
    <w:rsid w:val="0034456B"/>
    <w:rsid w:val="00346DD3"/>
    <w:rsid w:val="00350784"/>
    <w:rsid w:val="00350D7B"/>
    <w:rsid w:val="00350E0F"/>
    <w:rsid w:val="00350EF8"/>
    <w:rsid w:val="003517F9"/>
    <w:rsid w:val="003518C7"/>
    <w:rsid w:val="00351BA9"/>
    <w:rsid w:val="003526C3"/>
    <w:rsid w:val="00352E12"/>
    <w:rsid w:val="00352E8A"/>
    <w:rsid w:val="0035362A"/>
    <w:rsid w:val="003536F6"/>
    <w:rsid w:val="00353B01"/>
    <w:rsid w:val="00353E09"/>
    <w:rsid w:val="00354F64"/>
    <w:rsid w:val="00355F3D"/>
    <w:rsid w:val="0035620E"/>
    <w:rsid w:val="00356B9E"/>
    <w:rsid w:val="00360345"/>
    <w:rsid w:val="00360553"/>
    <w:rsid w:val="003611F1"/>
    <w:rsid w:val="0036186A"/>
    <w:rsid w:val="00361A05"/>
    <w:rsid w:val="003624C4"/>
    <w:rsid w:val="003637A8"/>
    <w:rsid w:val="00363B00"/>
    <w:rsid w:val="003654AC"/>
    <w:rsid w:val="00365B99"/>
    <w:rsid w:val="00365D71"/>
    <w:rsid w:val="00366C56"/>
    <w:rsid w:val="003706E5"/>
    <w:rsid w:val="003710CF"/>
    <w:rsid w:val="00371D85"/>
    <w:rsid w:val="0037207D"/>
    <w:rsid w:val="0037293C"/>
    <w:rsid w:val="0037322B"/>
    <w:rsid w:val="0037358A"/>
    <w:rsid w:val="003750F6"/>
    <w:rsid w:val="003755B0"/>
    <w:rsid w:val="0037565B"/>
    <w:rsid w:val="00375DB8"/>
    <w:rsid w:val="003760FC"/>
    <w:rsid w:val="00377882"/>
    <w:rsid w:val="00380DB1"/>
    <w:rsid w:val="00381A90"/>
    <w:rsid w:val="00382B4C"/>
    <w:rsid w:val="00383471"/>
    <w:rsid w:val="0038365C"/>
    <w:rsid w:val="0038369B"/>
    <w:rsid w:val="00383727"/>
    <w:rsid w:val="00383B78"/>
    <w:rsid w:val="00384271"/>
    <w:rsid w:val="00384403"/>
    <w:rsid w:val="00384B60"/>
    <w:rsid w:val="00385A9D"/>
    <w:rsid w:val="00387BDB"/>
    <w:rsid w:val="00387C51"/>
    <w:rsid w:val="003902B1"/>
    <w:rsid w:val="003904C0"/>
    <w:rsid w:val="0039050B"/>
    <w:rsid w:val="003908AD"/>
    <w:rsid w:val="0039111C"/>
    <w:rsid w:val="0039179C"/>
    <w:rsid w:val="00392264"/>
    <w:rsid w:val="00392F0B"/>
    <w:rsid w:val="00392F68"/>
    <w:rsid w:val="00393078"/>
    <w:rsid w:val="0039383C"/>
    <w:rsid w:val="00394860"/>
    <w:rsid w:val="0039547B"/>
    <w:rsid w:val="0039612D"/>
    <w:rsid w:val="00396896"/>
    <w:rsid w:val="00396C59"/>
    <w:rsid w:val="00396FD0"/>
    <w:rsid w:val="00397061"/>
    <w:rsid w:val="003973D9"/>
    <w:rsid w:val="00397D8E"/>
    <w:rsid w:val="003A0CF0"/>
    <w:rsid w:val="003A0F58"/>
    <w:rsid w:val="003A1624"/>
    <w:rsid w:val="003A1A7A"/>
    <w:rsid w:val="003A2392"/>
    <w:rsid w:val="003A24DC"/>
    <w:rsid w:val="003A2831"/>
    <w:rsid w:val="003A391B"/>
    <w:rsid w:val="003A3A42"/>
    <w:rsid w:val="003A3CB6"/>
    <w:rsid w:val="003A3ED1"/>
    <w:rsid w:val="003A44DB"/>
    <w:rsid w:val="003A5531"/>
    <w:rsid w:val="003A6132"/>
    <w:rsid w:val="003A6202"/>
    <w:rsid w:val="003A6528"/>
    <w:rsid w:val="003B00AB"/>
    <w:rsid w:val="003B01DC"/>
    <w:rsid w:val="003B14D0"/>
    <w:rsid w:val="003B31D6"/>
    <w:rsid w:val="003B3971"/>
    <w:rsid w:val="003B4002"/>
    <w:rsid w:val="003B55D1"/>
    <w:rsid w:val="003B59C0"/>
    <w:rsid w:val="003B5B61"/>
    <w:rsid w:val="003B67E5"/>
    <w:rsid w:val="003C1654"/>
    <w:rsid w:val="003C210E"/>
    <w:rsid w:val="003C22EB"/>
    <w:rsid w:val="003C2F8F"/>
    <w:rsid w:val="003C3ED2"/>
    <w:rsid w:val="003C5123"/>
    <w:rsid w:val="003C5542"/>
    <w:rsid w:val="003C5AC2"/>
    <w:rsid w:val="003C64BC"/>
    <w:rsid w:val="003C7086"/>
    <w:rsid w:val="003C78F7"/>
    <w:rsid w:val="003C7D19"/>
    <w:rsid w:val="003C7D2F"/>
    <w:rsid w:val="003C7E81"/>
    <w:rsid w:val="003C7EB5"/>
    <w:rsid w:val="003D0B8D"/>
    <w:rsid w:val="003D0F02"/>
    <w:rsid w:val="003D1828"/>
    <w:rsid w:val="003D1DE4"/>
    <w:rsid w:val="003D1E9A"/>
    <w:rsid w:val="003D2422"/>
    <w:rsid w:val="003D3458"/>
    <w:rsid w:val="003D381C"/>
    <w:rsid w:val="003D39A1"/>
    <w:rsid w:val="003D3BD7"/>
    <w:rsid w:val="003D3FBF"/>
    <w:rsid w:val="003D480B"/>
    <w:rsid w:val="003D4A30"/>
    <w:rsid w:val="003D4B30"/>
    <w:rsid w:val="003D51BD"/>
    <w:rsid w:val="003D56AC"/>
    <w:rsid w:val="003D5831"/>
    <w:rsid w:val="003D6F3A"/>
    <w:rsid w:val="003D7140"/>
    <w:rsid w:val="003D741C"/>
    <w:rsid w:val="003D7452"/>
    <w:rsid w:val="003D79BB"/>
    <w:rsid w:val="003D7C98"/>
    <w:rsid w:val="003D7D9D"/>
    <w:rsid w:val="003E0543"/>
    <w:rsid w:val="003E35B5"/>
    <w:rsid w:val="003E44F1"/>
    <w:rsid w:val="003E4E64"/>
    <w:rsid w:val="003E749E"/>
    <w:rsid w:val="003F07A6"/>
    <w:rsid w:val="003F1CF6"/>
    <w:rsid w:val="003F2AB6"/>
    <w:rsid w:val="003F3295"/>
    <w:rsid w:val="003F34A4"/>
    <w:rsid w:val="003F3D6B"/>
    <w:rsid w:val="003F4156"/>
    <w:rsid w:val="003F4A98"/>
    <w:rsid w:val="003F5ADF"/>
    <w:rsid w:val="003F5B5F"/>
    <w:rsid w:val="003F6C70"/>
    <w:rsid w:val="003F6EB6"/>
    <w:rsid w:val="003F70C2"/>
    <w:rsid w:val="003F7EEA"/>
    <w:rsid w:val="004004CB"/>
    <w:rsid w:val="00400B29"/>
    <w:rsid w:val="00401B51"/>
    <w:rsid w:val="00403A6D"/>
    <w:rsid w:val="00403F32"/>
    <w:rsid w:val="0040475B"/>
    <w:rsid w:val="00404911"/>
    <w:rsid w:val="0040504B"/>
    <w:rsid w:val="004054AF"/>
    <w:rsid w:val="004059F4"/>
    <w:rsid w:val="00406F35"/>
    <w:rsid w:val="00407018"/>
    <w:rsid w:val="00407574"/>
    <w:rsid w:val="00407C8C"/>
    <w:rsid w:val="00407FE5"/>
    <w:rsid w:val="004101B0"/>
    <w:rsid w:val="00410326"/>
    <w:rsid w:val="0041061B"/>
    <w:rsid w:val="00410708"/>
    <w:rsid w:val="0041079D"/>
    <w:rsid w:val="00410EC7"/>
    <w:rsid w:val="00411B39"/>
    <w:rsid w:val="00411B41"/>
    <w:rsid w:val="004127A7"/>
    <w:rsid w:val="00413A1E"/>
    <w:rsid w:val="00413EDA"/>
    <w:rsid w:val="00414476"/>
    <w:rsid w:val="00414683"/>
    <w:rsid w:val="004148D9"/>
    <w:rsid w:val="00414C2E"/>
    <w:rsid w:val="004151CF"/>
    <w:rsid w:val="00416364"/>
    <w:rsid w:val="00416B27"/>
    <w:rsid w:val="00416CC5"/>
    <w:rsid w:val="00417453"/>
    <w:rsid w:val="0042047F"/>
    <w:rsid w:val="00420A12"/>
    <w:rsid w:val="00420AA6"/>
    <w:rsid w:val="00420B9F"/>
    <w:rsid w:val="0042192C"/>
    <w:rsid w:val="00421EBF"/>
    <w:rsid w:val="00422260"/>
    <w:rsid w:val="00422299"/>
    <w:rsid w:val="004223EC"/>
    <w:rsid w:val="00422A15"/>
    <w:rsid w:val="004240F5"/>
    <w:rsid w:val="0042413F"/>
    <w:rsid w:val="004245EE"/>
    <w:rsid w:val="00424958"/>
    <w:rsid w:val="00426460"/>
    <w:rsid w:val="00427200"/>
    <w:rsid w:val="00431229"/>
    <w:rsid w:val="004319F8"/>
    <w:rsid w:val="00431E55"/>
    <w:rsid w:val="004321F6"/>
    <w:rsid w:val="00433044"/>
    <w:rsid w:val="004336BE"/>
    <w:rsid w:val="0043377E"/>
    <w:rsid w:val="00434088"/>
    <w:rsid w:val="00434A28"/>
    <w:rsid w:val="00434A83"/>
    <w:rsid w:val="00435754"/>
    <w:rsid w:val="004358FA"/>
    <w:rsid w:val="0043752E"/>
    <w:rsid w:val="004375B9"/>
    <w:rsid w:val="00440389"/>
    <w:rsid w:val="004412C5"/>
    <w:rsid w:val="004428D0"/>
    <w:rsid w:val="004430CA"/>
    <w:rsid w:val="00443A01"/>
    <w:rsid w:val="00444185"/>
    <w:rsid w:val="004443A7"/>
    <w:rsid w:val="0044442C"/>
    <w:rsid w:val="00444556"/>
    <w:rsid w:val="0044464E"/>
    <w:rsid w:val="004449DA"/>
    <w:rsid w:val="004449F3"/>
    <w:rsid w:val="00445941"/>
    <w:rsid w:val="004459C8"/>
    <w:rsid w:val="004464EB"/>
    <w:rsid w:val="00446E0C"/>
    <w:rsid w:val="00446EEB"/>
    <w:rsid w:val="00447143"/>
    <w:rsid w:val="00447D26"/>
    <w:rsid w:val="00447DFC"/>
    <w:rsid w:val="00450F52"/>
    <w:rsid w:val="0045482E"/>
    <w:rsid w:val="004548FF"/>
    <w:rsid w:val="00454BB9"/>
    <w:rsid w:val="00455001"/>
    <w:rsid w:val="00455CC7"/>
    <w:rsid w:val="00455D45"/>
    <w:rsid w:val="004567B4"/>
    <w:rsid w:val="00456ADE"/>
    <w:rsid w:val="0045708C"/>
    <w:rsid w:val="0045785C"/>
    <w:rsid w:val="004606F5"/>
    <w:rsid w:val="00461A2D"/>
    <w:rsid w:val="00462DCF"/>
    <w:rsid w:val="00463B27"/>
    <w:rsid w:val="00463E34"/>
    <w:rsid w:val="00464595"/>
    <w:rsid w:val="004647EF"/>
    <w:rsid w:val="004649A6"/>
    <w:rsid w:val="00464C99"/>
    <w:rsid w:val="004658B5"/>
    <w:rsid w:val="004676D6"/>
    <w:rsid w:val="004714E1"/>
    <w:rsid w:val="00471EA5"/>
    <w:rsid w:val="0047221E"/>
    <w:rsid w:val="00472A79"/>
    <w:rsid w:val="0047378B"/>
    <w:rsid w:val="00473F19"/>
    <w:rsid w:val="004741C0"/>
    <w:rsid w:val="00475526"/>
    <w:rsid w:val="00475901"/>
    <w:rsid w:val="00475E22"/>
    <w:rsid w:val="00476BDF"/>
    <w:rsid w:val="00476CA8"/>
    <w:rsid w:val="00477FF8"/>
    <w:rsid w:val="0048072C"/>
    <w:rsid w:val="0048088E"/>
    <w:rsid w:val="00480F22"/>
    <w:rsid w:val="00480F2B"/>
    <w:rsid w:val="00480FA2"/>
    <w:rsid w:val="004811D4"/>
    <w:rsid w:val="00481BDD"/>
    <w:rsid w:val="004823F3"/>
    <w:rsid w:val="004825CA"/>
    <w:rsid w:val="00482720"/>
    <w:rsid w:val="00482BD1"/>
    <w:rsid w:val="004835E7"/>
    <w:rsid w:val="00483C1D"/>
    <w:rsid w:val="00485644"/>
    <w:rsid w:val="00486577"/>
    <w:rsid w:val="004867E2"/>
    <w:rsid w:val="00486D19"/>
    <w:rsid w:val="00490328"/>
    <w:rsid w:val="00490378"/>
    <w:rsid w:val="00490B17"/>
    <w:rsid w:val="004910DE"/>
    <w:rsid w:val="00491B3A"/>
    <w:rsid w:val="00492CFD"/>
    <w:rsid w:val="004940CB"/>
    <w:rsid w:val="00494207"/>
    <w:rsid w:val="00494DD5"/>
    <w:rsid w:val="004962D2"/>
    <w:rsid w:val="004A0AEC"/>
    <w:rsid w:val="004A0DA1"/>
    <w:rsid w:val="004A13D6"/>
    <w:rsid w:val="004A2B2F"/>
    <w:rsid w:val="004A52E9"/>
    <w:rsid w:val="004A6040"/>
    <w:rsid w:val="004A6597"/>
    <w:rsid w:val="004A7848"/>
    <w:rsid w:val="004B045D"/>
    <w:rsid w:val="004B06A8"/>
    <w:rsid w:val="004B1675"/>
    <w:rsid w:val="004B1AD8"/>
    <w:rsid w:val="004B1B4A"/>
    <w:rsid w:val="004B1CB4"/>
    <w:rsid w:val="004B25F4"/>
    <w:rsid w:val="004B2F18"/>
    <w:rsid w:val="004B3DDB"/>
    <w:rsid w:val="004B44D0"/>
    <w:rsid w:val="004B44FD"/>
    <w:rsid w:val="004B5CFC"/>
    <w:rsid w:val="004B667E"/>
    <w:rsid w:val="004B6F79"/>
    <w:rsid w:val="004B774D"/>
    <w:rsid w:val="004B79D7"/>
    <w:rsid w:val="004B7EC5"/>
    <w:rsid w:val="004C067B"/>
    <w:rsid w:val="004C1624"/>
    <w:rsid w:val="004C1F26"/>
    <w:rsid w:val="004C20ED"/>
    <w:rsid w:val="004C45F9"/>
    <w:rsid w:val="004C4AED"/>
    <w:rsid w:val="004C6160"/>
    <w:rsid w:val="004C7980"/>
    <w:rsid w:val="004D0124"/>
    <w:rsid w:val="004D1805"/>
    <w:rsid w:val="004D21F4"/>
    <w:rsid w:val="004D2C2D"/>
    <w:rsid w:val="004D53B3"/>
    <w:rsid w:val="004D69B5"/>
    <w:rsid w:val="004D6F6C"/>
    <w:rsid w:val="004D7227"/>
    <w:rsid w:val="004D7C23"/>
    <w:rsid w:val="004E0119"/>
    <w:rsid w:val="004E0E7F"/>
    <w:rsid w:val="004E0EB8"/>
    <w:rsid w:val="004E18E9"/>
    <w:rsid w:val="004E1C3F"/>
    <w:rsid w:val="004E2ADC"/>
    <w:rsid w:val="004E3252"/>
    <w:rsid w:val="004E4115"/>
    <w:rsid w:val="004E43B2"/>
    <w:rsid w:val="004E4F65"/>
    <w:rsid w:val="004E576D"/>
    <w:rsid w:val="004E6BC5"/>
    <w:rsid w:val="004E6F30"/>
    <w:rsid w:val="004E6F6B"/>
    <w:rsid w:val="004E7297"/>
    <w:rsid w:val="004F1B8F"/>
    <w:rsid w:val="004F1D02"/>
    <w:rsid w:val="004F1EBE"/>
    <w:rsid w:val="004F2679"/>
    <w:rsid w:val="004F2D71"/>
    <w:rsid w:val="004F2F21"/>
    <w:rsid w:val="004F3DE5"/>
    <w:rsid w:val="004F5209"/>
    <w:rsid w:val="004F6913"/>
    <w:rsid w:val="004F6E75"/>
    <w:rsid w:val="004F7865"/>
    <w:rsid w:val="004F7999"/>
    <w:rsid w:val="0050052E"/>
    <w:rsid w:val="0050174E"/>
    <w:rsid w:val="00501854"/>
    <w:rsid w:val="0050219B"/>
    <w:rsid w:val="00503F17"/>
    <w:rsid w:val="00505710"/>
    <w:rsid w:val="00505756"/>
    <w:rsid w:val="0050640B"/>
    <w:rsid w:val="005067B4"/>
    <w:rsid w:val="00506928"/>
    <w:rsid w:val="00507604"/>
    <w:rsid w:val="0050764D"/>
    <w:rsid w:val="005077EF"/>
    <w:rsid w:val="00511658"/>
    <w:rsid w:val="00511AD5"/>
    <w:rsid w:val="00511C04"/>
    <w:rsid w:val="00511DC7"/>
    <w:rsid w:val="005120CE"/>
    <w:rsid w:val="0051298F"/>
    <w:rsid w:val="00513533"/>
    <w:rsid w:val="00513B21"/>
    <w:rsid w:val="00513BAC"/>
    <w:rsid w:val="005142C5"/>
    <w:rsid w:val="005143CE"/>
    <w:rsid w:val="0051501B"/>
    <w:rsid w:val="005152B5"/>
    <w:rsid w:val="00515831"/>
    <w:rsid w:val="0051665A"/>
    <w:rsid w:val="00516CB8"/>
    <w:rsid w:val="00517BE8"/>
    <w:rsid w:val="0052011E"/>
    <w:rsid w:val="00520B79"/>
    <w:rsid w:val="0052123C"/>
    <w:rsid w:val="00521319"/>
    <w:rsid w:val="00522605"/>
    <w:rsid w:val="00522786"/>
    <w:rsid w:val="005229E2"/>
    <w:rsid w:val="00522BC8"/>
    <w:rsid w:val="00523C28"/>
    <w:rsid w:val="0052442E"/>
    <w:rsid w:val="0052449F"/>
    <w:rsid w:val="00524AAF"/>
    <w:rsid w:val="00525C16"/>
    <w:rsid w:val="005305DB"/>
    <w:rsid w:val="00530905"/>
    <w:rsid w:val="00530FD3"/>
    <w:rsid w:val="00531419"/>
    <w:rsid w:val="0053176B"/>
    <w:rsid w:val="00531A1E"/>
    <w:rsid w:val="00532A93"/>
    <w:rsid w:val="00534594"/>
    <w:rsid w:val="00535548"/>
    <w:rsid w:val="00535C71"/>
    <w:rsid w:val="00536F42"/>
    <w:rsid w:val="00537182"/>
    <w:rsid w:val="0053749D"/>
    <w:rsid w:val="005376B2"/>
    <w:rsid w:val="00541EDD"/>
    <w:rsid w:val="00542743"/>
    <w:rsid w:val="00542C2D"/>
    <w:rsid w:val="005433C6"/>
    <w:rsid w:val="00543997"/>
    <w:rsid w:val="00544007"/>
    <w:rsid w:val="00544D60"/>
    <w:rsid w:val="00546308"/>
    <w:rsid w:val="00546485"/>
    <w:rsid w:val="005478BD"/>
    <w:rsid w:val="005479E3"/>
    <w:rsid w:val="0055124E"/>
    <w:rsid w:val="00551985"/>
    <w:rsid w:val="00552BD3"/>
    <w:rsid w:val="00552FA2"/>
    <w:rsid w:val="005532A0"/>
    <w:rsid w:val="00553DA6"/>
    <w:rsid w:val="005546C3"/>
    <w:rsid w:val="0055501A"/>
    <w:rsid w:val="00555109"/>
    <w:rsid w:val="005554C3"/>
    <w:rsid w:val="00555783"/>
    <w:rsid w:val="00556B35"/>
    <w:rsid w:val="0055741A"/>
    <w:rsid w:val="005611B7"/>
    <w:rsid w:val="005618D4"/>
    <w:rsid w:val="0056221A"/>
    <w:rsid w:val="00563471"/>
    <w:rsid w:val="00563766"/>
    <w:rsid w:val="00563918"/>
    <w:rsid w:val="00564BB7"/>
    <w:rsid w:val="00565142"/>
    <w:rsid w:val="005659AB"/>
    <w:rsid w:val="00565DF0"/>
    <w:rsid w:val="0056696F"/>
    <w:rsid w:val="00571424"/>
    <w:rsid w:val="00572269"/>
    <w:rsid w:val="0057244A"/>
    <w:rsid w:val="00572716"/>
    <w:rsid w:val="00572F26"/>
    <w:rsid w:val="00573E84"/>
    <w:rsid w:val="00574828"/>
    <w:rsid w:val="00574ADF"/>
    <w:rsid w:val="005750C5"/>
    <w:rsid w:val="00575226"/>
    <w:rsid w:val="005752DE"/>
    <w:rsid w:val="005755DD"/>
    <w:rsid w:val="0057568F"/>
    <w:rsid w:val="00575C3C"/>
    <w:rsid w:val="00575D1E"/>
    <w:rsid w:val="00575D8D"/>
    <w:rsid w:val="00576972"/>
    <w:rsid w:val="00581314"/>
    <w:rsid w:val="0058267C"/>
    <w:rsid w:val="00583699"/>
    <w:rsid w:val="00585459"/>
    <w:rsid w:val="00585CDD"/>
    <w:rsid w:val="005862EF"/>
    <w:rsid w:val="00586969"/>
    <w:rsid w:val="00587058"/>
    <w:rsid w:val="00590AF4"/>
    <w:rsid w:val="00591957"/>
    <w:rsid w:val="00591F84"/>
    <w:rsid w:val="005920F7"/>
    <w:rsid w:val="00597B31"/>
    <w:rsid w:val="00597BF9"/>
    <w:rsid w:val="005A0E49"/>
    <w:rsid w:val="005A0E6D"/>
    <w:rsid w:val="005A1575"/>
    <w:rsid w:val="005A1AAB"/>
    <w:rsid w:val="005A2A99"/>
    <w:rsid w:val="005A309A"/>
    <w:rsid w:val="005A373D"/>
    <w:rsid w:val="005A3E1B"/>
    <w:rsid w:val="005A51EA"/>
    <w:rsid w:val="005A6651"/>
    <w:rsid w:val="005A7DF6"/>
    <w:rsid w:val="005B0633"/>
    <w:rsid w:val="005B0B58"/>
    <w:rsid w:val="005B16B5"/>
    <w:rsid w:val="005B2940"/>
    <w:rsid w:val="005B3138"/>
    <w:rsid w:val="005B34BC"/>
    <w:rsid w:val="005B3557"/>
    <w:rsid w:val="005B4E53"/>
    <w:rsid w:val="005B530E"/>
    <w:rsid w:val="005B5857"/>
    <w:rsid w:val="005B5C54"/>
    <w:rsid w:val="005B6A16"/>
    <w:rsid w:val="005B76FB"/>
    <w:rsid w:val="005C06F0"/>
    <w:rsid w:val="005C0C84"/>
    <w:rsid w:val="005C0F40"/>
    <w:rsid w:val="005C101D"/>
    <w:rsid w:val="005C1B83"/>
    <w:rsid w:val="005C25FF"/>
    <w:rsid w:val="005C2651"/>
    <w:rsid w:val="005C2720"/>
    <w:rsid w:val="005C2D55"/>
    <w:rsid w:val="005C346B"/>
    <w:rsid w:val="005C77DC"/>
    <w:rsid w:val="005D028A"/>
    <w:rsid w:val="005D044D"/>
    <w:rsid w:val="005D0836"/>
    <w:rsid w:val="005D0ABD"/>
    <w:rsid w:val="005D0CB1"/>
    <w:rsid w:val="005D123E"/>
    <w:rsid w:val="005D18AD"/>
    <w:rsid w:val="005D1BB3"/>
    <w:rsid w:val="005D1BB9"/>
    <w:rsid w:val="005D20D5"/>
    <w:rsid w:val="005D26B4"/>
    <w:rsid w:val="005D26EA"/>
    <w:rsid w:val="005D2799"/>
    <w:rsid w:val="005D4D28"/>
    <w:rsid w:val="005D5183"/>
    <w:rsid w:val="005D6795"/>
    <w:rsid w:val="005E00EE"/>
    <w:rsid w:val="005E0767"/>
    <w:rsid w:val="005E2C4A"/>
    <w:rsid w:val="005E3BF2"/>
    <w:rsid w:val="005E4359"/>
    <w:rsid w:val="005E4BC9"/>
    <w:rsid w:val="005E5E81"/>
    <w:rsid w:val="005E6BD2"/>
    <w:rsid w:val="005E6CBC"/>
    <w:rsid w:val="005E6DC1"/>
    <w:rsid w:val="005E7106"/>
    <w:rsid w:val="005E72FF"/>
    <w:rsid w:val="005E73C0"/>
    <w:rsid w:val="005F02BC"/>
    <w:rsid w:val="005F033F"/>
    <w:rsid w:val="005F2706"/>
    <w:rsid w:val="005F343C"/>
    <w:rsid w:val="005F362C"/>
    <w:rsid w:val="005F3666"/>
    <w:rsid w:val="005F4E53"/>
    <w:rsid w:val="005F6A8F"/>
    <w:rsid w:val="005F6BB7"/>
    <w:rsid w:val="005F6D5F"/>
    <w:rsid w:val="005F7588"/>
    <w:rsid w:val="005F7BFE"/>
    <w:rsid w:val="0060011F"/>
    <w:rsid w:val="00600DA6"/>
    <w:rsid w:val="00601195"/>
    <w:rsid w:val="00601B05"/>
    <w:rsid w:val="006022B8"/>
    <w:rsid w:val="006029E4"/>
    <w:rsid w:val="00603DB9"/>
    <w:rsid w:val="00604AC3"/>
    <w:rsid w:val="00606FBA"/>
    <w:rsid w:val="00607669"/>
    <w:rsid w:val="006076F4"/>
    <w:rsid w:val="00607AFD"/>
    <w:rsid w:val="0061038D"/>
    <w:rsid w:val="00611AC8"/>
    <w:rsid w:val="00612F97"/>
    <w:rsid w:val="0061345D"/>
    <w:rsid w:val="006142E2"/>
    <w:rsid w:val="00615022"/>
    <w:rsid w:val="00615107"/>
    <w:rsid w:val="0061549B"/>
    <w:rsid w:val="006160B6"/>
    <w:rsid w:val="00616802"/>
    <w:rsid w:val="00617E12"/>
    <w:rsid w:val="00620088"/>
    <w:rsid w:val="00620C25"/>
    <w:rsid w:val="00621477"/>
    <w:rsid w:val="00621ADA"/>
    <w:rsid w:val="0062214F"/>
    <w:rsid w:val="0062267D"/>
    <w:rsid w:val="00623F7B"/>
    <w:rsid w:val="00624869"/>
    <w:rsid w:val="00630964"/>
    <w:rsid w:val="00630E00"/>
    <w:rsid w:val="0063152F"/>
    <w:rsid w:val="0063158F"/>
    <w:rsid w:val="00631D6B"/>
    <w:rsid w:val="00632183"/>
    <w:rsid w:val="006322E7"/>
    <w:rsid w:val="006329D7"/>
    <w:rsid w:val="00632E54"/>
    <w:rsid w:val="006330A1"/>
    <w:rsid w:val="0063479F"/>
    <w:rsid w:val="00634A24"/>
    <w:rsid w:val="006353F0"/>
    <w:rsid w:val="006357B5"/>
    <w:rsid w:val="006357F8"/>
    <w:rsid w:val="006364A1"/>
    <w:rsid w:val="0063678E"/>
    <w:rsid w:val="006370B9"/>
    <w:rsid w:val="00637BFD"/>
    <w:rsid w:val="00637DAA"/>
    <w:rsid w:val="00641AF5"/>
    <w:rsid w:val="00641C4E"/>
    <w:rsid w:val="00641FB3"/>
    <w:rsid w:val="00643E8B"/>
    <w:rsid w:val="0064434C"/>
    <w:rsid w:val="006471CC"/>
    <w:rsid w:val="00647490"/>
    <w:rsid w:val="00647A29"/>
    <w:rsid w:val="00647AB7"/>
    <w:rsid w:val="00647B55"/>
    <w:rsid w:val="0065079F"/>
    <w:rsid w:val="00651C59"/>
    <w:rsid w:val="00652A28"/>
    <w:rsid w:val="00652DF8"/>
    <w:rsid w:val="0065379F"/>
    <w:rsid w:val="0065386C"/>
    <w:rsid w:val="00654CBF"/>
    <w:rsid w:val="00655772"/>
    <w:rsid w:val="00656188"/>
    <w:rsid w:val="006565FB"/>
    <w:rsid w:val="00656BB9"/>
    <w:rsid w:val="0065715A"/>
    <w:rsid w:val="00657A29"/>
    <w:rsid w:val="006600A0"/>
    <w:rsid w:val="006610F1"/>
    <w:rsid w:val="0066149C"/>
    <w:rsid w:val="00661C6B"/>
    <w:rsid w:val="0066347C"/>
    <w:rsid w:val="00664121"/>
    <w:rsid w:val="006644D6"/>
    <w:rsid w:val="0066496F"/>
    <w:rsid w:val="00664CA9"/>
    <w:rsid w:val="00665D2F"/>
    <w:rsid w:val="00666DE7"/>
    <w:rsid w:val="00666E6C"/>
    <w:rsid w:val="00667311"/>
    <w:rsid w:val="00670B4E"/>
    <w:rsid w:val="00671004"/>
    <w:rsid w:val="00671698"/>
    <w:rsid w:val="00671B7E"/>
    <w:rsid w:val="00672646"/>
    <w:rsid w:val="00672BE5"/>
    <w:rsid w:val="00672EC1"/>
    <w:rsid w:val="00673257"/>
    <w:rsid w:val="006735F3"/>
    <w:rsid w:val="00673BAC"/>
    <w:rsid w:val="00674E42"/>
    <w:rsid w:val="006777B6"/>
    <w:rsid w:val="00677FF1"/>
    <w:rsid w:val="00680059"/>
    <w:rsid w:val="00681261"/>
    <w:rsid w:val="006813F8"/>
    <w:rsid w:val="00681665"/>
    <w:rsid w:val="00681747"/>
    <w:rsid w:val="00682112"/>
    <w:rsid w:val="00682BA6"/>
    <w:rsid w:val="00684371"/>
    <w:rsid w:val="00686025"/>
    <w:rsid w:val="00686957"/>
    <w:rsid w:val="006872BA"/>
    <w:rsid w:val="00687DC6"/>
    <w:rsid w:val="00690795"/>
    <w:rsid w:val="006909D2"/>
    <w:rsid w:val="006912AB"/>
    <w:rsid w:val="00691648"/>
    <w:rsid w:val="006917D7"/>
    <w:rsid w:val="0069434C"/>
    <w:rsid w:val="00694F44"/>
    <w:rsid w:val="006957FE"/>
    <w:rsid w:val="00696903"/>
    <w:rsid w:val="00696DB2"/>
    <w:rsid w:val="00696F51"/>
    <w:rsid w:val="006979A5"/>
    <w:rsid w:val="00697C9F"/>
    <w:rsid w:val="00697DCE"/>
    <w:rsid w:val="006A01AA"/>
    <w:rsid w:val="006A01B6"/>
    <w:rsid w:val="006A11C8"/>
    <w:rsid w:val="006A12C3"/>
    <w:rsid w:val="006A233A"/>
    <w:rsid w:val="006A3CE1"/>
    <w:rsid w:val="006A4F76"/>
    <w:rsid w:val="006A5256"/>
    <w:rsid w:val="006A6274"/>
    <w:rsid w:val="006A6B99"/>
    <w:rsid w:val="006A7C4F"/>
    <w:rsid w:val="006A7CFE"/>
    <w:rsid w:val="006A7E5F"/>
    <w:rsid w:val="006B1E3B"/>
    <w:rsid w:val="006B1FE2"/>
    <w:rsid w:val="006B261B"/>
    <w:rsid w:val="006B2C90"/>
    <w:rsid w:val="006B3004"/>
    <w:rsid w:val="006B35E6"/>
    <w:rsid w:val="006B436C"/>
    <w:rsid w:val="006B465A"/>
    <w:rsid w:val="006B4D33"/>
    <w:rsid w:val="006B6DD0"/>
    <w:rsid w:val="006C0399"/>
    <w:rsid w:val="006C07FA"/>
    <w:rsid w:val="006C1F78"/>
    <w:rsid w:val="006C2A8E"/>
    <w:rsid w:val="006C2DD2"/>
    <w:rsid w:val="006C3255"/>
    <w:rsid w:val="006C3BC2"/>
    <w:rsid w:val="006C3F26"/>
    <w:rsid w:val="006C7E87"/>
    <w:rsid w:val="006D0D17"/>
    <w:rsid w:val="006D27C4"/>
    <w:rsid w:val="006D2B0B"/>
    <w:rsid w:val="006D3C7D"/>
    <w:rsid w:val="006D3C9F"/>
    <w:rsid w:val="006D40A1"/>
    <w:rsid w:val="006D4659"/>
    <w:rsid w:val="006D5D5F"/>
    <w:rsid w:val="006D68FB"/>
    <w:rsid w:val="006D69EA"/>
    <w:rsid w:val="006D74C6"/>
    <w:rsid w:val="006E14EE"/>
    <w:rsid w:val="006E1ED0"/>
    <w:rsid w:val="006E2123"/>
    <w:rsid w:val="006E2868"/>
    <w:rsid w:val="006E3DA1"/>
    <w:rsid w:val="006E4D57"/>
    <w:rsid w:val="006E554C"/>
    <w:rsid w:val="006E6478"/>
    <w:rsid w:val="006E6F15"/>
    <w:rsid w:val="006E7BE9"/>
    <w:rsid w:val="006F1081"/>
    <w:rsid w:val="006F10A2"/>
    <w:rsid w:val="006F306C"/>
    <w:rsid w:val="006F63A5"/>
    <w:rsid w:val="006F7A60"/>
    <w:rsid w:val="0070142B"/>
    <w:rsid w:val="0070276E"/>
    <w:rsid w:val="00702D29"/>
    <w:rsid w:val="00702F8F"/>
    <w:rsid w:val="00703566"/>
    <w:rsid w:val="00704691"/>
    <w:rsid w:val="0070524E"/>
    <w:rsid w:val="007059D2"/>
    <w:rsid w:val="00706407"/>
    <w:rsid w:val="0070792D"/>
    <w:rsid w:val="007079FC"/>
    <w:rsid w:val="00707A99"/>
    <w:rsid w:val="00710A25"/>
    <w:rsid w:val="00711422"/>
    <w:rsid w:val="00711A36"/>
    <w:rsid w:val="00711C7C"/>
    <w:rsid w:val="0071236A"/>
    <w:rsid w:val="0071383E"/>
    <w:rsid w:val="00714C26"/>
    <w:rsid w:val="0071529C"/>
    <w:rsid w:val="007170DA"/>
    <w:rsid w:val="00717191"/>
    <w:rsid w:val="007172AD"/>
    <w:rsid w:val="0072004A"/>
    <w:rsid w:val="0072032D"/>
    <w:rsid w:val="00720801"/>
    <w:rsid w:val="00720C41"/>
    <w:rsid w:val="00721E2A"/>
    <w:rsid w:val="00722B1B"/>
    <w:rsid w:val="00722C8C"/>
    <w:rsid w:val="00723530"/>
    <w:rsid w:val="007235D2"/>
    <w:rsid w:val="007237C0"/>
    <w:rsid w:val="00724110"/>
    <w:rsid w:val="0072416F"/>
    <w:rsid w:val="00725E1B"/>
    <w:rsid w:val="007262BC"/>
    <w:rsid w:val="00727C0D"/>
    <w:rsid w:val="00727C94"/>
    <w:rsid w:val="00727D0E"/>
    <w:rsid w:val="00731B0A"/>
    <w:rsid w:val="00731C7A"/>
    <w:rsid w:val="00731EAE"/>
    <w:rsid w:val="00733073"/>
    <w:rsid w:val="0073331B"/>
    <w:rsid w:val="00734469"/>
    <w:rsid w:val="00735033"/>
    <w:rsid w:val="00735328"/>
    <w:rsid w:val="00735727"/>
    <w:rsid w:val="0073621A"/>
    <w:rsid w:val="0073685B"/>
    <w:rsid w:val="00736D32"/>
    <w:rsid w:val="00737909"/>
    <w:rsid w:val="007426EA"/>
    <w:rsid w:val="00743BD5"/>
    <w:rsid w:val="00743BF0"/>
    <w:rsid w:val="007449BF"/>
    <w:rsid w:val="00744B74"/>
    <w:rsid w:val="00745780"/>
    <w:rsid w:val="007468C1"/>
    <w:rsid w:val="00746BC0"/>
    <w:rsid w:val="00746DA0"/>
    <w:rsid w:val="00747456"/>
    <w:rsid w:val="00747B8D"/>
    <w:rsid w:val="007510B4"/>
    <w:rsid w:val="00752142"/>
    <w:rsid w:val="007523F9"/>
    <w:rsid w:val="0075357E"/>
    <w:rsid w:val="00756987"/>
    <w:rsid w:val="007573E8"/>
    <w:rsid w:val="007601F0"/>
    <w:rsid w:val="00760BBA"/>
    <w:rsid w:val="00760C4E"/>
    <w:rsid w:val="00760F9E"/>
    <w:rsid w:val="00761255"/>
    <w:rsid w:val="0076210B"/>
    <w:rsid w:val="007627BE"/>
    <w:rsid w:val="00764747"/>
    <w:rsid w:val="00764F03"/>
    <w:rsid w:val="00765B1A"/>
    <w:rsid w:val="00765C2E"/>
    <w:rsid w:val="00766836"/>
    <w:rsid w:val="00766D68"/>
    <w:rsid w:val="007675A3"/>
    <w:rsid w:val="007675DA"/>
    <w:rsid w:val="0077095D"/>
    <w:rsid w:val="00771726"/>
    <w:rsid w:val="007723AA"/>
    <w:rsid w:val="00775371"/>
    <w:rsid w:val="00776C03"/>
    <w:rsid w:val="00777335"/>
    <w:rsid w:val="00777B15"/>
    <w:rsid w:val="0078085C"/>
    <w:rsid w:val="00781E46"/>
    <w:rsid w:val="007830E3"/>
    <w:rsid w:val="00783711"/>
    <w:rsid w:val="007843F2"/>
    <w:rsid w:val="007847A9"/>
    <w:rsid w:val="00785A9F"/>
    <w:rsid w:val="00785C15"/>
    <w:rsid w:val="00785E78"/>
    <w:rsid w:val="00786107"/>
    <w:rsid w:val="00786E6D"/>
    <w:rsid w:val="00787E79"/>
    <w:rsid w:val="00787F73"/>
    <w:rsid w:val="0079063A"/>
    <w:rsid w:val="00790DAE"/>
    <w:rsid w:val="0079101C"/>
    <w:rsid w:val="00791606"/>
    <w:rsid w:val="00791E63"/>
    <w:rsid w:val="007923D6"/>
    <w:rsid w:val="007925DF"/>
    <w:rsid w:val="007953C2"/>
    <w:rsid w:val="00796533"/>
    <w:rsid w:val="00796C69"/>
    <w:rsid w:val="00796F5A"/>
    <w:rsid w:val="007A08AA"/>
    <w:rsid w:val="007A0A12"/>
    <w:rsid w:val="007A132D"/>
    <w:rsid w:val="007A1345"/>
    <w:rsid w:val="007A2DDB"/>
    <w:rsid w:val="007A34C5"/>
    <w:rsid w:val="007A3597"/>
    <w:rsid w:val="007A4933"/>
    <w:rsid w:val="007A58F7"/>
    <w:rsid w:val="007A70BA"/>
    <w:rsid w:val="007A7E4F"/>
    <w:rsid w:val="007B017F"/>
    <w:rsid w:val="007B0D68"/>
    <w:rsid w:val="007B0F6D"/>
    <w:rsid w:val="007B11F4"/>
    <w:rsid w:val="007B157E"/>
    <w:rsid w:val="007B251D"/>
    <w:rsid w:val="007B2CA4"/>
    <w:rsid w:val="007B42D0"/>
    <w:rsid w:val="007B43EB"/>
    <w:rsid w:val="007B4F58"/>
    <w:rsid w:val="007B528D"/>
    <w:rsid w:val="007B63CA"/>
    <w:rsid w:val="007B77D1"/>
    <w:rsid w:val="007C076D"/>
    <w:rsid w:val="007C07C7"/>
    <w:rsid w:val="007C0AC9"/>
    <w:rsid w:val="007C0E69"/>
    <w:rsid w:val="007C1CD9"/>
    <w:rsid w:val="007C32EF"/>
    <w:rsid w:val="007C361D"/>
    <w:rsid w:val="007C43BC"/>
    <w:rsid w:val="007C4B84"/>
    <w:rsid w:val="007C66CE"/>
    <w:rsid w:val="007C70FF"/>
    <w:rsid w:val="007C7C25"/>
    <w:rsid w:val="007D004F"/>
    <w:rsid w:val="007D0A9B"/>
    <w:rsid w:val="007D0B38"/>
    <w:rsid w:val="007D1505"/>
    <w:rsid w:val="007D2EA8"/>
    <w:rsid w:val="007D3FD3"/>
    <w:rsid w:val="007D4E3F"/>
    <w:rsid w:val="007D5440"/>
    <w:rsid w:val="007D69EB"/>
    <w:rsid w:val="007E128F"/>
    <w:rsid w:val="007E15F3"/>
    <w:rsid w:val="007E1EEF"/>
    <w:rsid w:val="007E37AB"/>
    <w:rsid w:val="007E3955"/>
    <w:rsid w:val="007E3BCD"/>
    <w:rsid w:val="007E55D7"/>
    <w:rsid w:val="007E7C75"/>
    <w:rsid w:val="007F0FAB"/>
    <w:rsid w:val="007F1017"/>
    <w:rsid w:val="007F2564"/>
    <w:rsid w:val="007F33F1"/>
    <w:rsid w:val="007F3DDB"/>
    <w:rsid w:val="007F3E7E"/>
    <w:rsid w:val="007F4A3F"/>
    <w:rsid w:val="007F4A61"/>
    <w:rsid w:val="007F5255"/>
    <w:rsid w:val="007F56CC"/>
    <w:rsid w:val="007F61C2"/>
    <w:rsid w:val="007F6291"/>
    <w:rsid w:val="008008FC"/>
    <w:rsid w:val="00800B32"/>
    <w:rsid w:val="00800BFB"/>
    <w:rsid w:val="0080146D"/>
    <w:rsid w:val="00801631"/>
    <w:rsid w:val="00801BAF"/>
    <w:rsid w:val="00801C3D"/>
    <w:rsid w:val="00802366"/>
    <w:rsid w:val="008037CD"/>
    <w:rsid w:val="00805142"/>
    <w:rsid w:val="00805FCE"/>
    <w:rsid w:val="00805FF9"/>
    <w:rsid w:val="008069BE"/>
    <w:rsid w:val="008077A3"/>
    <w:rsid w:val="00807A8B"/>
    <w:rsid w:val="008100C1"/>
    <w:rsid w:val="00811383"/>
    <w:rsid w:val="00811B0C"/>
    <w:rsid w:val="00811CF8"/>
    <w:rsid w:val="00812149"/>
    <w:rsid w:val="00812C4D"/>
    <w:rsid w:val="00812CAC"/>
    <w:rsid w:val="00813FDB"/>
    <w:rsid w:val="008155CA"/>
    <w:rsid w:val="00816361"/>
    <w:rsid w:val="008166EF"/>
    <w:rsid w:val="00816FEF"/>
    <w:rsid w:val="008170A0"/>
    <w:rsid w:val="00820A8C"/>
    <w:rsid w:val="00820B0E"/>
    <w:rsid w:val="008215FB"/>
    <w:rsid w:val="00822F4C"/>
    <w:rsid w:val="00823174"/>
    <w:rsid w:val="00825751"/>
    <w:rsid w:val="008264EB"/>
    <w:rsid w:val="00826545"/>
    <w:rsid w:val="00830BB1"/>
    <w:rsid w:val="00830C0D"/>
    <w:rsid w:val="008330E0"/>
    <w:rsid w:val="00833B05"/>
    <w:rsid w:val="00834E81"/>
    <w:rsid w:val="008362B4"/>
    <w:rsid w:val="00836CF8"/>
    <w:rsid w:val="00837768"/>
    <w:rsid w:val="00840044"/>
    <w:rsid w:val="00840A91"/>
    <w:rsid w:val="00840CA2"/>
    <w:rsid w:val="008422DB"/>
    <w:rsid w:val="0084374F"/>
    <w:rsid w:val="00843945"/>
    <w:rsid w:val="00844A22"/>
    <w:rsid w:val="00844ADB"/>
    <w:rsid w:val="0084565A"/>
    <w:rsid w:val="00847703"/>
    <w:rsid w:val="00847DF5"/>
    <w:rsid w:val="0085005A"/>
    <w:rsid w:val="008502EB"/>
    <w:rsid w:val="00850755"/>
    <w:rsid w:val="00852E9E"/>
    <w:rsid w:val="00852F92"/>
    <w:rsid w:val="0085309D"/>
    <w:rsid w:val="00853766"/>
    <w:rsid w:val="00853B69"/>
    <w:rsid w:val="00856897"/>
    <w:rsid w:val="00856E9A"/>
    <w:rsid w:val="00857110"/>
    <w:rsid w:val="00857C1D"/>
    <w:rsid w:val="0086075D"/>
    <w:rsid w:val="00862502"/>
    <w:rsid w:val="00862CC1"/>
    <w:rsid w:val="0086437E"/>
    <w:rsid w:val="00865C10"/>
    <w:rsid w:val="008660D4"/>
    <w:rsid w:val="008662CC"/>
    <w:rsid w:val="008701A6"/>
    <w:rsid w:val="00870A13"/>
    <w:rsid w:val="00871FA9"/>
    <w:rsid w:val="008728E9"/>
    <w:rsid w:val="00872E7B"/>
    <w:rsid w:val="0087308D"/>
    <w:rsid w:val="0087437D"/>
    <w:rsid w:val="0087682E"/>
    <w:rsid w:val="00876924"/>
    <w:rsid w:val="00882874"/>
    <w:rsid w:val="0088295B"/>
    <w:rsid w:val="00882E3C"/>
    <w:rsid w:val="00883787"/>
    <w:rsid w:val="008839C0"/>
    <w:rsid w:val="00884C7E"/>
    <w:rsid w:val="00884D13"/>
    <w:rsid w:val="00884ECC"/>
    <w:rsid w:val="008855E4"/>
    <w:rsid w:val="00886766"/>
    <w:rsid w:val="00886CD2"/>
    <w:rsid w:val="008874E3"/>
    <w:rsid w:val="00887AC6"/>
    <w:rsid w:val="00890FA5"/>
    <w:rsid w:val="00891374"/>
    <w:rsid w:val="008916D6"/>
    <w:rsid w:val="00891E6F"/>
    <w:rsid w:val="0089231F"/>
    <w:rsid w:val="0089275D"/>
    <w:rsid w:val="00892A36"/>
    <w:rsid w:val="00893239"/>
    <w:rsid w:val="0089358B"/>
    <w:rsid w:val="0089365D"/>
    <w:rsid w:val="008937FB"/>
    <w:rsid w:val="00893A5B"/>
    <w:rsid w:val="00894489"/>
    <w:rsid w:val="00894CC9"/>
    <w:rsid w:val="008956F8"/>
    <w:rsid w:val="008963A5"/>
    <w:rsid w:val="0089668B"/>
    <w:rsid w:val="00896D3D"/>
    <w:rsid w:val="00896D5D"/>
    <w:rsid w:val="0089718B"/>
    <w:rsid w:val="00897E79"/>
    <w:rsid w:val="008A248A"/>
    <w:rsid w:val="008A2538"/>
    <w:rsid w:val="008A3345"/>
    <w:rsid w:val="008A3363"/>
    <w:rsid w:val="008A3371"/>
    <w:rsid w:val="008A393D"/>
    <w:rsid w:val="008A3C3E"/>
    <w:rsid w:val="008A47BE"/>
    <w:rsid w:val="008A4891"/>
    <w:rsid w:val="008A5F16"/>
    <w:rsid w:val="008A6FEF"/>
    <w:rsid w:val="008A7021"/>
    <w:rsid w:val="008A79DE"/>
    <w:rsid w:val="008B0E52"/>
    <w:rsid w:val="008B15AB"/>
    <w:rsid w:val="008B1635"/>
    <w:rsid w:val="008B1757"/>
    <w:rsid w:val="008B467F"/>
    <w:rsid w:val="008B4A7C"/>
    <w:rsid w:val="008B541D"/>
    <w:rsid w:val="008B5531"/>
    <w:rsid w:val="008B715D"/>
    <w:rsid w:val="008B72E1"/>
    <w:rsid w:val="008B7992"/>
    <w:rsid w:val="008B7D7E"/>
    <w:rsid w:val="008C1035"/>
    <w:rsid w:val="008C2898"/>
    <w:rsid w:val="008C2FAB"/>
    <w:rsid w:val="008C3362"/>
    <w:rsid w:val="008C37C1"/>
    <w:rsid w:val="008C3AEC"/>
    <w:rsid w:val="008C3D5F"/>
    <w:rsid w:val="008C492F"/>
    <w:rsid w:val="008C539A"/>
    <w:rsid w:val="008C5610"/>
    <w:rsid w:val="008C5739"/>
    <w:rsid w:val="008C7D2C"/>
    <w:rsid w:val="008C7ECB"/>
    <w:rsid w:val="008D149A"/>
    <w:rsid w:val="008D3158"/>
    <w:rsid w:val="008D3273"/>
    <w:rsid w:val="008D3B86"/>
    <w:rsid w:val="008D3E76"/>
    <w:rsid w:val="008D4755"/>
    <w:rsid w:val="008D4C3D"/>
    <w:rsid w:val="008D554C"/>
    <w:rsid w:val="008D56E5"/>
    <w:rsid w:val="008D743C"/>
    <w:rsid w:val="008E0D3C"/>
    <w:rsid w:val="008E167F"/>
    <w:rsid w:val="008E1890"/>
    <w:rsid w:val="008E1B9E"/>
    <w:rsid w:val="008E24DE"/>
    <w:rsid w:val="008E36F3"/>
    <w:rsid w:val="008E55AB"/>
    <w:rsid w:val="008E66F5"/>
    <w:rsid w:val="008E6F8B"/>
    <w:rsid w:val="008F110D"/>
    <w:rsid w:val="008F120A"/>
    <w:rsid w:val="008F196A"/>
    <w:rsid w:val="008F27E0"/>
    <w:rsid w:val="008F3D47"/>
    <w:rsid w:val="008F48EB"/>
    <w:rsid w:val="008F4F0B"/>
    <w:rsid w:val="008F5836"/>
    <w:rsid w:val="0090179C"/>
    <w:rsid w:val="00901FAC"/>
    <w:rsid w:val="009026E3"/>
    <w:rsid w:val="00902A91"/>
    <w:rsid w:val="009030EE"/>
    <w:rsid w:val="0090366A"/>
    <w:rsid w:val="009046C4"/>
    <w:rsid w:val="00905A44"/>
    <w:rsid w:val="00905FF8"/>
    <w:rsid w:val="009062A5"/>
    <w:rsid w:val="00910D6F"/>
    <w:rsid w:val="00910FA7"/>
    <w:rsid w:val="00911272"/>
    <w:rsid w:val="00911C9E"/>
    <w:rsid w:val="0091342A"/>
    <w:rsid w:val="009135D6"/>
    <w:rsid w:val="009144DC"/>
    <w:rsid w:val="00914BFE"/>
    <w:rsid w:val="00914C77"/>
    <w:rsid w:val="009154EC"/>
    <w:rsid w:val="00915A83"/>
    <w:rsid w:val="00916A9E"/>
    <w:rsid w:val="00916B6C"/>
    <w:rsid w:val="00917DF9"/>
    <w:rsid w:val="00920C9A"/>
    <w:rsid w:val="00921ACB"/>
    <w:rsid w:val="0092369B"/>
    <w:rsid w:val="00923C8F"/>
    <w:rsid w:val="009272CA"/>
    <w:rsid w:val="009276D8"/>
    <w:rsid w:val="00927DF5"/>
    <w:rsid w:val="00931423"/>
    <w:rsid w:val="00934988"/>
    <w:rsid w:val="00934E8E"/>
    <w:rsid w:val="009355B8"/>
    <w:rsid w:val="00935C62"/>
    <w:rsid w:val="0093614D"/>
    <w:rsid w:val="009362EA"/>
    <w:rsid w:val="00936EA7"/>
    <w:rsid w:val="00937089"/>
    <w:rsid w:val="00937AB5"/>
    <w:rsid w:val="0094033C"/>
    <w:rsid w:val="00941B90"/>
    <w:rsid w:val="0094234E"/>
    <w:rsid w:val="009434A2"/>
    <w:rsid w:val="00943948"/>
    <w:rsid w:val="00943D8D"/>
    <w:rsid w:val="00944F8A"/>
    <w:rsid w:val="0094657D"/>
    <w:rsid w:val="00950F22"/>
    <w:rsid w:val="009510A2"/>
    <w:rsid w:val="00953257"/>
    <w:rsid w:val="0095474C"/>
    <w:rsid w:val="00954F0B"/>
    <w:rsid w:val="009604A3"/>
    <w:rsid w:val="00960B47"/>
    <w:rsid w:val="00961534"/>
    <w:rsid w:val="00962920"/>
    <w:rsid w:val="00962CB9"/>
    <w:rsid w:val="00964312"/>
    <w:rsid w:val="00964509"/>
    <w:rsid w:val="00964B33"/>
    <w:rsid w:val="00964BF9"/>
    <w:rsid w:val="00965B8A"/>
    <w:rsid w:val="009671D6"/>
    <w:rsid w:val="0097071F"/>
    <w:rsid w:val="009717AC"/>
    <w:rsid w:val="00971C6B"/>
    <w:rsid w:val="0097304B"/>
    <w:rsid w:val="00973312"/>
    <w:rsid w:val="00973646"/>
    <w:rsid w:val="00973E64"/>
    <w:rsid w:val="00974057"/>
    <w:rsid w:val="009751C1"/>
    <w:rsid w:val="009811F1"/>
    <w:rsid w:val="00981A31"/>
    <w:rsid w:val="009820B4"/>
    <w:rsid w:val="00982AB4"/>
    <w:rsid w:val="0098336E"/>
    <w:rsid w:val="00983513"/>
    <w:rsid w:val="00983E57"/>
    <w:rsid w:val="00984AC4"/>
    <w:rsid w:val="00985DE2"/>
    <w:rsid w:val="0098675D"/>
    <w:rsid w:val="0098769D"/>
    <w:rsid w:val="00987D07"/>
    <w:rsid w:val="00990B00"/>
    <w:rsid w:val="0099108D"/>
    <w:rsid w:val="00991159"/>
    <w:rsid w:val="0099147F"/>
    <w:rsid w:val="00992108"/>
    <w:rsid w:val="009926E0"/>
    <w:rsid w:val="00992CB4"/>
    <w:rsid w:val="009943D7"/>
    <w:rsid w:val="0099451E"/>
    <w:rsid w:val="009946A8"/>
    <w:rsid w:val="00994FD5"/>
    <w:rsid w:val="00995AC3"/>
    <w:rsid w:val="00996B1A"/>
    <w:rsid w:val="009975FF"/>
    <w:rsid w:val="009A046F"/>
    <w:rsid w:val="009A0B2A"/>
    <w:rsid w:val="009A0E80"/>
    <w:rsid w:val="009A254F"/>
    <w:rsid w:val="009A2DCC"/>
    <w:rsid w:val="009A2E14"/>
    <w:rsid w:val="009A402A"/>
    <w:rsid w:val="009A422B"/>
    <w:rsid w:val="009A4992"/>
    <w:rsid w:val="009A5ABC"/>
    <w:rsid w:val="009A687D"/>
    <w:rsid w:val="009A790E"/>
    <w:rsid w:val="009A7F10"/>
    <w:rsid w:val="009B29F1"/>
    <w:rsid w:val="009B3E26"/>
    <w:rsid w:val="009B4B35"/>
    <w:rsid w:val="009B6377"/>
    <w:rsid w:val="009B66B1"/>
    <w:rsid w:val="009B720C"/>
    <w:rsid w:val="009B79F7"/>
    <w:rsid w:val="009B7FC8"/>
    <w:rsid w:val="009C1EA4"/>
    <w:rsid w:val="009C3706"/>
    <w:rsid w:val="009C3958"/>
    <w:rsid w:val="009C3A3A"/>
    <w:rsid w:val="009C3DD9"/>
    <w:rsid w:val="009C459F"/>
    <w:rsid w:val="009C4D8C"/>
    <w:rsid w:val="009C6CEA"/>
    <w:rsid w:val="009C7B85"/>
    <w:rsid w:val="009D0254"/>
    <w:rsid w:val="009D0E86"/>
    <w:rsid w:val="009D16E7"/>
    <w:rsid w:val="009D1A64"/>
    <w:rsid w:val="009D23A4"/>
    <w:rsid w:val="009D3725"/>
    <w:rsid w:val="009D3865"/>
    <w:rsid w:val="009D5B91"/>
    <w:rsid w:val="009D792E"/>
    <w:rsid w:val="009D7A5F"/>
    <w:rsid w:val="009D7BCE"/>
    <w:rsid w:val="009E0122"/>
    <w:rsid w:val="009E033E"/>
    <w:rsid w:val="009E0DFE"/>
    <w:rsid w:val="009E14F0"/>
    <w:rsid w:val="009E31F6"/>
    <w:rsid w:val="009E32DD"/>
    <w:rsid w:val="009E4863"/>
    <w:rsid w:val="009E4C07"/>
    <w:rsid w:val="009E4D08"/>
    <w:rsid w:val="009E54CD"/>
    <w:rsid w:val="009E667D"/>
    <w:rsid w:val="009E66F6"/>
    <w:rsid w:val="009E676E"/>
    <w:rsid w:val="009E6A64"/>
    <w:rsid w:val="009F04EA"/>
    <w:rsid w:val="009F1048"/>
    <w:rsid w:val="009F1F2F"/>
    <w:rsid w:val="009F2A0C"/>
    <w:rsid w:val="009F2B3B"/>
    <w:rsid w:val="009F3018"/>
    <w:rsid w:val="009F33E5"/>
    <w:rsid w:val="009F4E28"/>
    <w:rsid w:val="009F5D3E"/>
    <w:rsid w:val="009F6001"/>
    <w:rsid w:val="009F7B60"/>
    <w:rsid w:val="009F7EC7"/>
    <w:rsid w:val="00A00854"/>
    <w:rsid w:val="00A00EF0"/>
    <w:rsid w:val="00A01184"/>
    <w:rsid w:val="00A01929"/>
    <w:rsid w:val="00A030FA"/>
    <w:rsid w:val="00A037C2"/>
    <w:rsid w:val="00A03D43"/>
    <w:rsid w:val="00A04380"/>
    <w:rsid w:val="00A048A1"/>
    <w:rsid w:val="00A05472"/>
    <w:rsid w:val="00A05C32"/>
    <w:rsid w:val="00A05EF3"/>
    <w:rsid w:val="00A06168"/>
    <w:rsid w:val="00A0653F"/>
    <w:rsid w:val="00A06BDA"/>
    <w:rsid w:val="00A07799"/>
    <w:rsid w:val="00A10D3A"/>
    <w:rsid w:val="00A1116C"/>
    <w:rsid w:val="00A11B54"/>
    <w:rsid w:val="00A11BEA"/>
    <w:rsid w:val="00A11CD0"/>
    <w:rsid w:val="00A11E0F"/>
    <w:rsid w:val="00A13948"/>
    <w:rsid w:val="00A14C42"/>
    <w:rsid w:val="00A1555B"/>
    <w:rsid w:val="00A155C5"/>
    <w:rsid w:val="00A16AD8"/>
    <w:rsid w:val="00A16BBE"/>
    <w:rsid w:val="00A17715"/>
    <w:rsid w:val="00A20F0A"/>
    <w:rsid w:val="00A21366"/>
    <w:rsid w:val="00A21C95"/>
    <w:rsid w:val="00A21CF3"/>
    <w:rsid w:val="00A22004"/>
    <w:rsid w:val="00A22041"/>
    <w:rsid w:val="00A22B25"/>
    <w:rsid w:val="00A22B71"/>
    <w:rsid w:val="00A22CF0"/>
    <w:rsid w:val="00A243C0"/>
    <w:rsid w:val="00A24813"/>
    <w:rsid w:val="00A25887"/>
    <w:rsid w:val="00A25F71"/>
    <w:rsid w:val="00A261A4"/>
    <w:rsid w:val="00A26DAE"/>
    <w:rsid w:val="00A27587"/>
    <w:rsid w:val="00A27AEC"/>
    <w:rsid w:val="00A27CA9"/>
    <w:rsid w:val="00A27F1A"/>
    <w:rsid w:val="00A30894"/>
    <w:rsid w:val="00A30B4B"/>
    <w:rsid w:val="00A3162A"/>
    <w:rsid w:val="00A320DB"/>
    <w:rsid w:val="00A33437"/>
    <w:rsid w:val="00A33C78"/>
    <w:rsid w:val="00A33E02"/>
    <w:rsid w:val="00A343C6"/>
    <w:rsid w:val="00A35D16"/>
    <w:rsid w:val="00A36012"/>
    <w:rsid w:val="00A36407"/>
    <w:rsid w:val="00A36718"/>
    <w:rsid w:val="00A369F9"/>
    <w:rsid w:val="00A36D7F"/>
    <w:rsid w:val="00A36F80"/>
    <w:rsid w:val="00A370C3"/>
    <w:rsid w:val="00A37BCD"/>
    <w:rsid w:val="00A408D4"/>
    <w:rsid w:val="00A41689"/>
    <w:rsid w:val="00A420EE"/>
    <w:rsid w:val="00A42592"/>
    <w:rsid w:val="00A43BAD"/>
    <w:rsid w:val="00A43C59"/>
    <w:rsid w:val="00A464E1"/>
    <w:rsid w:val="00A501FF"/>
    <w:rsid w:val="00A503DD"/>
    <w:rsid w:val="00A50ECD"/>
    <w:rsid w:val="00A514E3"/>
    <w:rsid w:val="00A518F3"/>
    <w:rsid w:val="00A519D7"/>
    <w:rsid w:val="00A5243C"/>
    <w:rsid w:val="00A52729"/>
    <w:rsid w:val="00A52940"/>
    <w:rsid w:val="00A53675"/>
    <w:rsid w:val="00A54FB2"/>
    <w:rsid w:val="00A56201"/>
    <w:rsid w:val="00A564D7"/>
    <w:rsid w:val="00A56597"/>
    <w:rsid w:val="00A56B6A"/>
    <w:rsid w:val="00A578DC"/>
    <w:rsid w:val="00A57D59"/>
    <w:rsid w:val="00A605F1"/>
    <w:rsid w:val="00A60F7F"/>
    <w:rsid w:val="00A61296"/>
    <w:rsid w:val="00A6215A"/>
    <w:rsid w:val="00A638C1"/>
    <w:rsid w:val="00A640E2"/>
    <w:rsid w:val="00A64D65"/>
    <w:rsid w:val="00A6725B"/>
    <w:rsid w:val="00A673DF"/>
    <w:rsid w:val="00A700E8"/>
    <w:rsid w:val="00A70605"/>
    <w:rsid w:val="00A713E8"/>
    <w:rsid w:val="00A7224D"/>
    <w:rsid w:val="00A73134"/>
    <w:rsid w:val="00A74850"/>
    <w:rsid w:val="00A74DB0"/>
    <w:rsid w:val="00A7580C"/>
    <w:rsid w:val="00A76001"/>
    <w:rsid w:val="00A769EB"/>
    <w:rsid w:val="00A76B7D"/>
    <w:rsid w:val="00A777B2"/>
    <w:rsid w:val="00A77E7F"/>
    <w:rsid w:val="00A8057F"/>
    <w:rsid w:val="00A81C2A"/>
    <w:rsid w:val="00A82018"/>
    <w:rsid w:val="00A825D4"/>
    <w:rsid w:val="00A828F6"/>
    <w:rsid w:val="00A82B73"/>
    <w:rsid w:val="00A83910"/>
    <w:rsid w:val="00A846E4"/>
    <w:rsid w:val="00A85812"/>
    <w:rsid w:val="00A86E8B"/>
    <w:rsid w:val="00A87164"/>
    <w:rsid w:val="00A87575"/>
    <w:rsid w:val="00A87D9B"/>
    <w:rsid w:val="00A9131B"/>
    <w:rsid w:val="00A93072"/>
    <w:rsid w:val="00A938BD"/>
    <w:rsid w:val="00A93953"/>
    <w:rsid w:val="00A93B23"/>
    <w:rsid w:val="00A9432E"/>
    <w:rsid w:val="00A95997"/>
    <w:rsid w:val="00A959D8"/>
    <w:rsid w:val="00A97709"/>
    <w:rsid w:val="00A97F34"/>
    <w:rsid w:val="00AA0619"/>
    <w:rsid w:val="00AA113D"/>
    <w:rsid w:val="00AA19B6"/>
    <w:rsid w:val="00AA1C17"/>
    <w:rsid w:val="00AA2C1F"/>
    <w:rsid w:val="00AA2CFE"/>
    <w:rsid w:val="00AA3C86"/>
    <w:rsid w:val="00AA41AF"/>
    <w:rsid w:val="00AA5F50"/>
    <w:rsid w:val="00AA6BD5"/>
    <w:rsid w:val="00AA6BD8"/>
    <w:rsid w:val="00AA6C7D"/>
    <w:rsid w:val="00AA73BF"/>
    <w:rsid w:val="00AA7FD6"/>
    <w:rsid w:val="00AB042A"/>
    <w:rsid w:val="00AB07C4"/>
    <w:rsid w:val="00AB07F4"/>
    <w:rsid w:val="00AB19EF"/>
    <w:rsid w:val="00AB2D34"/>
    <w:rsid w:val="00AB3430"/>
    <w:rsid w:val="00AB3494"/>
    <w:rsid w:val="00AB353D"/>
    <w:rsid w:val="00AB37B9"/>
    <w:rsid w:val="00AB3C7B"/>
    <w:rsid w:val="00AB3DB9"/>
    <w:rsid w:val="00AB4389"/>
    <w:rsid w:val="00AB43C8"/>
    <w:rsid w:val="00AB44F0"/>
    <w:rsid w:val="00AB4AD1"/>
    <w:rsid w:val="00AB5575"/>
    <w:rsid w:val="00AB569F"/>
    <w:rsid w:val="00AB58BD"/>
    <w:rsid w:val="00AB5E07"/>
    <w:rsid w:val="00AB6CCC"/>
    <w:rsid w:val="00AB7713"/>
    <w:rsid w:val="00AB7CFA"/>
    <w:rsid w:val="00AC045F"/>
    <w:rsid w:val="00AC37FE"/>
    <w:rsid w:val="00AC4C1F"/>
    <w:rsid w:val="00AC56BB"/>
    <w:rsid w:val="00AC5B48"/>
    <w:rsid w:val="00AC5F8C"/>
    <w:rsid w:val="00AC67BA"/>
    <w:rsid w:val="00AD0585"/>
    <w:rsid w:val="00AD08F0"/>
    <w:rsid w:val="00AD1450"/>
    <w:rsid w:val="00AD1B90"/>
    <w:rsid w:val="00AD3758"/>
    <w:rsid w:val="00AD4088"/>
    <w:rsid w:val="00AD4BD2"/>
    <w:rsid w:val="00AD6502"/>
    <w:rsid w:val="00AD6CA7"/>
    <w:rsid w:val="00AD6ED4"/>
    <w:rsid w:val="00AD718D"/>
    <w:rsid w:val="00AD7E9B"/>
    <w:rsid w:val="00AE0695"/>
    <w:rsid w:val="00AE0B7B"/>
    <w:rsid w:val="00AE1969"/>
    <w:rsid w:val="00AE1B20"/>
    <w:rsid w:val="00AE1D4A"/>
    <w:rsid w:val="00AE292F"/>
    <w:rsid w:val="00AE3E7E"/>
    <w:rsid w:val="00AE461C"/>
    <w:rsid w:val="00AE52B7"/>
    <w:rsid w:val="00AE6E5F"/>
    <w:rsid w:val="00AF0EB6"/>
    <w:rsid w:val="00AF1184"/>
    <w:rsid w:val="00AF1315"/>
    <w:rsid w:val="00AF17DD"/>
    <w:rsid w:val="00AF19BF"/>
    <w:rsid w:val="00AF21E6"/>
    <w:rsid w:val="00AF2DC3"/>
    <w:rsid w:val="00AF3640"/>
    <w:rsid w:val="00AF385A"/>
    <w:rsid w:val="00AF481F"/>
    <w:rsid w:val="00AF4986"/>
    <w:rsid w:val="00AF61C6"/>
    <w:rsid w:val="00AF665C"/>
    <w:rsid w:val="00AF6C06"/>
    <w:rsid w:val="00B01578"/>
    <w:rsid w:val="00B01925"/>
    <w:rsid w:val="00B0288B"/>
    <w:rsid w:val="00B03158"/>
    <w:rsid w:val="00B033E5"/>
    <w:rsid w:val="00B03A63"/>
    <w:rsid w:val="00B04CDD"/>
    <w:rsid w:val="00B05432"/>
    <w:rsid w:val="00B06069"/>
    <w:rsid w:val="00B062CE"/>
    <w:rsid w:val="00B0645B"/>
    <w:rsid w:val="00B07E96"/>
    <w:rsid w:val="00B11299"/>
    <w:rsid w:val="00B11E7F"/>
    <w:rsid w:val="00B14CC2"/>
    <w:rsid w:val="00B152F4"/>
    <w:rsid w:val="00B1567C"/>
    <w:rsid w:val="00B1653A"/>
    <w:rsid w:val="00B16DAA"/>
    <w:rsid w:val="00B1767E"/>
    <w:rsid w:val="00B178EA"/>
    <w:rsid w:val="00B201A4"/>
    <w:rsid w:val="00B201D1"/>
    <w:rsid w:val="00B213A6"/>
    <w:rsid w:val="00B218CA"/>
    <w:rsid w:val="00B22321"/>
    <w:rsid w:val="00B227E4"/>
    <w:rsid w:val="00B22CC5"/>
    <w:rsid w:val="00B22F31"/>
    <w:rsid w:val="00B235B0"/>
    <w:rsid w:val="00B2413F"/>
    <w:rsid w:val="00B24C16"/>
    <w:rsid w:val="00B24CFE"/>
    <w:rsid w:val="00B24DDA"/>
    <w:rsid w:val="00B24DF6"/>
    <w:rsid w:val="00B2683C"/>
    <w:rsid w:val="00B272C0"/>
    <w:rsid w:val="00B272D1"/>
    <w:rsid w:val="00B303FC"/>
    <w:rsid w:val="00B31289"/>
    <w:rsid w:val="00B31376"/>
    <w:rsid w:val="00B324A0"/>
    <w:rsid w:val="00B32848"/>
    <w:rsid w:val="00B34067"/>
    <w:rsid w:val="00B34AFB"/>
    <w:rsid w:val="00B34FE2"/>
    <w:rsid w:val="00B35166"/>
    <w:rsid w:val="00B3541B"/>
    <w:rsid w:val="00B357D8"/>
    <w:rsid w:val="00B35C69"/>
    <w:rsid w:val="00B360F4"/>
    <w:rsid w:val="00B36576"/>
    <w:rsid w:val="00B36A00"/>
    <w:rsid w:val="00B37BFC"/>
    <w:rsid w:val="00B401EF"/>
    <w:rsid w:val="00B40358"/>
    <w:rsid w:val="00B40A1F"/>
    <w:rsid w:val="00B41614"/>
    <w:rsid w:val="00B4234F"/>
    <w:rsid w:val="00B42851"/>
    <w:rsid w:val="00B428B3"/>
    <w:rsid w:val="00B42F80"/>
    <w:rsid w:val="00B435CB"/>
    <w:rsid w:val="00B441FB"/>
    <w:rsid w:val="00B450CF"/>
    <w:rsid w:val="00B45B5C"/>
    <w:rsid w:val="00B4630A"/>
    <w:rsid w:val="00B505C8"/>
    <w:rsid w:val="00B50DB8"/>
    <w:rsid w:val="00B51330"/>
    <w:rsid w:val="00B51377"/>
    <w:rsid w:val="00B513AE"/>
    <w:rsid w:val="00B521A3"/>
    <w:rsid w:val="00B523CA"/>
    <w:rsid w:val="00B53654"/>
    <w:rsid w:val="00B53905"/>
    <w:rsid w:val="00B54B5B"/>
    <w:rsid w:val="00B554FD"/>
    <w:rsid w:val="00B5562E"/>
    <w:rsid w:val="00B558A9"/>
    <w:rsid w:val="00B55D1E"/>
    <w:rsid w:val="00B55D65"/>
    <w:rsid w:val="00B55EEA"/>
    <w:rsid w:val="00B56A8A"/>
    <w:rsid w:val="00B57000"/>
    <w:rsid w:val="00B60939"/>
    <w:rsid w:val="00B60AFD"/>
    <w:rsid w:val="00B62715"/>
    <w:rsid w:val="00B62F8F"/>
    <w:rsid w:val="00B634D1"/>
    <w:rsid w:val="00B63545"/>
    <w:rsid w:val="00B65611"/>
    <w:rsid w:val="00B66918"/>
    <w:rsid w:val="00B67C8D"/>
    <w:rsid w:val="00B67DB7"/>
    <w:rsid w:val="00B70E8E"/>
    <w:rsid w:val="00B71AAC"/>
    <w:rsid w:val="00B71B43"/>
    <w:rsid w:val="00B71CCD"/>
    <w:rsid w:val="00B73824"/>
    <w:rsid w:val="00B756DF"/>
    <w:rsid w:val="00B76A89"/>
    <w:rsid w:val="00B76C92"/>
    <w:rsid w:val="00B776C5"/>
    <w:rsid w:val="00B77840"/>
    <w:rsid w:val="00B77A13"/>
    <w:rsid w:val="00B80B95"/>
    <w:rsid w:val="00B816F4"/>
    <w:rsid w:val="00B818A4"/>
    <w:rsid w:val="00B82932"/>
    <w:rsid w:val="00B83B59"/>
    <w:rsid w:val="00B84117"/>
    <w:rsid w:val="00B858F0"/>
    <w:rsid w:val="00B85AA2"/>
    <w:rsid w:val="00B86066"/>
    <w:rsid w:val="00B8649C"/>
    <w:rsid w:val="00B8695D"/>
    <w:rsid w:val="00B87078"/>
    <w:rsid w:val="00B87F0A"/>
    <w:rsid w:val="00B91DDD"/>
    <w:rsid w:val="00B9276B"/>
    <w:rsid w:val="00B92888"/>
    <w:rsid w:val="00B928F4"/>
    <w:rsid w:val="00B92D0B"/>
    <w:rsid w:val="00B9413F"/>
    <w:rsid w:val="00B94945"/>
    <w:rsid w:val="00B94DD6"/>
    <w:rsid w:val="00B94F96"/>
    <w:rsid w:val="00B978E6"/>
    <w:rsid w:val="00BA0071"/>
    <w:rsid w:val="00BA0625"/>
    <w:rsid w:val="00BA322D"/>
    <w:rsid w:val="00BA5CF5"/>
    <w:rsid w:val="00BA63FA"/>
    <w:rsid w:val="00BA7D05"/>
    <w:rsid w:val="00BB00B3"/>
    <w:rsid w:val="00BB0BDD"/>
    <w:rsid w:val="00BB0F38"/>
    <w:rsid w:val="00BB0F42"/>
    <w:rsid w:val="00BB127E"/>
    <w:rsid w:val="00BB176C"/>
    <w:rsid w:val="00BB2A73"/>
    <w:rsid w:val="00BB3A45"/>
    <w:rsid w:val="00BB3C0F"/>
    <w:rsid w:val="00BB453E"/>
    <w:rsid w:val="00BB4ACC"/>
    <w:rsid w:val="00BB694D"/>
    <w:rsid w:val="00BB6FCE"/>
    <w:rsid w:val="00BB703E"/>
    <w:rsid w:val="00BB732D"/>
    <w:rsid w:val="00BB7405"/>
    <w:rsid w:val="00BB7FE7"/>
    <w:rsid w:val="00BC3631"/>
    <w:rsid w:val="00BC43D7"/>
    <w:rsid w:val="00BC591F"/>
    <w:rsid w:val="00BC5B37"/>
    <w:rsid w:val="00BC6784"/>
    <w:rsid w:val="00BC6A8F"/>
    <w:rsid w:val="00BC73E9"/>
    <w:rsid w:val="00BC7D6D"/>
    <w:rsid w:val="00BD0A72"/>
    <w:rsid w:val="00BD2108"/>
    <w:rsid w:val="00BD2E6C"/>
    <w:rsid w:val="00BD409E"/>
    <w:rsid w:val="00BD4C02"/>
    <w:rsid w:val="00BD4F52"/>
    <w:rsid w:val="00BD58D7"/>
    <w:rsid w:val="00BD66F9"/>
    <w:rsid w:val="00BD68A3"/>
    <w:rsid w:val="00BD6938"/>
    <w:rsid w:val="00BD6CF3"/>
    <w:rsid w:val="00BD770F"/>
    <w:rsid w:val="00BD7C13"/>
    <w:rsid w:val="00BE090B"/>
    <w:rsid w:val="00BE0ECA"/>
    <w:rsid w:val="00BE17C9"/>
    <w:rsid w:val="00BE1F88"/>
    <w:rsid w:val="00BE2180"/>
    <w:rsid w:val="00BE21F2"/>
    <w:rsid w:val="00BE29D3"/>
    <w:rsid w:val="00BE2BA0"/>
    <w:rsid w:val="00BE3059"/>
    <w:rsid w:val="00BE4275"/>
    <w:rsid w:val="00BE6019"/>
    <w:rsid w:val="00BE65F7"/>
    <w:rsid w:val="00BE77FA"/>
    <w:rsid w:val="00BE7A31"/>
    <w:rsid w:val="00BF0537"/>
    <w:rsid w:val="00BF06AE"/>
    <w:rsid w:val="00BF0CD4"/>
    <w:rsid w:val="00BF0F95"/>
    <w:rsid w:val="00BF2433"/>
    <w:rsid w:val="00BF2ADD"/>
    <w:rsid w:val="00BF2DAF"/>
    <w:rsid w:val="00BF2FE0"/>
    <w:rsid w:val="00BF4DB8"/>
    <w:rsid w:val="00BF518E"/>
    <w:rsid w:val="00BF61C9"/>
    <w:rsid w:val="00BF6C94"/>
    <w:rsid w:val="00BF6DC7"/>
    <w:rsid w:val="00BF75D4"/>
    <w:rsid w:val="00BF7707"/>
    <w:rsid w:val="00C00424"/>
    <w:rsid w:val="00C01D29"/>
    <w:rsid w:val="00C026C3"/>
    <w:rsid w:val="00C03A76"/>
    <w:rsid w:val="00C05A56"/>
    <w:rsid w:val="00C0730D"/>
    <w:rsid w:val="00C07DEE"/>
    <w:rsid w:val="00C07E15"/>
    <w:rsid w:val="00C10286"/>
    <w:rsid w:val="00C1179F"/>
    <w:rsid w:val="00C12210"/>
    <w:rsid w:val="00C125DF"/>
    <w:rsid w:val="00C12C14"/>
    <w:rsid w:val="00C13668"/>
    <w:rsid w:val="00C13EDD"/>
    <w:rsid w:val="00C13F44"/>
    <w:rsid w:val="00C14A5B"/>
    <w:rsid w:val="00C15F04"/>
    <w:rsid w:val="00C16985"/>
    <w:rsid w:val="00C17795"/>
    <w:rsid w:val="00C179B3"/>
    <w:rsid w:val="00C17E3F"/>
    <w:rsid w:val="00C200AA"/>
    <w:rsid w:val="00C2034E"/>
    <w:rsid w:val="00C20938"/>
    <w:rsid w:val="00C20994"/>
    <w:rsid w:val="00C2166C"/>
    <w:rsid w:val="00C2202D"/>
    <w:rsid w:val="00C22241"/>
    <w:rsid w:val="00C22346"/>
    <w:rsid w:val="00C22A71"/>
    <w:rsid w:val="00C237ED"/>
    <w:rsid w:val="00C23886"/>
    <w:rsid w:val="00C245ED"/>
    <w:rsid w:val="00C24632"/>
    <w:rsid w:val="00C25418"/>
    <w:rsid w:val="00C2545A"/>
    <w:rsid w:val="00C25D9C"/>
    <w:rsid w:val="00C260C2"/>
    <w:rsid w:val="00C267AA"/>
    <w:rsid w:val="00C267FD"/>
    <w:rsid w:val="00C2778B"/>
    <w:rsid w:val="00C30085"/>
    <w:rsid w:val="00C314BE"/>
    <w:rsid w:val="00C31649"/>
    <w:rsid w:val="00C34239"/>
    <w:rsid w:val="00C3434C"/>
    <w:rsid w:val="00C34E45"/>
    <w:rsid w:val="00C361FD"/>
    <w:rsid w:val="00C36CD6"/>
    <w:rsid w:val="00C3756B"/>
    <w:rsid w:val="00C37B9B"/>
    <w:rsid w:val="00C40385"/>
    <w:rsid w:val="00C41768"/>
    <w:rsid w:val="00C44181"/>
    <w:rsid w:val="00C4479D"/>
    <w:rsid w:val="00C449C4"/>
    <w:rsid w:val="00C457E7"/>
    <w:rsid w:val="00C46632"/>
    <w:rsid w:val="00C46906"/>
    <w:rsid w:val="00C475AA"/>
    <w:rsid w:val="00C47D5F"/>
    <w:rsid w:val="00C53C98"/>
    <w:rsid w:val="00C543D6"/>
    <w:rsid w:val="00C55078"/>
    <w:rsid w:val="00C55243"/>
    <w:rsid w:val="00C56DFA"/>
    <w:rsid w:val="00C56FCF"/>
    <w:rsid w:val="00C572B3"/>
    <w:rsid w:val="00C57B6C"/>
    <w:rsid w:val="00C57E69"/>
    <w:rsid w:val="00C60207"/>
    <w:rsid w:val="00C607F1"/>
    <w:rsid w:val="00C609E9"/>
    <w:rsid w:val="00C628A6"/>
    <w:rsid w:val="00C632A1"/>
    <w:rsid w:val="00C632CF"/>
    <w:rsid w:val="00C63767"/>
    <w:rsid w:val="00C63F8C"/>
    <w:rsid w:val="00C64344"/>
    <w:rsid w:val="00C65108"/>
    <w:rsid w:val="00C65576"/>
    <w:rsid w:val="00C66165"/>
    <w:rsid w:val="00C7060A"/>
    <w:rsid w:val="00C7151A"/>
    <w:rsid w:val="00C717E3"/>
    <w:rsid w:val="00C71D7A"/>
    <w:rsid w:val="00C71F60"/>
    <w:rsid w:val="00C72241"/>
    <w:rsid w:val="00C72478"/>
    <w:rsid w:val="00C72A38"/>
    <w:rsid w:val="00C734C5"/>
    <w:rsid w:val="00C74050"/>
    <w:rsid w:val="00C74337"/>
    <w:rsid w:val="00C745D4"/>
    <w:rsid w:val="00C74A91"/>
    <w:rsid w:val="00C750C8"/>
    <w:rsid w:val="00C7560F"/>
    <w:rsid w:val="00C7644D"/>
    <w:rsid w:val="00C8078B"/>
    <w:rsid w:val="00C808F7"/>
    <w:rsid w:val="00C80A0E"/>
    <w:rsid w:val="00C8181F"/>
    <w:rsid w:val="00C8213F"/>
    <w:rsid w:val="00C828E8"/>
    <w:rsid w:val="00C82A7B"/>
    <w:rsid w:val="00C85154"/>
    <w:rsid w:val="00C85E8D"/>
    <w:rsid w:val="00C86A16"/>
    <w:rsid w:val="00C870EF"/>
    <w:rsid w:val="00C8797A"/>
    <w:rsid w:val="00C900B8"/>
    <w:rsid w:val="00C90C71"/>
    <w:rsid w:val="00C91FD1"/>
    <w:rsid w:val="00C931CF"/>
    <w:rsid w:val="00C933CB"/>
    <w:rsid w:val="00C938CF"/>
    <w:rsid w:val="00C93AED"/>
    <w:rsid w:val="00C94053"/>
    <w:rsid w:val="00C94EA8"/>
    <w:rsid w:val="00C95F0B"/>
    <w:rsid w:val="00C9624D"/>
    <w:rsid w:val="00C969DA"/>
    <w:rsid w:val="00C96C74"/>
    <w:rsid w:val="00CA08D8"/>
    <w:rsid w:val="00CA2C77"/>
    <w:rsid w:val="00CA3609"/>
    <w:rsid w:val="00CA444F"/>
    <w:rsid w:val="00CA5245"/>
    <w:rsid w:val="00CA59A3"/>
    <w:rsid w:val="00CA5BC5"/>
    <w:rsid w:val="00CA6D35"/>
    <w:rsid w:val="00CA71F4"/>
    <w:rsid w:val="00CA7B09"/>
    <w:rsid w:val="00CB02C2"/>
    <w:rsid w:val="00CB12A5"/>
    <w:rsid w:val="00CB16DB"/>
    <w:rsid w:val="00CB1CAC"/>
    <w:rsid w:val="00CB2B37"/>
    <w:rsid w:val="00CB2F2A"/>
    <w:rsid w:val="00CB3079"/>
    <w:rsid w:val="00CB3694"/>
    <w:rsid w:val="00CB581B"/>
    <w:rsid w:val="00CB5B1A"/>
    <w:rsid w:val="00CB640C"/>
    <w:rsid w:val="00CB6B22"/>
    <w:rsid w:val="00CB7678"/>
    <w:rsid w:val="00CB7F5F"/>
    <w:rsid w:val="00CC04D4"/>
    <w:rsid w:val="00CC1B39"/>
    <w:rsid w:val="00CC301F"/>
    <w:rsid w:val="00CC35EA"/>
    <w:rsid w:val="00CC3848"/>
    <w:rsid w:val="00CC4CE4"/>
    <w:rsid w:val="00CC54DF"/>
    <w:rsid w:val="00CC7270"/>
    <w:rsid w:val="00CC768C"/>
    <w:rsid w:val="00CD0E90"/>
    <w:rsid w:val="00CD16C5"/>
    <w:rsid w:val="00CD32BD"/>
    <w:rsid w:val="00CD3EE3"/>
    <w:rsid w:val="00CD3F77"/>
    <w:rsid w:val="00CD58D2"/>
    <w:rsid w:val="00CD6ADC"/>
    <w:rsid w:val="00CD7193"/>
    <w:rsid w:val="00CD791D"/>
    <w:rsid w:val="00CE0009"/>
    <w:rsid w:val="00CE1ACA"/>
    <w:rsid w:val="00CE3683"/>
    <w:rsid w:val="00CE38C8"/>
    <w:rsid w:val="00CE414A"/>
    <w:rsid w:val="00CE4629"/>
    <w:rsid w:val="00CE6274"/>
    <w:rsid w:val="00CE62FC"/>
    <w:rsid w:val="00CE715A"/>
    <w:rsid w:val="00CE77B6"/>
    <w:rsid w:val="00CE7CCF"/>
    <w:rsid w:val="00CF227E"/>
    <w:rsid w:val="00CF2B8D"/>
    <w:rsid w:val="00CF378D"/>
    <w:rsid w:val="00CF37CE"/>
    <w:rsid w:val="00CF456B"/>
    <w:rsid w:val="00CF486D"/>
    <w:rsid w:val="00CF5A22"/>
    <w:rsid w:val="00CF5A85"/>
    <w:rsid w:val="00CF637A"/>
    <w:rsid w:val="00D012F9"/>
    <w:rsid w:val="00D01431"/>
    <w:rsid w:val="00D015E8"/>
    <w:rsid w:val="00D0181B"/>
    <w:rsid w:val="00D01F53"/>
    <w:rsid w:val="00D0262E"/>
    <w:rsid w:val="00D03302"/>
    <w:rsid w:val="00D04F77"/>
    <w:rsid w:val="00D05E3D"/>
    <w:rsid w:val="00D06139"/>
    <w:rsid w:val="00D06389"/>
    <w:rsid w:val="00D067FD"/>
    <w:rsid w:val="00D104E5"/>
    <w:rsid w:val="00D110BD"/>
    <w:rsid w:val="00D11993"/>
    <w:rsid w:val="00D13675"/>
    <w:rsid w:val="00D141E1"/>
    <w:rsid w:val="00D15314"/>
    <w:rsid w:val="00D15698"/>
    <w:rsid w:val="00D17B59"/>
    <w:rsid w:val="00D17D6C"/>
    <w:rsid w:val="00D204FA"/>
    <w:rsid w:val="00D2155B"/>
    <w:rsid w:val="00D22564"/>
    <w:rsid w:val="00D23D11"/>
    <w:rsid w:val="00D244B6"/>
    <w:rsid w:val="00D24E1B"/>
    <w:rsid w:val="00D2573F"/>
    <w:rsid w:val="00D2667B"/>
    <w:rsid w:val="00D26B46"/>
    <w:rsid w:val="00D2714D"/>
    <w:rsid w:val="00D2754D"/>
    <w:rsid w:val="00D27B27"/>
    <w:rsid w:val="00D3168C"/>
    <w:rsid w:val="00D32941"/>
    <w:rsid w:val="00D32B02"/>
    <w:rsid w:val="00D336DA"/>
    <w:rsid w:val="00D33BE9"/>
    <w:rsid w:val="00D33F93"/>
    <w:rsid w:val="00D34C47"/>
    <w:rsid w:val="00D357FF"/>
    <w:rsid w:val="00D35C36"/>
    <w:rsid w:val="00D3711D"/>
    <w:rsid w:val="00D40FD4"/>
    <w:rsid w:val="00D4109E"/>
    <w:rsid w:val="00D41274"/>
    <w:rsid w:val="00D4162E"/>
    <w:rsid w:val="00D424C7"/>
    <w:rsid w:val="00D43B2A"/>
    <w:rsid w:val="00D43D83"/>
    <w:rsid w:val="00D44108"/>
    <w:rsid w:val="00D46FA9"/>
    <w:rsid w:val="00D4706A"/>
    <w:rsid w:val="00D47575"/>
    <w:rsid w:val="00D47D77"/>
    <w:rsid w:val="00D47DA0"/>
    <w:rsid w:val="00D47E9F"/>
    <w:rsid w:val="00D51589"/>
    <w:rsid w:val="00D5243B"/>
    <w:rsid w:val="00D526EB"/>
    <w:rsid w:val="00D527AA"/>
    <w:rsid w:val="00D529DB"/>
    <w:rsid w:val="00D52BF4"/>
    <w:rsid w:val="00D533EC"/>
    <w:rsid w:val="00D54B91"/>
    <w:rsid w:val="00D56A95"/>
    <w:rsid w:val="00D57B06"/>
    <w:rsid w:val="00D6122F"/>
    <w:rsid w:val="00D61334"/>
    <w:rsid w:val="00D63D7B"/>
    <w:rsid w:val="00D6519B"/>
    <w:rsid w:val="00D65D72"/>
    <w:rsid w:val="00D67021"/>
    <w:rsid w:val="00D70089"/>
    <w:rsid w:val="00D70893"/>
    <w:rsid w:val="00D70F16"/>
    <w:rsid w:val="00D7190A"/>
    <w:rsid w:val="00D71BAC"/>
    <w:rsid w:val="00D71BD8"/>
    <w:rsid w:val="00D71F9F"/>
    <w:rsid w:val="00D72F57"/>
    <w:rsid w:val="00D73349"/>
    <w:rsid w:val="00D75086"/>
    <w:rsid w:val="00D75625"/>
    <w:rsid w:val="00D76A44"/>
    <w:rsid w:val="00D77DF5"/>
    <w:rsid w:val="00D80FF3"/>
    <w:rsid w:val="00D815EF"/>
    <w:rsid w:val="00D81F26"/>
    <w:rsid w:val="00D833FF"/>
    <w:rsid w:val="00D842B7"/>
    <w:rsid w:val="00D848C8"/>
    <w:rsid w:val="00D84C9B"/>
    <w:rsid w:val="00D85C36"/>
    <w:rsid w:val="00D85F6C"/>
    <w:rsid w:val="00D86231"/>
    <w:rsid w:val="00D86911"/>
    <w:rsid w:val="00D8781A"/>
    <w:rsid w:val="00D913BD"/>
    <w:rsid w:val="00D91923"/>
    <w:rsid w:val="00D93753"/>
    <w:rsid w:val="00D93A6D"/>
    <w:rsid w:val="00D93AFA"/>
    <w:rsid w:val="00D96219"/>
    <w:rsid w:val="00DA0F83"/>
    <w:rsid w:val="00DA140B"/>
    <w:rsid w:val="00DA1A08"/>
    <w:rsid w:val="00DA1F98"/>
    <w:rsid w:val="00DA2420"/>
    <w:rsid w:val="00DA2C5A"/>
    <w:rsid w:val="00DA2F37"/>
    <w:rsid w:val="00DA3167"/>
    <w:rsid w:val="00DA39EE"/>
    <w:rsid w:val="00DA446C"/>
    <w:rsid w:val="00DA49D0"/>
    <w:rsid w:val="00DA4B58"/>
    <w:rsid w:val="00DA4DC3"/>
    <w:rsid w:val="00DA5DD3"/>
    <w:rsid w:val="00DA6437"/>
    <w:rsid w:val="00DA745C"/>
    <w:rsid w:val="00DA77A5"/>
    <w:rsid w:val="00DB00AA"/>
    <w:rsid w:val="00DB0737"/>
    <w:rsid w:val="00DB0EB9"/>
    <w:rsid w:val="00DB1591"/>
    <w:rsid w:val="00DB1936"/>
    <w:rsid w:val="00DB3460"/>
    <w:rsid w:val="00DB3DBF"/>
    <w:rsid w:val="00DB4572"/>
    <w:rsid w:val="00DB484F"/>
    <w:rsid w:val="00DB5512"/>
    <w:rsid w:val="00DB5A15"/>
    <w:rsid w:val="00DB60BA"/>
    <w:rsid w:val="00DB6FC0"/>
    <w:rsid w:val="00DC04A8"/>
    <w:rsid w:val="00DC04F6"/>
    <w:rsid w:val="00DC0690"/>
    <w:rsid w:val="00DC1A5E"/>
    <w:rsid w:val="00DC1C05"/>
    <w:rsid w:val="00DC1C55"/>
    <w:rsid w:val="00DC1D65"/>
    <w:rsid w:val="00DC3C57"/>
    <w:rsid w:val="00DC43A5"/>
    <w:rsid w:val="00DC5501"/>
    <w:rsid w:val="00DC6D9B"/>
    <w:rsid w:val="00DC7154"/>
    <w:rsid w:val="00DC780B"/>
    <w:rsid w:val="00DC7E8A"/>
    <w:rsid w:val="00DD04D5"/>
    <w:rsid w:val="00DD0F78"/>
    <w:rsid w:val="00DD24ED"/>
    <w:rsid w:val="00DD273C"/>
    <w:rsid w:val="00DD288F"/>
    <w:rsid w:val="00DD2A89"/>
    <w:rsid w:val="00DD3296"/>
    <w:rsid w:val="00DD34BA"/>
    <w:rsid w:val="00DD3F28"/>
    <w:rsid w:val="00DD4537"/>
    <w:rsid w:val="00DD4E15"/>
    <w:rsid w:val="00DD5B36"/>
    <w:rsid w:val="00DD5B40"/>
    <w:rsid w:val="00DD65FA"/>
    <w:rsid w:val="00DD7828"/>
    <w:rsid w:val="00DD7A7C"/>
    <w:rsid w:val="00DE0286"/>
    <w:rsid w:val="00DE14F8"/>
    <w:rsid w:val="00DE2304"/>
    <w:rsid w:val="00DE3138"/>
    <w:rsid w:val="00DE37F8"/>
    <w:rsid w:val="00DE3D60"/>
    <w:rsid w:val="00DE48DA"/>
    <w:rsid w:val="00DE4FCB"/>
    <w:rsid w:val="00DE5D07"/>
    <w:rsid w:val="00DE64F8"/>
    <w:rsid w:val="00DE72A7"/>
    <w:rsid w:val="00DE7523"/>
    <w:rsid w:val="00DE7832"/>
    <w:rsid w:val="00DF06B3"/>
    <w:rsid w:val="00DF07A9"/>
    <w:rsid w:val="00DF18FC"/>
    <w:rsid w:val="00DF1AAC"/>
    <w:rsid w:val="00DF37AC"/>
    <w:rsid w:val="00DF421C"/>
    <w:rsid w:val="00DF43A7"/>
    <w:rsid w:val="00DF44E5"/>
    <w:rsid w:val="00DF4BDA"/>
    <w:rsid w:val="00DF4E8D"/>
    <w:rsid w:val="00DF5A36"/>
    <w:rsid w:val="00DF5D2B"/>
    <w:rsid w:val="00DF608B"/>
    <w:rsid w:val="00E0081F"/>
    <w:rsid w:val="00E009F1"/>
    <w:rsid w:val="00E00E84"/>
    <w:rsid w:val="00E00E8E"/>
    <w:rsid w:val="00E02B6E"/>
    <w:rsid w:val="00E02D53"/>
    <w:rsid w:val="00E03308"/>
    <w:rsid w:val="00E05508"/>
    <w:rsid w:val="00E05630"/>
    <w:rsid w:val="00E05698"/>
    <w:rsid w:val="00E058EC"/>
    <w:rsid w:val="00E06B37"/>
    <w:rsid w:val="00E06DBB"/>
    <w:rsid w:val="00E06F7E"/>
    <w:rsid w:val="00E10149"/>
    <w:rsid w:val="00E1133F"/>
    <w:rsid w:val="00E11340"/>
    <w:rsid w:val="00E114D0"/>
    <w:rsid w:val="00E122A1"/>
    <w:rsid w:val="00E12C32"/>
    <w:rsid w:val="00E13242"/>
    <w:rsid w:val="00E135B0"/>
    <w:rsid w:val="00E140B7"/>
    <w:rsid w:val="00E14531"/>
    <w:rsid w:val="00E147D6"/>
    <w:rsid w:val="00E15546"/>
    <w:rsid w:val="00E161A2"/>
    <w:rsid w:val="00E16372"/>
    <w:rsid w:val="00E16705"/>
    <w:rsid w:val="00E16B09"/>
    <w:rsid w:val="00E17961"/>
    <w:rsid w:val="00E17D74"/>
    <w:rsid w:val="00E20E4D"/>
    <w:rsid w:val="00E20ED6"/>
    <w:rsid w:val="00E21358"/>
    <w:rsid w:val="00E2249B"/>
    <w:rsid w:val="00E22A0D"/>
    <w:rsid w:val="00E244F6"/>
    <w:rsid w:val="00E245F9"/>
    <w:rsid w:val="00E272E3"/>
    <w:rsid w:val="00E2771E"/>
    <w:rsid w:val="00E311EF"/>
    <w:rsid w:val="00E31B56"/>
    <w:rsid w:val="00E32180"/>
    <w:rsid w:val="00E32F3A"/>
    <w:rsid w:val="00E33122"/>
    <w:rsid w:val="00E3317B"/>
    <w:rsid w:val="00E34948"/>
    <w:rsid w:val="00E34C98"/>
    <w:rsid w:val="00E354BD"/>
    <w:rsid w:val="00E37569"/>
    <w:rsid w:val="00E376A1"/>
    <w:rsid w:val="00E401B2"/>
    <w:rsid w:val="00E40714"/>
    <w:rsid w:val="00E40D97"/>
    <w:rsid w:val="00E40E7C"/>
    <w:rsid w:val="00E41E30"/>
    <w:rsid w:val="00E4242F"/>
    <w:rsid w:val="00E42620"/>
    <w:rsid w:val="00E428D5"/>
    <w:rsid w:val="00E42F73"/>
    <w:rsid w:val="00E43D70"/>
    <w:rsid w:val="00E43F10"/>
    <w:rsid w:val="00E44CF4"/>
    <w:rsid w:val="00E46100"/>
    <w:rsid w:val="00E466A6"/>
    <w:rsid w:val="00E466F3"/>
    <w:rsid w:val="00E479A4"/>
    <w:rsid w:val="00E47B2C"/>
    <w:rsid w:val="00E508CA"/>
    <w:rsid w:val="00E50A41"/>
    <w:rsid w:val="00E5152B"/>
    <w:rsid w:val="00E51560"/>
    <w:rsid w:val="00E52967"/>
    <w:rsid w:val="00E52B44"/>
    <w:rsid w:val="00E5329A"/>
    <w:rsid w:val="00E53EB0"/>
    <w:rsid w:val="00E53FC8"/>
    <w:rsid w:val="00E54133"/>
    <w:rsid w:val="00E54347"/>
    <w:rsid w:val="00E54379"/>
    <w:rsid w:val="00E55291"/>
    <w:rsid w:val="00E55424"/>
    <w:rsid w:val="00E55915"/>
    <w:rsid w:val="00E55BB5"/>
    <w:rsid w:val="00E56244"/>
    <w:rsid w:val="00E56319"/>
    <w:rsid w:val="00E602D5"/>
    <w:rsid w:val="00E60FE3"/>
    <w:rsid w:val="00E61645"/>
    <w:rsid w:val="00E61A14"/>
    <w:rsid w:val="00E6228A"/>
    <w:rsid w:val="00E6340B"/>
    <w:rsid w:val="00E641E3"/>
    <w:rsid w:val="00E6493E"/>
    <w:rsid w:val="00E6547E"/>
    <w:rsid w:val="00E65E79"/>
    <w:rsid w:val="00E66BA2"/>
    <w:rsid w:val="00E67416"/>
    <w:rsid w:val="00E70551"/>
    <w:rsid w:val="00E710A2"/>
    <w:rsid w:val="00E718B6"/>
    <w:rsid w:val="00E71CA4"/>
    <w:rsid w:val="00E71D5D"/>
    <w:rsid w:val="00E723BA"/>
    <w:rsid w:val="00E73581"/>
    <w:rsid w:val="00E73F88"/>
    <w:rsid w:val="00E75FF4"/>
    <w:rsid w:val="00E776F4"/>
    <w:rsid w:val="00E80484"/>
    <w:rsid w:val="00E81D21"/>
    <w:rsid w:val="00E82654"/>
    <w:rsid w:val="00E831D7"/>
    <w:rsid w:val="00E833F7"/>
    <w:rsid w:val="00E839D2"/>
    <w:rsid w:val="00E83BDF"/>
    <w:rsid w:val="00E8443D"/>
    <w:rsid w:val="00E85B36"/>
    <w:rsid w:val="00E87192"/>
    <w:rsid w:val="00E87A1D"/>
    <w:rsid w:val="00E9024E"/>
    <w:rsid w:val="00E9094A"/>
    <w:rsid w:val="00E90B53"/>
    <w:rsid w:val="00E91D35"/>
    <w:rsid w:val="00E926A5"/>
    <w:rsid w:val="00E93976"/>
    <w:rsid w:val="00E93C6C"/>
    <w:rsid w:val="00E954E4"/>
    <w:rsid w:val="00E9785A"/>
    <w:rsid w:val="00E97D1F"/>
    <w:rsid w:val="00EA0049"/>
    <w:rsid w:val="00EA096C"/>
    <w:rsid w:val="00EA0DB3"/>
    <w:rsid w:val="00EA15F8"/>
    <w:rsid w:val="00EA17C3"/>
    <w:rsid w:val="00EA1B29"/>
    <w:rsid w:val="00EA2CAA"/>
    <w:rsid w:val="00EA3864"/>
    <w:rsid w:val="00EA44E0"/>
    <w:rsid w:val="00EA4E6F"/>
    <w:rsid w:val="00EA7250"/>
    <w:rsid w:val="00EA7C3C"/>
    <w:rsid w:val="00EA7F1C"/>
    <w:rsid w:val="00EB15B6"/>
    <w:rsid w:val="00EB26B3"/>
    <w:rsid w:val="00EB2743"/>
    <w:rsid w:val="00EB3CC3"/>
    <w:rsid w:val="00EB3D06"/>
    <w:rsid w:val="00EB4916"/>
    <w:rsid w:val="00EB4CB9"/>
    <w:rsid w:val="00EB50A2"/>
    <w:rsid w:val="00EB5E35"/>
    <w:rsid w:val="00EB6FCB"/>
    <w:rsid w:val="00EC00C9"/>
    <w:rsid w:val="00EC0CBB"/>
    <w:rsid w:val="00EC0DD9"/>
    <w:rsid w:val="00EC1936"/>
    <w:rsid w:val="00EC2649"/>
    <w:rsid w:val="00EC2763"/>
    <w:rsid w:val="00EC28C2"/>
    <w:rsid w:val="00EC31ED"/>
    <w:rsid w:val="00EC3BC1"/>
    <w:rsid w:val="00EC4B50"/>
    <w:rsid w:val="00EC4E75"/>
    <w:rsid w:val="00EC5836"/>
    <w:rsid w:val="00EC63F1"/>
    <w:rsid w:val="00EC671E"/>
    <w:rsid w:val="00EC688C"/>
    <w:rsid w:val="00EC70AD"/>
    <w:rsid w:val="00EC73E7"/>
    <w:rsid w:val="00ED076A"/>
    <w:rsid w:val="00ED22BF"/>
    <w:rsid w:val="00ED2CE1"/>
    <w:rsid w:val="00ED3A34"/>
    <w:rsid w:val="00ED4272"/>
    <w:rsid w:val="00ED57EA"/>
    <w:rsid w:val="00ED5BD4"/>
    <w:rsid w:val="00ED5C1E"/>
    <w:rsid w:val="00ED60D6"/>
    <w:rsid w:val="00ED6857"/>
    <w:rsid w:val="00ED73F1"/>
    <w:rsid w:val="00ED7BDF"/>
    <w:rsid w:val="00EE00FE"/>
    <w:rsid w:val="00EE076D"/>
    <w:rsid w:val="00EE07D3"/>
    <w:rsid w:val="00EE1996"/>
    <w:rsid w:val="00EE1C01"/>
    <w:rsid w:val="00EE1D59"/>
    <w:rsid w:val="00EE22AF"/>
    <w:rsid w:val="00EE27E9"/>
    <w:rsid w:val="00EE2B52"/>
    <w:rsid w:val="00EE39EF"/>
    <w:rsid w:val="00EE3B1B"/>
    <w:rsid w:val="00EE5613"/>
    <w:rsid w:val="00EE5A55"/>
    <w:rsid w:val="00EE7DC7"/>
    <w:rsid w:val="00EF0171"/>
    <w:rsid w:val="00EF0D4D"/>
    <w:rsid w:val="00EF163E"/>
    <w:rsid w:val="00EF1B25"/>
    <w:rsid w:val="00EF1DA0"/>
    <w:rsid w:val="00EF2438"/>
    <w:rsid w:val="00EF3619"/>
    <w:rsid w:val="00EF4747"/>
    <w:rsid w:val="00EF4BF8"/>
    <w:rsid w:val="00EF6BE9"/>
    <w:rsid w:val="00EF6C30"/>
    <w:rsid w:val="00EF7425"/>
    <w:rsid w:val="00F000DD"/>
    <w:rsid w:val="00F0207A"/>
    <w:rsid w:val="00F02253"/>
    <w:rsid w:val="00F02455"/>
    <w:rsid w:val="00F027E6"/>
    <w:rsid w:val="00F02845"/>
    <w:rsid w:val="00F02FFB"/>
    <w:rsid w:val="00F03C2E"/>
    <w:rsid w:val="00F04A66"/>
    <w:rsid w:val="00F04B4B"/>
    <w:rsid w:val="00F0516C"/>
    <w:rsid w:val="00F052B1"/>
    <w:rsid w:val="00F052FE"/>
    <w:rsid w:val="00F067A2"/>
    <w:rsid w:val="00F07B9E"/>
    <w:rsid w:val="00F10180"/>
    <w:rsid w:val="00F1049B"/>
    <w:rsid w:val="00F10EB2"/>
    <w:rsid w:val="00F1116F"/>
    <w:rsid w:val="00F1263A"/>
    <w:rsid w:val="00F126B7"/>
    <w:rsid w:val="00F14E88"/>
    <w:rsid w:val="00F15B77"/>
    <w:rsid w:val="00F15FA7"/>
    <w:rsid w:val="00F173ED"/>
    <w:rsid w:val="00F200C5"/>
    <w:rsid w:val="00F209D7"/>
    <w:rsid w:val="00F2156D"/>
    <w:rsid w:val="00F22490"/>
    <w:rsid w:val="00F225DA"/>
    <w:rsid w:val="00F24837"/>
    <w:rsid w:val="00F2575F"/>
    <w:rsid w:val="00F25B93"/>
    <w:rsid w:val="00F27565"/>
    <w:rsid w:val="00F27710"/>
    <w:rsid w:val="00F3097A"/>
    <w:rsid w:val="00F310D4"/>
    <w:rsid w:val="00F31D5A"/>
    <w:rsid w:val="00F33975"/>
    <w:rsid w:val="00F33DE9"/>
    <w:rsid w:val="00F34EBF"/>
    <w:rsid w:val="00F34F99"/>
    <w:rsid w:val="00F35856"/>
    <w:rsid w:val="00F35E6D"/>
    <w:rsid w:val="00F3619A"/>
    <w:rsid w:val="00F367E1"/>
    <w:rsid w:val="00F3710B"/>
    <w:rsid w:val="00F37E10"/>
    <w:rsid w:val="00F40AAA"/>
    <w:rsid w:val="00F40BA7"/>
    <w:rsid w:val="00F40F9D"/>
    <w:rsid w:val="00F41ACD"/>
    <w:rsid w:val="00F43E89"/>
    <w:rsid w:val="00F4445A"/>
    <w:rsid w:val="00F446BE"/>
    <w:rsid w:val="00F449E1"/>
    <w:rsid w:val="00F4583C"/>
    <w:rsid w:val="00F4638F"/>
    <w:rsid w:val="00F467F7"/>
    <w:rsid w:val="00F46CB6"/>
    <w:rsid w:val="00F4756D"/>
    <w:rsid w:val="00F47597"/>
    <w:rsid w:val="00F47DE8"/>
    <w:rsid w:val="00F50203"/>
    <w:rsid w:val="00F51F1A"/>
    <w:rsid w:val="00F52C5D"/>
    <w:rsid w:val="00F5375D"/>
    <w:rsid w:val="00F53BB7"/>
    <w:rsid w:val="00F542C1"/>
    <w:rsid w:val="00F5455C"/>
    <w:rsid w:val="00F55834"/>
    <w:rsid w:val="00F5584B"/>
    <w:rsid w:val="00F55B58"/>
    <w:rsid w:val="00F55E73"/>
    <w:rsid w:val="00F55EDA"/>
    <w:rsid w:val="00F5635C"/>
    <w:rsid w:val="00F568C9"/>
    <w:rsid w:val="00F56C80"/>
    <w:rsid w:val="00F60092"/>
    <w:rsid w:val="00F61B59"/>
    <w:rsid w:val="00F61C18"/>
    <w:rsid w:val="00F61EED"/>
    <w:rsid w:val="00F629B3"/>
    <w:rsid w:val="00F63762"/>
    <w:rsid w:val="00F63948"/>
    <w:rsid w:val="00F648C8"/>
    <w:rsid w:val="00F64A0E"/>
    <w:rsid w:val="00F65E9A"/>
    <w:rsid w:val="00F65F4B"/>
    <w:rsid w:val="00F664CC"/>
    <w:rsid w:val="00F66821"/>
    <w:rsid w:val="00F67A69"/>
    <w:rsid w:val="00F70352"/>
    <w:rsid w:val="00F70BFF"/>
    <w:rsid w:val="00F70C9D"/>
    <w:rsid w:val="00F724AC"/>
    <w:rsid w:val="00F72766"/>
    <w:rsid w:val="00F74969"/>
    <w:rsid w:val="00F74CD9"/>
    <w:rsid w:val="00F77DA3"/>
    <w:rsid w:val="00F77F04"/>
    <w:rsid w:val="00F77FE3"/>
    <w:rsid w:val="00F80A7B"/>
    <w:rsid w:val="00F80E5D"/>
    <w:rsid w:val="00F811B2"/>
    <w:rsid w:val="00F81594"/>
    <w:rsid w:val="00F81AD6"/>
    <w:rsid w:val="00F81E78"/>
    <w:rsid w:val="00F83A0F"/>
    <w:rsid w:val="00F83E6E"/>
    <w:rsid w:val="00F851CE"/>
    <w:rsid w:val="00F91219"/>
    <w:rsid w:val="00F92444"/>
    <w:rsid w:val="00F92981"/>
    <w:rsid w:val="00F92B24"/>
    <w:rsid w:val="00F92E7D"/>
    <w:rsid w:val="00F9393E"/>
    <w:rsid w:val="00F95B5C"/>
    <w:rsid w:val="00F95DF8"/>
    <w:rsid w:val="00F960C9"/>
    <w:rsid w:val="00F969EF"/>
    <w:rsid w:val="00F96FD0"/>
    <w:rsid w:val="00F97349"/>
    <w:rsid w:val="00F97A78"/>
    <w:rsid w:val="00FA01D0"/>
    <w:rsid w:val="00FA0B20"/>
    <w:rsid w:val="00FA1C89"/>
    <w:rsid w:val="00FA2408"/>
    <w:rsid w:val="00FA24E7"/>
    <w:rsid w:val="00FA2A78"/>
    <w:rsid w:val="00FA2D21"/>
    <w:rsid w:val="00FA40C5"/>
    <w:rsid w:val="00FA5EE6"/>
    <w:rsid w:val="00FA6750"/>
    <w:rsid w:val="00FA7956"/>
    <w:rsid w:val="00FB06F7"/>
    <w:rsid w:val="00FB070E"/>
    <w:rsid w:val="00FB2327"/>
    <w:rsid w:val="00FB2FCB"/>
    <w:rsid w:val="00FB48BB"/>
    <w:rsid w:val="00FB57FB"/>
    <w:rsid w:val="00FB7A5C"/>
    <w:rsid w:val="00FB7B99"/>
    <w:rsid w:val="00FB7C55"/>
    <w:rsid w:val="00FC073B"/>
    <w:rsid w:val="00FC1074"/>
    <w:rsid w:val="00FC1217"/>
    <w:rsid w:val="00FC1884"/>
    <w:rsid w:val="00FC371D"/>
    <w:rsid w:val="00FC5F0B"/>
    <w:rsid w:val="00FC76CF"/>
    <w:rsid w:val="00FC7B41"/>
    <w:rsid w:val="00FD0E0A"/>
    <w:rsid w:val="00FD1565"/>
    <w:rsid w:val="00FD2100"/>
    <w:rsid w:val="00FD407C"/>
    <w:rsid w:val="00FD436C"/>
    <w:rsid w:val="00FD446D"/>
    <w:rsid w:val="00FD45A5"/>
    <w:rsid w:val="00FD4F2C"/>
    <w:rsid w:val="00FD5B5D"/>
    <w:rsid w:val="00FD6394"/>
    <w:rsid w:val="00FD69E2"/>
    <w:rsid w:val="00FD70F5"/>
    <w:rsid w:val="00FD7402"/>
    <w:rsid w:val="00FD7E18"/>
    <w:rsid w:val="00FE05D0"/>
    <w:rsid w:val="00FE08A4"/>
    <w:rsid w:val="00FE0E6C"/>
    <w:rsid w:val="00FE135F"/>
    <w:rsid w:val="00FE1CDC"/>
    <w:rsid w:val="00FE3296"/>
    <w:rsid w:val="00FE33FF"/>
    <w:rsid w:val="00FE3693"/>
    <w:rsid w:val="00FE43F2"/>
    <w:rsid w:val="00FE442C"/>
    <w:rsid w:val="00FE4A04"/>
    <w:rsid w:val="00FE6D58"/>
    <w:rsid w:val="00FE70C3"/>
    <w:rsid w:val="00FE77CE"/>
    <w:rsid w:val="00FE7902"/>
    <w:rsid w:val="00FF0692"/>
    <w:rsid w:val="00FF2AD9"/>
    <w:rsid w:val="00FF3481"/>
    <w:rsid w:val="00FF359F"/>
    <w:rsid w:val="00FF3DCF"/>
    <w:rsid w:val="00FF4472"/>
    <w:rsid w:val="00FF492C"/>
    <w:rsid w:val="00FF4A21"/>
    <w:rsid w:val="00FF4FAE"/>
    <w:rsid w:val="00FF5AA3"/>
    <w:rsid w:val="00FF5AD8"/>
    <w:rsid w:val="00FF706B"/>
    <w:rsid w:val="00FF71C6"/>
    <w:rsid w:val="00FF7298"/>
    <w:rsid w:val="00FF7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E9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iPriority="9" w:qFormat="1"/>
    <w:lsdException w:name="heading 4" w:uiPriority="9"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40"/>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Source table_,NICE instructions,new style,PBAC table,MSD Table Grid,RTI AMCP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71"/>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Char1,Char2,Comment Text Char1 Char,Comment Text Char Char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har1 Char,Char2 Char,Comment Text Char1 Char Char,Comment Text Char Char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table" w:customStyle="1" w:styleId="Submissionstandard">
    <w:name w:val="Submission standard"/>
    <w:basedOn w:val="TableNormal"/>
    <w:uiPriority w:val="99"/>
    <w:qFormat/>
    <w:rsid w:val="008937FB"/>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raphik" w:hAnsi="Graphik"/>
        <w:b/>
        <w:sz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8937FB"/>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8937FB"/>
    <w:rPr>
      <w:rFonts w:ascii="Calibri" w:eastAsiaTheme="majorEastAsia" w:hAnsi="Calibri" w:cstheme="majorBidi"/>
      <w:sz w:val="18"/>
      <w:szCs w:val="22"/>
      <w:lang w:eastAsia="en-US" w:bidi="en-US"/>
    </w:rPr>
  </w:style>
  <w:style w:type="paragraph" w:customStyle="1" w:styleId="TableBullets">
    <w:name w:val="Table Bullets"/>
    <w:basedOn w:val="TableLeft"/>
    <w:uiPriority w:val="5"/>
    <w:qFormat/>
    <w:rsid w:val="008937FB"/>
    <w:pPr>
      <w:numPr>
        <w:numId w:val="5"/>
      </w:numPr>
      <w:tabs>
        <w:tab w:val="num" w:pos="360"/>
      </w:tabs>
      <w:ind w:left="0" w:firstLine="0"/>
    </w:pPr>
  </w:style>
  <w:style w:type="table" w:styleId="TableTheme">
    <w:name w:val="Table Theme"/>
    <w:basedOn w:val="TableNormal"/>
    <w:rsid w:val="008937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FootnoteChar">
    <w:name w:val="Caption Footnote Char"/>
    <w:basedOn w:val="DefaultParagraphFont"/>
    <w:link w:val="CaptionFootnote"/>
    <w:rsid w:val="00954F0B"/>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954F0B"/>
    <w:rPr>
      <w:rFonts w:asciiTheme="minorHAnsi" w:hAnsiTheme="minorHAnsi" w:cs="Times New Roman"/>
      <w:kern w:val="28"/>
      <w:sz w:val="16"/>
      <w:lang w:eastAsia="en-GB"/>
    </w:rPr>
  </w:style>
  <w:style w:type="table" w:customStyle="1" w:styleId="TableGrid1">
    <w:name w:val="Table Grid1"/>
    <w:basedOn w:val="TableNormal"/>
    <w:next w:val="TableGrid"/>
    <w:uiPriority w:val="59"/>
    <w:rsid w:val="00104E0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ootnote Text Char1,Footnote Text Char Char,Footnote Text Char2,Footnote Text Char Char1"/>
    <w:basedOn w:val="Normal"/>
    <w:link w:val="FootnoteTextChar"/>
    <w:unhideWhenUsed/>
    <w:rsid w:val="0099108D"/>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99108D"/>
    <w:rPr>
      <w:rFonts w:ascii="Calibri" w:hAnsi="Calibri" w:cs="Arial"/>
    </w:rPr>
  </w:style>
  <w:style w:type="character" w:styleId="FootnoteReference">
    <w:name w:val="footnote reference"/>
    <w:basedOn w:val="DefaultParagraphFont"/>
    <w:unhideWhenUsed/>
    <w:rsid w:val="0099108D"/>
    <w:rPr>
      <w:vertAlign w:val="superscript"/>
    </w:rPr>
  </w:style>
  <w:style w:type="character" w:customStyle="1" w:styleId="UnresolvedMention1">
    <w:name w:val="Unresolved Mention1"/>
    <w:basedOn w:val="DefaultParagraphFont"/>
    <w:uiPriority w:val="99"/>
    <w:semiHidden/>
    <w:unhideWhenUsed/>
    <w:rsid w:val="0099108D"/>
    <w:rPr>
      <w:color w:val="605E5C"/>
      <w:shd w:val="clear" w:color="auto" w:fill="E1DFDD"/>
    </w:rPr>
  </w:style>
  <w:style w:type="character" w:customStyle="1" w:styleId="UnresolvedMention2">
    <w:name w:val="Unresolved Mention2"/>
    <w:basedOn w:val="DefaultParagraphFont"/>
    <w:uiPriority w:val="99"/>
    <w:semiHidden/>
    <w:unhideWhenUsed/>
    <w:rsid w:val="00CD32BD"/>
    <w:rPr>
      <w:color w:val="605E5C"/>
      <w:shd w:val="clear" w:color="auto" w:fill="E1DFDD"/>
    </w:rPr>
  </w:style>
  <w:style w:type="character" w:customStyle="1" w:styleId="UnresolvedMention3">
    <w:name w:val="Unresolved Mention3"/>
    <w:basedOn w:val="DefaultParagraphFont"/>
    <w:uiPriority w:val="99"/>
    <w:semiHidden/>
    <w:unhideWhenUsed/>
    <w:rsid w:val="006B4D33"/>
    <w:rPr>
      <w:color w:val="605E5C"/>
      <w:shd w:val="clear" w:color="auto" w:fill="E1DFDD"/>
    </w:rPr>
  </w:style>
  <w:style w:type="character" w:customStyle="1" w:styleId="SmallBold">
    <w:name w:val="Small Bold"/>
    <w:basedOn w:val="DefaultParagraphFont"/>
    <w:uiPriority w:val="4"/>
    <w:qFormat/>
    <w:rsid w:val="00F37E10"/>
    <w:rPr>
      <w:rFonts w:ascii="Calibri" w:hAnsi="Calibri"/>
      <w:b/>
      <w:sz w:val="20"/>
      <w:lang w:val="en-AU"/>
    </w:rPr>
  </w:style>
  <w:style w:type="paragraph" w:customStyle="1" w:styleId="TableCentre">
    <w:name w:val="Table Centre"/>
    <w:basedOn w:val="Normal"/>
    <w:uiPriority w:val="99"/>
    <w:qFormat/>
    <w:rsid w:val="00F37E10"/>
    <w:pPr>
      <w:jc w:val="center"/>
    </w:pPr>
    <w:rPr>
      <w:rFonts w:eastAsiaTheme="majorEastAsia" w:cstheme="majorBidi"/>
      <w:sz w:val="18"/>
      <w:szCs w:val="22"/>
      <w:lang w:eastAsia="en-US" w:bidi="en-US"/>
    </w:rPr>
  </w:style>
  <w:style w:type="paragraph" w:customStyle="1" w:styleId="TableParagraph">
    <w:name w:val="Table Paragraph"/>
    <w:basedOn w:val="Normal"/>
    <w:uiPriority w:val="1"/>
    <w:qFormat/>
    <w:rsid w:val="00F37E10"/>
    <w:pPr>
      <w:widowControl w:val="0"/>
      <w:autoSpaceDE w:val="0"/>
      <w:autoSpaceDN w:val="0"/>
      <w:spacing w:before="41"/>
      <w:ind w:left="132"/>
      <w:jc w:val="center"/>
    </w:pPr>
    <w:rPr>
      <w:rFonts w:ascii="Microsoft Sans Serif" w:eastAsia="Microsoft Sans Serif" w:hAnsi="Microsoft Sans Serif" w:cs="Microsoft Sans Serif"/>
      <w:sz w:val="22"/>
      <w:szCs w:val="22"/>
      <w:lang w:val="en-US" w:eastAsia="en-US"/>
    </w:rPr>
  </w:style>
  <w:style w:type="table" w:customStyle="1" w:styleId="NICETable1">
    <w:name w:val="NICE Table 1"/>
    <w:basedOn w:val="TableNormal"/>
    <w:uiPriority w:val="99"/>
    <w:rsid w:val="00F37E10"/>
    <w:pPr>
      <w:spacing w:after="60"/>
    </w:pPr>
    <w:rPr>
      <w:rFonts w:ascii="Arial" w:eastAsia="Calibri" w:hAnsi="Arial"/>
      <w:lang w:val="en-GB" w:eastAsia="en-GB"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rPr>
        <w:b/>
      </w:rPr>
      <w:tblPr/>
      <w:tcPr>
        <w:shd w:val="clear" w:color="auto" w:fill="D9D9D9" w:themeFill="background1" w:themeFillShade="D9"/>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customStyle="1" w:styleId="Paragraph">
    <w:name w:val="Paragraph"/>
    <w:basedOn w:val="Normal"/>
    <w:link w:val="ParagraphChar"/>
    <w:qFormat/>
    <w:rsid w:val="00F37E10"/>
    <w:pPr>
      <w:spacing w:after="120" w:line="276" w:lineRule="auto"/>
    </w:pPr>
    <w:rPr>
      <w:rFonts w:ascii="Arial" w:hAnsi="Arial" w:cs="Times New Roman"/>
      <w:sz w:val="22"/>
      <w:lang w:val="en-GB" w:eastAsia="en-US"/>
    </w:rPr>
  </w:style>
  <w:style w:type="character" w:customStyle="1" w:styleId="ParagraphChar">
    <w:name w:val="Paragraph Char"/>
    <w:link w:val="Paragraph"/>
    <w:rsid w:val="00F37E10"/>
    <w:rPr>
      <w:rFonts w:ascii="Arial" w:hAnsi="Arial"/>
      <w:sz w:val="22"/>
      <w:szCs w:val="24"/>
      <w:lang w:val="en-GB" w:eastAsia="en-US"/>
    </w:rPr>
  </w:style>
  <w:style w:type="table" w:customStyle="1" w:styleId="TableGrid13">
    <w:name w:val="Table Grid13"/>
    <w:basedOn w:val="TableNormal"/>
    <w:next w:val="TableGrid"/>
    <w:uiPriority w:val="59"/>
    <w:rsid w:val="00F37E10"/>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37E10"/>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Highlight">
    <w:name w:val="Font Highlight"/>
    <w:basedOn w:val="DefaultParagraphFont"/>
    <w:uiPriority w:val="2"/>
    <w:qFormat/>
    <w:rsid w:val="00F37E10"/>
    <w:rPr>
      <w:rFonts w:ascii="Calibri" w:hAnsi="Calibri"/>
      <w:sz w:val="22"/>
      <w:bdr w:val="none" w:sz="0" w:space="0" w:color="auto"/>
      <w:shd w:val="clear" w:color="auto" w:fill="FFFF00"/>
    </w:rPr>
  </w:style>
  <w:style w:type="table" w:customStyle="1" w:styleId="ASDTable2">
    <w:name w:val="ASD Table2"/>
    <w:basedOn w:val="TableNormal"/>
    <w:next w:val="TableGrid"/>
    <w:uiPriority w:val="39"/>
    <w:rsid w:val="006A7C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ofFigures"/>
    <w:uiPriority w:val="99"/>
    <w:qFormat/>
    <w:rsid w:val="006A7C4F"/>
    <w:pPr>
      <w:spacing w:line="259" w:lineRule="auto"/>
      <w:jc w:val="left"/>
    </w:pPr>
    <w:rPr>
      <w:rFonts w:ascii="Arial Narrow" w:eastAsiaTheme="minorEastAsia" w:hAnsi="Arial Narrow" w:cstheme="minorBidi"/>
      <w:b/>
      <w:sz w:val="20"/>
      <w:szCs w:val="22"/>
      <w:lang w:eastAsia="zh-CN"/>
    </w:rPr>
  </w:style>
  <w:style w:type="paragraph" w:styleId="TableofFigures">
    <w:name w:val="table of figures"/>
    <w:basedOn w:val="Normal"/>
    <w:next w:val="Normal"/>
    <w:uiPriority w:val="99"/>
    <w:semiHidden/>
    <w:unhideWhenUsed/>
    <w:rsid w:val="006A7C4F"/>
  </w:style>
  <w:style w:type="character" w:styleId="Strong">
    <w:name w:val="Strong"/>
    <w:basedOn w:val="DefaultParagraphFont"/>
    <w:uiPriority w:val="22"/>
    <w:qFormat/>
    <w:rsid w:val="00205FD7"/>
    <w:rPr>
      <w:b/>
      <w:bCs/>
    </w:rPr>
  </w:style>
  <w:style w:type="character" w:customStyle="1" w:styleId="Heading1Char">
    <w:name w:val="Heading 1 Char"/>
    <w:basedOn w:val="DefaultParagraphFont"/>
    <w:link w:val="Heading1"/>
    <w:uiPriority w:val="9"/>
    <w:rsid w:val="00205FD7"/>
    <w:rPr>
      <w:rFonts w:ascii="Calibri" w:hAnsi="Calibri" w:cs="Arial"/>
      <w:b/>
      <w:caps/>
      <w:sz w:val="32"/>
      <w:szCs w:val="24"/>
    </w:rPr>
  </w:style>
  <w:style w:type="character" w:customStyle="1" w:styleId="Heading3Char">
    <w:name w:val="Heading 3 Char"/>
    <w:basedOn w:val="DefaultParagraphFont"/>
    <w:link w:val="Heading3"/>
    <w:uiPriority w:val="9"/>
    <w:rsid w:val="00205FD7"/>
    <w:rPr>
      <w:rFonts w:ascii="Calibri" w:hAnsi="Calibri" w:cs="Arial"/>
      <w:sz w:val="24"/>
      <w:szCs w:val="24"/>
      <w:u w:val="single"/>
    </w:rPr>
  </w:style>
  <w:style w:type="character" w:customStyle="1" w:styleId="Heading4Char">
    <w:name w:val="Heading 4 Char"/>
    <w:basedOn w:val="DefaultParagraphFont"/>
    <w:link w:val="Heading4"/>
    <w:uiPriority w:val="9"/>
    <w:rsid w:val="00205FD7"/>
    <w:rPr>
      <w:rFonts w:ascii="Calibri" w:hAnsi="Calibri" w:cs="Arial"/>
      <w:b/>
      <w:bCs/>
      <w:i/>
      <w:sz w:val="26"/>
      <w:szCs w:val="28"/>
    </w:rPr>
  </w:style>
  <w:style w:type="paragraph" w:styleId="PlainText">
    <w:name w:val="Plain Text"/>
    <w:basedOn w:val="Normal"/>
    <w:link w:val="PlainTextChar"/>
    <w:uiPriority w:val="99"/>
    <w:unhideWhenUsed/>
    <w:rsid w:val="00205FD7"/>
    <w:rPr>
      <w:rFonts w:ascii="Consolas" w:hAnsi="Consolas" w:cs="Consolas"/>
      <w:sz w:val="21"/>
      <w:szCs w:val="21"/>
    </w:rPr>
  </w:style>
  <w:style w:type="character" w:customStyle="1" w:styleId="PlainTextChar">
    <w:name w:val="Plain Text Char"/>
    <w:basedOn w:val="DefaultParagraphFont"/>
    <w:link w:val="PlainText"/>
    <w:uiPriority w:val="99"/>
    <w:rsid w:val="00205FD7"/>
    <w:rPr>
      <w:rFonts w:ascii="Consolas" w:hAnsi="Consolas" w:cs="Consolas"/>
      <w:sz w:val="21"/>
      <w:szCs w:val="21"/>
    </w:rPr>
  </w:style>
  <w:style w:type="character" w:customStyle="1" w:styleId="Heading5Char">
    <w:name w:val="Heading 5 Char"/>
    <w:basedOn w:val="DefaultParagraphFont"/>
    <w:link w:val="Heading5"/>
    <w:rsid w:val="00205FD7"/>
    <w:rPr>
      <w:rFonts w:ascii="Calibri" w:hAnsi="Calibri" w:cs="Arial"/>
      <w:b/>
      <w:bCs/>
      <w:iCs/>
      <w:sz w:val="26"/>
      <w:szCs w:val="26"/>
    </w:rPr>
  </w:style>
  <w:style w:type="character" w:customStyle="1" w:styleId="Heading6Char">
    <w:name w:val="Heading 6 Char"/>
    <w:basedOn w:val="DefaultParagraphFont"/>
    <w:link w:val="Heading6"/>
    <w:rsid w:val="00F0207A"/>
    <w:rPr>
      <w:rFonts w:ascii="Calibri" w:hAnsi="Calibri" w:cs="Arial"/>
      <w:b/>
      <w:bCs/>
      <w:i/>
      <w:sz w:val="24"/>
      <w:szCs w:val="24"/>
    </w:rPr>
  </w:style>
  <w:style w:type="paragraph" w:customStyle="1" w:styleId="msonormal0">
    <w:name w:val="msonormal"/>
    <w:basedOn w:val="Normal"/>
    <w:uiPriority w:val="99"/>
    <w:rsid w:val="00F0207A"/>
    <w:pPr>
      <w:snapToGrid w:val="0"/>
      <w:spacing w:before="100" w:after="100"/>
      <w:jc w:val="left"/>
    </w:pPr>
    <w:rPr>
      <w:rFonts w:ascii="Times New Roman" w:hAnsi="Times New Roman" w:cs="Times New Roman"/>
      <w:lang w:val="en-GB"/>
    </w:rPr>
  </w:style>
  <w:style w:type="character" w:customStyle="1" w:styleId="FootnoteTextChar3">
    <w:name w:val="Footnote Text Char3"/>
    <w:aliases w:val="Footnote Text Char1 Char1,Footnote Text Char Char Char1,Footnote Text Char2 Char1,Footnote Text Char Char1 Char1"/>
    <w:basedOn w:val="DefaultParagraphFont"/>
    <w:semiHidden/>
    <w:rsid w:val="00F0207A"/>
    <w:rPr>
      <w:rFonts w:ascii="Calibri" w:hAnsi="Calibri" w:cs="Arial"/>
    </w:rPr>
  </w:style>
  <w:style w:type="character" w:customStyle="1" w:styleId="CommentTextChar1">
    <w:name w:val="Comment Text Char1"/>
    <w:aliases w:val="Char1 Char1,Char2 Char1,Comment Text Char1 Char Char1,Comment Text Char Char Char Char1,list paragraph 2 Char1,Comment Text ZS Char1"/>
    <w:basedOn w:val="DefaultParagraphFont"/>
    <w:uiPriority w:val="99"/>
    <w:semiHidden/>
    <w:rsid w:val="00F0207A"/>
    <w:rPr>
      <w:rFonts w:ascii="Calibri" w:hAnsi="Calibri" w:cs="Arial"/>
    </w:rPr>
  </w:style>
  <w:style w:type="character" w:customStyle="1" w:styleId="HeaderChar1">
    <w:name w:val="Header Char1"/>
    <w:aliases w:val="Page Header Char1,Header title Char1,he=header Char1,cntr/bld Char1"/>
    <w:basedOn w:val="DefaultParagraphFont"/>
    <w:uiPriority w:val="99"/>
    <w:semiHidden/>
    <w:rsid w:val="00F0207A"/>
    <w:rPr>
      <w:rFonts w:ascii="Calibri" w:hAnsi="Calibri" w:cs="Arial"/>
      <w:sz w:val="24"/>
      <w:szCs w:val="24"/>
    </w:rPr>
  </w:style>
  <w:style w:type="character" w:customStyle="1" w:styleId="UnresolvedMention4">
    <w:name w:val="Unresolved Mention4"/>
    <w:basedOn w:val="DefaultParagraphFont"/>
    <w:uiPriority w:val="99"/>
    <w:semiHidden/>
    <w:unhideWhenUsed/>
    <w:rsid w:val="00035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2428">
      <w:bodyDiv w:val="1"/>
      <w:marLeft w:val="0"/>
      <w:marRight w:val="0"/>
      <w:marTop w:val="0"/>
      <w:marBottom w:val="0"/>
      <w:divBdr>
        <w:top w:val="none" w:sz="0" w:space="0" w:color="auto"/>
        <w:left w:val="none" w:sz="0" w:space="0" w:color="auto"/>
        <w:bottom w:val="none" w:sz="0" w:space="0" w:color="auto"/>
        <w:right w:val="none" w:sz="0" w:space="0" w:color="auto"/>
      </w:divBdr>
      <w:divsChild>
        <w:div w:id="646857466">
          <w:marLeft w:val="547"/>
          <w:marRight w:val="0"/>
          <w:marTop w:val="58"/>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303235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7149193">
      <w:bodyDiv w:val="1"/>
      <w:marLeft w:val="0"/>
      <w:marRight w:val="0"/>
      <w:marTop w:val="0"/>
      <w:marBottom w:val="0"/>
      <w:divBdr>
        <w:top w:val="none" w:sz="0" w:space="0" w:color="auto"/>
        <w:left w:val="none" w:sz="0" w:space="0" w:color="auto"/>
        <w:bottom w:val="none" w:sz="0" w:space="0" w:color="auto"/>
        <w:right w:val="none" w:sz="0" w:space="0" w:color="auto"/>
      </w:divBdr>
      <w:divsChild>
        <w:div w:id="1182549754">
          <w:marLeft w:val="547"/>
          <w:marRight w:val="0"/>
          <w:marTop w:val="58"/>
          <w:marBottom w:val="0"/>
          <w:divBdr>
            <w:top w:val="none" w:sz="0" w:space="0" w:color="auto"/>
            <w:left w:val="none" w:sz="0" w:space="0" w:color="auto"/>
            <w:bottom w:val="none" w:sz="0" w:space="0" w:color="auto"/>
            <w:right w:val="none" w:sz="0" w:space="0" w:color="auto"/>
          </w:divBdr>
        </w:div>
      </w:divsChild>
    </w:div>
    <w:div w:id="320816893">
      <w:bodyDiv w:val="1"/>
      <w:marLeft w:val="0"/>
      <w:marRight w:val="0"/>
      <w:marTop w:val="0"/>
      <w:marBottom w:val="0"/>
      <w:divBdr>
        <w:top w:val="none" w:sz="0" w:space="0" w:color="auto"/>
        <w:left w:val="none" w:sz="0" w:space="0" w:color="auto"/>
        <w:bottom w:val="none" w:sz="0" w:space="0" w:color="auto"/>
        <w:right w:val="none" w:sz="0" w:space="0" w:color="auto"/>
      </w:divBdr>
    </w:div>
    <w:div w:id="330833386">
      <w:bodyDiv w:val="1"/>
      <w:marLeft w:val="0"/>
      <w:marRight w:val="0"/>
      <w:marTop w:val="0"/>
      <w:marBottom w:val="0"/>
      <w:divBdr>
        <w:top w:val="none" w:sz="0" w:space="0" w:color="auto"/>
        <w:left w:val="none" w:sz="0" w:space="0" w:color="auto"/>
        <w:bottom w:val="none" w:sz="0" w:space="0" w:color="auto"/>
        <w:right w:val="none" w:sz="0" w:space="0" w:color="auto"/>
      </w:divBdr>
    </w:div>
    <w:div w:id="349071103">
      <w:bodyDiv w:val="1"/>
      <w:marLeft w:val="0"/>
      <w:marRight w:val="0"/>
      <w:marTop w:val="0"/>
      <w:marBottom w:val="0"/>
      <w:divBdr>
        <w:top w:val="none" w:sz="0" w:space="0" w:color="auto"/>
        <w:left w:val="none" w:sz="0" w:space="0" w:color="auto"/>
        <w:bottom w:val="none" w:sz="0" w:space="0" w:color="auto"/>
        <w:right w:val="none" w:sz="0" w:space="0" w:color="auto"/>
      </w:divBdr>
    </w:div>
    <w:div w:id="386342314">
      <w:bodyDiv w:val="1"/>
      <w:marLeft w:val="0"/>
      <w:marRight w:val="0"/>
      <w:marTop w:val="0"/>
      <w:marBottom w:val="0"/>
      <w:divBdr>
        <w:top w:val="none" w:sz="0" w:space="0" w:color="auto"/>
        <w:left w:val="none" w:sz="0" w:space="0" w:color="auto"/>
        <w:bottom w:val="none" w:sz="0" w:space="0" w:color="auto"/>
        <w:right w:val="none" w:sz="0" w:space="0" w:color="auto"/>
      </w:divBdr>
    </w:div>
    <w:div w:id="427966764">
      <w:bodyDiv w:val="1"/>
      <w:marLeft w:val="0"/>
      <w:marRight w:val="0"/>
      <w:marTop w:val="0"/>
      <w:marBottom w:val="0"/>
      <w:divBdr>
        <w:top w:val="none" w:sz="0" w:space="0" w:color="auto"/>
        <w:left w:val="none" w:sz="0" w:space="0" w:color="auto"/>
        <w:bottom w:val="none" w:sz="0" w:space="0" w:color="auto"/>
        <w:right w:val="none" w:sz="0" w:space="0" w:color="auto"/>
      </w:divBdr>
    </w:div>
    <w:div w:id="510341845">
      <w:bodyDiv w:val="1"/>
      <w:marLeft w:val="0"/>
      <w:marRight w:val="0"/>
      <w:marTop w:val="0"/>
      <w:marBottom w:val="0"/>
      <w:divBdr>
        <w:top w:val="none" w:sz="0" w:space="0" w:color="auto"/>
        <w:left w:val="none" w:sz="0" w:space="0" w:color="auto"/>
        <w:bottom w:val="none" w:sz="0" w:space="0" w:color="auto"/>
        <w:right w:val="none" w:sz="0" w:space="0" w:color="auto"/>
      </w:divBdr>
    </w:div>
    <w:div w:id="603458710">
      <w:bodyDiv w:val="1"/>
      <w:marLeft w:val="0"/>
      <w:marRight w:val="0"/>
      <w:marTop w:val="0"/>
      <w:marBottom w:val="0"/>
      <w:divBdr>
        <w:top w:val="none" w:sz="0" w:space="0" w:color="auto"/>
        <w:left w:val="none" w:sz="0" w:space="0" w:color="auto"/>
        <w:bottom w:val="none" w:sz="0" w:space="0" w:color="auto"/>
        <w:right w:val="none" w:sz="0" w:space="0" w:color="auto"/>
      </w:divBdr>
    </w:div>
    <w:div w:id="799615494">
      <w:bodyDiv w:val="1"/>
      <w:marLeft w:val="0"/>
      <w:marRight w:val="0"/>
      <w:marTop w:val="0"/>
      <w:marBottom w:val="0"/>
      <w:divBdr>
        <w:top w:val="none" w:sz="0" w:space="0" w:color="auto"/>
        <w:left w:val="none" w:sz="0" w:space="0" w:color="auto"/>
        <w:bottom w:val="none" w:sz="0" w:space="0" w:color="auto"/>
        <w:right w:val="none" w:sz="0" w:space="0" w:color="auto"/>
      </w:divBdr>
    </w:div>
    <w:div w:id="829053554">
      <w:bodyDiv w:val="1"/>
      <w:marLeft w:val="0"/>
      <w:marRight w:val="0"/>
      <w:marTop w:val="0"/>
      <w:marBottom w:val="0"/>
      <w:divBdr>
        <w:top w:val="none" w:sz="0" w:space="0" w:color="auto"/>
        <w:left w:val="none" w:sz="0" w:space="0" w:color="auto"/>
        <w:bottom w:val="none" w:sz="0" w:space="0" w:color="auto"/>
        <w:right w:val="none" w:sz="0" w:space="0" w:color="auto"/>
      </w:divBdr>
    </w:div>
    <w:div w:id="852887846">
      <w:bodyDiv w:val="1"/>
      <w:marLeft w:val="0"/>
      <w:marRight w:val="0"/>
      <w:marTop w:val="0"/>
      <w:marBottom w:val="0"/>
      <w:divBdr>
        <w:top w:val="none" w:sz="0" w:space="0" w:color="auto"/>
        <w:left w:val="none" w:sz="0" w:space="0" w:color="auto"/>
        <w:bottom w:val="none" w:sz="0" w:space="0" w:color="auto"/>
        <w:right w:val="none" w:sz="0" w:space="0" w:color="auto"/>
      </w:divBdr>
      <w:divsChild>
        <w:div w:id="365909518">
          <w:marLeft w:val="0"/>
          <w:marRight w:val="0"/>
          <w:marTop w:val="0"/>
          <w:marBottom w:val="0"/>
          <w:divBdr>
            <w:top w:val="none" w:sz="0" w:space="0" w:color="auto"/>
            <w:left w:val="none" w:sz="0" w:space="0" w:color="auto"/>
            <w:bottom w:val="none" w:sz="0" w:space="0" w:color="auto"/>
            <w:right w:val="none" w:sz="0" w:space="0" w:color="auto"/>
          </w:divBdr>
          <w:divsChild>
            <w:div w:id="1654599690">
              <w:marLeft w:val="0"/>
              <w:marRight w:val="0"/>
              <w:marTop w:val="0"/>
              <w:marBottom w:val="0"/>
              <w:divBdr>
                <w:top w:val="none" w:sz="0" w:space="0" w:color="auto"/>
                <w:left w:val="none" w:sz="0" w:space="0" w:color="auto"/>
                <w:bottom w:val="none" w:sz="0" w:space="0" w:color="auto"/>
                <w:right w:val="none" w:sz="0" w:space="0" w:color="auto"/>
              </w:divBdr>
              <w:divsChild>
                <w:div w:id="2066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7803">
      <w:bodyDiv w:val="1"/>
      <w:marLeft w:val="0"/>
      <w:marRight w:val="0"/>
      <w:marTop w:val="0"/>
      <w:marBottom w:val="0"/>
      <w:divBdr>
        <w:top w:val="none" w:sz="0" w:space="0" w:color="auto"/>
        <w:left w:val="none" w:sz="0" w:space="0" w:color="auto"/>
        <w:bottom w:val="none" w:sz="0" w:space="0" w:color="auto"/>
        <w:right w:val="none" w:sz="0" w:space="0" w:color="auto"/>
      </w:divBdr>
    </w:div>
    <w:div w:id="992947925">
      <w:bodyDiv w:val="1"/>
      <w:marLeft w:val="0"/>
      <w:marRight w:val="0"/>
      <w:marTop w:val="0"/>
      <w:marBottom w:val="0"/>
      <w:divBdr>
        <w:top w:val="none" w:sz="0" w:space="0" w:color="auto"/>
        <w:left w:val="none" w:sz="0" w:space="0" w:color="auto"/>
        <w:bottom w:val="none" w:sz="0" w:space="0" w:color="auto"/>
        <w:right w:val="none" w:sz="0" w:space="0" w:color="auto"/>
      </w:divBdr>
    </w:div>
    <w:div w:id="1001002958">
      <w:bodyDiv w:val="1"/>
      <w:marLeft w:val="0"/>
      <w:marRight w:val="0"/>
      <w:marTop w:val="0"/>
      <w:marBottom w:val="0"/>
      <w:divBdr>
        <w:top w:val="none" w:sz="0" w:space="0" w:color="auto"/>
        <w:left w:val="none" w:sz="0" w:space="0" w:color="auto"/>
        <w:bottom w:val="none" w:sz="0" w:space="0" w:color="auto"/>
        <w:right w:val="none" w:sz="0" w:space="0" w:color="auto"/>
      </w:divBdr>
    </w:div>
    <w:div w:id="102979548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02886">
      <w:bodyDiv w:val="1"/>
      <w:marLeft w:val="0"/>
      <w:marRight w:val="0"/>
      <w:marTop w:val="0"/>
      <w:marBottom w:val="0"/>
      <w:divBdr>
        <w:top w:val="none" w:sz="0" w:space="0" w:color="auto"/>
        <w:left w:val="none" w:sz="0" w:space="0" w:color="auto"/>
        <w:bottom w:val="none" w:sz="0" w:space="0" w:color="auto"/>
        <w:right w:val="none" w:sz="0" w:space="0" w:color="auto"/>
      </w:divBdr>
    </w:div>
    <w:div w:id="1486357894">
      <w:bodyDiv w:val="1"/>
      <w:marLeft w:val="0"/>
      <w:marRight w:val="0"/>
      <w:marTop w:val="0"/>
      <w:marBottom w:val="0"/>
      <w:divBdr>
        <w:top w:val="none" w:sz="0" w:space="0" w:color="auto"/>
        <w:left w:val="none" w:sz="0" w:space="0" w:color="auto"/>
        <w:bottom w:val="none" w:sz="0" w:space="0" w:color="auto"/>
        <w:right w:val="none" w:sz="0" w:space="0" w:color="auto"/>
      </w:divBdr>
    </w:div>
    <w:div w:id="1595017656">
      <w:bodyDiv w:val="1"/>
      <w:marLeft w:val="0"/>
      <w:marRight w:val="0"/>
      <w:marTop w:val="0"/>
      <w:marBottom w:val="0"/>
      <w:divBdr>
        <w:top w:val="none" w:sz="0" w:space="0" w:color="auto"/>
        <w:left w:val="none" w:sz="0" w:space="0" w:color="auto"/>
        <w:bottom w:val="none" w:sz="0" w:space="0" w:color="auto"/>
        <w:right w:val="none" w:sz="0" w:space="0" w:color="auto"/>
      </w:divBdr>
      <w:divsChild>
        <w:div w:id="1306397963">
          <w:marLeft w:val="360"/>
          <w:marRight w:val="0"/>
          <w:marTop w:val="200"/>
          <w:marBottom w:val="0"/>
          <w:divBdr>
            <w:top w:val="none" w:sz="0" w:space="0" w:color="auto"/>
            <w:left w:val="none" w:sz="0" w:space="0" w:color="auto"/>
            <w:bottom w:val="none" w:sz="0" w:space="0" w:color="auto"/>
            <w:right w:val="none" w:sz="0" w:space="0" w:color="auto"/>
          </w:divBdr>
        </w:div>
      </w:divsChild>
    </w:div>
    <w:div w:id="1624800223">
      <w:bodyDiv w:val="1"/>
      <w:marLeft w:val="0"/>
      <w:marRight w:val="0"/>
      <w:marTop w:val="0"/>
      <w:marBottom w:val="0"/>
      <w:divBdr>
        <w:top w:val="none" w:sz="0" w:space="0" w:color="auto"/>
        <w:left w:val="none" w:sz="0" w:space="0" w:color="auto"/>
        <w:bottom w:val="none" w:sz="0" w:space="0" w:color="auto"/>
        <w:right w:val="none" w:sz="0" w:space="0" w:color="auto"/>
      </w:divBdr>
      <w:divsChild>
        <w:div w:id="885602731">
          <w:marLeft w:val="0"/>
          <w:marRight w:val="0"/>
          <w:marTop w:val="0"/>
          <w:marBottom w:val="0"/>
          <w:divBdr>
            <w:top w:val="none" w:sz="0" w:space="0" w:color="auto"/>
            <w:left w:val="none" w:sz="0" w:space="0" w:color="auto"/>
            <w:bottom w:val="none" w:sz="0" w:space="0" w:color="auto"/>
            <w:right w:val="none" w:sz="0" w:space="0" w:color="auto"/>
          </w:divBdr>
          <w:divsChild>
            <w:div w:id="11060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0127">
      <w:bodyDiv w:val="1"/>
      <w:marLeft w:val="0"/>
      <w:marRight w:val="0"/>
      <w:marTop w:val="0"/>
      <w:marBottom w:val="0"/>
      <w:divBdr>
        <w:top w:val="none" w:sz="0" w:space="0" w:color="auto"/>
        <w:left w:val="none" w:sz="0" w:space="0" w:color="auto"/>
        <w:bottom w:val="none" w:sz="0" w:space="0" w:color="auto"/>
        <w:right w:val="none" w:sz="0" w:space="0" w:color="auto"/>
      </w:divBdr>
    </w:div>
    <w:div w:id="1687512110">
      <w:bodyDiv w:val="1"/>
      <w:marLeft w:val="0"/>
      <w:marRight w:val="0"/>
      <w:marTop w:val="0"/>
      <w:marBottom w:val="0"/>
      <w:divBdr>
        <w:top w:val="none" w:sz="0" w:space="0" w:color="auto"/>
        <w:left w:val="none" w:sz="0" w:space="0" w:color="auto"/>
        <w:bottom w:val="none" w:sz="0" w:space="0" w:color="auto"/>
        <w:right w:val="none" w:sz="0" w:space="0" w:color="auto"/>
      </w:divBdr>
    </w:div>
    <w:div w:id="1693339793">
      <w:bodyDiv w:val="1"/>
      <w:marLeft w:val="0"/>
      <w:marRight w:val="0"/>
      <w:marTop w:val="0"/>
      <w:marBottom w:val="0"/>
      <w:divBdr>
        <w:top w:val="none" w:sz="0" w:space="0" w:color="auto"/>
        <w:left w:val="none" w:sz="0" w:space="0" w:color="auto"/>
        <w:bottom w:val="none" w:sz="0" w:space="0" w:color="auto"/>
        <w:right w:val="none" w:sz="0" w:space="0" w:color="auto"/>
      </w:divBdr>
    </w:div>
    <w:div w:id="1703435842">
      <w:bodyDiv w:val="1"/>
      <w:marLeft w:val="0"/>
      <w:marRight w:val="0"/>
      <w:marTop w:val="0"/>
      <w:marBottom w:val="0"/>
      <w:divBdr>
        <w:top w:val="none" w:sz="0" w:space="0" w:color="auto"/>
        <w:left w:val="none" w:sz="0" w:space="0" w:color="auto"/>
        <w:bottom w:val="none" w:sz="0" w:space="0" w:color="auto"/>
        <w:right w:val="none" w:sz="0" w:space="0" w:color="auto"/>
      </w:divBdr>
    </w:div>
    <w:div w:id="1746949429">
      <w:bodyDiv w:val="1"/>
      <w:marLeft w:val="0"/>
      <w:marRight w:val="0"/>
      <w:marTop w:val="0"/>
      <w:marBottom w:val="0"/>
      <w:divBdr>
        <w:top w:val="none" w:sz="0" w:space="0" w:color="auto"/>
        <w:left w:val="none" w:sz="0" w:space="0" w:color="auto"/>
        <w:bottom w:val="none" w:sz="0" w:space="0" w:color="auto"/>
        <w:right w:val="none" w:sz="0" w:space="0" w:color="auto"/>
      </w:divBdr>
    </w:div>
    <w:div w:id="191831805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7128307">
      <w:bodyDiv w:val="1"/>
      <w:marLeft w:val="0"/>
      <w:marRight w:val="0"/>
      <w:marTop w:val="0"/>
      <w:marBottom w:val="0"/>
      <w:divBdr>
        <w:top w:val="none" w:sz="0" w:space="0" w:color="auto"/>
        <w:left w:val="none" w:sz="0" w:space="0" w:color="auto"/>
        <w:bottom w:val="none" w:sz="0" w:space="0" w:color="auto"/>
        <w:right w:val="none" w:sz="0" w:space="0" w:color="auto"/>
      </w:divBdr>
    </w:div>
    <w:div w:id="2103909067">
      <w:bodyDiv w:val="1"/>
      <w:marLeft w:val="0"/>
      <w:marRight w:val="0"/>
      <w:marTop w:val="0"/>
      <w:marBottom w:val="0"/>
      <w:divBdr>
        <w:top w:val="none" w:sz="0" w:space="0" w:color="auto"/>
        <w:left w:val="none" w:sz="0" w:space="0" w:color="auto"/>
        <w:bottom w:val="none" w:sz="0" w:space="0" w:color="auto"/>
        <w:right w:val="none" w:sz="0" w:space="0" w:color="auto"/>
      </w:divBdr>
    </w:div>
    <w:div w:id="2109276424">
      <w:bodyDiv w:val="1"/>
      <w:marLeft w:val="0"/>
      <w:marRight w:val="0"/>
      <w:marTop w:val="0"/>
      <w:marBottom w:val="0"/>
      <w:divBdr>
        <w:top w:val="none" w:sz="0" w:space="0" w:color="auto"/>
        <w:left w:val="none" w:sz="0" w:space="0" w:color="auto"/>
        <w:bottom w:val="none" w:sz="0" w:space="0" w:color="auto"/>
        <w:right w:val="none" w:sz="0" w:space="0" w:color="auto"/>
      </w:divBdr>
    </w:div>
    <w:div w:id="21379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3F75-F65E-4DB0-A148-380EF411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21155</Words>
  <Characters>118099</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2021-11-01T09:24:00Z</dcterms:created>
  <dcterms:modified xsi:type="dcterms:W3CDTF">2021-11-01T09:24:00Z</dcterms:modified>
</cp:coreProperties>
</file>