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A0" w:rsidRPr="000C675E" w:rsidRDefault="00FE23BB" w:rsidP="00D90480">
      <w:pPr>
        <w:pStyle w:val="1-MainHeading"/>
        <w:ind w:left="1134" w:hanging="1134"/>
        <w:rPr>
          <w:rFonts w:eastAsia="Calibri"/>
          <w:lang w:eastAsia="en-US"/>
        </w:rPr>
      </w:pPr>
      <w:r w:rsidRPr="000C675E">
        <w:t>7.10</w:t>
      </w:r>
      <w:r w:rsidR="00D90480" w:rsidRPr="000C675E">
        <w:tab/>
      </w:r>
      <w:r w:rsidRPr="000C675E">
        <w:t>VENETOCLAX</w:t>
      </w:r>
      <w:r w:rsidR="00FE4B55" w:rsidRPr="000C675E">
        <w:t>,</w:t>
      </w:r>
      <w:r w:rsidR="000B7767" w:rsidRPr="000C675E">
        <w:br/>
      </w:r>
      <w:r w:rsidR="00FE4B55" w:rsidRPr="000C675E">
        <w:t>Tablet 100 mg, 50 mg,</w:t>
      </w:r>
      <w:r w:rsidR="000B7767" w:rsidRPr="000C675E">
        <w:br/>
      </w:r>
      <w:r w:rsidRPr="000C675E">
        <w:t>Venclexta</w:t>
      </w:r>
      <w:r w:rsidR="1E938E64" w:rsidRPr="000C675E">
        <w:t>®</w:t>
      </w:r>
      <w:r w:rsidR="00FE4B55" w:rsidRPr="000C675E">
        <w:t>,</w:t>
      </w:r>
      <w:r w:rsidR="000B7767" w:rsidRPr="000C675E">
        <w:br/>
      </w:r>
      <w:r w:rsidRPr="000C675E">
        <w:t>AbbVie Pty Ltd.</w:t>
      </w:r>
    </w:p>
    <w:p w:rsidR="003F044F" w:rsidRPr="000C675E" w:rsidRDefault="009C5B72" w:rsidP="009E7910">
      <w:pPr>
        <w:pStyle w:val="2-SectionHeading"/>
        <w:rPr>
          <w:rFonts w:eastAsia="Calibri"/>
        </w:rPr>
      </w:pPr>
      <w:r w:rsidRPr="000C675E">
        <w:t>Purpose</w:t>
      </w:r>
    </w:p>
    <w:p w:rsidR="00F81F7A" w:rsidRPr="000C675E" w:rsidRDefault="00F81F7A" w:rsidP="009E7910">
      <w:pPr>
        <w:pStyle w:val="3-BodyText"/>
      </w:pPr>
      <w:r w:rsidRPr="000C675E">
        <w:t xml:space="preserve">The </w:t>
      </w:r>
      <w:r w:rsidR="009D55E2" w:rsidRPr="000C675E">
        <w:t>early re-entry re</w:t>
      </w:r>
      <w:r w:rsidRPr="000C675E">
        <w:t xml:space="preserve">submission </w:t>
      </w:r>
      <w:r w:rsidR="00225508" w:rsidRPr="000C675E">
        <w:t>requested an Authority Required (Telephone/Online) listing for venetoclax</w:t>
      </w:r>
      <w:r w:rsidR="00DA119A" w:rsidRPr="000C675E">
        <w:t xml:space="preserve"> (VTX)</w:t>
      </w:r>
      <w:r w:rsidR="00225508" w:rsidRPr="000C675E">
        <w:t xml:space="preserve"> </w:t>
      </w:r>
      <w:r w:rsidR="00BA1A49" w:rsidRPr="000C675E">
        <w:t>in combination with azacitidine</w:t>
      </w:r>
      <w:r w:rsidR="00DA119A" w:rsidRPr="000C675E">
        <w:t xml:space="preserve"> (AZA)</w:t>
      </w:r>
      <w:r w:rsidR="00BA1A49" w:rsidRPr="000C675E">
        <w:t>,</w:t>
      </w:r>
      <w:bookmarkStart w:id="0" w:name="_Hlk77862443"/>
      <w:r w:rsidR="00BA1A49" w:rsidRPr="000C675E">
        <w:t xml:space="preserve"> </w:t>
      </w:r>
      <w:r w:rsidR="00225508" w:rsidRPr="000C675E">
        <w:t>for the treatment of patients with newly diagnosed acute myeloid leukaemia (AML), ineligible for standard intensive remission induction chemotherapy.</w:t>
      </w:r>
      <w:bookmarkEnd w:id="0"/>
    </w:p>
    <w:p w:rsidR="009D55E2" w:rsidRPr="000C675E" w:rsidRDefault="6657D135" w:rsidP="009E7910">
      <w:pPr>
        <w:pStyle w:val="3-BodyText"/>
        <w:rPr>
          <w:rFonts w:eastAsiaTheme="minorEastAsia"/>
        </w:rPr>
      </w:pPr>
      <w:r w:rsidRPr="000C675E">
        <w:t xml:space="preserve">The </w:t>
      </w:r>
      <w:r w:rsidR="009D55E2" w:rsidRPr="000C675E">
        <w:t>re</w:t>
      </w:r>
      <w:r w:rsidRPr="000C675E">
        <w:t xml:space="preserve">submission was based on </w:t>
      </w:r>
      <w:r w:rsidR="009D55E2" w:rsidRPr="000C675E">
        <w:t xml:space="preserve">the PBAC </w:t>
      </w:r>
      <w:r w:rsidR="008127B3">
        <w:t>recommendation</w:t>
      </w:r>
      <w:r w:rsidR="008127B3" w:rsidRPr="000C675E">
        <w:t xml:space="preserve"> </w:t>
      </w:r>
      <w:r w:rsidR="009D55E2" w:rsidRPr="000C675E">
        <w:t xml:space="preserve">from </w:t>
      </w:r>
      <w:r w:rsidR="00FE23BB" w:rsidRPr="000C675E">
        <w:t>March</w:t>
      </w:r>
      <w:r w:rsidR="005851B6" w:rsidRPr="000C675E">
        <w:t xml:space="preserve"> 2021</w:t>
      </w:r>
      <w:r w:rsidRPr="0075328D">
        <w:t xml:space="preserve">. </w:t>
      </w:r>
      <w:r w:rsidRPr="000C675E">
        <w:rPr>
          <w:snapToGrid w:val="0"/>
        </w:rPr>
        <w:t xml:space="preserve">This </w:t>
      </w:r>
      <w:r w:rsidR="009D55E2" w:rsidRPr="000C675E">
        <w:rPr>
          <w:snapToGrid w:val="0"/>
        </w:rPr>
        <w:t xml:space="preserve">resubmission </w:t>
      </w:r>
      <w:r w:rsidR="00A009A4" w:rsidRPr="000C675E">
        <w:rPr>
          <w:snapToGrid w:val="0"/>
        </w:rPr>
        <w:t xml:space="preserve">partially </w:t>
      </w:r>
      <w:r w:rsidR="009D55E2" w:rsidRPr="000C675E">
        <w:rPr>
          <w:snapToGrid w:val="0"/>
        </w:rPr>
        <w:t xml:space="preserve">addressed the </w:t>
      </w:r>
      <w:r w:rsidRPr="000C675E">
        <w:rPr>
          <w:snapToGrid w:val="0"/>
        </w:rPr>
        <w:t>is</w:t>
      </w:r>
      <w:r w:rsidR="009D55E2" w:rsidRPr="000C675E">
        <w:rPr>
          <w:snapToGrid w:val="0"/>
        </w:rPr>
        <w:t>sues raised</w:t>
      </w:r>
      <w:r w:rsidRPr="000C675E">
        <w:rPr>
          <w:snapToGrid w:val="0"/>
        </w:rPr>
        <w:t xml:space="preserve"> </w:t>
      </w:r>
      <w:r w:rsidR="009D55E2" w:rsidRPr="000C675E">
        <w:rPr>
          <w:snapToGrid w:val="0"/>
        </w:rPr>
        <w:t>by PBAC</w:t>
      </w:r>
      <w:r w:rsidR="00121752" w:rsidRPr="000C675E">
        <w:rPr>
          <w:snapToGrid w:val="0"/>
        </w:rPr>
        <w:t xml:space="preserve"> (</w:t>
      </w:r>
      <w:r w:rsidR="009B750F" w:rsidRPr="000C675E">
        <w:rPr>
          <w:snapToGrid w:val="0"/>
        </w:rPr>
        <w:t xml:space="preserve">see </w:t>
      </w:r>
      <w:r w:rsidR="003A5046" w:rsidRPr="000C675E">
        <w:t xml:space="preserve">Table </w:t>
      </w:r>
      <w:r w:rsidR="003A5046" w:rsidRPr="005F5101">
        <w:t>1</w:t>
      </w:r>
      <w:r w:rsidR="00F5282B" w:rsidRPr="000C675E">
        <w:rPr>
          <w:snapToGrid w:val="0"/>
        </w:rPr>
        <w:t xml:space="preserve"> summary</w:t>
      </w:r>
      <w:r w:rsidR="00DA119A" w:rsidRPr="000C675E">
        <w:rPr>
          <w:snapToGrid w:val="0"/>
        </w:rPr>
        <w:t xml:space="preserve"> </w:t>
      </w:r>
      <w:r w:rsidR="009D55E2" w:rsidRPr="0075328D">
        <w:rPr>
          <w:snapToGrid w:val="0"/>
        </w:rPr>
        <w:t>below</w:t>
      </w:r>
      <w:r w:rsidR="00121752" w:rsidRPr="000C675E">
        <w:rPr>
          <w:snapToGrid w:val="0"/>
        </w:rPr>
        <w:t>, with further details discussed in economics and financial sections</w:t>
      </w:r>
      <w:r w:rsidR="005851B6" w:rsidRPr="000C675E">
        <w:rPr>
          <w:snapToGrid w:val="0"/>
        </w:rPr>
        <w:t xml:space="preserve"> and </w:t>
      </w:r>
      <w:r w:rsidR="00CC7181" w:rsidRPr="000C675E">
        <w:rPr>
          <w:snapToGrid w:val="0"/>
        </w:rPr>
        <w:t>in the</w:t>
      </w:r>
      <w:r w:rsidR="005851B6" w:rsidRPr="000C675E">
        <w:rPr>
          <w:snapToGrid w:val="0"/>
        </w:rPr>
        <w:t xml:space="preserve"> </w:t>
      </w:r>
      <w:r w:rsidR="005851B6" w:rsidRPr="000C675E">
        <w:rPr>
          <w:i/>
          <w:iCs/>
          <w:snapToGrid w:val="0"/>
        </w:rPr>
        <w:t>PBAC Outcome</w:t>
      </w:r>
      <w:r w:rsidR="005851B6" w:rsidRPr="000C675E">
        <w:rPr>
          <w:snapToGrid w:val="0"/>
        </w:rPr>
        <w:t xml:space="preserve"> </w:t>
      </w:r>
      <w:r w:rsidR="00CC7181" w:rsidRPr="000C675E">
        <w:rPr>
          <w:snapToGrid w:val="0"/>
        </w:rPr>
        <w:t>section</w:t>
      </w:r>
      <w:r w:rsidR="00121752" w:rsidRPr="000C675E">
        <w:rPr>
          <w:snapToGrid w:val="0"/>
        </w:rPr>
        <w:t>)</w:t>
      </w:r>
      <w:r w:rsidR="009D55E2" w:rsidRPr="000C675E">
        <w:rPr>
          <w:snapToGrid w:val="0"/>
        </w:rPr>
        <w:t>.</w:t>
      </w:r>
    </w:p>
    <w:p w:rsidR="00E97D0B" w:rsidRPr="000C675E" w:rsidRDefault="00A009A4" w:rsidP="009E7910">
      <w:pPr>
        <w:pStyle w:val="3-BodyText"/>
        <w:rPr>
          <w:rFonts w:eastAsiaTheme="minorEastAsia"/>
          <w:color w:val="1F497D" w:themeColor="text2"/>
        </w:rPr>
      </w:pPr>
      <w:r w:rsidRPr="000C675E">
        <w:rPr>
          <w:snapToGrid w:val="0"/>
        </w:rPr>
        <w:t xml:space="preserve">In addition to the 100 mg strength requested in the previous submission, the resubmission also requested listing for a 50 mg strength, </w:t>
      </w:r>
      <w:bookmarkStart w:id="1" w:name="_Hlk78298053"/>
      <w:r w:rsidRPr="000C675E">
        <w:rPr>
          <w:snapToGrid w:val="0"/>
        </w:rPr>
        <w:t xml:space="preserve">which would be used by patients requiring a reduced dose, due to the increased risk for Tumour Lysis Syndrome </w:t>
      </w:r>
      <w:r w:rsidR="00DA119A" w:rsidRPr="000C675E">
        <w:rPr>
          <w:snapToGrid w:val="0"/>
        </w:rPr>
        <w:t xml:space="preserve">(TLS) </w:t>
      </w:r>
      <w:r w:rsidRPr="000C675E">
        <w:rPr>
          <w:snapToGrid w:val="0"/>
        </w:rPr>
        <w:t xml:space="preserve">at initiation and ramp-up when taking concomitant </w:t>
      </w:r>
      <w:r w:rsidR="00BD56BF" w:rsidRPr="000C675E">
        <w:rPr>
          <w:snapToGrid w:val="0"/>
        </w:rPr>
        <w:t>VTX</w:t>
      </w:r>
      <w:r w:rsidRPr="000C675E">
        <w:rPr>
          <w:snapToGrid w:val="0"/>
        </w:rPr>
        <w:t xml:space="preserve"> and </w:t>
      </w:r>
      <w:bookmarkStart w:id="2" w:name="_Hlk78297931"/>
      <w:r w:rsidRPr="000C675E">
        <w:rPr>
          <w:snapToGrid w:val="0"/>
        </w:rPr>
        <w:t>strong or moderate CYP3A inhibitors</w:t>
      </w:r>
      <w:bookmarkEnd w:id="2"/>
      <w:r w:rsidRPr="000C675E">
        <w:rPr>
          <w:snapToGrid w:val="0"/>
        </w:rPr>
        <w:t>.</w:t>
      </w:r>
      <w:bookmarkEnd w:id="1"/>
      <w:r w:rsidRPr="000C675E">
        <w:rPr>
          <w:snapToGrid w:val="0"/>
        </w:rPr>
        <w:t xml:space="preserve"> The previous submission </w:t>
      </w:r>
      <w:r w:rsidR="00DA119A" w:rsidRPr="000C675E">
        <w:rPr>
          <w:snapToGrid w:val="0"/>
        </w:rPr>
        <w:t xml:space="preserve">had </w:t>
      </w:r>
      <w:r w:rsidRPr="000C675E">
        <w:rPr>
          <w:snapToGrid w:val="0"/>
        </w:rPr>
        <w:t xml:space="preserve">assumed that patients requiring this dose reduction would receive it via a hospital, however the resubmission indicated that, “while the dosing recommendation after the three day ramp up period is for 100 mg or less, clinicians have indicated that they intend to reduce the dose in these patients to 50 mg per day and that this dose could be used for two months or more, with much of that time spent with the patient receiving treatment in the community rather than the hospital setting”. Hence, PBS listing was requested. </w:t>
      </w:r>
      <w:r w:rsidR="00576238" w:rsidRPr="000C675E">
        <w:rPr>
          <w:snapToGrid w:val="0"/>
        </w:rPr>
        <w:t>The 50 mg strength was not accounted for in the economic model or financial estimates, and its impact was therefore unclear.</w:t>
      </w:r>
      <w:r w:rsidR="005851B6" w:rsidRPr="000C675E">
        <w:rPr>
          <w:snapToGrid w:val="0"/>
        </w:rPr>
        <w:t xml:space="preserve"> The Pre-PBAC response </w:t>
      </w:r>
      <w:r w:rsidR="00345AA7" w:rsidRPr="000C675E">
        <w:rPr>
          <w:snapToGrid w:val="0"/>
        </w:rPr>
        <w:t>claimed that the inclusion of the 50 mg strength would improve cost effectiveness and reduce the budget impact</w:t>
      </w:r>
      <w:r w:rsidR="009F2331" w:rsidRPr="000C675E">
        <w:rPr>
          <w:snapToGrid w:val="0"/>
        </w:rPr>
        <w:t>.</w:t>
      </w:r>
    </w:p>
    <w:p w:rsidR="009D55E2" w:rsidRPr="000C675E" w:rsidRDefault="00FE23BB" w:rsidP="009E7910">
      <w:pPr>
        <w:pStyle w:val="TableFigureHeading"/>
      </w:pPr>
      <w:bookmarkStart w:id="3" w:name="_Ref75339168"/>
      <w:r w:rsidRPr="000C675E">
        <w:lastRenderedPageBreak/>
        <w:t xml:space="preserve">Table </w:t>
      </w:r>
      <w:r w:rsidR="003A5046" w:rsidRPr="005F5101">
        <w:t>1</w:t>
      </w:r>
      <w:bookmarkEnd w:id="3"/>
      <w:r w:rsidR="009D55E2" w:rsidRPr="000C675E">
        <w:t>: Summary of key matters to be addressed</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3743"/>
        <w:gridCol w:w="1164"/>
      </w:tblGrid>
      <w:tr w:rsidR="001F258D" w:rsidRPr="000C675E" w:rsidTr="009E7910">
        <w:trPr>
          <w:cantSplit/>
          <w:tblHeader/>
        </w:trPr>
        <w:tc>
          <w:tcPr>
            <w:tcW w:w="2342" w:type="pct"/>
            <w:vAlign w:val="center"/>
          </w:tcPr>
          <w:p w:rsidR="00D34011" w:rsidRPr="005F5101" w:rsidRDefault="00D34011" w:rsidP="009E7910">
            <w:pPr>
              <w:pStyle w:val="In-tableHeading"/>
              <w:rPr>
                <w:lang w:val="en-AU"/>
              </w:rPr>
            </w:pPr>
            <w:r w:rsidRPr="005F5101">
              <w:rPr>
                <w:lang w:val="en-AU"/>
              </w:rPr>
              <w:t>Matter of concern</w:t>
            </w:r>
          </w:p>
        </w:tc>
        <w:tc>
          <w:tcPr>
            <w:tcW w:w="2113" w:type="pct"/>
            <w:vAlign w:val="center"/>
          </w:tcPr>
          <w:p w:rsidR="00D34011" w:rsidRPr="005F5101" w:rsidRDefault="00D34011" w:rsidP="009E7910">
            <w:pPr>
              <w:pStyle w:val="In-tableHeading"/>
              <w:rPr>
                <w:lang w:val="en-AU"/>
              </w:rPr>
            </w:pPr>
            <w:r w:rsidRPr="005F5101">
              <w:rPr>
                <w:lang w:val="en-AU"/>
              </w:rPr>
              <w:t>Response</w:t>
            </w:r>
          </w:p>
        </w:tc>
        <w:tc>
          <w:tcPr>
            <w:tcW w:w="545" w:type="pct"/>
            <w:vAlign w:val="center"/>
          </w:tcPr>
          <w:p w:rsidR="00D34011" w:rsidRPr="005F5101" w:rsidRDefault="00D34011" w:rsidP="009E7910">
            <w:pPr>
              <w:pStyle w:val="In-tableHeading"/>
              <w:rPr>
                <w:lang w:val="en-AU"/>
              </w:rPr>
            </w:pPr>
            <w:r w:rsidRPr="005F5101">
              <w:rPr>
                <w:lang w:val="en-AU"/>
              </w:rPr>
              <w:t>Addressed?</w:t>
            </w:r>
          </w:p>
        </w:tc>
      </w:tr>
      <w:tr w:rsidR="001F258D" w:rsidRPr="000C675E" w:rsidTr="009E7910">
        <w:trPr>
          <w:cantSplit/>
          <w:tblHeader/>
        </w:trPr>
        <w:tc>
          <w:tcPr>
            <w:tcW w:w="5000" w:type="pct"/>
            <w:gridSpan w:val="3"/>
            <w:tcBorders>
              <w:bottom w:val="single" w:sz="4" w:space="0" w:color="auto"/>
            </w:tcBorders>
            <w:vAlign w:val="center"/>
          </w:tcPr>
          <w:p w:rsidR="00082AFB" w:rsidRPr="005F5101" w:rsidRDefault="00082AFB" w:rsidP="009E7910">
            <w:pPr>
              <w:pStyle w:val="In-tableHeading"/>
              <w:rPr>
                <w:lang w:val="en-AU"/>
              </w:rPr>
            </w:pPr>
            <w:r w:rsidRPr="005F5101">
              <w:rPr>
                <w:lang w:val="en-AU"/>
              </w:rPr>
              <w:t>Economic model</w:t>
            </w:r>
          </w:p>
        </w:tc>
      </w:tr>
      <w:tr w:rsidR="001F258D" w:rsidRPr="000C675E" w:rsidTr="009E7910">
        <w:trPr>
          <w:cantSplit/>
        </w:trPr>
        <w:tc>
          <w:tcPr>
            <w:tcW w:w="2342" w:type="pct"/>
            <w:tcBorders>
              <w:bottom w:val="nil"/>
              <w:right w:val="single" w:sz="4" w:space="0" w:color="auto"/>
            </w:tcBorders>
            <w:vAlign w:val="center"/>
          </w:tcPr>
          <w:p w:rsidR="00D34011" w:rsidRPr="000C675E" w:rsidRDefault="006960F0" w:rsidP="009E7910">
            <w:pPr>
              <w:pStyle w:val="TableText"/>
            </w:pPr>
            <w:r w:rsidRPr="000C675E">
              <w:t>PBAC scenario (para 7.13,</w:t>
            </w:r>
            <w:r w:rsidR="00345AA7" w:rsidRPr="000C675E">
              <w:t xml:space="preserve"> VTX,</w:t>
            </w:r>
            <w:r w:rsidRPr="000C675E">
              <w:t xml:space="preserve"> </w:t>
            </w:r>
            <w:r w:rsidR="00822491" w:rsidRPr="000C675E">
              <w:t xml:space="preserve">PBAC </w:t>
            </w:r>
            <w:r w:rsidR="002A660D">
              <w:t>Public Summary Document (PSD)</w:t>
            </w:r>
            <w:r w:rsidR="00345AA7" w:rsidRPr="000C675E">
              <w:t xml:space="preserve">, </w:t>
            </w:r>
            <w:r w:rsidRPr="000C675E">
              <w:t xml:space="preserve">March </w:t>
            </w:r>
            <w:r w:rsidR="00345AA7" w:rsidRPr="000C675E">
              <w:t>20</w:t>
            </w:r>
            <w:r w:rsidRPr="000C675E">
              <w:t xml:space="preserve">21 PBAC </w:t>
            </w:r>
            <w:r w:rsidR="00345AA7" w:rsidRPr="000C675E">
              <w:t>meeting</w:t>
            </w:r>
            <w:r w:rsidRPr="000C675E">
              <w:t xml:space="preserve">): </w:t>
            </w:r>
          </w:p>
          <w:p w:rsidR="006960F0" w:rsidRPr="000C675E" w:rsidRDefault="006960F0" w:rsidP="001255EC">
            <w:pPr>
              <w:pStyle w:val="TableText"/>
              <w:numPr>
                <w:ilvl w:val="0"/>
                <w:numId w:val="2"/>
              </w:numPr>
              <w:ind w:left="142" w:hanging="142"/>
            </w:pPr>
            <w:r w:rsidRPr="000C675E">
              <w:t xml:space="preserve">An average of 1.9 </w:t>
            </w:r>
            <w:r w:rsidR="00345AA7" w:rsidRPr="000C675E">
              <w:t xml:space="preserve">AZA </w:t>
            </w:r>
            <w:r w:rsidRPr="000C675E">
              <w:t>vials per infusion</w:t>
            </w:r>
          </w:p>
          <w:p w:rsidR="006960F0" w:rsidRPr="000C675E" w:rsidRDefault="006960F0" w:rsidP="001255EC">
            <w:pPr>
              <w:pStyle w:val="TableText"/>
              <w:numPr>
                <w:ilvl w:val="0"/>
                <w:numId w:val="2"/>
              </w:numPr>
              <w:ind w:left="142" w:hanging="142"/>
            </w:pPr>
            <w:r w:rsidRPr="000C675E">
              <w:t>Revised extrapolations for EFS and OS</w:t>
            </w:r>
          </w:p>
          <w:p w:rsidR="006960F0" w:rsidRPr="000C675E" w:rsidRDefault="006960F0" w:rsidP="001255EC">
            <w:pPr>
              <w:pStyle w:val="TableText"/>
              <w:numPr>
                <w:ilvl w:val="0"/>
                <w:numId w:val="2"/>
              </w:numPr>
              <w:ind w:left="142" w:hanging="142"/>
            </w:pPr>
            <w:r w:rsidRPr="000C675E">
              <w:t>10-year time horizon</w:t>
            </w:r>
          </w:p>
          <w:p w:rsidR="006960F0" w:rsidRPr="000C675E" w:rsidRDefault="006960F0" w:rsidP="001255EC">
            <w:pPr>
              <w:pStyle w:val="TableText"/>
              <w:numPr>
                <w:ilvl w:val="0"/>
                <w:numId w:val="2"/>
              </w:numPr>
              <w:ind w:left="142" w:hanging="142"/>
            </w:pPr>
            <w:r w:rsidRPr="000C675E">
              <w:t>ICER weighted towards the LoDAC comparison</w:t>
            </w:r>
          </w:p>
          <w:p w:rsidR="006960F0" w:rsidRPr="000C675E" w:rsidRDefault="006632DA" w:rsidP="001255EC">
            <w:pPr>
              <w:pStyle w:val="TableText"/>
              <w:numPr>
                <w:ilvl w:val="0"/>
                <w:numId w:val="2"/>
              </w:numPr>
              <w:ind w:left="142" w:hanging="142"/>
            </w:pPr>
            <w:r w:rsidRPr="000C675E">
              <w:t>A</w:t>
            </w:r>
            <w:r w:rsidR="006960F0" w:rsidRPr="000C675E">
              <w:t>n ICER of approximately $</w:t>
            </w:r>
            <w:r w:rsidR="00777702">
              <w:rPr>
                <w:noProof/>
                <w:color w:val="000000"/>
                <w:highlight w:val="black"/>
              </w:rPr>
              <w:t>''''''''''''''''</w:t>
            </w:r>
            <w:r w:rsidR="006C737F" w:rsidRPr="00B911EB">
              <w:rPr>
                <w:vertAlign w:val="superscript"/>
              </w:rPr>
              <w:t>1</w:t>
            </w:r>
            <w:r w:rsidRPr="000C675E">
              <w:t>/QALY</w:t>
            </w:r>
          </w:p>
        </w:tc>
        <w:tc>
          <w:tcPr>
            <w:tcW w:w="2113" w:type="pct"/>
            <w:tcBorders>
              <w:left w:val="single" w:sz="4" w:space="0" w:color="auto"/>
              <w:bottom w:val="nil"/>
              <w:right w:val="single" w:sz="4" w:space="0" w:color="auto"/>
            </w:tcBorders>
          </w:tcPr>
          <w:p w:rsidR="00D34011" w:rsidRPr="000C675E" w:rsidRDefault="006960F0" w:rsidP="009E7910">
            <w:pPr>
              <w:pStyle w:val="TableText"/>
            </w:pPr>
            <w:r w:rsidRPr="000C675E">
              <w:t>Resubmission scenario:</w:t>
            </w:r>
          </w:p>
          <w:p w:rsidR="006960F0" w:rsidRPr="000C675E" w:rsidRDefault="006960F0" w:rsidP="001255EC">
            <w:pPr>
              <w:pStyle w:val="TableText"/>
              <w:numPr>
                <w:ilvl w:val="0"/>
                <w:numId w:val="2"/>
              </w:numPr>
              <w:ind w:left="142" w:hanging="142"/>
            </w:pPr>
            <w:r w:rsidRPr="000C675E">
              <w:t xml:space="preserve">An average of 1.9 </w:t>
            </w:r>
            <w:r w:rsidR="00345AA7" w:rsidRPr="000C675E">
              <w:t xml:space="preserve">AZA </w:t>
            </w:r>
            <w:r w:rsidRPr="000C675E">
              <w:t>vials per infusion</w:t>
            </w:r>
          </w:p>
          <w:p w:rsidR="006960F0" w:rsidRPr="000C675E" w:rsidRDefault="006960F0" w:rsidP="001255EC">
            <w:pPr>
              <w:pStyle w:val="TableText"/>
              <w:numPr>
                <w:ilvl w:val="0"/>
                <w:numId w:val="2"/>
              </w:numPr>
              <w:ind w:left="142" w:hanging="142"/>
            </w:pPr>
            <w:r w:rsidRPr="000C675E">
              <w:t>Alternative extrapolations for EFS and OS</w:t>
            </w:r>
          </w:p>
          <w:p w:rsidR="006960F0" w:rsidRPr="000C675E" w:rsidRDefault="006960F0" w:rsidP="001255EC">
            <w:pPr>
              <w:pStyle w:val="TableText"/>
              <w:numPr>
                <w:ilvl w:val="0"/>
                <w:numId w:val="2"/>
              </w:numPr>
              <w:ind w:left="142" w:hanging="142"/>
            </w:pPr>
            <w:r w:rsidRPr="000C675E">
              <w:t>10-year time horizon</w:t>
            </w:r>
          </w:p>
          <w:p w:rsidR="006960F0" w:rsidRPr="000C675E" w:rsidRDefault="006960F0" w:rsidP="001255EC">
            <w:pPr>
              <w:pStyle w:val="TableText"/>
              <w:numPr>
                <w:ilvl w:val="0"/>
                <w:numId w:val="2"/>
              </w:numPr>
              <w:ind w:left="142" w:hanging="142"/>
            </w:pPr>
            <w:r w:rsidRPr="000C675E">
              <w:t>No change to ICER weightings</w:t>
            </w:r>
          </w:p>
          <w:p w:rsidR="006960F0" w:rsidRPr="000C675E" w:rsidRDefault="006632DA" w:rsidP="001255EC">
            <w:pPr>
              <w:pStyle w:val="TableText"/>
              <w:numPr>
                <w:ilvl w:val="0"/>
                <w:numId w:val="2"/>
              </w:numPr>
              <w:ind w:left="142" w:hanging="142"/>
            </w:pPr>
            <w:r w:rsidRPr="000C675E">
              <w:t>A</w:t>
            </w:r>
            <w:r w:rsidR="006960F0" w:rsidRPr="000C675E">
              <w:t xml:space="preserve">n ICER of </w:t>
            </w:r>
            <w:r w:rsidRPr="000C675E">
              <w:t>&lt;</w:t>
            </w:r>
            <w:r w:rsidR="006960F0" w:rsidRPr="000C675E">
              <w:t xml:space="preserve"> $</w:t>
            </w:r>
            <w:r w:rsidR="00777702">
              <w:rPr>
                <w:noProof/>
                <w:color w:val="000000"/>
                <w:highlight w:val="black"/>
              </w:rPr>
              <w:t>''''''''''''''''</w:t>
            </w:r>
            <w:r w:rsidR="006C737F" w:rsidRPr="00734311">
              <w:rPr>
                <w:vertAlign w:val="superscript"/>
              </w:rPr>
              <w:t>1</w:t>
            </w:r>
            <w:r w:rsidRPr="000C675E">
              <w:t>/QALY</w:t>
            </w:r>
          </w:p>
        </w:tc>
        <w:tc>
          <w:tcPr>
            <w:tcW w:w="545" w:type="pct"/>
            <w:tcBorders>
              <w:left w:val="single" w:sz="4" w:space="0" w:color="auto"/>
              <w:bottom w:val="nil"/>
            </w:tcBorders>
            <w:vAlign w:val="center"/>
          </w:tcPr>
          <w:p w:rsidR="00D34011" w:rsidRPr="000C675E" w:rsidRDefault="006632DA" w:rsidP="009E7910">
            <w:pPr>
              <w:pStyle w:val="TableText"/>
            </w:pPr>
            <w:r w:rsidRPr="000C675E">
              <w:t>Partially</w:t>
            </w:r>
          </w:p>
        </w:tc>
      </w:tr>
      <w:tr w:rsidR="001F258D" w:rsidRPr="000C675E" w:rsidTr="009E7910">
        <w:trPr>
          <w:cantSplit/>
        </w:trPr>
        <w:tc>
          <w:tcPr>
            <w:tcW w:w="5000" w:type="pct"/>
            <w:gridSpan w:val="3"/>
            <w:tcBorders>
              <w:bottom w:val="single" w:sz="4" w:space="0" w:color="auto"/>
            </w:tcBorders>
            <w:vAlign w:val="center"/>
          </w:tcPr>
          <w:p w:rsidR="00082AFB" w:rsidRPr="000C675E" w:rsidRDefault="00082AFB" w:rsidP="009E7910">
            <w:pPr>
              <w:pStyle w:val="TableText"/>
              <w:rPr>
                <w:b/>
              </w:rPr>
            </w:pPr>
            <w:r w:rsidRPr="000C675E">
              <w:rPr>
                <w:b/>
              </w:rPr>
              <w:t>Financial estimates</w:t>
            </w:r>
          </w:p>
        </w:tc>
      </w:tr>
      <w:tr w:rsidR="001F258D" w:rsidRPr="000C675E" w:rsidTr="009E7910">
        <w:trPr>
          <w:cantSplit/>
        </w:trPr>
        <w:tc>
          <w:tcPr>
            <w:tcW w:w="2342" w:type="pct"/>
            <w:tcBorders>
              <w:top w:val="nil"/>
              <w:bottom w:val="nil"/>
            </w:tcBorders>
          </w:tcPr>
          <w:p w:rsidR="00BA1A49" w:rsidRPr="000C675E" w:rsidRDefault="00BA1A49" w:rsidP="009E7910">
            <w:pPr>
              <w:pStyle w:val="TableText"/>
            </w:pPr>
            <w:r w:rsidRPr="000C675E">
              <w:t xml:space="preserve">Revisions to the estimated financial implications (para 7.13, </w:t>
            </w:r>
            <w:r w:rsidR="00345AA7" w:rsidRPr="000C675E">
              <w:t xml:space="preserve">VTX, </w:t>
            </w:r>
            <w:r w:rsidR="00822491" w:rsidRPr="000C675E">
              <w:t xml:space="preserve">PBAC </w:t>
            </w:r>
            <w:r w:rsidR="006C737F">
              <w:t>Public Summary Document</w:t>
            </w:r>
            <w:r w:rsidR="00345AA7" w:rsidRPr="000C675E">
              <w:t>, March 2021 PBAC meeting</w:t>
            </w:r>
            <w:r w:rsidRPr="000C675E">
              <w:t>):</w:t>
            </w:r>
          </w:p>
          <w:p w:rsidR="006632DA" w:rsidRPr="000C675E" w:rsidRDefault="00F17D98" w:rsidP="001255EC">
            <w:pPr>
              <w:pStyle w:val="TableText"/>
              <w:numPr>
                <w:ilvl w:val="0"/>
                <w:numId w:val="2"/>
              </w:numPr>
              <w:ind w:left="142" w:hanging="142"/>
            </w:pPr>
            <w:r w:rsidRPr="000C675E">
              <w:t>Apply</w:t>
            </w:r>
            <w:r w:rsidR="00EE0AC7" w:rsidRPr="000C675E">
              <w:t xml:space="preserve"> the lower price </w:t>
            </w:r>
            <w:r w:rsidR="006632DA" w:rsidRPr="000C675E">
              <w:t>from the revised model scenario</w:t>
            </w:r>
            <w:r w:rsidR="00DA119A" w:rsidRPr="000C675E">
              <w:t>.</w:t>
            </w:r>
          </w:p>
          <w:p w:rsidR="00EE0AC7" w:rsidRPr="000C675E" w:rsidRDefault="00F17D98" w:rsidP="001255EC">
            <w:pPr>
              <w:pStyle w:val="TableText"/>
              <w:numPr>
                <w:ilvl w:val="0"/>
                <w:numId w:val="2"/>
              </w:numPr>
              <w:ind w:left="142" w:hanging="142"/>
            </w:pPr>
            <w:r w:rsidRPr="000C675E">
              <w:t>Amend</w:t>
            </w:r>
            <w:r w:rsidR="006632DA" w:rsidRPr="000C675E">
              <w:t xml:space="preserve"> the dose intensity of AZA when used in combination with VTX to reflect trial evidence</w:t>
            </w:r>
            <w:r w:rsidR="00DA119A" w:rsidRPr="000C675E">
              <w:t>.</w:t>
            </w:r>
          </w:p>
          <w:p w:rsidR="006632DA" w:rsidRPr="000C675E" w:rsidRDefault="00F17D98" w:rsidP="001255EC">
            <w:pPr>
              <w:pStyle w:val="TableText"/>
              <w:numPr>
                <w:ilvl w:val="0"/>
                <w:numId w:val="2"/>
              </w:numPr>
              <w:ind w:left="142" w:hanging="142"/>
            </w:pPr>
            <w:r w:rsidRPr="000C675E">
              <w:t>Reduce</w:t>
            </w:r>
            <w:r w:rsidR="006632DA" w:rsidRPr="000C675E">
              <w:t xml:space="preserve"> the estimate of the proportion of patients unfit for intensive regimens who receive treatment (from 80% in the submission).</w:t>
            </w:r>
          </w:p>
        </w:tc>
        <w:tc>
          <w:tcPr>
            <w:tcW w:w="2113" w:type="pct"/>
            <w:tcBorders>
              <w:top w:val="nil"/>
              <w:bottom w:val="nil"/>
            </w:tcBorders>
            <w:vAlign w:val="center"/>
          </w:tcPr>
          <w:p w:rsidR="00BA1A49" w:rsidRPr="000C675E" w:rsidRDefault="00BA1A49" w:rsidP="009E7910">
            <w:pPr>
              <w:pStyle w:val="TableText"/>
            </w:pPr>
            <w:r w:rsidRPr="000C675E">
              <w:t>Resubmission:</w:t>
            </w:r>
          </w:p>
          <w:p w:rsidR="006632DA" w:rsidRPr="000C675E" w:rsidRDefault="006632DA" w:rsidP="001255EC">
            <w:pPr>
              <w:pStyle w:val="TableText"/>
              <w:numPr>
                <w:ilvl w:val="0"/>
                <w:numId w:val="2"/>
              </w:numPr>
              <w:ind w:left="142" w:hanging="142"/>
            </w:pPr>
            <w:r w:rsidRPr="000C675E">
              <w:t>Lower price (AEMP reduced from $</w:t>
            </w:r>
            <w:r w:rsidR="00777702">
              <w:rPr>
                <w:noProof/>
                <w:color w:val="000000"/>
                <w:highlight w:val="black"/>
              </w:rPr>
              <w:t>'''''''''''''''''''</w:t>
            </w:r>
            <w:r w:rsidRPr="000C675E">
              <w:t xml:space="preserve"> to $</w:t>
            </w:r>
            <w:r w:rsidR="00777702">
              <w:rPr>
                <w:noProof/>
                <w:color w:val="000000"/>
                <w:highlight w:val="black"/>
              </w:rPr>
              <w:t>''''''''''''''''''''</w:t>
            </w:r>
            <w:r w:rsidRPr="000C675E">
              <w:t>, 4.2% reduction)</w:t>
            </w:r>
          </w:p>
          <w:p w:rsidR="006632DA" w:rsidRPr="000C675E" w:rsidRDefault="006632DA" w:rsidP="001255EC">
            <w:pPr>
              <w:pStyle w:val="TableText"/>
              <w:numPr>
                <w:ilvl w:val="0"/>
                <w:numId w:val="2"/>
              </w:numPr>
              <w:ind w:left="142" w:hanging="142"/>
            </w:pPr>
            <w:r w:rsidRPr="000C675E">
              <w:t xml:space="preserve">An average of 1.9 </w:t>
            </w:r>
            <w:r w:rsidR="00345AA7" w:rsidRPr="000C675E">
              <w:t xml:space="preserve">AZA </w:t>
            </w:r>
            <w:r w:rsidRPr="000C675E">
              <w:t>vials per infusion</w:t>
            </w:r>
          </w:p>
          <w:p w:rsidR="006632DA" w:rsidRPr="000C675E" w:rsidRDefault="006632DA" w:rsidP="001255EC">
            <w:pPr>
              <w:pStyle w:val="TableText"/>
              <w:numPr>
                <w:ilvl w:val="0"/>
                <w:numId w:val="2"/>
              </w:numPr>
              <w:ind w:left="142" w:hanging="142"/>
            </w:pPr>
            <w:r w:rsidRPr="000C675E">
              <w:t>No changes to the proportion of patients unfit for intensive regimens who receive treatment</w:t>
            </w:r>
          </w:p>
          <w:p w:rsidR="00EE0AC7" w:rsidRPr="000C675E" w:rsidRDefault="006632DA" w:rsidP="001255EC">
            <w:pPr>
              <w:pStyle w:val="TableText"/>
              <w:numPr>
                <w:ilvl w:val="0"/>
                <w:numId w:val="2"/>
              </w:numPr>
              <w:ind w:left="142" w:hanging="142"/>
            </w:pPr>
            <w:r w:rsidRPr="000C675E">
              <w:t xml:space="preserve">Reduced treatment duration of each therapy to reflect changes made to the model with regards to the parametric extrapolation of EFS. </w:t>
            </w:r>
          </w:p>
        </w:tc>
        <w:tc>
          <w:tcPr>
            <w:tcW w:w="545" w:type="pct"/>
            <w:tcBorders>
              <w:top w:val="nil"/>
              <w:bottom w:val="nil"/>
            </w:tcBorders>
            <w:vAlign w:val="center"/>
          </w:tcPr>
          <w:p w:rsidR="00EE0AC7" w:rsidRPr="000C675E" w:rsidRDefault="006632DA" w:rsidP="009E7910">
            <w:pPr>
              <w:pStyle w:val="TableText"/>
            </w:pPr>
            <w:r w:rsidRPr="000C675E">
              <w:t>Partially</w:t>
            </w:r>
          </w:p>
        </w:tc>
      </w:tr>
      <w:tr w:rsidR="001F258D" w:rsidRPr="000C675E" w:rsidTr="009E7910">
        <w:trPr>
          <w:cantSplit/>
        </w:trPr>
        <w:tc>
          <w:tcPr>
            <w:tcW w:w="5000" w:type="pct"/>
            <w:gridSpan w:val="3"/>
            <w:vAlign w:val="center"/>
          </w:tcPr>
          <w:p w:rsidR="00082AFB" w:rsidRPr="000C675E" w:rsidRDefault="00082AFB" w:rsidP="009E7910">
            <w:pPr>
              <w:pStyle w:val="TableText"/>
            </w:pPr>
            <w:r w:rsidRPr="000C675E">
              <w:rPr>
                <w:b/>
              </w:rPr>
              <w:t xml:space="preserve">Risk-sharing arrangement </w:t>
            </w:r>
          </w:p>
        </w:tc>
      </w:tr>
      <w:tr w:rsidR="001F258D" w:rsidRPr="000C675E" w:rsidTr="009E7910">
        <w:trPr>
          <w:cantSplit/>
        </w:trPr>
        <w:tc>
          <w:tcPr>
            <w:tcW w:w="2342" w:type="pct"/>
          </w:tcPr>
          <w:p w:rsidR="00D34011" w:rsidRPr="000C675E" w:rsidRDefault="00082AFB" w:rsidP="001255EC">
            <w:pPr>
              <w:pStyle w:val="TableText"/>
              <w:numPr>
                <w:ilvl w:val="0"/>
                <w:numId w:val="2"/>
              </w:numPr>
              <w:ind w:left="142" w:hanging="142"/>
            </w:pPr>
            <w:r w:rsidRPr="000C675E">
              <w:t>Outline an RSA to manage risk of use in patients previously considered fit for standard intensive remission reduction regimens.</w:t>
            </w:r>
          </w:p>
        </w:tc>
        <w:tc>
          <w:tcPr>
            <w:tcW w:w="2113" w:type="pct"/>
            <w:vAlign w:val="center"/>
          </w:tcPr>
          <w:p w:rsidR="00D34011" w:rsidRPr="000C675E" w:rsidRDefault="00F17D98" w:rsidP="001255EC">
            <w:pPr>
              <w:pStyle w:val="TableText"/>
              <w:numPr>
                <w:ilvl w:val="0"/>
                <w:numId w:val="2"/>
              </w:numPr>
              <w:ind w:left="142" w:hanging="142"/>
            </w:pPr>
            <w:r w:rsidRPr="000C675E">
              <w:t xml:space="preserve">Proposed </w:t>
            </w:r>
            <w:r w:rsidR="001F258D" w:rsidRPr="000C675E">
              <w:t>RSA</w:t>
            </w:r>
            <w:r w:rsidR="006632DA" w:rsidRPr="000C675E">
              <w:t xml:space="preserve"> consists of financial caps based on estimated net PBS/RPBS cost for VTX and </w:t>
            </w:r>
            <w:r w:rsidRPr="000C675E">
              <w:t xml:space="preserve">a </w:t>
            </w:r>
            <w:r w:rsidR="006632DA" w:rsidRPr="000C675E">
              <w:t>r</w:t>
            </w:r>
            <w:r w:rsidR="001F258D" w:rsidRPr="000C675E">
              <w:t xml:space="preserve">ebate of </w:t>
            </w:r>
            <w:r w:rsidR="00777702">
              <w:rPr>
                <w:noProof/>
                <w:color w:val="000000"/>
                <w:highlight w:val="black"/>
              </w:rPr>
              <w:t>''''''</w:t>
            </w:r>
            <w:r w:rsidR="001F258D" w:rsidRPr="000C675E">
              <w:t xml:space="preserve">% </w:t>
            </w:r>
            <w:r w:rsidR="006632DA" w:rsidRPr="000C675E">
              <w:t>for</w:t>
            </w:r>
            <w:r w:rsidR="001F258D" w:rsidRPr="000C675E">
              <w:t xml:space="preserve"> use beyond the annual cap</w:t>
            </w:r>
            <w:r w:rsidR="006632DA" w:rsidRPr="000C675E">
              <w:t>s</w:t>
            </w:r>
            <w:r w:rsidR="001F258D" w:rsidRPr="000C675E">
              <w:t>.</w:t>
            </w:r>
          </w:p>
        </w:tc>
        <w:tc>
          <w:tcPr>
            <w:tcW w:w="545" w:type="pct"/>
            <w:vAlign w:val="center"/>
          </w:tcPr>
          <w:p w:rsidR="00D34011" w:rsidRPr="000C675E" w:rsidRDefault="00576238" w:rsidP="009E7910">
            <w:pPr>
              <w:pStyle w:val="TableText"/>
            </w:pPr>
            <w:r w:rsidRPr="000C675E">
              <w:t>Yes</w:t>
            </w:r>
          </w:p>
        </w:tc>
      </w:tr>
    </w:tbl>
    <w:p w:rsidR="009D55E2" w:rsidRPr="000C675E" w:rsidRDefault="009D55E2" w:rsidP="009E7910">
      <w:pPr>
        <w:pStyle w:val="TableFigureFooter"/>
      </w:pPr>
      <w:r w:rsidRPr="000C675E">
        <w:t>Source:</w:t>
      </w:r>
      <w:r w:rsidR="00082AFB" w:rsidRPr="000C675E">
        <w:t xml:space="preserve"> para 7.13, </w:t>
      </w:r>
      <w:r w:rsidR="00F5282B" w:rsidRPr="000C675E">
        <w:t>VTX</w:t>
      </w:r>
      <w:r w:rsidR="00345AA7" w:rsidRPr="000C675E">
        <w:t xml:space="preserve">, </w:t>
      </w:r>
      <w:r w:rsidR="00822491" w:rsidRPr="000C675E">
        <w:t>PBAC</w:t>
      </w:r>
      <w:r w:rsidR="00F5282B" w:rsidRPr="000C675E">
        <w:t xml:space="preserve"> </w:t>
      </w:r>
      <w:r w:rsidR="006C737F">
        <w:t>Public Summary Document</w:t>
      </w:r>
      <w:r w:rsidR="00082AFB" w:rsidRPr="000C675E">
        <w:t>, March 2021 PBAC meeting,</w:t>
      </w:r>
      <w:r w:rsidRPr="000C675E">
        <w:t xml:space="preserve"> </w:t>
      </w:r>
      <w:r w:rsidR="00082AFB" w:rsidRPr="000C675E">
        <w:t xml:space="preserve">and </w:t>
      </w:r>
      <w:r w:rsidR="00121752" w:rsidRPr="000C675E">
        <w:t>Table 9, p16 and Table 15, p26 of the resubmission.</w:t>
      </w:r>
    </w:p>
    <w:p w:rsidR="00345AA7" w:rsidRDefault="009D3145" w:rsidP="00B911EB">
      <w:pPr>
        <w:pStyle w:val="TableFigureFooter"/>
        <w:spacing w:after="0"/>
        <w:contextualSpacing w:val="0"/>
      </w:pPr>
      <w:bookmarkStart w:id="4" w:name="_Hlk77846352"/>
      <w:r w:rsidRPr="000C675E">
        <w:t>AZA = azacitidine, EFS = event-free survival, ICER = incremental cost-effectiveness ratio, LoDAC = low-dose cytarabine, OS = overall survival, RSA = risk-sharing arrangement, VTX = venetoclax.</w:t>
      </w:r>
    </w:p>
    <w:p w:rsidR="006C737F" w:rsidRPr="009A6D58" w:rsidRDefault="006C737F" w:rsidP="006C737F">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rsidR="006C737F" w:rsidRPr="009A6D58" w:rsidRDefault="006C737F" w:rsidP="006C737F">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6C737F">
        <w:rPr>
          <w:rFonts w:ascii="Arial Narrow" w:hAnsi="Arial Narrow" w:cs="Arial"/>
          <w:i/>
          <w:sz w:val="18"/>
          <w:szCs w:val="18"/>
        </w:rPr>
        <w:t>$75,000 to &lt; $95,000</w:t>
      </w:r>
    </w:p>
    <w:p w:rsidR="006C737F" w:rsidRPr="000C675E" w:rsidRDefault="006C737F" w:rsidP="009E7910">
      <w:pPr>
        <w:pStyle w:val="TableFigureFooter"/>
        <w:rPr>
          <w:color w:val="FF0000"/>
        </w:rPr>
      </w:pPr>
    </w:p>
    <w:bookmarkEnd w:id="4"/>
    <w:p w:rsidR="009D55E2" w:rsidRPr="000C675E" w:rsidRDefault="00A6493F" w:rsidP="002044AD">
      <w:pPr>
        <w:pStyle w:val="3-BodyText"/>
      </w:pPr>
      <w:r w:rsidRPr="000C675E">
        <w:t>For the scenario presented in the resubmission</w:t>
      </w:r>
      <w:r w:rsidR="00345AA7" w:rsidRPr="000C675E">
        <w:t>,</w:t>
      </w:r>
      <w:r w:rsidRPr="000C675E">
        <w:t xml:space="preserve"> t</w:t>
      </w:r>
      <w:r w:rsidR="00D34011" w:rsidRPr="000C675E">
        <w:t xml:space="preserve">he base case incremental cost-effectiveness ratio </w:t>
      </w:r>
      <w:r w:rsidRPr="000C675E">
        <w:t xml:space="preserve">(ICER) </w:t>
      </w:r>
      <w:r w:rsidR="008C0638" w:rsidRPr="000C675E">
        <w:t>was</w:t>
      </w:r>
      <w:r w:rsidR="00D34011" w:rsidRPr="000C675E">
        <w:t xml:space="preserve"> </w:t>
      </w:r>
      <w:r w:rsidR="006C737F" w:rsidRPr="006C737F">
        <w:t>$75,000 to &lt; $95,000</w:t>
      </w:r>
      <w:r w:rsidR="00A83A85">
        <w:t xml:space="preserve"> </w:t>
      </w:r>
      <w:r w:rsidR="00303329" w:rsidRPr="000C675E">
        <w:t xml:space="preserve">per </w:t>
      </w:r>
      <w:r w:rsidR="009D3145" w:rsidRPr="000C675E">
        <w:t>quality-adjusted life year (</w:t>
      </w:r>
      <w:r w:rsidR="00303329" w:rsidRPr="000C675E">
        <w:t>QALY</w:t>
      </w:r>
      <w:r w:rsidR="009D3145" w:rsidRPr="000C675E">
        <w:t>)</w:t>
      </w:r>
      <w:r w:rsidR="00303329" w:rsidRPr="000C675E">
        <w:t xml:space="preserve"> gained.</w:t>
      </w:r>
      <w:r w:rsidR="00E16C00" w:rsidRPr="000C675E">
        <w:t xml:space="preserve"> </w:t>
      </w:r>
      <w:r w:rsidRPr="000C675E">
        <w:t>For the PBAC scenario</w:t>
      </w:r>
      <w:r w:rsidR="00345AA7" w:rsidRPr="000C675E">
        <w:t>,</w:t>
      </w:r>
      <w:r w:rsidRPr="000C675E">
        <w:t xml:space="preserve"> the </w:t>
      </w:r>
      <w:r w:rsidR="00F17D98" w:rsidRPr="000C675E">
        <w:t>ICER wa</w:t>
      </w:r>
      <w:r w:rsidRPr="000C675E">
        <w:t xml:space="preserve">s </w:t>
      </w:r>
      <w:r w:rsidR="002044AD" w:rsidRPr="002044AD">
        <w:t xml:space="preserve">$95,000 to &lt; $115,000 </w:t>
      </w:r>
      <w:r w:rsidR="009D3145" w:rsidRPr="000C675E">
        <w:t>per QALY</w:t>
      </w:r>
      <w:r w:rsidRPr="000C675E">
        <w:t>.</w:t>
      </w:r>
    </w:p>
    <w:p w:rsidR="00102700" w:rsidRPr="000C675E" w:rsidRDefault="00B47DBA" w:rsidP="009E7910">
      <w:pPr>
        <w:pStyle w:val="3-BodyText"/>
        <w:rPr>
          <w:rFonts w:eastAsiaTheme="minorEastAsia"/>
        </w:rPr>
      </w:pPr>
      <w:r w:rsidRPr="000C675E">
        <w:t>For the scenario presented in the resubmission, the estimated drug cost/patient per course would be $</w:t>
      </w:r>
      <w:r w:rsidR="00777702">
        <w:rPr>
          <w:noProof/>
          <w:color w:val="000000"/>
          <w:highlight w:val="black"/>
        </w:rPr>
        <w:t>''''''''''''''</w:t>
      </w:r>
      <w:r w:rsidRPr="000C675E">
        <w:t xml:space="preserve"> (VTX: $</w:t>
      </w:r>
      <w:r w:rsidR="00777702">
        <w:rPr>
          <w:noProof/>
          <w:color w:val="000000"/>
          <w:highlight w:val="black"/>
        </w:rPr>
        <w:t>''''''''''''</w:t>
      </w:r>
      <w:r w:rsidRPr="000C675E">
        <w:t>; AZA: $40,586). For the PBAC scenario, it</w:t>
      </w:r>
      <w:r w:rsidR="00102700" w:rsidRPr="000C675E">
        <w:t xml:space="preserve"> would be</w:t>
      </w:r>
      <w:r w:rsidR="00DA119A" w:rsidRPr="000C675E">
        <w:t xml:space="preserve"> $</w:t>
      </w:r>
      <w:r w:rsidR="00777702">
        <w:rPr>
          <w:noProof/>
          <w:color w:val="000000"/>
          <w:highlight w:val="black"/>
        </w:rPr>
        <w:t>''''''''''''''</w:t>
      </w:r>
      <w:r w:rsidR="00DA119A" w:rsidRPr="000C675E">
        <w:t xml:space="preserve"> (VTX: $</w:t>
      </w:r>
      <w:r w:rsidR="00777702">
        <w:rPr>
          <w:noProof/>
          <w:color w:val="000000"/>
          <w:highlight w:val="black"/>
        </w:rPr>
        <w:t>''''''''''''</w:t>
      </w:r>
      <w:r w:rsidR="00DA119A" w:rsidRPr="000C675E">
        <w:t>; AZA: $</w:t>
      </w:r>
      <w:r w:rsidR="00F17D98" w:rsidRPr="000C675E">
        <w:t>35,097)</w:t>
      </w:r>
      <w:r w:rsidR="00102700" w:rsidRPr="000C675E">
        <w:t>, based on a</w:t>
      </w:r>
      <w:r w:rsidR="00F17D98" w:rsidRPr="000C675E">
        <w:t xml:space="preserve"> treatment duration of 1.5</w:t>
      </w:r>
      <w:r w:rsidR="009D3145" w:rsidRPr="000C675E">
        <w:t> </w:t>
      </w:r>
      <w:r w:rsidR="00F17D98" w:rsidRPr="000C675E">
        <w:t>years</w:t>
      </w:r>
      <w:r w:rsidR="00BA1A49" w:rsidRPr="000C675E">
        <w:t>.</w:t>
      </w:r>
    </w:p>
    <w:p w:rsidR="00F83F58" w:rsidRPr="000C675E" w:rsidRDefault="00F83F58" w:rsidP="002044AD">
      <w:pPr>
        <w:pStyle w:val="3-BodyText"/>
      </w:pPr>
      <w:r w:rsidRPr="000C675E">
        <w:t xml:space="preserve">The </w:t>
      </w:r>
      <w:r w:rsidR="00E16C00" w:rsidRPr="000C675E">
        <w:t>re</w:t>
      </w:r>
      <w:r w:rsidRPr="000C675E">
        <w:t>submission estimated</w:t>
      </w:r>
      <w:r w:rsidR="00082AFB" w:rsidRPr="000C675E">
        <w:t xml:space="preserve"> </w:t>
      </w:r>
      <w:r w:rsidRPr="000C675E">
        <w:t xml:space="preserve">a net cost to the PBS of </w:t>
      </w:r>
      <w:r w:rsidR="002044AD" w:rsidRPr="002044AD">
        <w:rPr>
          <w:rFonts w:cstheme="minorHAnsi"/>
        </w:rPr>
        <w:t>$40 million to &lt; $50 million</w:t>
      </w:r>
      <w:r w:rsidR="002044AD">
        <w:rPr>
          <w:rFonts w:cstheme="minorHAnsi"/>
        </w:rPr>
        <w:t xml:space="preserve"> </w:t>
      </w:r>
      <w:r w:rsidRPr="000C675E">
        <w:t xml:space="preserve">in Year </w:t>
      </w:r>
      <w:r w:rsidR="00082AFB" w:rsidRPr="000C675E">
        <w:t>6</w:t>
      </w:r>
      <w:r w:rsidRPr="000C675E">
        <w:t xml:space="preserve"> of listing, with a total net </w:t>
      </w:r>
      <w:r w:rsidR="00082AFB" w:rsidRPr="000C675E">
        <w:t>cost</w:t>
      </w:r>
      <w:r w:rsidRPr="000C675E">
        <w:t xml:space="preserve"> to the </w:t>
      </w:r>
      <w:r w:rsidR="009D3145" w:rsidRPr="000C675E">
        <w:t>Pharmaceutical Benefits Scheme (</w:t>
      </w:r>
      <w:r w:rsidRPr="000C675E">
        <w:t>PBS</w:t>
      </w:r>
      <w:r w:rsidR="009D3145" w:rsidRPr="000C675E">
        <w:t>)</w:t>
      </w:r>
      <w:r w:rsidRPr="000C675E">
        <w:t xml:space="preserve"> of</w:t>
      </w:r>
      <w:r w:rsidR="00082AFB" w:rsidRPr="000C675E">
        <w:t xml:space="preserve"> </w:t>
      </w:r>
      <w:r w:rsidR="002044AD" w:rsidRPr="002044AD">
        <w:t>$200 million to &lt; $300 million</w:t>
      </w:r>
      <w:r w:rsidR="002044AD">
        <w:t xml:space="preserve"> </w:t>
      </w:r>
      <w:r w:rsidRPr="000C675E">
        <w:t xml:space="preserve">over the first </w:t>
      </w:r>
      <w:r w:rsidR="00082AFB" w:rsidRPr="000C675E">
        <w:t>6</w:t>
      </w:r>
      <w:r w:rsidRPr="000C675E">
        <w:t xml:space="preserve"> years of listing</w:t>
      </w:r>
      <w:r w:rsidR="009B750F" w:rsidRPr="000C675E">
        <w:t>;</w:t>
      </w:r>
      <w:r w:rsidRPr="000C675E">
        <w:t xml:space="preserve"> </w:t>
      </w:r>
      <w:r w:rsidR="009B750F" w:rsidRPr="000C675E">
        <w:t xml:space="preserve">see </w:t>
      </w:r>
      <w:r w:rsidR="003A5046" w:rsidRPr="000C675E">
        <w:t xml:space="preserve">Table </w:t>
      </w:r>
      <w:r w:rsidR="003A5046" w:rsidRPr="005F5101">
        <w:t>8</w:t>
      </w:r>
      <w:r w:rsidR="005E59A8" w:rsidRPr="000C675E">
        <w:t xml:space="preserve"> and </w:t>
      </w:r>
      <w:r w:rsidR="003A5046" w:rsidRPr="000C675E">
        <w:t xml:space="preserve">Table </w:t>
      </w:r>
      <w:r w:rsidR="003A5046" w:rsidRPr="005F5101">
        <w:t>9</w:t>
      </w:r>
      <w:r w:rsidR="009B750F" w:rsidRPr="000C675E">
        <w:t xml:space="preserve"> below</w:t>
      </w:r>
      <w:r w:rsidR="005E59A8" w:rsidRPr="000C675E">
        <w:t>, in the ‘Estimated PBS usage &amp; financial implications’ section</w:t>
      </w:r>
      <w:r w:rsidR="00A07C4C" w:rsidRPr="0075328D">
        <w:t>.</w:t>
      </w:r>
    </w:p>
    <w:p w:rsidR="5D80A09E" w:rsidRPr="000C675E" w:rsidRDefault="004877C2" w:rsidP="009E7910">
      <w:pPr>
        <w:pStyle w:val="2-SectionHeading"/>
        <w:rPr>
          <w:rFonts w:eastAsiaTheme="minorEastAsia"/>
        </w:rPr>
      </w:pPr>
      <w:r w:rsidRPr="000C675E">
        <w:t>Background</w:t>
      </w:r>
    </w:p>
    <w:p w:rsidR="008C0638" w:rsidRPr="000C675E" w:rsidRDefault="00BD56BF" w:rsidP="009E7910">
      <w:pPr>
        <w:pStyle w:val="3-BodyText"/>
      </w:pPr>
      <w:r w:rsidRPr="000C675E">
        <w:t>VTX</w:t>
      </w:r>
      <w:r w:rsidR="008C0638" w:rsidRPr="000C675E">
        <w:t xml:space="preserve"> was granted provisional approval by the TGA for the treatment of newly diagnosed AML in adults who are ineligible for intensive chemotherapy as part of combination therapy with </w:t>
      </w:r>
      <w:r w:rsidR="0092420D" w:rsidRPr="000C675E">
        <w:t>low-dose cytarabine (</w:t>
      </w:r>
      <w:r w:rsidR="008C0638" w:rsidRPr="000C675E">
        <w:t>LoDAC</w:t>
      </w:r>
      <w:r w:rsidR="0092420D" w:rsidRPr="000C675E">
        <w:t>)</w:t>
      </w:r>
      <w:r w:rsidR="008C0638" w:rsidRPr="000C675E">
        <w:t xml:space="preserve"> (28 January 2020) a</w:t>
      </w:r>
      <w:r w:rsidR="00B51C2B" w:rsidRPr="000C675E">
        <w:t xml:space="preserve">nd with </w:t>
      </w:r>
      <w:r w:rsidRPr="000C675E">
        <w:t>AZA</w:t>
      </w:r>
      <w:r w:rsidR="00B51C2B" w:rsidRPr="000C675E">
        <w:t xml:space="preserve"> (5 February </w:t>
      </w:r>
      <w:r w:rsidR="008C0638" w:rsidRPr="000C675E">
        <w:t xml:space="preserve">2020). </w:t>
      </w:r>
    </w:p>
    <w:p w:rsidR="00C5688E" w:rsidRPr="000C675E" w:rsidRDefault="00855B42" w:rsidP="009E7910">
      <w:pPr>
        <w:pStyle w:val="3-BodyText"/>
      </w:pPr>
      <w:r w:rsidRPr="000C675E">
        <w:t>T</w:t>
      </w:r>
      <w:r w:rsidR="00C5688E" w:rsidRPr="000C675E">
        <w:t xml:space="preserve">he regulatory submission to transition the provisional registration to full approval </w:t>
      </w:r>
      <w:r w:rsidR="00CC7181" w:rsidRPr="000C675E">
        <w:t xml:space="preserve">was </w:t>
      </w:r>
      <w:r w:rsidR="009F0B08" w:rsidRPr="000C675E">
        <w:t xml:space="preserve">being conducted </w:t>
      </w:r>
      <w:r w:rsidR="00C5688E" w:rsidRPr="000C675E">
        <w:t xml:space="preserve">under a collaborative review initiative with the US Food and Drug Administration (FDA). The US FDA multi-discipline review </w:t>
      </w:r>
      <w:r w:rsidR="00CC7181" w:rsidRPr="000C675E">
        <w:t xml:space="preserve">was </w:t>
      </w:r>
      <w:r w:rsidR="00C5688E" w:rsidRPr="000C675E">
        <w:t xml:space="preserve">available (in lieu of a TGA-branded Clinical Evaluation Report). The requested final indication for </w:t>
      </w:r>
      <w:r w:rsidR="0094260E" w:rsidRPr="000C675E">
        <w:t>VTX</w:t>
      </w:r>
      <w:r w:rsidR="00C5688E" w:rsidRPr="000C675E">
        <w:t xml:space="preserve"> </w:t>
      </w:r>
      <w:r w:rsidR="00CC7181" w:rsidRPr="000C675E">
        <w:t xml:space="preserve">was </w:t>
      </w:r>
      <w:r w:rsidR="00C5688E" w:rsidRPr="000C675E">
        <w:t>consistent with the provisionally approved indication</w:t>
      </w:r>
      <w:r w:rsidR="00B65AC2" w:rsidRPr="000C675E">
        <w:t>.</w:t>
      </w:r>
      <w:r w:rsidR="00CC7181" w:rsidRPr="000C675E">
        <w:t xml:space="preserve"> The PBAC noted that the provisional registration fulfils the PBS listing requirement of </w:t>
      </w:r>
      <w:r w:rsidR="0092420D" w:rsidRPr="000C675E">
        <w:t>inclusion in the Australian Register of Therapeutic Goods (</w:t>
      </w:r>
      <w:r w:rsidR="00CC7181" w:rsidRPr="000C675E">
        <w:t>ARTG</w:t>
      </w:r>
      <w:r w:rsidR="0092420D" w:rsidRPr="000C675E">
        <w:t>)</w:t>
      </w:r>
      <w:r w:rsidR="00CC7181" w:rsidRPr="000C675E">
        <w:t xml:space="preserve">. </w:t>
      </w:r>
    </w:p>
    <w:p w:rsidR="00C5688E" w:rsidRPr="000C675E" w:rsidRDefault="00805C4E" w:rsidP="009E7910">
      <w:pPr>
        <w:pStyle w:val="3-BodyText"/>
      </w:pPr>
      <w:r w:rsidRPr="000C675E">
        <w:t>AZA</w:t>
      </w:r>
      <w:r w:rsidR="00C5688E" w:rsidRPr="000C675E">
        <w:t xml:space="preserve"> has an ARTG</w:t>
      </w:r>
      <w:r w:rsidRPr="000C675E">
        <w:t xml:space="preserve"> and PBS </w:t>
      </w:r>
      <w:r w:rsidR="00C5688E" w:rsidRPr="000C675E">
        <w:t>listing for patients with myelodysplastic syndromes (MDS), chronic myelomonocytic leukaemia (CMML), and AML with 20-30% blasts and multi-lineage dysplasia.</w:t>
      </w:r>
    </w:p>
    <w:p w:rsidR="00C5688E" w:rsidRPr="000C675E" w:rsidRDefault="00805C4E" w:rsidP="009E7910">
      <w:pPr>
        <w:pStyle w:val="3-BodyText"/>
      </w:pPr>
      <w:r w:rsidRPr="000C675E">
        <w:t xml:space="preserve">The previous submission </w:t>
      </w:r>
      <w:r w:rsidR="00C5688E" w:rsidRPr="000C675E">
        <w:t xml:space="preserve">requested PBS listing for use in combination with </w:t>
      </w:r>
      <w:r w:rsidRPr="000C675E">
        <w:t>AZA</w:t>
      </w:r>
      <w:r w:rsidR="00C5688E" w:rsidRPr="000C675E">
        <w:t xml:space="preserve"> only</w:t>
      </w:r>
      <w:r w:rsidRPr="000C675E">
        <w:t xml:space="preserve"> (not with LoDAC)</w:t>
      </w:r>
      <w:r w:rsidR="00C5688E" w:rsidRPr="000C675E">
        <w:t xml:space="preserve">. The PBAC considered there would be a patient population in Australia who would use </w:t>
      </w:r>
      <w:r w:rsidRPr="000C675E">
        <w:t>the LoDAC</w:t>
      </w:r>
      <w:r w:rsidR="00C5688E" w:rsidRPr="000C675E">
        <w:t xml:space="preserve"> combination if it were available (para</w:t>
      </w:r>
      <w:r w:rsidR="00EB0691" w:rsidRPr="000C675E">
        <w:t>graph</w:t>
      </w:r>
      <w:r w:rsidR="00C5688E" w:rsidRPr="000C675E">
        <w:t xml:space="preserve"> 7.2, </w:t>
      </w:r>
      <w:r w:rsidR="000B22DB" w:rsidRPr="000C675E">
        <w:t>VTX, PBAC</w:t>
      </w:r>
      <w:r w:rsidRPr="000C675E">
        <w:t xml:space="preserve"> </w:t>
      </w:r>
      <w:r w:rsidR="00672346">
        <w:t>Public Summary Document (</w:t>
      </w:r>
      <w:r w:rsidR="002A660D">
        <w:t>PSD</w:t>
      </w:r>
      <w:r w:rsidR="00672346">
        <w:t>)</w:t>
      </w:r>
      <w:r w:rsidR="00C5688E" w:rsidRPr="000C675E">
        <w:t xml:space="preserve">, March 2021 PBAC </w:t>
      </w:r>
      <w:r w:rsidR="000B22DB" w:rsidRPr="000C675E">
        <w:t>m</w:t>
      </w:r>
      <w:r w:rsidR="00C5688E" w:rsidRPr="000C675E">
        <w:t xml:space="preserve">eeting). </w:t>
      </w:r>
      <w:bookmarkStart w:id="5" w:name="_Hlk77865403"/>
      <w:r w:rsidRPr="000C675E">
        <w:t>The resubmission advised that the sponsor will not seek reimbursement for the LoDAC combination due to the higher dose of VTX required and the smaller incremental improvements in OS compared to VTX+AZA.</w:t>
      </w:r>
      <w:bookmarkEnd w:id="5"/>
    </w:p>
    <w:p w:rsidR="0090775A" w:rsidRPr="000C675E" w:rsidRDefault="004F6160" w:rsidP="009E7910">
      <w:pPr>
        <w:pStyle w:val="3-BodyText"/>
      </w:pPr>
      <w:r w:rsidRPr="000C675E">
        <w:t xml:space="preserve">The PICO from the </w:t>
      </w:r>
      <w:r w:rsidR="00855B42" w:rsidRPr="000C675E">
        <w:t>previous submission</w:t>
      </w:r>
      <w:r w:rsidRPr="000C675E">
        <w:t xml:space="preserve"> is presented below</w:t>
      </w:r>
      <w:r w:rsidR="00A07C4C" w:rsidRPr="000C675E">
        <w:t>.</w:t>
      </w:r>
      <w:r w:rsidR="00805C4E" w:rsidRPr="000C675E">
        <w:t xml:space="preserve"> It does not include the addition of the 50 mg strength.</w:t>
      </w:r>
    </w:p>
    <w:p w:rsidR="00BE25D7" w:rsidRPr="000C675E" w:rsidRDefault="00C5688E" w:rsidP="009E7910">
      <w:pPr>
        <w:pStyle w:val="TableFigureHeading"/>
      </w:pPr>
      <w:r w:rsidRPr="000C675E">
        <w:t xml:space="preserve">Table </w:t>
      </w:r>
      <w:r w:rsidR="005F5101">
        <w:rPr>
          <w:noProof/>
        </w:rPr>
        <w:t>2</w:t>
      </w:r>
      <w:r w:rsidRPr="000C675E">
        <w:t xml:space="preserve">: </w:t>
      </w:r>
      <w:r w:rsidR="00BE25D7" w:rsidRPr="000C675E">
        <w:t xml:space="preserve">Key components of the clinical issue addressed by the </w:t>
      </w:r>
      <w:r w:rsidR="00805C4E" w:rsidRPr="000C675E">
        <w:t xml:space="preserve">March 21 </w:t>
      </w:r>
      <w:r w:rsidR="00BE25D7" w:rsidRPr="0075328D">
        <w:t>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0"/>
      </w:tblGrid>
      <w:tr w:rsidR="00C5688E" w:rsidRPr="000C675E" w:rsidTr="00EF5EDE">
        <w:trPr>
          <w:cantSplit/>
          <w:tblHeader/>
        </w:trPr>
        <w:tc>
          <w:tcPr>
            <w:tcW w:w="924" w:type="pct"/>
            <w:shd w:val="clear" w:color="auto" w:fill="auto"/>
          </w:tcPr>
          <w:p w:rsidR="00C5688E" w:rsidRPr="000C675E" w:rsidRDefault="00C5688E" w:rsidP="009E7910">
            <w:pPr>
              <w:pStyle w:val="Tableheadingrow"/>
              <w:rPr>
                <w:szCs w:val="20"/>
                <w:lang w:val="en-AU"/>
              </w:rPr>
            </w:pPr>
            <w:r w:rsidRPr="000C675E">
              <w:rPr>
                <w:lang w:val="en-AU"/>
              </w:rPr>
              <w:t>Component</w:t>
            </w:r>
          </w:p>
        </w:tc>
        <w:tc>
          <w:tcPr>
            <w:tcW w:w="4076" w:type="pct"/>
            <w:shd w:val="clear" w:color="auto" w:fill="auto"/>
          </w:tcPr>
          <w:p w:rsidR="00C5688E" w:rsidRPr="000C675E" w:rsidRDefault="00C5688E" w:rsidP="009E7910">
            <w:pPr>
              <w:pStyle w:val="Tableheadingrow"/>
              <w:rPr>
                <w:lang w:val="en-AU"/>
              </w:rPr>
            </w:pPr>
            <w:r w:rsidRPr="000C675E">
              <w:rPr>
                <w:lang w:val="en-AU"/>
              </w:rPr>
              <w:t>Description</w:t>
            </w:r>
          </w:p>
        </w:tc>
      </w:tr>
      <w:tr w:rsidR="00C5688E" w:rsidRPr="000C675E" w:rsidTr="00EF5EDE">
        <w:trPr>
          <w:cantSplit/>
        </w:trPr>
        <w:tc>
          <w:tcPr>
            <w:tcW w:w="924" w:type="pct"/>
            <w:shd w:val="clear" w:color="auto" w:fill="auto"/>
            <w:vAlign w:val="center"/>
          </w:tcPr>
          <w:p w:rsidR="00C5688E" w:rsidRPr="000C675E" w:rsidRDefault="00C5688E" w:rsidP="009E7910">
            <w:pPr>
              <w:pStyle w:val="TableText"/>
            </w:pPr>
            <w:r w:rsidRPr="000C675E">
              <w:t>Population</w:t>
            </w:r>
          </w:p>
        </w:tc>
        <w:tc>
          <w:tcPr>
            <w:tcW w:w="4076" w:type="pct"/>
            <w:shd w:val="clear" w:color="auto" w:fill="auto"/>
            <w:vAlign w:val="center"/>
          </w:tcPr>
          <w:p w:rsidR="00C5688E" w:rsidRPr="000C675E" w:rsidRDefault="00C5688E" w:rsidP="009E7910">
            <w:pPr>
              <w:pStyle w:val="TableText"/>
              <w:rPr>
                <w:szCs w:val="20"/>
              </w:rPr>
            </w:pPr>
            <w:r w:rsidRPr="000C675E">
              <w:t>Patients with newly diagnosed acute myeloid leukaemia ineligible for standard intensive induction chemotherapy.</w:t>
            </w:r>
          </w:p>
        </w:tc>
      </w:tr>
      <w:tr w:rsidR="00C5688E" w:rsidRPr="000C675E" w:rsidTr="00EF5EDE">
        <w:trPr>
          <w:cantSplit/>
        </w:trPr>
        <w:tc>
          <w:tcPr>
            <w:tcW w:w="924" w:type="pct"/>
            <w:shd w:val="clear" w:color="auto" w:fill="auto"/>
            <w:vAlign w:val="center"/>
          </w:tcPr>
          <w:p w:rsidR="00C5688E" w:rsidRPr="000C675E" w:rsidRDefault="00C5688E" w:rsidP="009E7910">
            <w:pPr>
              <w:pStyle w:val="TableText"/>
            </w:pPr>
            <w:r w:rsidRPr="000C675E">
              <w:t>Intervention</w:t>
            </w:r>
          </w:p>
        </w:tc>
        <w:tc>
          <w:tcPr>
            <w:tcW w:w="4076" w:type="pct"/>
            <w:shd w:val="clear" w:color="auto" w:fill="auto"/>
            <w:vAlign w:val="center"/>
          </w:tcPr>
          <w:p w:rsidR="00C5688E" w:rsidRPr="000C675E" w:rsidRDefault="00C5688E" w:rsidP="009E7910">
            <w:pPr>
              <w:pStyle w:val="TableText"/>
            </w:pPr>
            <w:r w:rsidRPr="000C675E">
              <w:t>Venetoclax 400 mg tablet orally once daily on Days 1-28 each 28 day cycle, following dose ramp-up on Days 1-3 of Cycle 1 (i.e. 100 mg, 200 mg, 400 mg); plus azacitidine 75 mg/m</w:t>
            </w:r>
            <w:r w:rsidRPr="000C675E">
              <w:rPr>
                <w:vertAlign w:val="superscript"/>
              </w:rPr>
              <w:t>2</w:t>
            </w:r>
            <w:r w:rsidRPr="000C675E">
              <w:t xml:space="preserve"> by subcutaneous or intravenous injection once daily on Days 1-7 each 28 day cycle; until disease progression or unacceptable toxicity.</w:t>
            </w:r>
          </w:p>
        </w:tc>
      </w:tr>
      <w:tr w:rsidR="00C5688E" w:rsidRPr="000C675E" w:rsidTr="00EF5EDE">
        <w:trPr>
          <w:cantSplit/>
        </w:trPr>
        <w:tc>
          <w:tcPr>
            <w:tcW w:w="924" w:type="pct"/>
            <w:shd w:val="clear" w:color="auto" w:fill="auto"/>
            <w:vAlign w:val="center"/>
          </w:tcPr>
          <w:p w:rsidR="00C5688E" w:rsidRPr="000C675E" w:rsidRDefault="00C5688E" w:rsidP="009E7910">
            <w:pPr>
              <w:pStyle w:val="TableText"/>
            </w:pPr>
            <w:r w:rsidRPr="000C675E">
              <w:t>Comparator</w:t>
            </w:r>
          </w:p>
        </w:tc>
        <w:tc>
          <w:tcPr>
            <w:tcW w:w="4076" w:type="pct"/>
            <w:shd w:val="clear" w:color="auto" w:fill="auto"/>
            <w:vAlign w:val="center"/>
          </w:tcPr>
          <w:p w:rsidR="00C5688E" w:rsidRPr="000C675E" w:rsidRDefault="00C5688E" w:rsidP="009E7910">
            <w:pPr>
              <w:pStyle w:val="TableText"/>
              <w:keepNext w:val="0"/>
            </w:pPr>
            <w:r w:rsidRPr="000C675E">
              <w:t>Primary: Azacitidine 75 mg/m</w:t>
            </w:r>
            <w:r w:rsidRPr="000C675E">
              <w:rPr>
                <w:vertAlign w:val="superscript"/>
              </w:rPr>
              <w:t>2</w:t>
            </w:r>
            <w:r w:rsidRPr="000C675E">
              <w:t xml:space="preserve"> by subcutaneous or intravenous injection once daily on Days 1-7 each 28 day cycle; until disease progression or unacceptable toxicity.</w:t>
            </w:r>
          </w:p>
          <w:p w:rsidR="00C5688E" w:rsidRPr="000C675E" w:rsidRDefault="00C5688E" w:rsidP="009E7910">
            <w:pPr>
              <w:pStyle w:val="TableText"/>
            </w:pPr>
            <w:r w:rsidRPr="000C675E">
              <w:t>Secondary: Low-dose cytarabine</w:t>
            </w:r>
            <w:r w:rsidRPr="000C675E">
              <w:rPr>
                <w:b/>
              </w:rPr>
              <w:t xml:space="preserve"> </w:t>
            </w:r>
            <w:r w:rsidRPr="000C675E">
              <w:t>20 mg by subcutaneous injection twice daily on Days 1-10 each 28 day cycle; until disease progression or unacceptable toxicity.</w:t>
            </w:r>
          </w:p>
        </w:tc>
      </w:tr>
      <w:tr w:rsidR="00C5688E" w:rsidRPr="000C675E" w:rsidTr="00EF5EDE">
        <w:trPr>
          <w:cantSplit/>
        </w:trPr>
        <w:tc>
          <w:tcPr>
            <w:tcW w:w="924" w:type="pct"/>
            <w:shd w:val="clear" w:color="auto" w:fill="auto"/>
            <w:vAlign w:val="center"/>
          </w:tcPr>
          <w:p w:rsidR="00C5688E" w:rsidRPr="000C675E" w:rsidRDefault="00C5688E" w:rsidP="009E7910">
            <w:pPr>
              <w:pStyle w:val="TableText"/>
            </w:pPr>
            <w:r w:rsidRPr="000C675E">
              <w:t>Outcomes</w:t>
            </w:r>
          </w:p>
        </w:tc>
        <w:tc>
          <w:tcPr>
            <w:tcW w:w="4076" w:type="pct"/>
            <w:shd w:val="clear" w:color="auto" w:fill="auto"/>
            <w:vAlign w:val="center"/>
          </w:tcPr>
          <w:p w:rsidR="00C5688E" w:rsidRPr="000C675E" w:rsidRDefault="00C5688E" w:rsidP="009E7910">
            <w:pPr>
              <w:pStyle w:val="TableText"/>
              <w:rPr>
                <w:rFonts w:eastAsia="Times New Roman" w:cs="Arial"/>
                <w:bCs w:val="0"/>
                <w:snapToGrid w:val="0"/>
                <w:color w:val="0066FF"/>
                <w:szCs w:val="20"/>
              </w:rPr>
            </w:pPr>
            <w:r w:rsidRPr="000C675E">
              <w:t>Overall survival, complete remission, transfusion independence, event free survival, minimal residual disease, and safety.</w:t>
            </w:r>
          </w:p>
        </w:tc>
      </w:tr>
      <w:tr w:rsidR="00C5688E" w:rsidRPr="000C675E" w:rsidTr="00EF5EDE">
        <w:trPr>
          <w:cantSplit/>
        </w:trPr>
        <w:tc>
          <w:tcPr>
            <w:tcW w:w="924" w:type="pct"/>
            <w:shd w:val="clear" w:color="auto" w:fill="auto"/>
            <w:vAlign w:val="center"/>
          </w:tcPr>
          <w:p w:rsidR="00C5688E" w:rsidRPr="000C675E" w:rsidRDefault="00C5688E" w:rsidP="009E7910">
            <w:pPr>
              <w:pStyle w:val="TableText"/>
            </w:pPr>
            <w:r w:rsidRPr="000C675E">
              <w:t>Clinical claim</w:t>
            </w:r>
          </w:p>
        </w:tc>
        <w:tc>
          <w:tcPr>
            <w:tcW w:w="4076" w:type="pct"/>
            <w:shd w:val="clear" w:color="auto" w:fill="auto"/>
            <w:vAlign w:val="center"/>
          </w:tcPr>
          <w:p w:rsidR="00C5688E" w:rsidRPr="000C675E" w:rsidRDefault="00C5688E" w:rsidP="009E7910">
            <w:pPr>
              <w:pStyle w:val="TableText"/>
            </w:pPr>
            <w:r w:rsidRPr="000C675E">
              <w:t>Venetoclax with azacitidine is associated with superior efficacy and inferior safety compared to azacitidine monotherapy.</w:t>
            </w:r>
          </w:p>
          <w:p w:rsidR="00C5688E" w:rsidRPr="000C675E" w:rsidRDefault="00C5688E" w:rsidP="009E7910">
            <w:pPr>
              <w:pStyle w:val="TableText"/>
              <w:rPr>
                <w:rFonts w:eastAsia="Times New Roman" w:cs="Arial"/>
                <w:bCs w:val="0"/>
                <w:snapToGrid w:val="0"/>
                <w:color w:val="0066FF"/>
                <w:szCs w:val="20"/>
              </w:rPr>
            </w:pPr>
            <w:r w:rsidRPr="000C675E">
              <w:t>Venetoclax with azacitidine is associated with superior efficacy and inferior safety compared to low-dose cytarabine</w:t>
            </w:r>
            <w:r w:rsidRPr="000C675E">
              <w:rPr>
                <w:b/>
              </w:rPr>
              <w:t xml:space="preserve"> </w:t>
            </w:r>
            <w:r w:rsidRPr="000C675E">
              <w:t>monotherapy.</w:t>
            </w:r>
          </w:p>
        </w:tc>
      </w:tr>
    </w:tbl>
    <w:p w:rsidR="00C5688E" w:rsidRPr="000C675E" w:rsidRDefault="00C5688E" w:rsidP="009E7910">
      <w:pPr>
        <w:pStyle w:val="TableFigureFooter"/>
      </w:pPr>
      <w:r w:rsidRPr="000C675E">
        <w:t>Source: Table 1-1, p.3 of the March 2021 submission.</w:t>
      </w:r>
    </w:p>
    <w:p w:rsidR="00C068A6" w:rsidRPr="000C675E" w:rsidRDefault="004B2E01" w:rsidP="009E7910">
      <w:pPr>
        <w:pStyle w:val="2-SectionHeading"/>
      </w:pPr>
      <w:r w:rsidRPr="000C675E">
        <w:t>Requested listing</w:t>
      </w:r>
      <w:r w:rsidR="007C08E0" w:rsidRPr="000C675E">
        <w:t xml:space="preserve"> </w:t>
      </w:r>
    </w:p>
    <w:p w:rsidR="00EA303A" w:rsidRPr="000C675E" w:rsidRDefault="004B2E01" w:rsidP="009E7910">
      <w:pPr>
        <w:pStyle w:val="3-BodyText"/>
      </w:pPr>
      <w:r w:rsidRPr="000C675E">
        <w:t xml:space="preserve">The </w:t>
      </w:r>
      <w:r w:rsidR="004F6160" w:rsidRPr="000C675E">
        <w:t>re</w:t>
      </w:r>
      <w:r w:rsidRPr="000C675E">
        <w:t xml:space="preserve">submission </w:t>
      </w:r>
      <w:r w:rsidR="004F6160" w:rsidRPr="000C675E">
        <w:t>accepted</w:t>
      </w:r>
      <w:r w:rsidR="00C5688E" w:rsidRPr="000C675E">
        <w:t xml:space="preserve"> </w:t>
      </w:r>
      <w:r w:rsidR="004F6160" w:rsidRPr="000C675E">
        <w:t>the previously considered PBS restrictio</w:t>
      </w:r>
      <w:r w:rsidR="005E59A8" w:rsidRPr="000C675E">
        <w:t xml:space="preserve">n, and proposed the same wording </w:t>
      </w:r>
      <w:r w:rsidR="008833D3" w:rsidRPr="000C675E">
        <w:t xml:space="preserve">and Telephone/Online Authority </w:t>
      </w:r>
      <w:r w:rsidR="005E59A8" w:rsidRPr="000C675E">
        <w:t>for the 50 mg strength (with a maximum quantity of four packs of seven tablets, with one repeat</w:t>
      </w:r>
      <w:r w:rsidR="00EA303A" w:rsidRPr="000C675E">
        <w:t>, to supply 56 days’ treatment</w:t>
      </w:r>
      <w:r w:rsidR="005E59A8" w:rsidRPr="000C675E">
        <w:t>).</w:t>
      </w:r>
      <w:r w:rsidR="00EA303A" w:rsidRPr="000C675E">
        <w:t xml:space="preserve"> </w:t>
      </w:r>
      <w:r w:rsidR="005E59A8" w:rsidRPr="000C675E">
        <w:t>For the 100 mg strength, the previous submission requested a maximum quantity of one pack, with five repeats. However, the PBAC noted that two repeats would provide for three months’ supply, which it considered was more in line with the timeframe in which patients should be reviewed (</w:t>
      </w:r>
      <w:r w:rsidR="0092420D" w:rsidRPr="000C675E">
        <w:t>para</w:t>
      </w:r>
      <w:r w:rsidR="00EB0691" w:rsidRPr="000C675E">
        <w:t>graph</w:t>
      </w:r>
      <w:r w:rsidR="0092420D" w:rsidRPr="000C675E">
        <w:t xml:space="preserve"> 6.14, VTX, PSD, March 2021 PBAC meeting</w:t>
      </w:r>
      <w:r w:rsidR="005E59A8" w:rsidRPr="000C675E">
        <w:t>)</w:t>
      </w:r>
      <w:r w:rsidR="00EA303A" w:rsidRPr="000C675E">
        <w:t>. The Secretariat note</w:t>
      </w:r>
      <w:r w:rsidR="0092420D" w:rsidRPr="000C675E">
        <w:t>d</w:t>
      </w:r>
      <w:r w:rsidR="00EA303A" w:rsidRPr="000C675E">
        <w:t xml:space="preserve"> that the restriction </w:t>
      </w:r>
      <w:r w:rsidR="0092420D" w:rsidRPr="000C675E">
        <w:t xml:space="preserve">would </w:t>
      </w:r>
      <w:r w:rsidR="00EA303A" w:rsidRPr="000C675E">
        <w:t>require further refinement to meet the electronic requirements for listing.</w:t>
      </w:r>
    </w:p>
    <w:p w:rsidR="00ED7F23" w:rsidRPr="000C675E" w:rsidRDefault="00EA303A" w:rsidP="009E7910">
      <w:pPr>
        <w:pStyle w:val="3-BodyText"/>
      </w:pPr>
      <w:bookmarkStart w:id="6" w:name="_Ref78298815"/>
      <w:r w:rsidRPr="000C675E">
        <w:t xml:space="preserve">The resubmission again noted that the restriction for </w:t>
      </w:r>
      <w:r w:rsidR="00ED7F23" w:rsidRPr="000C675E">
        <w:t>AZA</w:t>
      </w:r>
      <w:r w:rsidRPr="000C675E">
        <w:t xml:space="preserve"> </w:t>
      </w:r>
      <w:r w:rsidR="0092420D" w:rsidRPr="000C675E">
        <w:t xml:space="preserve">would </w:t>
      </w:r>
      <w:r w:rsidRPr="000C675E">
        <w:t xml:space="preserve">require amendment to allow use with </w:t>
      </w:r>
      <w:r w:rsidR="00ED7F23" w:rsidRPr="000C675E">
        <w:t>VTX</w:t>
      </w:r>
      <w:r w:rsidRPr="000C675E">
        <w:t xml:space="preserve"> if recommended. No restriction was proposed. </w:t>
      </w:r>
      <w:r w:rsidR="0092420D" w:rsidRPr="000C675E">
        <w:t xml:space="preserve">At the time of PBAC consideration, </w:t>
      </w:r>
      <w:r w:rsidR="00ED7F23" w:rsidRPr="000C675E">
        <w:t xml:space="preserve">AZA </w:t>
      </w:r>
      <w:r w:rsidR="0092420D" w:rsidRPr="000C675E">
        <w:t xml:space="preserve">was </w:t>
      </w:r>
      <w:r w:rsidR="00ED7F23" w:rsidRPr="000C675E">
        <w:t>a Written Authority for initial treatment and a Telephone/Online Authority for continuation. In November 2020, the PBAC had recommended the Authority level for AZA for AML be decreased to Authority Required (Telephone) for initial treatment and Authority Required (Streamlined) for continuing (PBAC Outcomes, Other Matters, November 2020</w:t>
      </w:r>
      <w:r w:rsidR="0092420D" w:rsidRPr="000C675E">
        <w:t xml:space="preserve"> PBAC meeting</w:t>
      </w:r>
      <w:r w:rsidR="00ED7F23" w:rsidRPr="000C675E">
        <w:t xml:space="preserve">). Thus, at its March </w:t>
      </w:r>
      <w:r w:rsidR="0092420D" w:rsidRPr="000C675E">
        <w:t>20</w:t>
      </w:r>
      <w:r w:rsidR="00ED7F23" w:rsidRPr="000C675E">
        <w:t>21 meeting, the PBAC had no concern with the proposed VTX and AZA combination listings both being Authority Required (Telephone/Online) (</w:t>
      </w:r>
      <w:r w:rsidR="0092420D" w:rsidRPr="000C675E">
        <w:t>para</w:t>
      </w:r>
      <w:r w:rsidR="00EB0691" w:rsidRPr="000C675E">
        <w:t>graph</w:t>
      </w:r>
      <w:r w:rsidR="0092420D" w:rsidRPr="000C675E">
        <w:t xml:space="preserve"> 7.4, VTX, PSD, March 2021 PBAC meeting</w:t>
      </w:r>
      <w:r w:rsidR="00ED7F23" w:rsidRPr="000C675E">
        <w:t xml:space="preserve">). </w:t>
      </w:r>
      <w:r w:rsidR="0092420D" w:rsidRPr="000C675E">
        <w:t>For this resubmission, t</w:t>
      </w:r>
      <w:r w:rsidR="00ED7F23" w:rsidRPr="000C675E">
        <w:t xml:space="preserve">he PBAC </w:t>
      </w:r>
      <w:r w:rsidR="0092420D" w:rsidRPr="000C675E">
        <w:t xml:space="preserve">was </w:t>
      </w:r>
      <w:r w:rsidR="00ED7F23" w:rsidRPr="000C675E">
        <w:t>asked to confirm that a new separate AZA listing should be implemented for combination use with VTX (rather than amendments to existing AZA listings).</w:t>
      </w:r>
      <w:bookmarkEnd w:id="6"/>
    </w:p>
    <w:p w:rsidR="00EA303A" w:rsidRPr="000C675E" w:rsidRDefault="00EA303A" w:rsidP="009E7910">
      <w:pPr>
        <w:pStyle w:val="3-BodyText"/>
      </w:pPr>
      <w:r w:rsidRPr="000C675E">
        <w:t xml:space="preserve">The previous submission had requested grandfathering provisions for patients receiving non-PBS subsidised </w:t>
      </w:r>
      <w:r w:rsidR="00ED7F23" w:rsidRPr="000C675E">
        <w:t>VTX</w:t>
      </w:r>
      <w:r w:rsidRPr="000C675E">
        <w:t xml:space="preserve"> prior to PBS listing. The PBAC had noted that no further details were provided (</w:t>
      </w:r>
      <w:r w:rsidR="0092420D" w:rsidRPr="000C675E">
        <w:t>para</w:t>
      </w:r>
      <w:r w:rsidR="00EB0691" w:rsidRPr="000C675E">
        <w:t>graph</w:t>
      </w:r>
      <w:r w:rsidR="0092420D" w:rsidRPr="000C675E">
        <w:t xml:space="preserve"> 3.7, VTX, PSD, March 2021 PBAC meeting</w:t>
      </w:r>
      <w:r w:rsidR="00ED7F23" w:rsidRPr="000C675E">
        <w:t>).</w:t>
      </w:r>
      <w:r w:rsidR="0092420D" w:rsidRPr="000C675E">
        <w:t xml:space="preserve"> The Pre-PBAC response </w:t>
      </w:r>
      <w:r w:rsidR="00633C7B" w:rsidRPr="000C675E">
        <w:t xml:space="preserve">clarified that the sponsor is not supplying VTX with AZA via any trials or access programs. However, the sponsor stated it was anecdotally aware of a small number of patients receiving VTX with AZA in the hospital setting. Although reliable estimates could not be provided, it considered that fewer than 20 patients would require grandfathering. </w:t>
      </w:r>
    </w:p>
    <w:p w:rsidR="00A73470" w:rsidRPr="000C675E" w:rsidRDefault="00A73470" w:rsidP="009E7910">
      <w:pPr>
        <w:pStyle w:val="2-SectionHeading"/>
      </w:pPr>
      <w:r w:rsidRPr="000C675E">
        <w:t>Consideration of the evidence</w:t>
      </w:r>
    </w:p>
    <w:p w:rsidR="00736154" w:rsidRPr="000C675E" w:rsidRDefault="00736154" w:rsidP="00736154">
      <w:pPr>
        <w:pStyle w:val="4-SubsectionHeading"/>
      </w:pPr>
      <w:bookmarkStart w:id="7" w:name="_Hlk76375935"/>
      <w:r w:rsidRPr="000C675E">
        <w:t>Sponsor hearing</w:t>
      </w:r>
    </w:p>
    <w:p w:rsidR="0092420D" w:rsidRPr="000C675E" w:rsidRDefault="0092420D" w:rsidP="008C5E51">
      <w:pPr>
        <w:pStyle w:val="3-BodyText"/>
        <w:rPr>
          <w:rFonts w:cs="Arial"/>
          <w:bCs/>
          <w:snapToGrid w:val="0"/>
        </w:rPr>
      </w:pPr>
      <w:bookmarkStart w:id="8" w:name="_Hlk76382586"/>
      <w:r w:rsidRPr="000C675E">
        <w:rPr>
          <w:rFonts w:cs="Arial"/>
          <w:bCs/>
          <w:snapToGrid w:val="0"/>
        </w:rPr>
        <w:t xml:space="preserve">There was no hearing for this item. </w:t>
      </w:r>
    </w:p>
    <w:bookmarkEnd w:id="8"/>
    <w:p w:rsidR="00736154" w:rsidRPr="000C675E" w:rsidRDefault="00736154" w:rsidP="00736154">
      <w:pPr>
        <w:pStyle w:val="4-SubsectionHeading"/>
      </w:pPr>
      <w:r w:rsidRPr="000C675E">
        <w:t>Consumer comments</w:t>
      </w:r>
    </w:p>
    <w:p w:rsidR="00E104FE" w:rsidRPr="000C675E" w:rsidRDefault="00E104FE" w:rsidP="00E104FE">
      <w:pPr>
        <w:pStyle w:val="3-BodyText"/>
        <w:rPr>
          <w:snapToGrid w:val="0"/>
        </w:rPr>
      </w:pPr>
      <w:bookmarkStart w:id="9" w:name="_Hlk76382618"/>
      <w:r w:rsidRPr="000C675E">
        <w:rPr>
          <w:rFonts w:cs="Arial"/>
          <w:bCs/>
          <w:snapToGrid w:val="0"/>
        </w:rPr>
        <w:t>The PBAC noted and welcomed the input from individuals (1), health care professionals (9) and organisations (1) via the Consumer Comments facility on the PBS website</w:t>
      </w:r>
      <w:r w:rsidR="000C675E">
        <w:rPr>
          <w:rFonts w:cs="Arial"/>
          <w:bCs/>
          <w:snapToGrid w:val="0"/>
        </w:rPr>
        <w:t xml:space="preserve">. </w:t>
      </w:r>
      <w:r w:rsidRPr="000C675E">
        <w:rPr>
          <w:rFonts w:cs="Arial"/>
          <w:bCs/>
          <w:snapToGrid w:val="0"/>
        </w:rPr>
        <w:t>The comments described a range of benefits of treatment with VTX and AZA including the induction of meaningful responses in patients with poor prognosis, especially in older age groups where patients may be otherwise unfit for treatment. The comments also considered that t</w:t>
      </w:r>
      <w:r w:rsidRPr="0075328D">
        <w:rPr>
          <w:rFonts w:cs="Arial"/>
          <w:bCs/>
          <w:snapToGrid w:val="0"/>
        </w:rPr>
        <w:t xml:space="preserve">he oral form would be beneficial for </w:t>
      </w:r>
      <w:r w:rsidRPr="000C675E">
        <w:rPr>
          <w:rFonts w:cs="Arial"/>
          <w:bCs/>
          <w:snapToGrid w:val="0"/>
        </w:rPr>
        <w:t xml:space="preserve">use in rural settings, and that it would help preserve quality of life by reducing hospitalisation needs in older patients. </w:t>
      </w:r>
    </w:p>
    <w:p w:rsidR="00E104FE" w:rsidRPr="000C675E" w:rsidRDefault="00E104FE" w:rsidP="00E104FE">
      <w:pPr>
        <w:pStyle w:val="3-BodyText"/>
        <w:rPr>
          <w:snapToGrid w:val="0"/>
        </w:rPr>
      </w:pPr>
      <w:r w:rsidRPr="000C675E">
        <w:rPr>
          <w:rFonts w:cs="Arial"/>
          <w:bCs/>
          <w:snapToGrid w:val="0"/>
        </w:rPr>
        <w:t>The PBAC again noted and appreciated the comments received from the Leukaemia Foundation, which described individual patient experiences of the benefits of treatment with VTX.</w:t>
      </w:r>
      <w:bookmarkEnd w:id="9"/>
    </w:p>
    <w:p w:rsidR="00C5688E" w:rsidRPr="000C675E" w:rsidRDefault="00A73470" w:rsidP="009E7910">
      <w:pPr>
        <w:pStyle w:val="4-SubsectionHeading"/>
      </w:pPr>
      <w:bookmarkStart w:id="10" w:name="_Toc62040428"/>
      <w:bookmarkEnd w:id="7"/>
      <w:r w:rsidRPr="000C675E">
        <w:t>Comparative effectiveness</w:t>
      </w:r>
      <w:bookmarkEnd w:id="10"/>
    </w:p>
    <w:p w:rsidR="00A73470" w:rsidRPr="000C675E" w:rsidRDefault="00687EAE" w:rsidP="009E7910">
      <w:pPr>
        <w:pStyle w:val="3-BodyText"/>
      </w:pPr>
      <w:r w:rsidRPr="000C675E">
        <w:t xml:space="preserve">The March </w:t>
      </w:r>
      <w:r w:rsidR="006A7234" w:rsidRPr="000C675E">
        <w:t>20</w:t>
      </w:r>
      <w:r w:rsidRPr="000C675E">
        <w:t>21 PBAC submission was based on a head-to-head randomised trial of VTX+AZA versus AZA (M15-656); and an indirect treatment comparison of VTX+AZA (M15-656) versus LoDAC (AZA-AML-001) with AZA as a common reference.</w:t>
      </w:r>
      <w:r w:rsidR="007B7F96" w:rsidRPr="000C675E">
        <w:t xml:space="preserve"> No additional clinical data were presented in the resubmission.</w:t>
      </w:r>
    </w:p>
    <w:p w:rsidR="00A73470" w:rsidRPr="000C675E" w:rsidRDefault="00A73470" w:rsidP="009E7910">
      <w:pPr>
        <w:pStyle w:val="4-SubsectionHeading"/>
      </w:pPr>
      <w:r w:rsidRPr="000C675E">
        <w:t>Economic analysis</w:t>
      </w:r>
    </w:p>
    <w:p w:rsidR="00A73470" w:rsidRPr="000C675E" w:rsidRDefault="00A73470" w:rsidP="009E7910">
      <w:pPr>
        <w:pStyle w:val="3-BodyText"/>
      </w:pPr>
      <w:r w:rsidRPr="000C675E">
        <w:t xml:space="preserve">A comparison of the </w:t>
      </w:r>
      <w:r w:rsidR="006E0AB6" w:rsidRPr="000C675E">
        <w:t xml:space="preserve">PBAC specified </w:t>
      </w:r>
      <w:r w:rsidR="00687EAE" w:rsidRPr="000C675E">
        <w:t xml:space="preserve">model </w:t>
      </w:r>
      <w:r w:rsidRPr="000C675E">
        <w:t xml:space="preserve">revisions and </w:t>
      </w:r>
      <w:r w:rsidR="00687EAE" w:rsidRPr="000C675E">
        <w:t>those</w:t>
      </w:r>
      <w:r w:rsidRPr="000C675E">
        <w:t xml:space="preserve"> included in the resubmission </w:t>
      </w:r>
      <w:r w:rsidR="00F5282B" w:rsidRPr="000C675E">
        <w:t xml:space="preserve">is </w:t>
      </w:r>
      <w:r w:rsidRPr="000C675E">
        <w:t xml:space="preserve">summarised in </w:t>
      </w:r>
      <w:r w:rsidR="003A5046" w:rsidRPr="000C675E">
        <w:t xml:space="preserve">Table </w:t>
      </w:r>
      <w:r w:rsidR="003A5046" w:rsidRPr="005F5101">
        <w:t>3</w:t>
      </w:r>
      <w:r w:rsidRPr="000C675E">
        <w:t>.</w:t>
      </w:r>
      <w:r w:rsidR="006E0AB6" w:rsidRPr="000C675E">
        <w:t xml:space="preserve"> The model time horizon and number of vials of AZA were revised as specified by the PBAC. Alternative approaches were presented in the resubmission for the extrapolation of the </w:t>
      </w:r>
      <w:r w:rsidR="006D3E5D" w:rsidRPr="0075328D">
        <w:t>event-free survival (</w:t>
      </w:r>
      <w:r w:rsidR="006E0AB6" w:rsidRPr="000C675E">
        <w:t>EFS</w:t>
      </w:r>
      <w:r w:rsidR="006D3E5D" w:rsidRPr="000C675E">
        <w:t>)</w:t>
      </w:r>
      <w:r w:rsidR="006E0AB6" w:rsidRPr="000C675E">
        <w:t xml:space="preserve"> and </w:t>
      </w:r>
      <w:r w:rsidR="006D3E5D" w:rsidRPr="000C675E">
        <w:t>overall survival (</w:t>
      </w:r>
      <w:r w:rsidR="006E0AB6" w:rsidRPr="000C675E">
        <w:t>OS</w:t>
      </w:r>
      <w:r w:rsidR="006D3E5D" w:rsidRPr="000C675E">
        <w:t>)</w:t>
      </w:r>
      <w:r w:rsidR="006E0AB6" w:rsidRPr="000C675E">
        <w:t xml:space="preserve"> data, and </w:t>
      </w:r>
      <w:r w:rsidR="006C0FBF" w:rsidRPr="000C675E">
        <w:t xml:space="preserve">for </w:t>
      </w:r>
      <w:r w:rsidR="006E0AB6" w:rsidRPr="000C675E">
        <w:t xml:space="preserve">the weighting of the ICER across the AZA and LoDAC comparisons. </w:t>
      </w:r>
    </w:p>
    <w:p w:rsidR="00A73470" w:rsidRPr="0075328D" w:rsidRDefault="00A73470" w:rsidP="009E7910">
      <w:pPr>
        <w:pStyle w:val="TableFigureHeading"/>
        <w:keepLines/>
      </w:pPr>
      <w:bookmarkStart w:id="11" w:name="_Ref38539835"/>
      <w:bookmarkStart w:id="12" w:name="_Ref75282547"/>
      <w:bookmarkStart w:id="13" w:name="_Toc38897545"/>
      <w:bookmarkStart w:id="14" w:name="_Toc70331624"/>
      <w:bookmarkStart w:id="15" w:name="_Toc70668999"/>
      <w:r w:rsidRPr="000C675E">
        <w:t>Table</w:t>
      </w:r>
      <w:bookmarkEnd w:id="11"/>
      <w:r w:rsidRPr="000C675E">
        <w:t xml:space="preserve"> </w:t>
      </w:r>
      <w:r w:rsidR="003A5046" w:rsidRPr="005F5101">
        <w:t>3</w:t>
      </w:r>
      <w:bookmarkEnd w:id="12"/>
      <w:r w:rsidR="006C0FBF" w:rsidRPr="000C675E">
        <w:t>:</w:t>
      </w:r>
      <w:bookmarkEnd w:id="13"/>
      <w:r w:rsidR="006C0FBF" w:rsidRPr="000C675E">
        <w:t xml:space="preserve"> </w:t>
      </w:r>
      <w:r w:rsidRPr="000C675E">
        <w:t xml:space="preserve">Comparison of </w:t>
      </w:r>
      <w:bookmarkEnd w:id="14"/>
      <w:bookmarkEnd w:id="15"/>
      <w:r w:rsidR="00C30F4E" w:rsidRPr="000C675E">
        <w:t>PBAC advised model parameters</w:t>
      </w:r>
      <w:r w:rsidRPr="000C675E">
        <w:t xml:space="preserve"> </w:t>
      </w:r>
      <w:r w:rsidR="00C30F4E" w:rsidRPr="000C675E">
        <w:t>with those used in the resubmission</w:t>
      </w:r>
    </w:p>
    <w:tbl>
      <w:tblPr>
        <w:tblStyle w:val="TableGrid"/>
        <w:tblW w:w="5000" w:type="pct"/>
        <w:tblLook w:val="04A0" w:firstRow="1" w:lastRow="0" w:firstColumn="1" w:lastColumn="0" w:noHBand="0" w:noVBand="1"/>
        <w:tblCaption w:val="Table 3: Comparison of PBAC advised model parameters with those used in the resubmission"/>
      </w:tblPr>
      <w:tblGrid>
        <w:gridCol w:w="2593"/>
        <w:gridCol w:w="2593"/>
        <w:gridCol w:w="2593"/>
        <w:gridCol w:w="1237"/>
      </w:tblGrid>
      <w:tr w:rsidR="00C30F4E" w:rsidRPr="000C675E" w:rsidTr="00F57123">
        <w:trPr>
          <w:tblHeader/>
        </w:trPr>
        <w:tc>
          <w:tcPr>
            <w:tcW w:w="1438" w:type="pct"/>
          </w:tcPr>
          <w:p w:rsidR="00A73470" w:rsidRPr="000C675E" w:rsidRDefault="00A73470" w:rsidP="009E7910">
            <w:pPr>
              <w:pStyle w:val="Table"/>
              <w:rPr>
                <w:rFonts w:ascii="Arial Narrow" w:hAnsi="Arial Narrow"/>
                <w:b/>
                <w:bCs/>
              </w:rPr>
            </w:pPr>
            <w:r w:rsidRPr="000C675E">
              <w:rPr>
                <w:rFonts w:ascii="Arial Narrow" w:hAnsi="Arial Narrow"/>
                <w:b/>
                <w:bCs/>
              </w:rPr>
              <w:t>Model parameter</w:t>
            </w:r>
          </w:p>
        </w:tc>
        <w:tc>
          <w:tcPr>
            <w:tcW w:w="1438" w:type="pct"/>
          </w:tcPr>
          <w:p w:rsidR="00A73470" w:rsidRPr="000C675E" w:rsidRDefault="00A73470" w:rsidP="009E7910">
            <w:pPr>
              <w:pStyle w:val="Table"/>
              <w:rPr>
                <w:rFonts w:ascii="Arial Narrow" w:hAnsi="Arial Narrow"/>
                <w:b/>
                <w:bCs/>
              </w:rPr>
            </w:pPr>
            <w:r w:rsidRPr="000C675E">
              <w:rPr>
                <w:rFonts w:ascii="Arial Narrow" w:hAnsi="Arial Narrow"/>
                <w:b/>
                <w:bCs/>
              </w:rPr>
              <w:t>PBAC advice, March 2021</w:t>
            </w:r>
          </w:p>
        </w:tc>
        <w:tc>
          <w:tcPr>
            <w:tcW w:w="1438" w:type="pct"/>
          </w:tcPr>
          <w:p w:rsidR="00A73470" w:rsidRPr="000C675E" w:rsidRDefault="00520B44" w:rsidP="009E7910">
            <w:pPr>
              <w:pStyle w:val="Table"/>
              <w:rPr>
                <w:rFonts w:ascii="Arial Narrow" w:hAnsi="Arial Narrow"/>
                <w:b/>
                <w:bCs/>
              </w:rPr>
            </w:pPr>
            <w:r w:rsidRPr="000C675E">
              <w:rPr>
                <w:rFonts w:ascii="Arial Narrow" w:hAnsi="Arial Narrow"/>
                <w:b/>
                <w:bCs/>
              </w:rPr>
              <w:t>Resubmission</w:t>
            </w:r>
            <w:r w:rsidR="00A73470" w:rsidRPr="000C675E">
              <w:rPr>
                <w:rFonts w:ascii="Arial Narrow" w:hAnsi="Arial Narrow"/>
                <w:b/>
                <w:bCs/>
              </w:rPr>
              <w:t xml:space="preserve"> model</w:t>
            </w:r>
          </w:p>
        </w:tc>
        <w:tc>
          <w:tcPr>
            <w:tcW w:w="686" w:type="pct"/>
          </w:tcPr>
          <w:p w:rsidR="00A73470" w:rsidRPr="000C675E" w:rsidRDefault="009531AF" w:rsidP="009E7910">
            <w:pPr>
              <w:pStyle w:val="Table"/>
              <w:rPr>
                <w:rFonts w:ascii="Arial Narrow" w:hAnsi="Arial Narrow"/>
                <w:b/>
                <w:bCs/>
              </w:rPr>
            </w:pPr>
            <w:r w:rsidRPr="000C675E">
              <w:rPr>
                <w:rFonts w:ascii="Arial Narrow" w:hAnsi="Arial Narrow"/>
                <w:b/>
                <w:bCs/>
              </w:rPr>
              <w:t>Addressed?</w:t>
            </w:r>
          </w:p>
        </w:tc>
      </w:tr>
      <w:tr w:rsidR="00C30F4E" w:rsidRPr="000C675E" w:rsidTr="00C30F4E">
        <w:trPr>
          <w:trHeight w:val="486"/>
        </w:trPr>
        <w:tc>
          <w:tcPr>
            <w:tcW w:w="1438" w:type="pct"/>
          </w:tcPr>
          <w:p w:rsidR="00A73470" w:rsidRPr="000C675E" w:rsidRDefault="00A73470" w:rsidP="009E7910">
            <w:pPr>
              <w:pStyle w:val="Table"/>
              <w:rPr>
                <w:rFonts w:ascii="Arial Narrow" w:hAnsi="Arial Narrow"/>
              </w:rPr>
            </w:pPr>
            <w:r w:rsidRPr="000C675E">
              <w:rPr>
                <w:rFonts w:ascii="Arial Narrow" w:hAnsi="Arial Narrow"/>
              </w:rPr>
              <w:t>Time horizon</w:t>
            </w:r>
          </w:p>
        </w:tc>
        <w:tc>
          <w:tcPr>
            <w:tcW w:w="1438" w:type="pct"/>
          </w:tcPr>
          <w:p w:rsidR="00A73470" w:rsidRPr="000C675E" w:rsidRDefault="009531AF" w:rsidP="009E7910">
            <w:pPr>
              <w:pStyle w:val="Table"/>
              <w:rPr>
                <w:rFonts w:ascii="Arial Narrow" w:hAnsi="Arial Narrow"/>
              </w:rPr>
            </w:pPr>
            <w:r w:rsidRPr="000C675E">
              <w:rPr>
                <w:rFonts w:ascii="Arial Narrow" w:hAnsi="Arial Narrow"/>
              </w:rPr>
              <w:t xml:space="preserve">Reduce from </w:t>
            </w:r>
            <w:r w:rsidR="00A73470" w:rsidRPr="000C675E">
              <w:rPr>
                <w:rFonts w:ascii="Arial Narrow" w:hAnsi="Arial Narrow"/>
              </w:rPr>
              <w:t>20 years</w:t>
            </w:r>
            <w:r w:rsidRPr="000C675E">
              <w:rPr>
                <w:rFonts w:ascii="Arial Narrow" w:hAnsi="Arial Narrow"/>
              </w:rPr>
              <w:t xml:space="preserve"> to 10</w:t>
            </w:r>
            <w:r w:rsidR="00BC4CB7" w:rsidRPr="000C675E">
              <w:rPr>
                <w:rFonts w:ascii="Arial Narrow" w:hAnsi="Arial Narrow"/>
              </w:rPr>
              <w:t> </w:t>
            </w:r>
            <w:r w:rsidRPr="000C675E">
              <w:rPr>
                <w:rFonts w:ascii="Arial Narrow" w:hAnsi="Arial Narrow"/>
              </w:rPr>
              <w:t>years</w:t>
            </w:r>
          </w:p>
        </w:tc>
        <w:tc>
          <w:tcPr>
            <w:tcW w:w="1438" w:type="pct"/>
          </w:tcPr>
          <w:p w:rsidR="00A73470" w:rsidRPr="000C675E" w:rsidRDefault="00A73470" w:rsidP="009E7910">
            <w:pPr>
              <w:pStyle w:val="Table"/>
              <w:rPr>
                <w:rFonts w:ascii="Arial Narrow" w:hAnsi="Arial Narrow"/>
              </w:rPr>
            </w:pPr>
            <w:r w:rsidRPr="000C675E">
              <w:rPr>
                <w:rFonts w:ascii="Arial Narrow" w:hAnsi="Arial Narrow"/>
              </w:rPr>
              <w:t>10 years</w:t>
            </w:r>
          </w:p>
        </w:tc>
        <w:tc>
          <w:tcPr>
            <w:tcW w:w="686" w:type="pct"/>
          </w:tcPr>
          <w:p w:rsidR="00A73470" w:rsidRPr="000C675E" w:rsidRDefault="009531AF" w:rsidP="005F5101">
            <w:pPr>
              <w:pStyle w:val="Table"/>
              <w:jc w:val="center"/>
              <w:rPr>
                <w:rFonts w:ascii="Arial Narrow" w:hAnsi="Arial Narrow"/>
              </w:rPr>
            </w:pPr>
            <w:r w:rsidRPr="000C675E">
              <w:rPr>
                <w:rFonts w:ascii="Arial Narrow" w:hAnsi="Arial Narrow"/>
              </w:rPr>
              <w:t>Yes</w:t>
            </w:r>
          </w:p>
        </w:tc>
      </w:tr>
      <w:tr w:rsidR="00C30F4E" w:rsidRPr="000C675E" w:rsidTr="00C30F4E">
        <w:trPr>
          <w:trHeight w:val="56"/>
        </w:trPr>
        <w:tc>
          <w:tcPr>
            <w:tcW w:w="1438" w:type="pct"/>
          </w:tcPr>
          <w:p w:rsidR="00A73470" w:rsidRPr="000C675E" w:rsidRDefault="00A73470" w:rsidP="009E7910">
            <w:pPr>
              <w:pStyle w:val="Table"/>
              <w:rPr>
                <w:rFonts w:ascii="Arial Narrow" w:hAnsi="Arial Narrow"/>
              </w:rPr>
            </w:pPr>
            <w:r w:rsidRPr="000C675E">
              <w:rPr>
                <w:rFonts w:ascii="Arial Narrow" w:hAnsi="Arial Narrow"/>
              </w:rPr>
              <w:t>Parametric functions used to extrapolate EFS time-to-event data</w:t>
            </w:r>
          </w:p>
        </w:tc>
        <w:tc>
          <w:tcPr>
            <w:tcW w:w="1438" w:type="pct"/>
          </w:tcPr>
          <w:p w:rsidR="009531AF" w:rsidRPr="000C675E" w:rsidRDefault="009531AF" w:rsidP="009E7910">
            <w:pPr>
              <w:pStyle w:val="Table"/>
              <w:rPr>
                <w:rFonts w:ascii="Arial Narrow" w:hAnsi="Arial Narrow"/>
              </w:rPr>
            </w:pPr>
            <w:r w:rsidRPr="000C675E">
              <w:rPr>
                <w:rFonts w:ascii="Arial Narrow" w:hAnsi="Arial Narrow"/>
              </w:rPr>
              <w:t>VTX+AZA (and LoDAC</w:t>
            </w:r>
            <w:r w:rsidRPr="000C675E">
              <w:rPr>
                <w:rFonts w:ascii="Arial Narrow" w:hAnsi="Arial Narrow"/>
                <w:vertAlign w:val="superscript"/>
              </w:rPr>
              <w:t>a</w:t>
            </w:r>
            <w:r w:rsidRPr="000C675E">
              <w:rPr>
                <w:rFonts w:ascii="Arial Narrow" w:hAnsi="Arial Narrow"/>
              </w:rPr>
              <w:t>): Weibull</w:t>
            </w:r>
          </w:p>
          <w:p w:rsidR="009531AF" w:rsidRPr="000C675E" w:rsidRDefault="009531AF" w:rsidP="009E7910">
            <w:pPr>
              <w:pStyle w:val="Table"/>
              <w:rPr>
                <w:rFonts w:ascii="Arial Narrow" w:hAnsi="Arial Narrow"/>
              </w:rPr>
            </w:pPr>
            <w:r w:rsidRPr="000C675E">
              <w:rPr>
                <w:rFonts w:ascii="Arial Narrow" w:hAnsi="Arial Narrow"/>
              </w:rPr>
              <w:t>AZA: Exponential</w:t>
            </w:r>
            <w:r w:rsidR="00A73470" w:rsidRPr="000C675E">
              <w:rPr>
                <w:rFonts w:ascii="Arial Narrow" w:hAnsi="Arial Narrow"/>
              </w:rPr>
              <w:t xml:space="preserve"> </w:t>
            </w:r>
          </w:p>
        </w:tc>
        <w:tc>
          <w:tcPr>
            <w:tcW w:w="1438" w:type="pct"/>
          </w:tcPr>
          <w:p w:rsidR="00A73470" w:rsidRPr="000C675E" w:rsidRDefault="00A73470" w:rsidP="009E7910">
            <w:pPr>
              <w:pStyle w:val="Table"/>
              <w:rPr>
                <w:rFonts w:ascii="Arial Narrow" w:hAnsi="Arial Narrow"/>
              </w:rPr>
            </w:pPr>
            <w:r w:rsidRPr="000C675E">
              <w:rPr>
                <w:rFonts w:ascii="Arial Narrow" w:hAnsi="Arial Narrow"/>
              </w:rPr>
              <w:t>VTX+AZA</w:t>
            </w:r>
            <w:r w:rsidR="009531AF" w:rsidRPr="000C675E">
              <w:rPr>
                <w:rFonts w:ascii="Arial Narrow" w:hAnsi="Arial Narrow"/>
              </w:rPr>
              <w:t xml:space="preserve"> (and LoDAC</w:t>
            </w:r>
            <w:r w:rsidR="009531AF" w:rsidRPr="000C675E">
              <w:rPr>
                <w:rFonts w:ascii="Arial Narrow" w:hAnsi="Arial Narrow"/>
                <w:vertAlign w:val="superscript"/>
              </w:rPr>
              <w:t>a</w:t>
            </w:r>
            <w:r w:rsidR="009531AF" w:rsidRPr="000C675E">
              <w:rPr>
                <w:rFonts w:ascii="Arial Narrow" w:hAnsi="Arial Narrow"/>
              </w:rPr>
              <w:t>)</w:t>
            </w:r>
            <w:r w:rsidRPr="000C675E">
              <w:rPr>
                <w:rFonts w:ascii="Arial Narrow" w:hAnsi="Arial Narrow"/>
              </w:rPr>
              <w:t>: Generalised Gamma</w:t>
            </w:r>
          </w:p>
          <w:p w:rsidR="009531AF" w:rsidRPr="000C675E" w:rsidRDefault="00A73470" w:rsidP="009E7910">
            <w:pPr>
              <w:pStyle w:val="Table"/>
              <w:rPr>
                <w:rFonts w:ascii="Arial Narrow" w:hAnsi="Arial Narrow"/>
              </w:rPr>
            </w:pPr>
            <w:r w:rsidRPr="000C675E">
              <w:rPr>
                <w:rFonts w:ascii="Arial Narrow" w:hAnsi="Arial Narrow"/>
              </w:rPr>
              <w:t>AZA: Exponential</w:t>
            </w:r>
          </w:p>
        </w:tc>
        <w:tc>
          <w:tcPr>
            <w:tcW w:w="686" w:type="pct"/>
          </w:tcPr>
          <w:p w:rsidR="00A73470" w:rsidRPr="000C675E" w:rsidRDefault="009531AF" w:rsidP="005F5101">
            <w:pPr>
              <w:pStyle w:val="Table"/>
              <w:jc w:val="center"/>
              <w:rPr>
                <w:rFonts w:ascii="Arial Narrow" w:hAnsi="Arial Narrow"/>
                <w:i/>
              </w:rPr>
            </w:pPr>
            <w:r w:rsidRPr="000C675E">
              <w:rPr>
                <w:rFonts w:ascii="Arial Narrow" w:hAnsi="Arial Narrow"/>
              </w:rPr>
              <w:t>No</w:t>
            </w:r>
          </w:p>
        </w:tc>
      </w:tr>
      <w:tr w:rsidR="00C30F4E" w:rsidRPr="000C675E" w:rsidTr="00C30F4E">
        <w:trPr>
          <w:trHeight w:val="56"/>
        </w:trPr>
        <w:tc>
          <w:tcPr>
            <w:tcW w:w="1438" w:type="pct"/>
          </w:tcPr>
          <w:p w:rsidR="00A73470" w:rsidRPr="000C675E" w:rsidRDefault="00A73470" w:rsidP="009E7910">
            <w:pPr>
              <w:pStyle w:val="Table"/>
              <w:rPr>
                <w:rFonts w:ascii="Arial Narrow" w:hAnsi="Arial Narrow"/>
              </w:rPr>
            </w:pPr>
            <w:r w:rsidRPr="000C675E">
              <w:rPr>
                <w:rFonts w:ascii="Arial Narrow" w:hAnsi="Arial Narrow"/>
              </w:rPr>
              <w:t>Parametric functions used to extrapolate OS time-to-event data</w:t>
            </w:r>
          </w:p>
        </w:tc>
        <w:tc>
          <w:tcPr>
            <w:tcW w:w="1438" w:type="pct"/>
          </w:tcPr>
          <w:p w:rsidR="00A73470" w:rsidRPr="000C675E" w:rsidRDefault="009531AF" w:rsidP="009E7910">
            <w:pPr>
              <w:pStyle w:val="Table"/>
              <w:rPr>
                <w:rFonts w:ascii="Arial Narrow" w:hAnsi="Arial Narrow"/>
              </w:rPr>
            </w:pPr>
            <w:r w:rsidRPr="000C675E">
              <w:rPr>
                <w:rFonts w:ascii="Arial Narrow" w:hAnsi="Arial Narrow"/>
              </w:rPr>
              <w:t>VTX+ AZA (and LoDAC</w:t>
            </w:r>
            <w:r w:rsidRPr="000C675E">
              <w:rPr>
                <w:rFonts w:ascii="Arial Narrow" w:hAnsi="Arial Narrow"/>
                <w:vertAlign w:val="superscript"/>
              </w:rPr>
              <w:t>a</w:t>
            </w:r>
            <w:r w:rsidRPr="000C675E">
              <w:rPr>
                <w:rFonts w:ascii="Arial Narrow" w:hAnsi="Arial Narrow"/>
              </w:rPr>
              <w:t>): Weibull</w:t>
            </w:r>
          </w:p>
          <w:p w:rsidR="009531AF" w:rsidRPr="000C675E" w:rsidRDefault="009531AF" w:rsidP="009E7910">
            <w:pPr>
              <w:pStyle w:val="Table"/>
              <w:rPr>
                <w:rFonts w:ascii="Arial Narrow" w:hAnsi="Arial Narrow"/>
              </w:rPr>
            </w:pPr>
            <w:r w:rsidRPr="000C675E">
              <w:rPr>
                <w:rFonts w:ascii="Arial Narrow" w:hAnsi="Arial Narrow"/>
              </w:rPr>
              <w:t>AZA: Exponential</w:t>
            </w:r>
          </w:p>
          <w:p w:rsidR="009531AF" w:rsidRPr="000C675E" w:rsidRDefault="009531AF" w:rsidP="009E7910">
            <w:pPr>
              <w:pStyle w:val="Table"/>
              <w:rPr>
                <w:rFonts w:ascii="Arial Narrow" w:hAnsi="Arial Narrow"/>
              </w:rPr>
            </w:pPr>
            <w:r w:rsidRPr="000C675E">
              <w:rPr>
                <w:rFonts w:ascii="Arial Narrow" w:hAnsi="Arial Narrow"/>
              </w:rPr>
              <w:t>No adjustment for Australian mortality rate</w:t>
            </w:r>
          </w:p>
        </w:tc>
        <w:tc>
          <w:tcPr>
            <w:tcW w:w="1438" w:type="pct"/>
          </w:tcPr>
          <w:p w:rsidR="00A73470" w:rsidRPr="000C675E" w:rsidRDefault="00A73470" w:rsidP="009E7910">
            <w:pPr>
              <w:pStyle w:val="Table"/>
              <w:rPr>
                <w:rFonts w:ascii="Arial Narrow" w:hAnsi="Arial Narrow"/>
              </w:rPr>
            </w:pPr>
            <w:r w:rsidRPr="000C675E">
              <w:rPr>
                <w:rFonts w:ascii="Arial Narrow" w:hAnsi="Arial Narrow"/>
              </w:rPr>
              <w:t>VTX+AZA</w:t>
            </w:r>
            <w:r w:rsidR="009531AF" w:rsidRPr="000C675E">
              <w:rPr>
                <w:rFonts w:ascii="Arial Narrow" w:hAnsi="Arial Narrow"/>
              </w:rPr>
              <w:t xml:space="preserve"> (and LoDAC</w:t>
            </w:r>
            <w:r w:rsidR="009531AF" w:rsidRPr="000C675E">
              <w:rPr>
                <w:rFonts w:ascii="Arial Narrow" w:hAnsi="Arial Narrow"/>
                <w:vertAlign w:val="superscript"/>
              </w:rPr>
              <w:t>a</w:t>
            </w:r>
            <w:r w:rsidR="009531AF" w:rsidRPr="000C675E">
              <w:rPr>
                <w:rFonts w:ascii="Arial Narrow" w:hAnsi="Arial Narrow"/>
              </w:rPr>
              <w:t>)</w:t>
            </w:r>
            <w:r w:rsidRPr="000C675E">
              <w:rPr>
                <w:rFonts w:ascii="Arial Narrow" w:hAnsi="Arial Narrow"/>
              </w:rPr>
              <w:t>: Lognormal</w:t>
            </w:r>
          </w:p>
          <w:p w:rsidR="00A73470" w:rsidRPr="000C675E" w:rsidRDefault="00A73470" w:rsidP="009E7910">
            <w:pPr>
              <w:pStyle w:val="Table"/>
              <w:rPr>
                <w:rFonts w:ascii="Arial Narrow" w:hAnsi="Arial Narrow"/>
              </w:rPr>
            </w:pPr>
            <w:r w:rsidRPr="000C675E">
              <w:rPr>
                <w:rFonts w:ascii="Arial Narrow" w:hAnsi="Arial Narrow"/>
              </w:rPr>
              <w:t>AZA: Exponential</w:t>
            </w:r>
          </w:p>
          <w:p w:rsidR="00A73470" w:rsidRPr="000C675E" w:rsidRDefault="009531AF" w:rsidP="009E7910">
            <w:pPr>
              <w:pStyle w:val="Table"/>
              <w:rPr>
                <w:rFonts w:ascii="Arial Narrow" w:hAnsi="Arial Narrow"/>
              </w:rPr>
            </w:pPr>
            <w:r w:rsidRPr="000C675E">
              <w:rPr>
                <w:rFonts w:ascii="Arial Narrow" w:hAnsi="Arial Narrow"/>
              </w:rPr>
              <w:t>No adjustment for Australian mortality rate</w:t>
            </w:r>
          </w:p>
        </w:tc>
        <w:tc>
          <w:tcPr>
            <w:tcW w:w="686" w:type="pct"/>
          </w:tcPr>
          <w:p w:rsidR="00A73470" w:rsidRPr="000C675E" w:rsidRDefault="009531AF" w:rsidP="005F5101">
            <w:pPr>
              <w:pStyle w:val="Table"/>
              <w:jc w:val="center"/>
              <w:rPr>
                <w:rFonts w:ascii="Arial Narrow" w:hAnsi="Arial Narrow"/>
              </w:rPr>
            </w:pPr>
            <w:r w:rsidRPr="000C675E">
              <w:rPr>
                <w:rFonts w:ascii="Arial Narrow" w:hAnsi="Arial Narrow"/>
              </w:rPr>
              <w:t>No</w:t>
            </w:r>
          </w:p>
        </w:tc>
      </w:tr>
      <w:tr w:rsidR="00C30F4E" w:rsidRPr="000C675E" w:rsidTr="00C30F4E">
        <w:trPr>
          <w:trHeight w:val="56"/>
        </w:trPr>
        <w:tc>
          <w:tcPr>
            <w:tcW w:w="1438" w:type="pct"/>
          </w:tcPr>
          <w:p w:rsidR="00A73470" w:rsidRPr="000C675E" w:rsidRDefault="00A73470" w:rsidP="009E7910">
            <w:pPr>
              <w:pStyle w:val="Table"/>
              <w:rPr>
                <w:rFonts w:ascii="Arial Narrow" w:hAnsi="Arial Narrow"/>
              </w:rPr>
            </w:pPr>
            <w:r w:rsidRPr="000C675E">
              <w:rPr>
                <w:rFonts w:ascii="Arial Narrow" w:hAnsi="Arial Narrow"/>
              </w:rPr>
              <w:t>Vials of AZA per infusion</w:t>
            </w:r>
          </w:p>
        </w:tc>
        <w:tc>
          <w:tcPr>
            <w:tcW w:w="1438" w:type="pct"/>
          </w:tcPr>
          <w:p w:rsidR="00A73470" w:rsidRPr="000C675E" w:rsidRDefault="00A73470" w:rsidP="009E7910">
            <w:pPr>
              <w:pStyle w:val="Table"/>
              <w:rPr>
                <w:rFonts w:ascii="Arial Narrow" w:hAnsi="Arial Narrow"/>
              </w:rPr>
            </w:pPr>
            <w:r w:rsidRPr="000C675E">
              <w:rPr>
                <w:rFonts w:ascii="Arial Narrow" w:hAnsi="Arial Narrow"/>
              </w:rPr>
              <w:t>1</w:t>
            </w:r>
            <w:r w:rsidR="009531AF" w:rsidRPr="000C675E">
              <w:rPr>
                <w:rFonts w:ascii="Arial Narrow" w:hAnsi="Arial Narrow"/>
              </w:rPr>
              <w:t>.9</w:t>
            </w:r>
            <w:r w:rsidRPr="000C675E">
              <w:rPr>
                <w:rFonts w:ascii="Arial Narrow" w:hAnsi="Arial Narrow"/>
              </w:rPr>
              <w:t xml:space="preserve"> vial</w:t>
            </w:r>
            <w:r w:rsidR="009531AF" w:rsidRPr="000C675E">
              <w:rPr>
                <w:rFonts w:ascii="Arial Narrow" w:hAnsi="Arial Narrow"/>
              </w:rPr>
              <w:t>s for VTX+AZA and</w:t>
            </w:r>
            <w:r w:rsidRPr="000C675E">
              <w:rPr>
                <w:rFonts w:ascii="Arial Narrow" w:hAnsi="Arial Narrow"/>
              </w:rPr>
              <w:t xml:space="preserve"> AZA monotherapy</w:t>
            </w:r>
          </w:p>
        </w:tc>
        <w:tc>
          <w:tcPr>
            <w:tcW w:w="1438" w:type="pct"/>
          </w:tcPr>
          <w:p w:rsidR="00A73470" w:rsidRPr="000C675E" w:rsidRDefault="009531AF" w:rsidP="009E7910">
            <w:pPr>
              <w:pStyle w:val="Table"/>
              <w:rPr>
                <w:rFonts w:ascii="Arial Narrow" w:hAnsi="Arial Narrow"/>
              </w:rPr>
            </w:pPr>
            <w:r w:rsidRPr="000C675E">
              <w:rPr>
                <w:rFonts w:ascii="Arial Narrow" w:hAnsi="Arial Narrow"/>
              </w:rPr>
              <w:t>1.9 vials for VTX+AZA and AZA monotherapy</w:t>
            </w:r>
          </w:p>
        </w:tc>
        <w:tc>
          <w:tcPr>
            <w:tcW w:w="686" w:type="pct"/>
          </w:tcPr>
          <w:p w:rsidR="00A73470" w:rsidRPr="000C675E" w:rsidRDefault="00D74813" w:rsidP="005F5101">
            <w:pPr>
              <w:pStyle w:val="Table"/>
              <w:jc w:val="center"/>
              <w:rPr>
                <w:rFonts w:ascii="Arial Narrow" w:hAnsi="Arial Narrow"/>
              </w:rPr>
            </w:pPr>
            <w:r w:rsidRPr="000C675E">
              <w:rPr>
                <w:rFonts w:ascii="Arial Narrow" w:hAnsi="Arial Narrow"/>
              </w:rPr>
              <w:t>Yes</w:t>
            </w:r>
          </w:p>
        </w:tc>
      </w:tr>
      <w:tr w:rsidR="00C30F4E" w:rsidRPr="000C675E" w:rsidTr="00C30F4E">
        <w:tc>
          <w:tcPr>
            <w:tcW w:w="1438" w:type="pct"/>
          </w:tcPr>
          <w:p w:rsidR="00A73470" w:rsidRPr="000C675E" w:rsidRDefault="00A73470" w:rsidP="009E7910">
            <w:pPr>
              <w:pStyle w:val="Table"/>
              <w:rPr>
                <w:rFonts w:ascii="Arial Narrow" w:hAnsi="Arial Narrow"/>
              </w:rPr>
            </w:pPr>
            <w:r w:rsidRPr="000C675E">
              <w:rPr>
                <w:rFonts w:ascii="Arial Narrow" w:hAnsi="Arial Narrow"/>
              </w:rPr>
              <w:t>Percentages used in weighted ICER</w:t>
            </w:r>
          </w:p>
        </w:tc>
        <w:tc>
          <w:tcPr>
            <w:tcW w:w="1438" w:type="pct"/>
          </w:tcPr>
          <w:p w:rsidR="00D74813" w:rsidRPr="000C675E" w:rsidRDefault="00C30F4E" w:rsidP="009E7910">
            <w:pPr>
              <w:pStyle w:val="Table"/>
              <w:rPr>
                <w:rFonts w:ascii="Arial Narrow" w:hAnsi="Arial Narrow"/>
              </w:rPr>
            </w:pPr>
            <w:r w:rsidRPr="000C675E">
              <w:rPr>
                <w:rFonts w:ascii="Arial Narrow" w:hAnsi="Arial Narrow"/>
                <w:bCs/>
              </w:rPr>
              <w:t>ICER weighted towards the LoDAC comparison</w:t>
            </w:r>
          </w:p>
        </w:tc>
        <w:tc>
          <w:tcPr>
            <w:tcW w:w="1438" w:type="pct"/>
          </w:tcPr>
          <w:p w:rsidR="00A73470" w:rsidRPr="000C675E" w:rsidRDefault="00C30F4E" w:rsidP="009E7910">
            <w:pPr>
              <w:pStyle w:val="Table"/>
              <w:rPr>
                <w:rFonts w:ascii="Arial Narrow" w:hAnsi="Arial Narrow"/>
              </w:rPr>
            </w:pPr>
            <w:r w:rsidRPr="000C675E">
              <w:rPr>
                <w:rFonts w:ascii="Arial Narrow" w:hAnsi="Arial Narrow"/>
              </w:rPr>
              <w:t xml:space="preserve">55.6% for </w:t>
            </w:r>
            <w:r w:rsidR="006E0AB6" w:rsidRPr="000C675E">
              <w:rPr>
                <w:rFonts w:ascii="Arial Narrow" w:hAnsi="Arial Narrow"/>
              </w:rPr>
              <w:t>AZA</w:t>
            </w:r>
            <w:r w:rsidRPr="000C675E">
              <w:rPr>
                <w:rFonts w:ascii="Arial Narrow" w:hAnsi="Arial Narrow"/>
              </w:rPr>
              <w:t xml:space="preserve">, 44.4% for </w:t>
            </w:r>
            <w:r w:rsidR="006E0AB6" w:rsidRPr="000C675E">
              <w:rPr>
                <w:rFonts w:ascii="Arial Narrow" w:hAnsi="Arial Narrow"/>
              </w:rPr>
              <w:t>LoDAC</w:t>
            </w:r>
            <w:r w:rsidRPr="000C675E">
              <w:rPr>
                <w:rFonts w:ascii="Arial Narrow" w:hAnsi="Arial Narrow"/>
              </w:rPr>
              <w:t xml:space="preserve"> </w:t>
            </w:r>
          </w:p>
        </w:tc>
        <w:tc>
          <w:tcPr>
            <w:tcW w:w="686" w:type="pct"/>
          </w:tcPr>
          <w:p w:rsidR="00A73470" w:rsidRPr="000C675E" w:rsidRDefault="00C30F4E" w:rsidP="005F5101">
            <w:pPr>
              <w:pStyle w:val="Table"/>
              <w:jc w:val="center"/>
              <w:rPr>
                <w:rFonts w:ascii="Arial Narrow" w:hAnsi="Arial Narrow"/>
              </w:rPr>
            </w:pPr>
            <w:r w:rsidRPr="000C675E">
              <w:rPr>
                <w:rFonts w:ascii="Arial Narrow" w:hAnsi="Arial Narrow"/>
              </w:rPr>
              <w:t>No</w:t>
            </w:r>
          </w:p>
        </w:tc>
      </w:tr>
      <w:tr w:rsidR="00EF5EDE" w:rsidRPr="000C675E" w:rsidTr="00C30F4E">
        <w:tc>
          <w:tcPr>
            <w:tcW w:w="1438" w:type="pct"/>
          </w:tcPr>
          <w:p w:rsidR="00EF5EDE" w:rsidRPr="000C675E" w:rsidRDefault="00EF5EDE" w:rsidP="009E7910">
            <w:pPr>
              <w:pStyle w:val="Table"/>
              <w:rPr>
                <w:rFonts w:ascii="Arial Narrow" w:hAnsi="Arial Narrow"/>
              </w:rPr>
            </w:pPr>
            <w:r w:rsidRPr="000C675E">
              <w:rPr>
                <w:rFonts w:ascii="Arial Narrow" w:hAnsi="Arial Narrow"/>
              </w:rPr>
              <w:t>Effective ex-manufacturer price of VTX</w:t>
            </w:r>
          </w:p>
        </w:tc>
        <w:tc>
          <w:tcPr>
            <w:tcW w:w="1438" w:type="pct"/>
          </w:tcPr>
          <w:p w:rsidR="00EF5EDE" w:rsidRPr="000C675E" w:rsidRDefault="00A454D6" w:rsidP="009E7910">
            <w:pPr>
              <w:pStyle w:val="Table"/>
              <w:rPr>
                <w:rFonts w:ascii="Arial Narrow" w:hAnsi="Arial Narrow"/>
              </w:rPr>
            </w:pPr>
            <w:r w:rsidRPr="000C675E">
              <w:rPr>
                <w:rFonts w:ascii="Arial Narrow" w:hAnsi="Arial Narrow"/>
              </w:rPr>
              <w:t>Price reduction to achieve an ICER of approximately $</w:t>
            </w:r>
            <w:r w:rsidR="00777702">
              <w:rPr>
                <w:rFonts w:ascii="Arial Narrow" w:hAnsi="Arial Narrow"/>
                <w:noProof/>
                <w:color w:val="000000"/>
                <w:highlight w:val="black"/>
              </w:rPr>
              <w:t>'''''''''''''''</w:t>
            </w:r>
            <w:r w:rsidR="00F51C6B" w:rsidRPr="00B911EB">
              <w:rPr>
                <w:rFonts w:ascii="Arial Narrow" w:hAnsi="Arial Narrow"/>
                <w:vertAlign w:val="superscript"/>
              </w:rPr>
              <w:t>1</w:t>
            </w:r>
            <w:r w:rsidRPr="000C675E">
              <w:rPr>
                <w:rFonts w:ascii="Arial Narrow" w:hAnsi="Arial Narrow"/>
              </w:rPr>
              <w:t>/QALY</w:t>
            </w:r>
          </w:p>
        </w:tc>
        <w:tc>
          <w:tcPr>
            <w:tcW w:w="1438" w:type="pct"/>
          </w:tcPr>
          <w:p w:rsidR="00EF5EDE" w:rsidRPr="000C675E" w:rsidRDefault="00A454D6" w:rsidP="009E7910">
            <w:pPr>
              <w:pStyle w:val="Table"/>
              <w:rPr>
                <w:rFonts w:ascii="Arial Narrow" w:hAnsi="Arial Narrow"/>
              </w:rPr>
            </w:pPr>
            <w:r w:rsidRPr="000C675E">
              <w:rPr>
                <w:rFonts w:ascii="Arial Narrow" w:hAnsi="Arial Narrow"/>
              </w:rPr>
              <w:t>Reduced from $</w:t>
            </w:r>
            <w:r w:rsidR="00777702">
              <w:rPr>
                <w:rFonts w:ascii="Arial Narrow" w:hAnsi="Arial Narrow"/>
                <w:noProof/>
                <w:color w:val="000000"/>
                <w:highlight w:val="black"/>
              </w:rPr>
              <w:t>''''''''''''''''''''</w:t>
            </w:r>
            <w:r w:rsidRPr="000C675E">
              <w:rPr>
                <w:rFonts w:ascii="Arial Narrow" w:hAnsi="Arial Narrow"/>
              </w:rPr>
              <w:t xml:space="preserve"> to </w:t>
            </w:r>
            <w:r w:rsidR="00EF5EDE" w:rsidRPr="000C675E">
              <w:rPr>
                <w:rFonts w:ascii="Arial Narrow" w:hAnsi="Arial Narrow"/>
              </w:rPr>
              <w:t>$</w:t>
            </w:r>
            <w:r w:rsidR="00777702">
              <w:rPr>
                <w:rFonts w:ascii="Arial Narrow" w:hAnsi="Arial Narrow"/>
                <w:noProof/>
                <w:color w:val="000000"/>
                <w:highlight w:val="black"/>
              </w:rPr>
              <w:t>'''''''''''''''''''</w:t>
            </w:r>
            <w:r w:rsidR="00EF5EDE" w:rsidRPr="000C675E">
              <w:rPr>
                <w:rFonts w:ascii="Arial Narrow" w:hAnsi="Arial Narrow"/>
              </w:rPr>
              <w:t xml:space="preserve"> </w:t>
            </w:r>
          </w:p>
        </w:tc>
        <w:tc>
          <w:tcPr>
            <w:tcW w:w="686" w:type="pct"/>
          </w:tcPr>
          <w:p w:rsidR="00EF5EDE" w:rsidRPr="000C675E" w:rsidRDefault="00A454D6" w:rsidP="005F5101">
            <w:pPr>
              <w:pStyle w:val="Table"/>
              <w:jc w:val="center"/>
              <w:rPr>
                <w:rFonts w:ascii="Arial Narrow" w:hAnsi="Arial Narrow"/>
              </w:rPr>
            </w:pPr>
            <w:r w:rsidRPr="000C675E">
              <w:rPr>
                <w:rFonts w:ascii="Arial Narrow" w:hAnsi="Arial Narrow"/>
              </w:rPr>
              <w:t>No, for PBAC scenario</w:t>
            </w:r>
          </w:p>
        </w:tc>
      </w:tr>
    </w:tbl>
    <w:p w:rsidR="006C0FBF" w:rsidRPr="000C675E" w:rsidRDefault="006C0FBF" w:rsidP="009E7910">
      <w:pPr>
        <w:pStyle w:val="TableFigureFooter"/>
        <w:keepNext/>
        <w:keepLines/>
        <w:spacing w:after="0"/>
      </w:pPr>
      <w:r w:rsidRPr="000C675E">
        <w:t xml:space="preserve">Source: </w:t>
      </w:r>
      <w:r w:rsidR="00BC4CB7" w:rsidRPr="000C675E">
        <w:t xml:space="preserve">para 7.13, </w:t>
      </w:r>
      <w:r w:rsidRPr="000C675E">
        <w:t>VTX</w:t>
      </w:r>
      <w:r w:rsidR="00BC4CB7" w:rsidRPr="000C675E">
        <w:t>,</w:t>
      </w:r>
      <w:r w:rsidRPr="000C675E">
        <w:t xml:space="preserve"> PBAC </w:t>
      </w:r>
      <w:r w:rsidR="002A660D">
        <w:t>Public Summary Document</w:t>
      </w:r>
      <w:r w:rsidRPr="000C675E">
        <w:t>, March 2021</w:t>
      </w:r>
      <w:r w:rsidR="00BC4CB7" w:rsidRPr="000C675E">
        <w:t xml:space="preserve"> PBAC meeting</w:t>
      </w:r>
      <w:r w:rsidRPr="000C675E">
        <w:t>; Table 9 of the July 2021 resubmission.</w:t>
      </w:r>
    </w:p>
    <w:p w:rsidR="00BC4CB7" w:rsidRPr="000C675E" w:rsidRDefault="00BC4CB7" w:rsidP="009E7910">
      <w:pPr>
        <w:pStyle w:val="TableFigureFooter"/>
        <w:keepNext/>
        <w:keepLines/>
        <w:spacing w:after="0"/>
      </w:pPr>
      <w:r w:rsidRPr="000C675E">
        <w:t>AZA = azacitidine, EFS = event-free survival, ICER = incremental cost-effectiveness ratio, LoDAC = low-dose cytarabine, OS = overall survival, VTX = venetoclax.</w:t>
      </w:r>
    </w:p>
    <w:p w:rsidR="00A73470" w:rsidRDefault="00FB4323" w:rsidP="00B911EB">
      <w:pPr>
        <w:pStyle w:val="Body"/>
        <w:keepNext/>
        <w:keepLines/>
        <w:spacing w:after="0" w:line="240" w:lineRule="auto"/>
        <w:rPr>
          <w:rFonts w:ascii="Arial Narrow" w:hAnsi="Arial Narrow"/>
          <w:sz w:val="18"/>
          <w:szCs w:val="18"/>
        </w:rPr>
      </w:pPr>
      <w:r w:rsidRPr="000C675E">
        <w:rPr>
          <w:rFonts w:ascii="Arial Narrow" w:hAnsi="Arial Narrow"/>
          <w:sz w:val="18"/>
          <w:szCs w:val="18"/>
        </w:rPr>
        <w:t>a</w:t>
      </w:r>
      <w:r w:rsidR="009531AF" w:rsidRPr="000C675E">
        <w:rPr>
          <w:rFonts w:ascii="Arial Narrow" w:hAnsi="Arial Narrow"/>
          <w:sz w:val="18"/>
          <w:szCs w:val="18"/>
        </w:rPr>
        <w:t xml:space="preserve"> LoDAC is modelled by applying a HR to the VTX+AZA curve and therefore follows the same functional form</w:t>
      </w:r>
      <w:r w:rsidR="006C0FBF" w:rsidRPr="000C675E">
        <w:rPr>
          <w:rFonts w:ascii="Arial Narrow" w:hAnsi="Arial Narrow"/>
          <w:sz w:val="18"/>
          <w:szCs w:val="18"/>
        </w:rPr>
        <w:t xml:space="preserve"> as for VTX+AZA</w:t>
      </w:r>
    </w:p>
    <w:p w:rsidR="00F51C6B" w:rsidRPr="009A6D58" w:rsidRDefault="00F51C6B" w:rsidP="00F51C6B">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rsidR="00F51C6B" w:rsidRPr="00B911EB" w:rsidRDefault="00F51C6B" w:rsidP="00B911EB">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6C737F">
        <w:rPr>
          <w:rFonts w:ascii="Arial Narrow" w:hAnsi="Arial Narrow" w:cs="Arial"/>
          <w:i/>
          <w:sz w:val="18"/>
          <w:szCs w:val="18"/>
        </w:rPr>
        <w:t>$75,000 to &lt; $95,000</w:t>
      </w:r>
    </w:p>
    <w:p w:rsidR="00FB4323" w:rsidRPr="000C675E" w:rsidRDefault="00FB4323" w:rsidP="009E7910">
      <w:pPr>
        <w:pStyle w:val="3-SubsectionHeading"/>
      </w:pPr>
      <w:r w:rsidRPr="000C675E">
        <w:t>Extrapolation of time to event data</w:t>
      </w:r>
    </w:p>
    <w:p w:rsidR="00EE04A7" w:rsidRPr="000C675E" w:rsidRDefault="00CA6B44" w:rsidP="009E7910">
      <w:pPr>
        <w:pStyle w:val="3-BodyText"/>
      </w:pPr>
      <w:r w:rsidRPr="000C675E">
        <w:t xml:space="preserve">At its March </w:t>
      </w:r>
      <w:r w:rsidR="00BC4CB7" w:rsidRPr="000C675E">
        <w:t>20</w:t>
      </w:r>
      <w:r w:rsidRPr="000C675E">
        <w:t>21 meeting, the PBAC noted</w:t>
      </w:r>
      <w:r w:rsidR="00EE04A7" w:rsidRPr="000C675E">
        <w:t xml:space="preserve"> (</w:t>
      </w:r>
      <w:r w:rsidR="00BC4CB7" w:rsidRPr="000C675E">
        <w:t>para</w:t>
      </w:r>
      <w:r w:rsidR="00822491" w:rsidRPr="000C675E">
        <w:t>graph</w:t>
      </w:r>
      <w:r w:rsidR="00BC4CB7" w:rsidRPr="000C675E">
        <w:t xml:space="preserve"> 6.71</w:t>
      </w:r>
      <w:r w:rsidR="00822491" w:rsidRPr="000C675E">
        <w:t xml:space="preserve"> and Table 12, </w:t>
      </w:r>
      <w:r w:rsidR="00EE04A7" w:rsidRPr="000C675E">
        <w:t xml:space="preserve">PBAC </w:t>
      </w:r>
      <w:r w:rsidR="002A660D">
        <w:t>PSD</w:t>
      </w:r>
      <w:r w:rsidR="00822491" w:rsidRPr="000C675E">
        <w:t>)</w:t>
      </w:r>
      <w:r w:rsidR="00EE04A7" w:rsidRPr="000C675E">
        <w:t>:</w:t>
      </w:r>
    </w:p>
    <w:p w:rsidR="00EE04A7" w:rsidRPr="000C675E" w:rsidRDefault="00EE04A7" w:rsidP="001255EC">
      <w:pPr>
        <w:pStyle w:val="3-BodyText"/>
        <w:numPr>
          <w:ilvl w:val="0"/>
          <w:numId w:val="3"/>
        </w:numPr>
      </w:pPr>
      <w:r w:rsidRPr="000C675E">
        <w:t xml:space="preserve">the lognormal function was selected to extrapolate </w:t>
      </w:r>
      <w:r w:rsidR="006D3E5D" w:rsidRPr="000C675E">
        <w:t>OS</w:t>
      </w:r>
      <w:r w:rsidRPr="000C675E">
        <w:t xml:space="preserve"> beyond the duration of the key trials and that this resulted in per cycle mortality rates that were lower than Australian general population mortality estimates (for a cohort of patients aged 75-79 years); and</w:t>
      </w:r>
    </w:p>
    <w:p w:rsidR="00CA6B44" w:rsidRPr="000C675E" w:rsidRDefault="00EE04A7" w:rsidP="001255EC">
      <w:pPr>
        <w:pStyle w:val="3-BodyText"/>
        <w:numPr>
          <w:ilvl w:val="0"/>
          <w:numId w:val="3"/>
        </w:numPr>
      </w:pPr>
      <w:r w:rsidRPr="000C675E">
        <w:t xml:space="preserve">the extrapolated </w:t>
      </w:r>
      <w:r w:rsidR="006D3E5D" w:rsidRPr="000C675E">
        <w:t xml:space="preserve">OS </w:t>
      </w:r>
      <w:r w:rsidRPr="000C675E">
        <w:t xml:space="preserve">and </w:t>
      </w:r>
      <w:r w:rsidR="006D3E5D" w:rsidRPr="000C675E">
        <w:t>EFS</w:t>
      </w:r>
      <w:r w:rsidRPr="000C675E">
        <w:t xml:space="preserve"> curves suggest</w:t>
      </w:r>
      <w:r w:rsidR="00822491" w:rsidRPr="000C675E">
        <w:t>ed</w:t>
      </w:r>
      <w:r w:rsidRPr="000C675E">
        <w:t xml:space="preserve"> a relatively long duration in the post-event state which may not be reasonable as the time between treatment failure, progression and death is generally very short in AML patients.</w:t>
      </w:r>
    </w:p>
    <w:p w:rsidR="00B9250A" w:rsidRPr="000C675E" w:rsidRDefault="00B9250A" w:rsidP="009E7910">
      <w:pPr>
        <w:pStyle w:val="3-BodyText"/>
      </w:pPr>
      <w:r w:rsidRPr="000C675E">
        <w:rPr>
          <w:bCs/>
        </w:rPr>
        <w:t>The PBAC considered that the base</w:t>
      </w:r>
      <w:r w:rsidR="00822491" w:rsidRPr="000C675E">
        <w:rPr>
          <w:bCs/>
        </w:rPr>
        <w:t>-</w:t>
      </w:r>
      <w:r w:rsidRPr="000C675E">
        <w:rPr>
          <w:bCs/>
        </w:rPr>
        <w:t xml:space="preserve">case ICER should be informed by </w:t>
      </w:r>
      <w:r w:rsidRPr="000C675E">
        <w:t xml:space="preserve">more conservative extrapolations </w:t>
      </w:r>
      <w:r w:rsidR="00226E5A" w:rsidRPr="000C675E">
        <w:t xml:space="preserve">(see </w:t>
      </w:r>
      <w:r w:rsidR="003A5046" w:rsidRPr="000C675E">
        <w:t xml:space="preserve">Table </w:t>
      </w:r>
      <w:r w:rsidR="003A5046" w:rsidRPr="005F5101">
        <w:t>3</w:t>
      </w:r>
      <w:r w:rsidR="00226E5A" w:rsidRPr="000C675E">
        <w:t xml:space="preserve"> for parameters</w:t>
      </w:r>
      <w:r w:rsidRPr="000C675E">
        <w:t xml:space="preserve">) and a 10-year time horizon in view of the inherent uncertainty associated with the </w:t>
      </w:r>
      <w:r w:rsidR="00226E5A" w:rsidRPr="0075328D">
        <w:t>indirect treatment comparison</w:t>
      </w:r>
      <w:r w:rsidRPr="000C675E">
        <w:t xml:space="preserve"> versus LoDAC, as well as the other unaddressed issues with the model (i.e. costings and utilities) (</w:t>
      </w:r>
      <w:r w:rsidR="00822491" w:rsidRPr="000C675E">
        <w:t xml:space="preserve">paragraph 7.11, </w:t>
      </w:r>
      <w:r w:rsidRPr="000C675E">
        <w:t xml:space="preserve">PBAC </w:t>
      </w:r>
      <w:r w:rsidR="002A660D">
        <w:t>PSD</w:t>
      </w:r>
      <w:r w:rsidRPr="000C675E">
        <w:t xml:space="preserve">, </w:t>
      </w:r>
      <w:r w:rsidR="00226E5A" w:rsidRPr="000C675E">
        <w:t xml:space="preserve">March </w:t>
      </w:r>
      <w:r w:rsidR="00822491" w:rsidRPr="000C675E">
        <w:t>20</w:t>
      </w:r>
      <w:r w:rsidR="00226E5A" w:rsidRPr="000C675E">
        <w:t>21</w:t>
      </w:r>
      <w:r w:rsidR="00822491" w:rsidRPr="000C675E">
        <w:t xml:space="preserve"> PBAC meeting</w:t>
      </w:r>
      <w:r w:rsidRPr="000C675E">
        <w:t>).</w:t>
      </w:r>
      <w:r w:rsidRPr="000C675E">
        <w:rPr>
          <w:bCs/>
        </w:rPr>
        <w:t xml:space="preserve"> </w:t>
      </w:r>
    </w:p>
    <w:p w:rsidR="00B9250A" w:rsidRPr="000C675E" w:rsidRDefault="00B9250A" w:rsidP="009E7910">
      <w:pPr>
        <w:pStyle w:val="3-BodyText"/>
      </w:pPr>
      <w:r w:rsidRPr="000C675E">
        <w:t>The resubmission argue</w:t>
      </w:r>
      <w:r w:rsidR="00687EAE" w:rsidRPr="000C675E">
        <w:t>d</w:t>
      </w:r>
      <w:r w:rsidRPr="000C675E">
        <w:t xml:space="preserve"> that the requirement to use both a 10-year horizon and more conservative extrapolations double count</w:t>
      </w:r>
      <w:r w:rsidR="00822491" w:rsidRPr="000C675E">
        <w:t>ed</w:t>
      </w:r>
      <w:r w:rsidRPr="000C675E">
        <w:t xml:space="preserve"> the correction in th</w:t>
      </w:r>
      <w:r w:rsidR="007B7F96" w:rsidRPr="000C675E">
        <w:t>e long-term mortality rate. It wa</w:t>
      </w:r>
      <w:r w:rsidRPr="000C675E">
        <w:t xml:space="preserve">s </w:t>
      </w:r>
      <w:r w:rsidR="000D09DA" w:rsidRPr="000C675E">
        <w:t xml:space="preserve">noted when extrapolating OS using the loglogistic, lognormal and generalised gamma functions </w:t>
      </w:r>
      <w:r w:rsidRPr="000C675E">
        <w:t xml:space="preserve">that the mortality rate </w:t>
      </w:r>
      <w:r w:rsidR="00B85274" w:rsidRPr="000C675E">
        <w:t xml:space="preserve">was </w:t>
      </w:r>
      <w:r w:rsidRPr="000C675E">
        <w:t xml:space="preserve">only lower than the general population </w:t>
      </w:r>
      <w:r w:rsidR="00F050AE" w:rsidRPr="000C675E">
        <w:t xml:space="preserve">rate </w:t>
      </w:r>
      <w:r w:rsidRPr="000C675E">
        <w:t>from Year 11 onwards</w:t>
      </w:r>
      <w:r w:rsidR="00F050AE" w:rsidRPr="000C675E">
        <w:t>, and this</w:t>
      </w:r>
      <w:r w:rsidR="000D09DA" w:rsidRPr="000C675E">
        <w:t xml:space="preserve"> </w:t>
      </w:r>
      <w:r w:rsidR="00B85274" w:rsidRPr="000C675E">
        <w:t xml:space="preserve">was </w:t>
      </w:r>
      <w:r w:rsidR="000D09DA" w:rsidRPr="000C675E">
        <w:t>beyond the 10</w:t>
      </w:r>
      <w:r w:rsidR="00822491" w:rsidRPr="000C675E">
        <w:t>-</w:t>
      </w:r>
      <w:r w:rsidR="000D09DA" w:rsidRPr="000C675E">
        <w:t>year model time horizon</w:t>
      </w:r>
      <w:r w:rsidRPr="000C675E">
        <w:t xml:space="preserve">. </w:t>
      </w:r>
      <w:r w:rsidR="000D09DA" w:rsidRPr="000C675E">
        <w:t>With use of the Weibull function</w:t>
      </w:r>
      <w:r w:rsidR="009C2F96" w:rsidRPr="000C675E">
        <w:t>,</w:t>
      </w:r>
      <w:r w:rsidR="000D09DA" w:rsidRPr="000C675E">
        <w:t xml:space="preserve"> as advised by the PBAC</w:t>
      </w:r>
      <w:r w:rsidR="009C2F96" w:rsidRPr="000C675E">
        <w:t>,</w:t>
      </w:r>
      <w:r w:rsidR="000D09DA" w:rsidRPr="000C675E">
        <w:t xml:space="preserve"> the mortality </w:t>
      </w:r>
      <w:r w:rsidR="00B23066" w:rsidRPr="000C675E">
        <w:t>rate remain</w:t>
      </w:r>
      <w:r w:rsidR="00822491" w:rsidRPr="000C675E">
        <w:t>ed</w:t>
      </w:r>
      <w:r w:rsidR="00B23066" w:rsidRPr="000C675E">
        <w:t xml:space="preserve"> above that for the general population for more than 20 years.</w:t>
      </w:r>
    </w:p>
    <w:p w:rsidR="00A1554B" w:rsidRPr="000C675E" w:rsidRDefault="00B23066" w:rsidP="009E7910">
      <w:pPr>
        <w:pStyle w:val="3-BodyText"/>
      </w:pPr>
      <w:r w:rsidRPr="000C675E">
        <w:t>In the resubmission</w:t>
      </w:r>
      <w:r w:rsidR="006D3E5D" w:rsidRPr="000C675E">
        <w:t>,</w:t>
      </w:r>
      <w:r w:rsidRPr="000C675E">
        <w:t xml:space="preserve"> the choice of the </w:t>
      </w:r>
      <w:r w:rsidR="000D09DA" w:rsidRPr="000C675E">
        <w:t>parametric extrapolation</w:t>
      </w:r>
      <w:r w:rsidRPr="000C675E">
        <w:t xml:space="preserve"> function </w:t>
      </w:r>
      <w:r w:rsidR="00226E5A" w:rsidRPr="000C675E">
        <w:t>was</w:t>
      </w:r>
      <w:r w:rsidRPr="000C675E">
        <w:t xml:space="preserve"> based on </w:t>
      </w:r>
      <w:r w:rsidR="000D09DA" w:rsidRPr="000C675E">
        <w:t>best fit as assessed by visual inspection and Akaike’s information criterion</w:t>
      </w:r>
      <w:r w:rsidR="00814FBC" w:rsidRPr="000C675E">
        <w:t xml:space="preserve"> (AIC)</w:t>
      </w:r>
      <w:r w:rsidR="00A1554B" w:rsidRPr="000C675E">
        <w:t>:</w:t>
      </w:r>
      <w:r w:rsidR="000D09DA" w:rsidRPr="000C675E">
        <w:t xml:space="preserve"> </w:t>
      </w:r>
    </w:p>
    <w:p w:rsidR="006029E2" w:rsidRPr="000C675E" w:rsidRDefault="007B7F96" w:rsidP="001255EC">
      <w:pPr>
        <w:pStyle w:val="3-BodyText"/>
        <w:numPr>
          <w:ilvl w:val="0"/>
          <w:numId w:val="4"/>
        </w:numPr>
      </w:pPr>
      <w:r w:rsidRPr="000C675E">
        <w:t>OS</w:t>
      </w:r>
      <w:r w:rsidR="006029E2" w:rsidRPr="000C675E">
        <w:t xml:space="preserve"> VTX+AZA and LoDAC</w:t>
      </w:r>
      <w:r w:rsidR="00A1554B" w:rsidRPr="000C675E">
        <w:t xml:space="preserve">: </w:t>
      </w:r>
      <w:r w:rsidR="00814FBC" w:rsidRPr="000C675E">
        <w:t xml:space="preserve">The best fit </w:t>
      </w:r>
      <w:r w:rsidR="00A1554B" w:rsidRPr="000C675E">
        <w:t>wa</w:t>
      </w:r>
      <w:r w:rsidR="00814FBC" w:rsidRPr="000C675E">
        <w:t xml:space="preserve">s the </w:t>
      </w:r>
      <w:r w:rsidR="001255E7" w:rsidRPr="000C675E">
        <w:t>lognormal function. The Weibull function</w:t>
      </w:r>
      <w:r w:rsidR="006029E2" w:rsidRPr="000C675E">
        <w:t xml:space="preserve"> (as per PBAC advice)</w:t>
      </w:r>
      <w:r w:rsidR="001255E7" w:rsidRPr="000C675E">
        <w:t xml:space="preserve"> ha</w:t>
      </w:r>
      <w:r w:rsidR="00A1554B" w:rsidRPr="000C675E">
        <w:t>d</w:t>
      </w:r>
      <w:r w:rsidR="001255E7" w:rsidRPr="000C675E">
        <w:t xml:space="preserve"> the second</w:t>
      </w:r>
      <w:r w:rsidR="00B85274" w:rsidRPr="000C675E">
        <w:t>-</w:t>
      </w:r>
      <w:r w:rsidR="001255E7" w:rsidRPr="000C675E">
        <w:t xml:space="preserve">worst and worst fit for VTX+AZA and LoDAC, respectively. </w:t>
      </w:r>
    </w:p>
    <w:p w:rsidR="006E0AB6" w:rsidRPr="000C675E" w:rsidRDefault="007B7F96" w:rsidP="001255EC">
      <w:pPr>
        <w:pStyle w:val="3-BodyText"/>
        <w:numPr>
          <w:ilvl w:val="0"/>
          <w:numId w:val="4"/>
        </w:numPr>
      </w:pPr>
      <w:r w:rsidRPr="000C675E">
        <w:t>OS</w:t>
      </w:r>
      <w:r w:rsidR="006029E2" w:rsidRPr="000C675E">
        <w:t xml:space="preserve"> AZA: </w:t>
      </w:r>
      <w:r w:rsidR="001255E7" w:rsidRPr="000C675E">
        <w:t xml:space="preserve">The best </w:t>
      </w:r>
      <w:r w:rsidR="00A1554B" w:rsidRPr="000C675E">
        <w:t xml:space="preserve">fit </w:t>
      </w:r>
      <w:r w:rsidR="009C2F96" w:rsidRPr="000C675E">
        <w:t>was</w:t>
      </w:r>
      <w:r w:rsidR="001255E7" w:rsidRPr="000C675E">
        <w:t xml:space="preserve"> the exponential function. </w:t>
      </w:r>
    </w:p>
    <w:p w:rsidR="00DA1B97" w:rsidRPr="000C675E" w:rsidRDefault="007B7F96" w:rsidP="001255EC">
      <w:pPr>
        <w:pStyle w:val="3-BodyText"/>
        <w:numPr>
          <w:ilvl w:val="0"/>
          <w:numId w:val="4"/>
        </w:numPr>
      </w:pPr>
      <w:r w:rsidRPr="000C675E">
        <w:t>EFS</w:t>
      </w:r>
      <w:r w:rsidR="006029E2" w:rsidRPr="000C675E">
        <w:t xml:space="preserve"> VTX+AZA and LoDAC</w:t>
      </w:r>
      <w:r w:rsidR="0085135F" w:rsidRPr="000C675E">
        <w:t xml:space="preserve">: The best fit was the </w:t>
      </w:r>
      <w:r w:rsidR="00A0774F" w:rsidRPr="000C675E">
        <w:t>G</w:t>
      </w:r>
      <w:r w:rsidR="0085135F" w:rsidRPr="000C675E">
        <w:t xml:space="preserve">ompertz function, however this was considered to </w:t>
      </w:r>
      <w:r w:rsidR="006029E2" w:rsidRPr="000C675E">
        <w:t>have an implausibly high plateau of the tail and so the second</w:t>
      </w:r>
      <w:r w:rsidR="00B85274" w:rsidRPr="000C675E">
        <w:t>-</w:t>
      </w:r>
      <w:r w:rsidR="006029E2" w:rsidRPr="000C675E">
        <w:t>best fit</w:t>
      </w:r>
      <w:r w:rsidR="009C2F96" w:rsidRPr="000C675E">
        <w:t>,</w:t>
      </w:r>
      <w:r w:rsidR="006029E2" w:rsidRPr="000C675E">
        <w:t xml:space="preserve"> the generalised gamma</w:t>
      </w:r>
      <w:r w:rsidR="00226E5A" w:rsidRPr="000C675E">
        <w:t xml:space="preserve"> function</w:t>
      </w:r>
      <w:r w:rsidR="009C2F96" w:rsidRPr="000C675E">
        <w:t>,</w:t>
      </w:r>
      <w:r w:rsidR="006029E2" w:rsidRPr="000C675E">
        <w:t xml:space="preserve"> was selected</w:t>
      </w:r>
      <w:r w:rsidR="0085135F" w:rsidRPr="000C675E">
        <w:t>.</w:t>
      </w:r>
      <w:r w:rsidR="006029E2" w:rsidRPr="000C675E">
        <w:t xml:space="preserve"> The best</w:t>
      </w:r>
      <w:r w:rsidR="00F050AE" w:rsidRPr="000C675E">
        <w:t xml:space="preserve"> fit</w:t>
      </w:r>
      <w:r w:rsidR="006029E2" w:rsidRPr="000C675E">
        <w:t xml:space="preserve"> for LoDAC was the generalised gamma function.</w:t>
      </w:r>
      <w:r w:rsidR="0085135F" w:rsidRPr="000C675E">
        <w:t xml:space="preserve"> The Weibull function had the second</w:t>
      </w:r>
      <w:r w:rsidR="00B85274" w:rsidRPr="000C675E">
        <w:t>-</w:t>
      </w:r>
      <w:r w:rsidR="0085135F" w:rsidRPr="000C675E">
        <w:t xml:space="preserve">worst fit for </w:t>
      </w:r>
      <w:r w:rsidR="006029E2" w:rsidRPr="000C675E">
        <w:t xml:space="preserve">both </w:t>
      </w:r>
      <w:r w:rsidR="0085135F" w:rsidRPr="000C675E">
        <w:t xml:space="preserve">VTX+AZA and LoDAC. </w:t>
      </w:r>
    </w:p>
    <w:p w:rsidR="006029E2" w:rsidRPr="000C675E" w:rsidRDefault="007B7F96" w:rsidP="001255EC">
      <w:pPr>
        <w:pStyle w:val="3-BodyText"/>
        <w:numPr>
          <w:ilvl w:val="0"/>
          <w:numId w:val="4"/>
        </w:numPr>
      </w:pPr>
      <w:r w:rsidRPr="000C675E">
        <w:t>EFS</w:t>
      </w:r>
      <w:r w:rsidR="00DA1B97" w:rsidRPr="000C675E">
        <w:t xml:space="preserve"> AZA: </w:t>
      </w:r>
      <w:r w:rsidR="0085135F" w:rsidRPr="000C675E">
        <w:t xml:space="preserve">The best fit </w:t>
      </w:r>
      <w:r w:rsidR="00DA1B97" w:rsidRPr="000C675E">
        <w:t>wa</w:t>
      </w:r>
      <w:r w:rsidR="0085135F" w:rsidRPr="000C675E">
        <w:t xml:space="preserve">s the exponential function. </w:t>
      </w:r>
    </w:p>
    <w:p w:rsidR="006029E2" w:rsidRPr="000C675E" w:rsidRDefault="006029E2" w:rsidP="009E7910">
      <w:pPr>
        <w:pStyle w:val="3-BodyText"/>
        <w:rPr>
          <w:bCs/>
        </w:rPr>
      </w:pPr>
      <w:r w:rsidRPr="000C675E">
        <w:rPr>
          <w:bCs/>
        </w:rPr>
        <w:t xml:space="preserve">The Commentary for the March </w:t>
      </w:r>
      <w:r w:rsidR="00B85274" w:rsidRPr="000C675E">
        <w:rPr>
          <w:bCs/>
        </w:rPr>
        <w:t>20</w:t>
      </w:r>
      <w:r w:rsidRPr="000C675E">
        <w:rPr>
          <w:bCs/>
        </w:rPr>
        <w:t xml:space="preserve">21 submission also included Bayesian information criterion (BIC) </w:t>
      </w:r>
      <w:r w:rsidR="00DA1B97" w:rsidRPr="000C675E">
        <w:rPr>
          <w:bCs/>
        </w:rPr>
        <w:t>to assess fit. T</w:t>
      </w:r>
      <w:r w:rsidRPr="000C675E">
        <w:rPr>
          <w:bCs/>
        </w:rPr>
        <w:t xml:space="preserve">he relative fit of the different functions </w:t>
      </w:r>
      <w:r w:rsidR="00F050AE" w:rsidRPr="000C675E">
        <w:rPr>
          <w:bCs/>
        </w:rPr>
        <w:t>was</w:t>
      </w:r>
      <w:r w:rsidRPr="000C675E">
        <w:rPr>
          <w:bCs/>
        </w:rPr>
        <w:t xml:space="preserve"> consistent using either AIC or BIC</w:t>
      </w:r>
      <w:r w:rsidR="00DA1B97" w:rsidRPr="000C675E">
        <w:rPr>
          <w:bCs/>
        </w:rPr>
        <w:t xml:space="preserve">, with the exception of EFS for VTX+AZA where </w:t>
      </w:r>
      <w:r w:rsidRPr="000C675E">
        <w:rPr>
          <w:bCs/>
        </w:rPr>
        <w:t xml:space="preserve">the generalised gamma function had </w:t>
      </w:r>
      <w:r w:rsidR="00DA1B97" w:rsidRPr="000C675E">
        <w:rPr>
          <w:bCs/>
        </w:rPr>
        <w:t>the second</w:t>
      </w:r>
      <w:r w:rsidR="00B85274" w:rsidRPr="000C675E">
        <w:rPr>
          <w:bCs/>
        </w:rPr>
        <w:t>-</w:t>
      </w:r>
      <w:r w:rsidR="00DA1B97" w:rsidRPr="000C675E">
        <w:rPr>
          <w:bCs/>
        </w:rPr>
        <w:t>best fit based on AIC</w:t>
      </w:r>
      <w:r w:rsidR="004B2028" w:rsidRPr="000C675E">
        <w:rPr>
          <w:bCs/>
        </w:rPr>
        <w:t xml:space="preserve"> and</w:t>
      </w:r>
      <w:r w:rsidR="00DA1B97" w:rsidRPr="000C675E">
        <w:rPr>
          <w:bCs/>
        </w:rPr>
        <w:t xml:space="preserve"> </w:t>
      </w:r>
      <w:r w:rsidR="004B2028" w:rsidRPr="000C675E">
        <w:rPr>
          <w:bCs/>
        </w:rPr>
        <w:t xml:space="preserve">the worst fit based on BIC. This function was used in </w:t>
      </w:r>
      <w:r w:rsidR="00DA1B97" w:rsidRPr="000C675E">
        <w:rPr>
          <w:bCs/>
        </w:rPr>
        <w:t xml:space="preserve">the </w:t>
      </w:r>
      <w:r w:rsidR="004B2028" w:rsidRPr="000C675E">
        <w:rPr>
          <w:bCs/>
        </w:rPr>
        <w:t xml:space="preserve">resubmission’s </w:t>
      </w:r>
      <w:r w:rsidR="00DA1B97" w:rsidRPr="000C675E">
        <w:rPr>
          <w:bCs/>
        </w:rPr>
        <w:t>model</w:t>
      </w:r>
      <w:r w:rsidR="004B2028" w:rsidRPr="000C675E">
        <w:rPr>
          <w:bCs/>
        </w:rPr>
        <w:t xml:space="preserve"> scenario</w:t>
      </w:r>
      <w:r w:rsidRPr="000C675E">
        <w:rPr>
          <w:bCs/>
        </w:rPr>
        <w:t>.</w:t>
      </w:r>
    </w:p>
    <w:p w:rsidR="00A1554B" w:rsidRPr="000C675E" w:rsidRDefault="00DA1B97" w:rsidP="009E7910">
      <w:pPr>
        <w:pStyle w:val="3-BodyText"/>
        <w:rPr>
          <w:bCs/>
        </w:rPr>
      </w:pPr>
      <w:r w:rsidRPr="000C675E">
        <w:rPr>
          <w:bCs/>
        </w:rPr>
        <w:t>The modelled extrapolations as per the PBAC’s advice</w:t>
      </w:r>
      <w:r w:rsidR="00F050AE" w:rsidRPr="000C675E">
        <w:rPr>
          <w:bCs/>
        </w:rPr>
        <w:t xml:space="preserve"> and as presented in the resubmission are compared </w:t>
      </w:r>
      <w:r w:rsidRPr="000C675E">
        <w:rPr>
          <w:bCs/>
        </w:rPr>
        <w:t xml:space="preserve">in </w:t>
      </w:r>
      <w:r w:rsidR="003A5046" w:rsidRPr="000C675E">
        <w:t xml:space="preserve">Figure </w:t>
      </w:r>
      <w:r w:rsidR="003A5046" w:rsidRPr="005F5101">
        <w:t>1</w:t>
      </w:r>
      <w:r w:rsidRPr="000C675E">
        <w:rPr>
          <w:bCs/>
        </w:rPr>
        <w:t xml:space="preserve"> for OS and </w:t>
      </w:r>
      <w:r w:rsidR="003A5046" w:rsidRPr="000C675E">
        <w:t xml:space="preserve">Figure </w:t>
      </w:r>
      <w:r w:rsidR="003A5046" w:rsidRPr="005F5101">
        <w:t>2</w:t>
      </w:r>
      <w:r w:rsidRPr="000C675E">
        <w:rPr>
          <w:bCs/>
        </w:rPr>
        <w:t xml:space="preserve"> for EFS. </w:t>
      </w:r>
    </w:p>
    <w:p w:rsidR="00DA1B97" w:rsidRPr="0075328D" w:rsidRDefault="00226E5A" w:rsidP="009E7910">
      <w:pPr>
        <w:pStyle w:val="TableFigureHeading"/>
      </w:pPr>
      <w:bookmarkStart w:id="16" w:name="_Ref75283378"/>
      <w:r w:rsidRPr="000C675E">
        <w:t xml:space="preserve">Figure </w:t>
      </w:r>
      <w:r w:rsidR="003A5046" w:rsidRPr="005F5101">
        <w:t>1</w:t>
      </w:r>
      <w:bookmarkEnd w:id="16"/>
      <w:r w:rsidR="00A16B7F" w:rsidRPr="000C675E">
        <w:t xml:space="preserve">: </w:t>
      </w:r>
      <w:r w:rsidR="00DA1B97" w:rsidRPr="000C675E">
        <w:t xml:space="preserve">Modelled </w:t>
      </w:r>
      <w:r w:rsidR="004B2028" w:rsidRPr="000C675E">
        <w:t>OS</w:t>
      </w:r>
      <w:r w:rsidR="00DA1B97" w:rsidRPr="000C675E">
        <w:t xml:space="preserve"> as per PBAC’s advice (solid lines) and presented in resubmission (dotted lines)</w:t>
      </w:r>
    </w:p>
    <w:p w:rsidR="00A73470" w:rsidRPr="000C675E" w:rsidRDefault="00DA1B97" w:rsidP="009E7910">
      <w:pPr>
        <w:pStyle w:val="3-BodyText"/>
        <w:numPr>
          <w:ilvl w:val="0"/>
          <w:numId w:val="0"/>
        </w:numPr>
        <w:spacing w:after="0"/>
        <w:jc w:val="left"/>
      </w:pPr>
      <w:r w:rsidRPr="008127B3">
        <w:rPr>
          <w:b/>
          <w:noProof/>
        </w:rPr>
        <w:drawing>
          <wp:inline distT="0" distB="0" distL="0" distR="0" wp14:anchorId="1F6ADF46" wp14:editId="1DED1023">
            <wp:extent cx="4597200" cy="3276000"/>
            <wp:effectExtent l="0" t="0" r="0" b="635"/>
            <wp:docPr id="7" name="Picture 7" title="Figure 1: Modelled OS as per PBAC’s advice (solid lines) and presented in resubmission (dotte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7200" cy="3276000"/>
                    </a:xfrm>
                    <a:prstGeom prst="rect">
                      <a:avLst/>
                    </a:prstGeom>
                    <a:noFill/>
                  </pic:spPr>
                </pic:pic>
              </a:graphicData>
            </a:graphic>
          </wp:inline>
        </w:drawing>
      </w:r>
    </w:p>
    <w:p w:rsidR="00226E5A" w:rsidRPr="000C675E" w:rsidRDefault="00226E5A" w:rsidP="009E7910">
      <w:pPr>
        <w:pStyle w:val="TableFigureFooter"/>
        <w:spacing w:after="0"/>
      </w:pPr>
      <w:r w:rsidRPr="0075328D">
        <w:t xml:space="preserve">Source: </w:t>
      </w:r>
      <w:r w:rsidR="00A16B7F" w:rsidRPr="000C675E">
        <w:t>‘</w:t>
      </w:r>
      <w:r w:rsidRPr="000C675E">
        <w:t>VTX AZA CEA April 2021 final</w:t>
      </w:r>
      <w:r w:rsidR="00A16B7F" w:rsidRPr="000C675E">
        <w:t>’</w:t>
      </w:r>
      <w:r w:rsidRPr="000C675E">
        <w:t xml:space="preserve"> spreadsheet provided with the July 2021 resubmission.</w:t>
      </w:r>
    </w:p>
    <w:p w:rsidR="00B85274" w:rsidRPr="000C675E" w:rsidRDefault="00B85274" w:rsidP="009E7910">
      <w:pPr>
        <w:pStyle w:val="TableFigureFooter"/>
        <w:spacing w:after="0"/>
      </w:pPr>
      <w:r w:rsidRPr="000C675E">
        <w:t>AZA = azacitidine, Exp = exponential, LDAC = low-dose cytarabine, OS = overall survival, resub = resubmission, VTX = venetoclax</w:t>
      </w:r>
    </w:p>
    <w:p w:rsidR="00226E5A" w:rsidRPr="000C675E" w:rsidRDefault="00226E5A" w:rsidP="009E7910">
      <w:pPr>
        <w:pStyle w:val="3-BodyText"/>
        <w:numPr>
          <w:ilvl w:val="0"/>
          <w:numId w:val="0"/>
        </w:numPr>
        <w:ind w:left="720"/>
      </w:pPr>
    </w:p>
    <w:p w:rsidR="00DA1B97" w:rsidRPr="000C675E" w:rsidRDefault="00A16B7F" w:rsidP="009E7910">
      <w:pPr>
        <w:pStyle w:val="TableFigureHeading"/>
      </w:pPr>
      <w:bookmarkStart w:id="17" w:name="_Ref75283619"/>
      <w:r w:rsidRPr="000C675E">
        <w:t xml:space="preserve">Figure </w:t>
      </w:r>
      <w:r w:rsidR="003A5046" w:rsidRPr="005F5101">
        <w:t>2</w:t>
      </w:r>
      <w:bookmarkEnd w:id="17"/>
      <w:r w:rsidRPr="000C675E">
        <w:t>:</w:t>
      </w:r>
      <w:r w:rsidR="00DA1B97" w:rsidRPr="000C675E">
        <w:tab/>
        <w:t xml:space="preserve">Modelled </w:t>
      </w:r>
      <w:r w:rsidR="004B2028" w:rsidRPr="0075328D">
        <w:t>EFS</w:t>
      </w:r>
      <w:r w:rsidR="00DA1B97" w:rsidRPr="000C675E">
        <w:t xml:space="preserve"> as per PBAC’s advice (solid lines) and presented in resubmission (dotted lines)</w:t>
      </w:r>
    </w:p>
    <w:p w:rsidR="00DA1B97" w:rsidRPr="000C675E" w:rsidRDefault="00DA1B97" w:rsidP="009E7910">
      <w:pPr>
        <w:pStyle w:val="3-BodyText"/>
        <w:numPr>
          <w:ilvl w:val="0"/>
          <w:numId w:val="0"/>
        </w:numPr>
        <w:spacing w:after="0"/>
      </w:pPr>
      <w:r w:rsidRPr="008127B3">
        <w:rPr>
          <w:b/>
          <w:noProof/>
        </w:rPr>
        <w:drawing>
          <wp:inline distT="0" distB="0" distL="0" distR="0" wp14:anchorId="3826ED25" wp14:editId="2AF11F16">
            <wp:extent cx="4597200" cy="2905200"/>
            <wp:effectExtent l="0" t="0" r="0" b="0"/>
            <wp:docPr id="8" name="Picture 8" title="Figure 2: Modelled EFS as per PBAC’s advice (solid lines) and presented in resubmission (dotte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7200" cy="2905200"/>
                    </a:xfrm>
                    <a:prstGeom prst="rect">
                      <a:avLst/>
                    </a:prstGeom>
                    <a:noFill/>
                  </pic:spPr>
                </pic:pic>
              </a:graphicData>
            </a:graphic>
          </wp:inline>
        </w:drawing>
      </w:r>
    </w:p>
    <w:p w:rsidR="00A16B7F" w:rsidRPr="000C675E" w:rsidRDefault="00A16B7F" w:rsidP="009E7910">
      <w:pPr>
        <w:pStyle w:val="TableFigureFooter"/>
        <w:spacing w:after="0"/>
      </w:pPr>
      <w:r w:rsidRPr="0075328D">
        <w:t xml:space="preserve">Source: </w:t>
      </w:r>
      <w:r w:rsidRPr="000C675E">
        <w:t>‘VTX AZA CEA April 2021 final’ spreadsheet provided with the July 2021 resubmission.</w:t>
      </w:r>
    </w:p>
    <w:p w:rsidR="00B85274" w:rsidRPr="000C675E" w:rsidRDefault="00B85274" w:rsidP="00B85274">
      <w:pPr>
        <w:pStyle w:val="TableFigureFooter"/>
        <w:spacing w:after="0"/>
      </w:pPr>
      <w:r w:rsidRPr="000C675E">
        <w:t>AZA = azacitidine, EFS = event-free survival, Exp = exponential, LDAC = low-dose cytarabine, resub = resubmission, VTX = venetoclax</w:t>
      </w:r>
    </w:p>
    <w:p w:rsidR="00B61C5E" w:rsidRDefault="00B61C5E">
      <w:pPr>
        <w:jc w:val="left"/>
        <w:rPr>
          <w:u w:val="single"/>
        </w:rPr>
      </w:pPr>
      <w:r>
        <w:br w:type="page"/>
      </w:r>
    </w:p>
    <w:p w:rsidR="0005077C" w:rsidRPr="000C675E" w:rsidRDefault="0005077C" w:rsidP="009E7910">
      <w:pPr>
        <w:pStyle w:val="3-SubsectionHeading"/>
      </w:pPr>
      <w:r w:rsidRPr="000C675E">
        <w:t>Weighting of AZA and LoDAC comparisons</w:t>
      </w:r>
    </w:p>
    <w:p w:rsidR="0005077C" w:rsidRPr="000C675E" w:rsidRDefault="007564D0" w:rsidP="009E7910">
      <w:pPr>
        <w:pStyle w:val="3-BodyText"/>
      </w:pPr>
      <w:r w:rsidRPr="000C675E">
        <w:rPr>
          <w:bCs/>
        </w:rPr>
        <w:t xml:space="preserve">The March </w:t>
      </w:r>
      <w:r w:rsidR="00B85274" w:rsidRPr="000C675E">
        <w:rPr>
          <w:bCs/>
        </w:rPr>
        <w:t>20</w:t>
      </w:r>
      <w:r w:rsidRPr="000C675E">
        <w:rPr>
          <w:bCs/>
        </w:rPr>
        <w:t xml:space="preserve">21 submission calculated a weighted ICER </w:t>
      </w:r>
      <w:r w:rsidR="00B718C0" w:rsidRPr="000C675E">
        <w:rPr>
          <w:bCs/>
        </w:rPr>
        <w:t>with weightings of</w:t>
      </w:r>
      <w:r w:rsidRPr="000C675E">
        <w:rPr>
          <w:bCs/>
        </w:rPr>
        <w:t xml:space="preserve"> 55.6%</w:t>
      </w:r>
      <w:r w:rsidR="00B718C0" w:rsidRPr="000C675E">
        <w:rPr>
          <w:bCs/>
        </w:rPr>
        <w:t xml:space="preserve"> for the AZA comparison and 44.4% for the LoDAC comparison.</w:t>
      </w:r>
      <w:r w:rsidRPr="000C675E">
        <w:rPr>
          <w:bCs/>
        </w:rPr>
        <w:t xml:space="preserve"> </w:t>
      </w:r>
      <w:r w:rsidR="00B718C0" w:rsidRPr="000C675E">
        <w:rPr>
          <w:bCs/>
        </w:rPr>
        <w:t>T</w:t>
      </w:r>
      <w:r w:rsidR="0005077C" w:rsidRPr="000C675E">
        <w:t xml:space="preserve">he PBAC considered the current </w:t>
      </w:r>
      <w:r w:rsidR="00F050AE" w:rsidRPr="000C675E">
        <w:t>AZA</w:t>
      </w:r>
      <w:r w:rsidR="0005077C" w:rsidRPr="000C675E">
        <w:t xml:space="preserve"> PBS listing for AML (for patients with 20-30% bone marrow blasts and multi-lineage dysplasia) had limited overlap with the requested PBS population, and consequently LoDAC was likely to be the PBS therapy most replaced in practice</w:t>
      </w:r>
      <w:r w:rsidR="00B718C0" w:rsidRPr="000C675E">
        <w:t xml:space="preserve"> (</w:t>
      </w:r>
      <w:r w:rsidR="00B85274" w:rsidRPr="000C675E">
        <w:t>para</w:t>
      </w:r>
      <w:r w:rsidR="00841E06" w:rsidRPr="000C675E">
        <w:t>graph</w:t>
      </w:r>
      <w:r w:rsidR="00B85274" w:rsidRPr="000C675E">
        <w:t xml:space="preserve"> 7.6, VTX, PSD, </w:t>
      </w:r>
      <w:r w:rsidR="00AA3C5F" w:rsidRPr="000C675E">
        <w:t xml:space="preserve">March </w:t>
      </w:r>
      <w:r w:rsidR="00B85274" w:rsidRPr="000C675E">
        <w:t>20</w:t>
      </w:r>
      <w:r w:rsidR="00AA3C5F" w:rsidRPr="000C675E">
        <w:t>21</w:t>
      </w:r>
      <w:r w:rsidR="00B85274" w:rsidRPr="000C675E">
        <w:t xml:space="preserve"> PBAC meeting</w:t>
      </w:r>
      <w:r w:rsidR="00B718C0" w:rsidRPr="000C675E">
        <w:t>)</w:t>
      </w:r>
      <w:r w:rsidR="0005077C" w:rsidRPr="000C675E">
        <w:t xml:space="preserve">. </w:t>
      </w:r>
      <w:r w:rsidR="00B718C0" w:rsidRPr="000C675E">
        <w:t>T</w:t>
      </w:r>
      <w:r w:rsidR="0005077C" w:rsidRPr="000C675E">
        <w:t xml:space="preserve">he PBAC </w:t>
      </w:r>
      <w:r w:rsidR="00B718C0" w:rsidRPr="000C675E">
        <w:t xml:space="preserve">therefore </w:t>
      </w:r>
      <w:r w:rsidR="0005077C" w:rsidRPr="000C675E">
        <w:t xml:space="preserve">considered </w:t>
      </w:r>
      <w:r w:rsidR="00B718C0" w:rsidRPr="000C675E">
        <w:rPr>
          <w:bCs/>
        </w:rPr>
        <w:t>the ICER should be weighted towards the LoDAC comparison</w:t>
      </w:r>
      <w:r w:rsidR="00B718C0" w:rsidRPr="000C675E">
        <w:t xml:space="preserve"> (</w:t>
      </w:r>
      <w:r w:rsidR="00841E06" w:rsidRPr="000C675E">
        <w:t>paragraph 7.13, VTX, PSD, March 2021 PBAC meeting</w:t>
      </w:r>
      <w:r w:rsidR="0005077C" w:rsidRPr="000C675E">
        <w:t>).</w:t>
      </w:r>
    </w:p>
    <w:p w:rsidR="0005077C" w:rsidRPr="000C675E" w:rsidRDefault="00B718C0" w:rsidP="009E7910">
      <w:pPr>
        <w:pStyle w:val="3-BodyText"/>
      </w:pPr>
      <w:r w:rsidRPr="000C675E">
        <w:t xml:space="preserve">The </w:t>
      </w:r>
      <w:r w:rsidR="009C2F96" w:rsidRPr="000C675E">
        <w:t>resubmission maintained</w:t>
      </w:r>
      <w:r w:rsidRPr="000C675E">
        <w:t xml:space="preserve"> the 55.6%</w:t>
      </w:r>
      <w:r w:rsidR="00C83DE1" w:rsidRPr="000C675E">
        <w:t>/44.4% weightings on the basis of the results of the CURRENT study</w:t>
      </w:r>
      <w:r w:rsidR="009C2F96" w:rsidRPr="000C675E">
        <w:t>.</w:t>
      </w:r>
      <w:r w:rsidR="00C83DE1" w:rsidRPr="000C675E">
        <w:t xml:space="preserve"> </w:t>
      </w:r>
      <w:r w:rsidR="009C2F96" w:rsidRPr="000C675E">
        <w:t xml:space="preserve">This was </w:t>
      </w:r>
      <w:r w:rsidR="00C83DE1" w:rsidRPr="000C675E">
        <w:t>a non-interventional real-world retrospective chart review of patients diagnosed with AML who were unfit to receive intensive chemotherapy who initiated treatment (or B</w:t>
      </w:r>
      <w:r w:rsidR="0054199D" w:rsidRPr="000C675E">
        <w:t xml:space="preserve">est </w:t>
      </w:r>
      <w:r w:rsidR="00C83DE1" w:rsidRPr="000C675E">
        <w:t>S</w:t>
      </w:r>
      <w:r w:rsidR="0054199D" w:rsidRPr="000C675E">
        <w:t xml:space="preserve">upportive </w:t>
      </w:r>
      <w:r w:rsidR="00C83DE1" w:rsidRPr="000C675E">
        <w:t>C</w:t>
      </w:r>
      <w:r w:rsidR="0054199D" w:rsidRPr="000C675E">
        <w:t>are (BSC)</w:t>
      </w:r>
      <w:r w:rsidR="00C83DE1" w:rsidRPr="000C675E">
        <w:t xml:space="preserve">) between </w:t>
      </w:r>
      <w:r w:rsidR="00841E06" w:rsidRPr="000C675E">
        <w:t>1 </w:t>
      </w:r>
      <w:r w:rsidR="00C83DE1" w:rsidRPr="000C675E">
        <w:t xml:space="preserve">January 2015 and </w:t>
      </w:r>
      <w:r w:rsidR="00841E06" w:rsidRPr="000C675E">
        <w:t xml:space="preserve">31 </w:t>
      </w:r>
      <w:r w:rsidR="00C83DE1" w:rsidRPr="000C675E">
        <w:t>December 2018. The study included data from 138</w:t>
      </w:r>
      <w:r w:rsidR="00841E06" w:rsidRPr="000C675E">
        <w:t> </w:t>
      </w:r>
      <w:r w:rsidR="00C83DE1" w:rsidRPr="000C675E">
        <w:t xml:space="preserve">Australian patients. Of these patients, 75 (54%) received first-line systemic therapy and 63 (46%) received </w:t>
      </w:r>
      <w:r w:rsidR="009C2F96" w:rsidRPr="000C675E">
        <w:t>BSC</w:t>
      </w:r>
      <w:r w:rsidR="000C675E">
        <w:t xml:space="preserve">. </w:t>
      </w:r>
      <w:r w:rsidR="00C83DE1" w:rsidRPr="000C675E">
        <w:t xml:space="preserve">A total of 69 patients were treated with either AZA or LoDAC and the observed weighting was </w:t>
      </w:r>
      <w:r w:rsidR="00C83DE1" w:rsidRPr="0075328D">
        <w:t>54%:46% (i</w:t>
      </w:r>
      <w:r w:rsidR="00C83DE1" w:rsidRPr="000C675E">
        <w:t>.e. 37:32</w:t>
      </w:r>
      <w:r w:rsidR="004B2028" w:rsidRPr="000C675E">
        <w:t>;</w:t>
      </w:r>
      <w:r w:rsidR="00C83DE1" w:rsidRPr="000C675E">
        <w:t xml:space="preserve"> Table 9 CURRENT Study Results Australia.pdf</w:t>
      </w:r>
      <w:r w:rsidR="00AA3C5F" w:rsidRPr="000C675E">
        <w:t>, Attachment 1 of resubmission</w:t>
      </w:r>
      <w:r w:rsidR="00C83DE1" w:rsidRPr="000C675E">
        <w:t xml:space="preserve">). </w:t>
      </w:r>
      <w:r w:rsidR="00E643F8" w:rsidRPr="000C675E">
        <w:t xml:space="preserve">The CURRENT study did not contain a breakdown of </w:t>
      </w:r>
      <w:r w:rsidR="00841E06" w:rsidRPr="000C675E">
        <w:t xml:space="preserve">AZA </w:t>
      </w:r>
      <w:r w:rsidR="00E643F8" w:rsidRPr="000C675E">
        <w:t>use by subgroups based on blast cell counts (i.e. &lt; 20%, 20-30%, &gt; 30%).</w:t>
      </w:r>
    </w:p>
    <w:p w:rsidR="009C2F96" w:rsidRPr="000C675E" w:rsidRDefault="009C2F96" w:rsidP="009E7910">
      <w:pPr>
        <w:pStyle w:val="3-SubsectionHeading"/>
      </w:pPr>
      <w:r w:rsidRPr="000C675E">
        <w:t>Results</w:t>
      </w:r>
    </w:p>
    <w:p w:rsidR="0005077C" w:rsidRPr="000C675E" w:rsidRDefault="00EF5EDE" w:rsidP="009E7910">
      <w:pPr>
        <w:pStyle w:val="3-BodyText"/>
      </w:pPr>
      <w:r w:rsidRPr="000C675E">
        <w:t xml:space="preserve">The results from the economic model are summarised in </w:t>
      </w:r>
      <w:r w:rsidR="003A5046" w:rsidRPr="000C675E">
        <w:t xml:space="preserve">Table </w:t>
      </w:r>
      <w:r w:rsidR="003A5046" w:rsidRPr="005F5101">
        <w:t>4</w:t>
      </w:r>
      <w:r w:rsidRPr="000C675E">
        <w:t xml:space="preserve"> for the scenario based on the PBAC advice and the scenario included in the resubmission. The ICERs for </w:t>
      </w:r>
      <w:r w:rsidR="004B2028" w:rsidRPr="0075328D">
        <w:t>both the AZA and LoDAC</w:t>
      </w:r>
      <w:r w:rsidRPr="000C675E">
        <w:t xml:space="preserve"> comparison</w:t>
      </w:r>
      <w:r w:rsidR="004B2028" w:rsidRPr="000C675E">
        <w:t>s</w:t>
      </w:r>
      <w:r w:rsidRPr="000C675E">
        <w:t xml:space="preserve"> have been presented however</w:t>
      </w:r>
      <w:r w:rsidR="008C3C11" w:rsidRPr="000C675E">
        <w:t>,</w:t>
      </w:r>
      <w:r w:rsidRPr="000C675E">
        <w:t xml:space="preserve"> alternative weightings to that used in the resubmission (55.6% AZA, 44.4% LoDAC) have not been presented.</w:t>
      </w:r>
    </w:p>
    <w:p w:rsidR="004B2028" w:rsidRPr="000C675E" w:rsidRDefault="00AA3C5F" w:rsidP="009E7910">
      <w:pPr>
        <w:pStyle w:val="TableFigureHeading"/>
      </w:pPr>
      <w:bookmarkStart w:id="18" w:name="_Ref75283853"/>
      <w:r w:rsidRPr="000C675E">
        <w:t xml:space="preserve">Table </w:t>
      </w:r>
      <w:r w:rsidR="003A5046" w:rsidRPr="005F5101">
        <w:t>4</w:t>
      </w:r>
      <w:bookmarkEnd w:id="18"/>
      <w:r w:rsidRPr="000C675E">
        <w:t xml:space="preserve">: </w:t>
      </w:r>
      <w:r w:rsidR="004B2028" w:rsidRPr="000C675E">
        <w:t>Economic mode</w:t>
      </w:r>
      <w:r w:rsidR="00E94D39" w:rsidRPr="0075328D">
        <w:t>l</w:t>
      </w:r>
      <w:r w:rsidR="004B2028" w:rsidRPr="000C675E">
        <w:t xml:space="preserve"> results for PBAC and resubmission scenarios</w:t>
      </w:r>
    </w:p>
    <w:tbl>
      <w:tblPr>
        <w:tblW w:w="5107" w:type="pct"/>
        <w:tblLayout w:type="fixed"/>
        <w:tblLook w:val="04A0" w:firstRow="1" w:lastRow="0" w:firstColumn="1" w:lastColumn="0" w:noHBand="0" w:noVBand="1"/>
      </w:tblPr>
      <w:tblGrid>
        <w:gridCol w:w="1178"/>
        <w:gridCol w:w="818"/>
        <w:gridCol w:w="834"/>
        <w:gridCol w:w="1133"/>
        <w:gridCol w:w="1127"/>
        <w:gridCol w:w="1000"/>
        <w:gridCol w:w="1065"/>
        <w:gridCol w:w="1050"/>
        <w:gridCol w:w="1004"/>
      </w:tblGrid>
      <w:tr w:rsidR="00EF5EDE" w:rsidRPr="000C675E" w:rsidTr="00A83A85">
        <w:trPr>
          <w:trHeight w:val="288"/>
        </w:trPr>
        <w:tc>
          <w:tcPr>
            <w:tcW w:w="64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EF5EDE" w:rsidRPr="000C675E" w:rsidRDefault="00EF5EDE" w:rsidP="009E7910">
            <w:pPr>
              <w:pStyle w:val="TableText"/>
              <w:rPr>
                <w:rFonts w:cstheme="minorHAnsi"/>
                <w:b/>
                <w:bCs w:val="0"/>
                <w:sz w:val="18"/>
                <w:szCs w:val="18"/>
              </w:rPr>
            </w:pPr>
            <w:r w:rsidRPr="000C675E">
              <w:rPr>
                <w:rFonts w:cstheme="minorHAnsi"/>
                <w:b/>
                <w:sz w:val="18"/>
                <w:szCs w:val="18"/>
              </w:rPr>
              <w:t>Comparison</w:t>
            </w:r>
          </w:p>
        </w:tc>
        <w:tc>
          <w:tcPr>
            <w:tcW w:w="444"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EF5EDE" w:rsidRPr="000C675E" w:rsidRDefault="00EF5EDE" w:rsidP="009E7910">
            <w:pPr>
              <w:pStyle w:val="TableText"/>
              <w:rPr>
                <w:rFonts w:cstheme="minorHAnsi"/>
                <w:b/>
                <w:bCs w:val="0"/>
                <w:sz w:val="18"/>
                <w:szCs w:val="18"/>
              </w:rPr>
            </w:pPr>
            <w:r w:rsidRPr="000C675E">
              <w:rPr>
                <w:rFonts w:cstheme="minorHAnsi"/>
                <w:b/>
                <w:sz w:val="18"/>
                <w:szCs w:val="18"/>
              </w:rPr>
              <w:t>Weight</w:t>
            </w:r>
          </w:p>
        </w:tc>
        <w:tc>
          <w:tcPr>
            <w:tcW w:w="1680" w:type="pct"/>
            <w:gridSpan w:val="3"/>
            <w:tcBorders>
              <w:top w:val="single" w:sz="4" w:space="0" w:color="auto"/>
              <w:left w:val="nil"/>
              <w:bottom w:val="single" w:sz="4" w:space="0" w:color="auto"/>
              <w:right w:val="single" w:sz="4" w:space="0" w:color="000000"/>
            </w:tcBorders>
            <w:shd w:val="clear" w:color="auto" w:fill="auto"/>
            <w:noWrap/>
            <w:vAlign w:val="bottom"/>
            <w:hideMark/>
          </w:tcPr>
          <w:p w:rsidR="00EF5EDE" w:rsidRPr="000C675E" w:rsidRDefault="00EF5EDE" w:rsidP="009E7910">
            <w:pPr>
              <w:pStyle w:val="TableText"/>
              <w:rPr>
                <w:rFonts w:cstheme="minorHAnsi"/>
                <w:b/>
                <w:bCs w:val="0"/>
                <w:sz w:val="18"/>
                <w:szCs w:val="18"/>
              </w:rPr>
            </w:pPr>
            <w:r w:rsidRPr="000C675E">
              <w:rPr>
                <w:rFonts w:cstheme="minorHAnsi"/>
                <w:b/>
                <w:sz w:val="18"/>
                <w:szCs w:val="18"/>
              </w:rPr>
              <w:t>Discounted costs</w:t>
            </w:r>
          </w:p>
        </w:tc>
        <w:tc>
          <w:tcPr>
            <w:tcW w:w="1690" w:type="pct"/>
            <w:gridSpan w:val="3"/>
            <w:tcBorders>
              <w:top w:val="single" w:sz="4" w:space="0" w:color="auto"/>
              <w:left w:val="nil"/>
              <w:bottom w:val="single" w:sz="4" w:space="0" w:color="auto"/>
              <w:right w:val="single" w:sz="4" w:space="0" w:color="000000"/>
            </w:tcBorders>
            <w:shd w:val="clear" w:color="auto" w:fill="auto"/>
            <w:noWrap/>
            <w:vAlign w:val="bottom"/>
            <w:hideMark/>
          </w:tcPr>
          <w:p w:rsidR="00EF5EDE" w:rsidRPr="000C675E" w:rsidRDefault="00EF5EDE" w:rsidP="009E7910">
            <w:pPr>
              <w:pStyle w:val="TableText"/>
              <w:rPr>
                <w:rFonts w:cstheme="minorHAnsi"/>
                <w:b/>
                <w:bCs w:val="0"/>
                <w:sz w:val="18"/>
                <w:szCs w:val="18"/>
              </w:rPr>
            </w:pPr>
            <w:r w:rsidRPr="000C675E">
              <w:rPr>
                <w:rFonts w:cstheme="minorHAnsi"/>
                <w:b/>
                <w:sz w:val="18"/>
                <w:szCs w:val="18"/>
              </w:rPr>
              <w:t>Discounted QALYs</w:t>
            </w:r>
          </w:p>
        </w:tc>
        <w:tc>
          <w:tcPr>
            <w:tcW w:w="5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5EDE" w:rsidRPr="000C675E" w:rsidRDefault="00EF5EDE" w:rsidP="009E7910">
            <w:pPr>
              <w:pStyle w:val="TableText"/>
              <w:rPr>
                <w:b/>
                <w:bCs w:val="0"/>
                <w:sz w:val="18"/>
                <w:szCs w:val="18"/>
              </w:rPr>
            </w:pPr>
            <w:r w:rsidRPr="000C675E">
              <w:rPr>
                <w:b/>
                <w:sz w:val="18"/>
                <w:szCs w:val="18"/>
              </w:rPr>
              <w:t xml:space="preserve">ICER </w:t>
            </w:r>
          </w:p>
        </w:tc>
      </w:tr>
      <w:tr w:rsidR="00B570C6" w:rsidRPr="000C675E" w:rsidTr="00A83A85">
        <w:trPr>
          <w:trHeight w:val="576"/>
        </w:trPr>
        <w:tc>
          <w:tcPr>
            <w:tcW w:w="640" w:type="pct"/>
            <w:vMerge/>
            <w:tcBorders>
              <w:top w:val="single" w:sz="4" w:space="0" w:color="auto"/>
              <w:left w:val="single" w:sz="4" w:space="0" w:color="auto"/>
              <w:bottom w:val="single" w:sz="4" w:space="0" w:color="000000"/>
              <w:right w:val="single" w:sz="4" w:space="0" w:color="auto"/>
            </w:tcBorders>
            <w:vAlign w:val="center"/>
            <w:hideMark/>
          </w:tcPr>
          <w:p w:rsidR="00EF5EDE" w:rsidRPr="000C675E" w:rsidRDefault="00EF5EDE" w:rsidP="009E7910">
            <w:pPr>
              <w:pStyle w:val="TableText"/>
              <w:rPr>
                <w:rFonts w:cstheme="minorHAnsi"/>
                <w:b/>
                <w:bCs w:val="0"/>
                <w:sz w:val="18"/>
                <w:szCs w:val="18"/>
              </w:rPr>
            </w:pPr>
          </w:p>
        </w:tc>
        <w:tc>
          <w:tcPr>
            <w:tcW w:w="444" w:type="pct"/>
            <w:vMerge/>
            <w:tcBorders>
              <w:top w:val="single" w:sz="4" w:space="0" w:color="auto"/>
              <w:left w:val="single" w:sz="4" w:space="0" w:color="auto"/>
              <w:bottom w:val="single" w:sz="4" w:space="0" w:color="000000"/>
              <w:right w:val="single" w:sz="4" w:space="0" w:color="auto"/>
            </w:tcBorders>
            <w:vAlign w:val="center"/>
            <w:hideMark/>
          </w:tcPr>
          <w:p w:rsidR="00EF5EDE" w:rsidRPr="000C675E" w:rsidRDefault="00EF5EDE" w:rsidP="009E7910">
            <w:pPr>
              <w:pStyle w:val="TableText"/>
              <w:rPr>
                <w:rFonts w:cstheme="minorHAnsi"/>
                <w:b/>
                <w:bCs w:val="0"/>
                <w:sz w:val="18"/>
                <w:szCs w:val="18"/>
              </w:rPr>
            </w:pPr>
          </w:p>
        </w:tc>
        <w:tc>
          <w:tcPr>
            <w:tcW w:w="453" w:type="pct"/>
            <w:tcBorders>
              <w:top w:val="nil"/>
              <w:left w:val="nil"/>
              <w:bottom w:val="single" w:sz="4" w:space="0" w:color="auto"/>
              <w:right w:val="single" w:sz="4" w:space="0" w:color="auto"/>
            </w:tcBorders>
            <w:shd w:val="clear" w:color="auto" w:fill="auto"/>
            <w:vAlign w:val="center"/>
            <w:hideMark/>
          </w:tcPr>
          <w:p w:rsidR="00EF5EDE" w:rsidRPr="000C675E" w:rsidRDefault="00EF5EDE" w:rsidP="009E7910">
            <w:pPr>
              <w:pStyle w:val="TableText"/>
              <w:rPr>
                <w:rFonts w:cstheme="minorHAnsi"/>
                <w:b/>
                <w:bCs w:val="0"/>
                <w:sz w:val="18"/>
                <w:szCs w:val="18"/>
              </w:rPr>
            </w:pPr>
            <w:r w:rsidRPr="000C675E">
              <w:rPr>
                <w:rFonts w:cstheme="minorHAnsi"/>
                <w:b/>
                <w:sz w:val="18"/>
                <w:szCs w:val="18"/>
              </w:rPr>
              <w:t>VTX arm</w:t>
            </w:r>
          </w:p>
        </w:tc>
        <w:tc>
          <w:tcPr>
            <w:tcW w:w="615" w:type="pct"/>
            <w:tcBorders>
              <w:top w:val="nil"/>
              <w:left w:val="nil"/>
              <w:bottom w:val="single" w:sz="4" w:space="0" w:color="auto"/>
              <w:right w:val="single" w:sz="4" w:space="0" w:color="auto"/>
            </w:tcBorders>
            <w:shd w:val="clear" w:color="auto" w:fill="auto"/>
            <w:vAlign w:val="center"/>
            <w:hideMark/>
          </w:tcPr>
          <w:p w:rsidR="00EF5EDE" w:rsidRPr="000C675E" w:rsidRDefault="00EF5EDE" w:rsidP="009E7910">
            <w:pPr>
              <w:pStyle w:val="TableText"/>
              <w:rPr>
                <w:rFonts w:cstheme="minorHAnsi"/>
                <w:b/>
                <w:bCs w:val="0"/>
                <w:sz w:val="18"/>
                <w:szCs w:val="18"/>
              </w:rPr>
            </w:pPr>
            <w:r w:rsidRPr="000C675E">
              <w:rPr>
                <w:rFonts w:cstheme="minorHAnsi"/>
                <w:b/>
                <w:sz w:val="18"/>
                <w:szCs w:val="18"/>
              </w:rPr>
              <w:t>Comparator arm</w:t>
            </w:r>
          </w:p>
        </w:tc>
        <w:tc>
          <w:tcPr>
            <w:tcW w:w="612" w:type="pct"/>
            <w:tcBorders>
              <w:top w:val="nil"/>
              <w:left w:val="nil"/>
              <w:bottom w:val="single" w:sz="4" w:space="0" w:color="auto"/>
              <w:right w:val="single" w:sz="4" w:space="0" w:color="auto"/>
            </w:tcBorders>
            <w:shd w:val="clear" w:color="auto" w:fill="auto"/>
            <w:vAlign w:val="center"/>
            <w:hideMark/>
          </w:tcPr>
          <w:p w:rsidR="00EF5EDE" w:rsidRPr="000C675E" w:rsidRDefault="00EF5EDE" w:rsidP="009E7910">
            <w:pPr>
              <w:pStyle w:val="TableText"/>
              <w:rPr>
                <w:rFonts w:cstheme="minorHAnsi"/>
                <w:b/>
                <w:bCs w:val="0"/>
                <w:sz w:val="18"/>
                <w:szCs w:val="18"/>
              </w:rPr>
            </w:pPr>
            <w:r w:rsidRPr="000C675E">
              <w:rPr>
                <w:rFonts w:cstheme="minorHAnsi"/>
                <w:b/>
                <w:sz w:val="18"/>
                <w:szCs w:val="18"/>
              </w:rPr>
              <w:t>Incremental costs</w:t>
            </w:r>
          </w:p>
        </w:tc>
        <w:tc>
          <w:tcPr>
            <w:tcW w:w="543" w:type="pct"/>
            <w:tcBorders>
              <w:top w:val="nil"/>
              <w:left w:val="nil"/>
              <w:bottom w:val="single" w:sz="4" w:space="0" w:color="auto"/>
              <w:right w:val="single" w:sz="4" w:space="0" w:color="auto"/>
            </w:tcBorders>
            <w:shd w:val="clear" w:color="auto" w:fill="auto"/>
            <w:vAlign w:val="center"/>
            <w:hideMark/>
          </w:tcPr>
          <w:p w:rsidR="00EF5EDE" w:rsidRPr="000C675E" w:rsidRDefault="00EF5EDE" w:rsidP="009E7910">
            <w:pPr>
              <w:pStyle w:val="TableText"/>
              <w:rPr>
                <w:rFonts w:cstheme="minorHAnsi"/>
                <w:b/>
                <w:bCs w:val="0"/>
                <w:sz w:val="18"/>
                <w:szCs w:val="18"/>
              </w:rPr>
            </w:pPr>
            <w:r w:rsidRPr="000C675E">
              <w:rPr>
                <w:rFonts w:cstheme="minorHAnsi"/>
                <w:b/>
                <w:sz w:val="18"/>
                <w:szCs w:val="18"/>
              </w:rPr>
              <w:t>VTX arm</w:t>
            </w:r>
          </w:p>
        </w:tc>
        <w:tc>
          <w:tcPr>
            <w:tcW w:w="578" w:type="pct"/>
            <w:tcBorders>
              <w:top w:val="nil"/>
              <w:left w:val="nil"/>
              <w:bottom w:val="single" w:sz="4" w:space="0" w:color="auto"/>
              <w:right w:val="single" w:sz="4" w:space="0" w:color="auto"/>
            </w:tcBorders>
            <w:shd w:val="clear" w:color="auto" w:fill="auto"/>
            <w:vAlign w:val="center"/>
            <w:hideMark/>
          </w:tcPr>
          <w:p w:rsidR="00EF5EDE" w:rsidRPr="000C675E" w:rsidRDefault="00EF5EDE" w:rsidP="009E7910">
            <w:pPr>
              <w:pStyle w:val="TableText"/>
              <w:rPr>
                <w:rFonts w:cstheme="minorHAnsi"/>
                <w:b/>
                <w:bCs w:val="0"/>
                <w:sz w:val="18"/>
                <w:szCs w:val="18"/>
              </w:rPr>
            </w:pPr>
            <w:r w:rsidRPr="000C675E">
              <w:rPr>
                <w:rFonts w:cstheme="minorHAnsi"/>
                <w:b/>
                <w:sz w:val="18"/>
                <w:szCs w:val="18"/>
              </w:rPr>
              <w:t>Comparator arm</w:t>
            </w:r>
          </w:p>
        </w:tc>
        <w:tc>
          <w:tcPr>
            <w:tcW w:w="569" w:type="pct"/>
            <w:tcBorders>
              <w:top w:val="nil"/>
              <w:left w:val="nil"/>
              <w:bottom w:val="single" w:sz="4" w:space="0" w:color="auto"/>
              <w:right w:val="single" w:sz="4" w:space="0" w:color="auto"/>
            </w:tcBorders>
            <w:shd w:val="clear" w:color="auto" w:fill="auto"/>
            <w:vAlign w:val="center"/>
            <w:hideMark/>
          </w:tcPr>
          <w:p w:rsidR="00EF5EDE" w:rsidRPr="000C675E" w:rsidRDefault="00EF5EDE" w:rsidP="009E7910">
            <w:pPr>
              <w:pStyle w:val="TableText"/>
              <w:rPr>
                <w:rFonts w:cstheme="minorHAnsi"/>
                <w:b/>
                <w:bCs w:val="0"/>
                <w:sz w:val="18"/>
                <w:szCs w:val="18"/>
              </w:rPr>
            </w:pPr>
            <w:r w:rsidRPr="000C675E">
              <w:rPr>
                <w:rFonts w:cstheme="minorHAnsi"/>
                <w:b/>
                <w:sz w:val="18"/>
                <w:szCs w:val="18"/>
              </w:rPr>
              <w:t>Incremental QALYs</w:t>
            </w:r>
          </w:p>
        </w:tc>
        <w:tc>
          <w:tcPr>
            <w:tcW w:w="545" w:type="pct"/>
            <w:vMerge/>
            <w:tcBorders>
              <w:top w:val="single" w:sz="4" w:space="0" w:color="auto"/>
              <w:left w:val="single" w:sz="4" w:space="0" w:color="auto"/>
              <w:bottom w:val="single" w:sz="4" w:space="0" w:color="auto"/>
              <w:right w:val="single" w:sz="4" w:space="0" w:color="auto"/>
            </w:tcBorders>
            <w:vAlign w:val="center"/>
            <w:hideMark/>
          </w:tcPr>
          <w:p w:rsidR="00EF5EDE" w:rsidRPr="000C675E" w:rsidRDefault="00EF5EDE" w:rsidP="009E7910">
            <w:pPr>
              <w:pStyle w:val="TableText"/>
              <w:rPr>
                <w:b/>
                <w:bCs w:val="0"/>
                <w:sz w:val="18"/>
                <w:szCs w:val="18"/>
              </w:rPr>
            </w:pPr>
          </w:p>
        </w:tc>
      </w:tr>
      <w:tr w:rsidR="00A454D6" w:rsidRPr="000C675E" w:rsidTr="00A83A85">
        <w:trPr>
          <w:trHeight w:val="288"/>
        </w:trPr>
        <w:tc>
          <w:tcPr>
            <w:tcW w:w="5000" w:type="pct"/>
            <w:gridSpan w:val="9"/>
            <w:tcBorders>
              <w:top w:val="nil"/>
              <w:left w:val="single" w:sz="4" w:space="0" w:color="auto"/>
              <w:bottom w:val="single" w:sz="4" w:space="0" w:color="auto"/>
              <w:right w:val="single" w:sz="4" w:space="0" w:color="auto"/>
            </w:tcBorders>
            <w:shd w:val="clear" w:color="auto" w:fill="auto"/>
            <w:vAlign w:val="center"/>
          </w:tcPr>
          <w:p w:rsidR="00A454D6" w:rsidRPr="000C675E" w:rsidRDefault="00A454D6" w:rsidP="009E7910">
            <w:pPr>
              <w:pStyle w:val="TableText"/>
              <w:rPr>
                <w:rFonts w:cstheme="minorHAnsi"/>
                <w:b/>
                <w:i/>
                <w:sz w:val="18"/>
                <w:szCs w:val="18"/>
              </w:rPr>
            </w:pPr>
            <w:r w:rsidRPr="000C675E">
              <w:rPr>
                <w:rFonts w:cstheme="minorHAnsi"/>
                <w:b/>
                <w:i/>
                <w:sz w:val="18"/>
                <w:szCs w:val="18"/>
              </w:rPr>
              <w:t>PBAC scenario (VTX AEMP $</w:t>
            </w:r>
            <w:r w:rsidR="00777702">
              <w:rPr>
                <w:rFonts w:cstheme="minorHAnsi"/>
                <w:b/>
                <w:i/>
                <w:noProof/>
                <w:color w:val="000000"/>
                <w:sz w:val="18"/>
                <w:szCs w:val="18"/>
                <w:highlight w:val="black"/>
              </w:rPr>
              <w:t>'''''''''''''''</w:t>
            </w:r>
            <w:r w:rsidRPr="000C675E">
              <w:rPr>
                <w:rFonts w:cstheme="minorHAnsi"/>
                <w:b/>
                <w:i/>
                <w:sz w:val="18"/>
                <w:szCs w:val="18"/>
              </w:rPr>
              <w:t xml:space="preserve"> as per March </w:t>
            </w:r>
            <w:r w:rsidR="00841E06" w:rsidRPr="000C675E">
              <w:rPr>
                <w:rFonts w:cstheme="minorHAnsi"/>
                <w:b/>
                <w:i/>
                <w:sz w:val="18"/>
                <w:szCs w:val="18"/>
              </w:rPr>
              <w:t>20</w:t>
            </w:r>
            <w:r w:rsidRPr="000C675E">
              <w:rPr>
                <w:rFonts w:cstheme="minorHAnsi"/>
                <w:b/>
                <w:i/>
                <w:sz w:val="18"/>
                <w:szCs w:val="18"/>
              </w:rPr>
              <w:t>21 submission)</w:t>
            </w:r>
          </w:p>
        </w:tc>
      </w:tr>
      <w:tr w:rsidR="008C3C11" w:rsidRPr="000C675E" w:rsidTr="00A83A85">
        <w:trPr>
          <w:trHeight w:val="288"/>
        </w:trPr>
        <w:tc>
          <w:tcPr>
            <w:tcW w:w="640" w:type="pct"/>
            <w:tcBorders>
              <w:top w:val="nil"/>
              <w:left w:val="single" w:sz="4" w:space="0" w:color="auto"/>
              <w:bottom w:val="single" w:sz="4" w:space="0" w:color="auto"/>
              <w:right w:val="single" w:sz="4" w:space="0" w:color="auto"/>
            </w:tcBorders>
            <w:shd w:val="clear" w:color="auto" w:fill="auto"/>
            <w:vAlign w:val="bottom"/>
            <w:hideMark/>
          </w:tcPr>
          <w:p w:rsidR="00A454D6" w:rsidRPr="000C675E" w:rsidRDefault="00A454D6" w:rsidP="009E7910">
            <w:pPr>
              <w:pStyle w:val="TableText"/>
              <w:rPr>
                <w:rFonts w:cstheme="minorHAnsi"/>
                <w:i/>
                <w:sz w:val="18"/>
                <w:szCs w:val="18"/>
              </w:rPr>
            </w:pPr>
            <w:r w:rsidRPr="000C675E">
              <w:rPr>
                <w:rFonts w:cstheme="minorHAnsi"/>
                <w:i/>
                <w:sz w:val="18"/>
                <w:szCs w:val="18"/>
              </w:rPr>
              <w:t>VTX+AZA versus AZA</w:t>
            </w:r>
          </w:p>
        </w:tc>
        <w:tc>
          <w:tcPr>
            <w:tcW w:w="444" w:type="pct"/>
            <w:tcBorders>
              <w:top w:val="nil"/>
              <w:left w:val="nil"/>
              <w:bottom w:val="single" w:sz="4" w:space="0" w:color="auto"/>
              <w:right w:val="single" w:sz="4" w:space="0" w:color="auto"/>
            </w:tcBorders>
            <w:shd w:val="clear" w:color="auto" w:fill="auto"/>
            <w:vAlign w:val="bottom"/>
            <w:hideMark/>
          </w:tcPr>
          <w:p w:rsidR="00A454D6" w:rsidRPr="000C675E" w:rsidRDefault="00A454D6" w:rsidP="009E7910">
            <w:pPr>
              <w:pStyle w:val="TableText"/>
              <w:jc w:val="center"/>
              <w:rPr>
                <w:rFonts w:cstheme="minorHAnsi"/>
                <w:i/>
                <w:sz w:val="18"/>
                <w:szCs w:val="18"/>
              </w:rPr>
            </w:pPr>
            <w:r w:rsidRPr="000C675E">
              <w:rPr>
                <w:rFonts w:cstheme="minorHAnsi"/>
                <w:i/>
                <w:sz w:val="18"/>
                <w:szCs w:val="18"/>
              </w:rPr>
              <w:t>55.6%</w:t>
            </w:r>
          </w:p>
        </w:tc>
        <w:tc>
          <w:tcPr>
            <w:tcW w:w="453"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w:t>
            </w:r>
            <w:r w:rsidR="00777702">
              <w:rPr>
                <w:rFonts w:cstheme="minorHAnsi"/>
                <w:i/>
                <w:noProof/>
                <w:color w:val="000000"/>
                <w:sz w:val="18"/>
                <w:szCs w:val="18"/>
                <w:highlight w:val="black"/>
              </w:rPr>
              <w:t>'''''''''''''''''</w:t>
            </w:r>
          </w:p>
        </w:tc>
        <w:tc>
          <w:tcPr>
            <w:tcW w:w="615"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$34,399</w:t>
            </w:r>
          </w:p>
        </w:tc>
        <w:tc>
          <w:tcPr>
            <w:tcW w:w="612"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w:t>
            </w:r>
            <w:r w:rsidR="00777702">
              <w:rPr>
                <w:rFonts w:cstheme="minorHAnsi"/>
                <w:i/>
                <w:noProof/>
                <w:color w:val="000000"/>
                <w:sz w:val="18"/>
                <w:szCs w:val="18"/>
                <w:highlight w:val="black"/>
              </w:rPr>
              <w:t>'''''''''''''''''</w:t>
            </w:r>
          </w:p>
        </w:tc>
        <w:tc>
          <w:tcPr>
            <w:tcW w:w="543"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1.438</w:t>
            </w:r>
          </w:p>
        </w:tc>
        <w:tc>
          <w:tcPr>
            <w:tcW w:w="578"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0.784</w:t>
            </w:r>
          </w:p>
        </w:tc>
        <w:tc>
          <w:tcPr>
            <w:tcW w:w="569"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A71D24">
              <w:rPr>
                <w:rFonts w:cstheme="minorHAnsi"/>
                <w:i/>
                <w:sz w:val="18"/>
                <w:szCs w:val="18"/>
              </w:rPr>
              <w:t>0.653</w:t>
            </w:r>
          </w:p>
        </w:tc>
        <w:tc>
          <w:tcPr>
            <w:tcW w:w="545" w:type="pct"/>
            <w:tcBorders>
              <w:top w:val="nil"/>
              <w:left w:val="nil"/>
              <w:bottom w:val="single" w:sz="4" w:space="0" w:color="auto"/>
              <w:right w:val="single" w:sz="4" w:space="0" w:color="auto"/>
            </w:tcBorders>
            <w:shd w:val="clear" w:color="auto" w:fill="auto"/>
            <w:noWrap/>
            <w:vAlign w:val="bottom"/>
          </w:tcPr>
          <w:p w:rsidR="00A454D6" w:rsidRPr="00B911EB" w:rsidRDefault="00A454D6" w:rsidP="009E7910">
            <w:pPr>
              <w:pStyle w:val="TableText"/>
              <w:jc w:val="center"/>
              <w:rPr>
                <w:rFonts w:cstheme="minorHAnsi"/>
                <w:i/>
                <w:sz w:val="18"/>
                <w:szCs w:val="18"/>
                <w:vertAlign w:val="superscript"/>
              </w:rPr>
            </w:pPr>
            <w:r w:rsidRPr="000C675E">
              <w:rPr>
                <w:rFonts w:cstheme="minorHAnsi"/>
                <w:i/>
                <w:sz w:val="18"/>
                <w:szCs w:val="18"/>
              </w:rPr>
              <w:t>$</w:t>
            </w:r>
            <w:r w:rsidR="00777702">
              <w:rPr>
                <w:rFonts w:cstheme="minorHAnsi"/>
                <w:i/>
                <w:noProof/>
                <w:color w:val="000000"/>
                <w:sz w:val="18"/>
                <w:szCs w:val="18"/>
                <w:highlight w:val="black"/>
              </w:rPr>
              <w:t>''''''''''''''''</w:t>
            </w:r>
            <w:r w:rsidR="00F51C6B" w:rsidRPr="00B911EB">
              <w:rPr>
                <w:rFonts w:cstheme="minorHAnsi"/>
                <w:i/>
                <w:sz w:val="18"/>
                <w:szCs w:val="18"/>
                <w:vertAlign w:val="superscript"/>
              </w:rPr>
              <w:t>1</w:t>
            </w:r>
          </w:p>
        </w:tc>
      </w:tr>
      <w:tr w:rsidR="008C3C11" w:rsidRPr="000C675E" w:rsidTr="00A83A85">
        <w:trPr>
          <w:trHeight w:val="407"/>
        </w:trPr>
        <w:tc>
          <w:tcPr>
            <w:tcW w:w="640" w:type="pct"/>
            <w:tcBorders>
              <w:top w:val="nil"/>
              <w:left w:val="single" w:sz="4" w:space="0" w:color="auto"/>
              <w:bottom w:val="single" w:sz="4" w:space="0" w:color="auto"/>
              <w:right w:val="single" w:sz="4" w:space="0" w:color="auto"/>
            </w:tcBorders>
            <w:shd w:val="clear" w:color="auto" w:fill="auto"/>
            <w:vAlign w:val="bottom"/>
            <w:hideMark/>
          </w:tcPr>
          <w:p w:rsidR="00A454D6" w:rsidRPr="000C675E" w:rsidRDefault="00A454D6" w:rsidP="009E7910">
            <w:pPr>
              <w:pStyle w:val="TableText"/>
              <w:rPr>
                <w:rFonts w:cstheme="minorHAnsi"/>
                <w:i/>
                <w:sz w:val="18"/>
                <w:szCs w:val="18"/>
              </w:rPr>
            </w:pPr>
            <w:r w:rsidRPr="000C675E">
              <w:rPr>
                <w:rFonts w:cstheme="minorHAnsi"/>
                <w:i/>
                <w:sz w:val="18"/>
                <w:szCs w:val="18"/>
              </w:rPr>
              <w:t>VTX+AZA versus LoDAC</w:t>
            </w:r>
          </w:p>
        </w:tc>
        <w:tc>
          <w:tcPr>
            <w:tcW w:w="444" w:type="pct"/>
            <w:tcBorders>
              <w:top w:val="nil"/>
              <w:left w:val="nil"/>
              <w:bottom w:val="single" w:sz="4" w:space="0" w:color="auto"/>
              <w:right w:val="single" w:sz="4" w:space="0" w:color="auto"/>
            </w:tcBorders>
            <w:shd w:val="clear" w:color="auto" w:fill="auto"/>
            <w:vAlign w:val="bottom"/>
            <w:hideMark/>
          </w:tcPr>
          <w:p w:rsidR="00A454D6" w:rsidRPr="000C675E" w:rsidRDefault="00A454D6" w:rsidP="009E7910">
            <w:pPr>
              <w:pStyle w:val="TableText"/>
              <w:jc w:val="center"/>
              <w:rPr>
                <w:rFonts w:cstheme="minorHAnsi"/>
                <w:i/>
                <w:sz w:val="18"/>
                <w:szCs w:val="18"/>
              </w:rPr>
            </w:pPr>
            <w:r w:rsidRPr="000C675E">
              <w:rPr>
                <w:rFonts w:cstheme="minorHAnsi"/>
                <w:i/>
                <w:sz w:val="18"/>
                <w:szCs w:val="18"/>
              </w:rPr>
              <w:t>44.4%</w:t>
            </w:r>
          </w:p>
        </w:tc>
        <w:tc>
          <w:tcPr>
            <w:tcW w:w="453"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w:t>
            </w:r>
            <w:r w:rsidR="00777702">
              <w:rPr>
                <w:rFonts w:cstheme="minorHAnsi"/>
                <w:i/>
                <w:noProof/>
                <w:color w:val="000000"/>
                <w:sz w:val="18"/>
                <w:szCs w:val="18"/>
                <w:highlight w:val="black"/>
              </w:rPr>
              <w:t>'''''''''''''''</w:t>
            </w:r>
          </w:p>
        </w:tc>
        <w:tc>
          <w:tcPr>
            <w:tcW w:w="615"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$18,631</w:t>
            </w:r>
          </w:p>
        </w:tc>
        <w:tc>
          <w:tcPr>
            <w:tcW w:w="612"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w:t>
            </w:r>
            <w:r w:rsidR="00777702">
              <w:rPr>
                <w:rFonts w:cstheme="minorHAnsi"/>
                <w:i/>
                <w:noProof/>
                <w:color w:val="000000"/>
                <w:sz w:val="18"/>
                <w:szCs w:val="18"/>
                <w:highlight w:val="black"/>
              </w:rPr>
              <w:t>'''''''''''''''''</w:t>
            </w:r>
          </w:p>
        </w:tc>
        <w:tc>
          <w:tcPr>
            <w:tcW w:w="543"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1.425</w:t>
            </w:r>
          </w:p>
        </w:tc>
        <w:tc>
          <w:tcPr>
            <w:tcW w:w="578"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0.740</w:t>
            </w:r>
          </w:p>
        </w:tc>
        <w:tc>
          <w:tcPr>
            <w:tcW w:w="569"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0.686</w:t>
            </w:r>
          </w:p>
        </w:tc>
        <w:tc>
          <w:tcPr>
            <w:tcW w:w="545"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w:t>
            </w:r>
            <w:r w:rsidR="00777702">
              <w:rPr>
                <w:rFonts w:cstheme="minorHAnsi"/>
                <w:i/>
                <w:noProof/>
                <w:color w:val="000000"/>
                <w:sz w:val="18"/>
                <w:szCs w:val="18"/>
                <w:highlight w:val="black"/>
              </w:rPr>
              <w:t>'''''''''''''''''''</w:t>
            </w:r>
            <w:r w:rsidR="00F51C6B">
              <w:rPr>
                <w:rFonts w:cstheme="minorHAnsi"/>
                <w:i/>
                <w:sz w:val="18"/>
                <w:szCs w:val="18"/>
                <w:vertAlign w:val="superscript"/>
              </w:rPr>
              <w:t>2</w:t>
            </w:r>
          </w:p>
        </w:tc>
      </w:tr>
      <w:tr w:rsidR="008C3C11" w:rsidRPr="000C675E" w:rsidTr="00A83A85">
        <w:trPr>
          <w:trHeight w:val="288"/>
        </w:trPr>
        <w:tc>
          <w:tcPr>
            <w:tcW w:w="108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454D6" w:rsidRPr="000C675E" w:rsidRDefault="00A454D6" w:rsidP="009E7910">
            <w:pPr>
              <w:pStyle w:val="TableText"/>
              <w:rPr>
                <w:rFonts w:cstheme="minorHAnsi"/>
                <w:i/>
                <w:sz w:val="18"/>
                <w:szCs w:val="18"/>
              </w:rPr>
            </w:pPr>
            <w:r w:rsidRPr="000C675E">
              <w:rPr>
                <w:rFonts w:cstheme="minorHAnsi"/>
                <w:i/>
                <w:sz w:val="18"/>
                <w:szCs w:val="18"/>
              </w:rPr>
              <w:t>Weighted costs and QALYs</w:t>
            </w:r>
          </w:p>
        </w:tc>
        <w:tc>
          <w:tcPr>
            <w:tcW w:w="453"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w:t>
            </w:r>
            <w:r w:rsidR="00777702">
              <w:rPr>
                <w:rFonts w:cstheme="minorHAnsi"/>
                <w:i/>
                <w:noProof/>
                <w:color w:val="000000"/>
                <w:sz w:val="18"/>
                <w:szCs w:val="18"/>
                <w:highlight w:val="black"/>
              </w:rPr>
              <w:t>'''''''''''''''</w:t>
            </w:r>
          </w:p>
        </w:tc>
        <w:tc>
          <w:tcPr>
            <w:tcW w:w="615"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$27,391</w:t>
            </w:r>
          </w:p>
        </w:tc>
        <w:tc>
          <w:tcPr>
            <w:tcW w:w="612"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w:t>
            </w:r>
            <w:r w:rsidR="00777702">
              <w:rPr>
                <w:rFonts w:cstheme="minorHAnsi"/>
                <w:i/>
                <w:noProof/>
                <w:color w:val="000000"/>
                <w:sz w:val="18"/>
                <w:szCs w:val="18"/>
                <w:highlight w:val="black"/>
              </w:rPr>
              <w:t>''''''''''''''''''</w:t>
            </w:r>
          </w:p>
        </w:tc>
        <w:tc>
          <w:tcPr>
            <w:tcW w:w="543"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1.432</w:t>
            </w:r>
          </w:p>
        </w:tc>
        <w:tc>
          <w:tcPr>
            <w:tcW w:w="578"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0.765</w:t>
            </w:r>
          </w:p>
        </w:tc>
        <w:tc>
          <w:tcPr>
            <w:tcW w:w="569"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0.668</w:t>
            </w:r>
          </w:p>
        </w:tc>
        <w:tc>
          <w:tcPr>
            <w:tcW w:w="54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A454D6" w:rsidRPr="000C675E" w:rsidRDefault="00A454D6" w:rsidP="009E7910">
            <w:pPr>
              <w:pStyle w:val="TableText"/>
              <w:rPr>
                <w:i/>
                <w:sz w:val="18"/>
                <w:szCs w:val="18"/>
              </w:rPr>
            </w:pPr>
            <w:r w:rsidRPr="000C675E">
              <w:rPr>
                <w:i/>
                <w:sz w:val="18"/>
                <w:szCs w:val="18"/>
              </w:rPr>
              <w:t> </w:t>
            </w:r>
          </w:p>
        </w:tc>
      </w:tr>
      <w:tr w:rsidR="008C3C11" w:rsidRPr="000C675E" w:rsidTr="00A83A85">
        <w:trPr>
          <w:trHeight w:val="288"/>
        </w:trPr>
        <w:tc>
          <w:tcPr>
            <w:tcW w:w="108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454D6" w:rsidRPr="000C675E" w:rsidRDefault="00A454D6" w:rsidP="009E7910">
            <w:pPr>
              <w:pStyle w:val="TableText"/>
              <w:rPr>
                <w:rFonts w:cstheme="minorHAnsi"/>
                <w:i/>
                <w:sz w:val="18"/>
                <w:szCs w:val="18"/>
              </w:rPr>
            </w:pPr>
            <w:r w:rsidRPr="000C675E">
              <w:rPr>
                <w:rFonts w:cstheme="minorHAnsi"/>
                <w:i/>
                <w:sz w:val="18"/>
                <w:szCs w:val="18"/>
              </w:rPr>
              <w:t>Weighted ICER</w:t>
            </w:r>
          </w:p>
        </w:tc>
        <w:tc>
          <w:tcPr>
            <w:tcW w:w="3371" w:type="pct"/>
            <w:gridSpan w:val="6"/>
            <w:tcBorders>
              <w:top w:val="single" w:sz="4" w:space="0" w:color="auto"/>
              <w:left w:val="nil"/>
              <w:bottom w:val="single" w:sz="4" w:space="0" w:color="auto"/>
              <w:right w:val="single" w:sz="4" w:space="0" w:color="000000"/>
            </w:tcBorders>
            <w:shd w:val="clear" w:color="auto" w:fill="auto"/>
            <w:noWrap/>
            <w:vAlign w:val="bottom"/>
          </w:tcPr>
          <w:p w:rsidR="00A454D6" w:rsidRPr="000C675E" w:rsidRDefault="00A454D6" w:rsidP="009E7910">
            <w:pPr>
              <w:jc w:val="center"/>
              <w:rPr>
                <w:rFonts w:cs="Calibri"/>
                <w:i/>
                <w:color w:val="000000"/>
                <w:sz w:val="22"/>
                <w:szCs w:val="22"/>
              </w:rPr>
            </w:pPr>
            <w:r w:rsidRPr="000C675E">
              <w:rPr>
                <w:rFonts w:ascii="Arial Narrow" w:hAnsi="Arial Narrow" w:cs="Calibri"/>
                <w:b/>
                <w:i/>
                <w:color w:val="000000"/>
                <w:sz w:val="18"/>
                <w:szCs w:val="18"/>
              </w:rPr>
              <w:t>$</w:t>
            </w:r>
            <w:r w:rsidR="00777702">
              <w:rPr>
                <w:rFonts w:ascii="Arial Narrow" w:hAnsi="Arial Narrow" w:cs="Calibri"/>
                <w:b/>
                <w:i/>
                <w:noProof/>
                <w:color w:val="000000"/>
                <w:sz w:val="18"/>
                <w:szCs w:val="18"/>
                <w:highlight w:val="black"/>
              </w:rPr>
              <w:t>''''''''''''</w:t>
            </w:r>
            <w:r w:rsidR="00F51C6B">
              <w:rPr>
                <w:rFonts w:cstheme="minorHAnsi"/>
                <w:i/>
                <w:sz w:val="18"/>
                <w:szCs w:val="18"/>
                <w:vertAlign w:val="superscript"/>
              </w:rPr>
              <w:t>2</w:t>
            </w:r>
          </w:p>
        </w:tc>
        <w:tc>
          <w:tcPr>
            <w:tcW w:w="545" w:type="pct"/>
            <w:vMerge/>
            <w:tcBorders>
              <w:top w:val="single" w:sz="4" w:space="0" w:color="auto"/>
              <w:left w:val="single" w:sz="4" w:space="0" w:color="auto"/>
              <w:bottom w:val="single" w:sz="4" w:space="0" w:color="000000"/>
              <w:right w:val="single" w:sz="4" w:space="0" w:color="auto"/>
            </w:tcBorders>
            <w:vAlign w:val="center"/>
            <w:hideMark/>
          </w:tcPr>
          <w:p w:rsidR="00A454D6" w:rsidRPr="000C675E" w:rsidRDefault="00A454D6" w:rsidP="009E7910">
            <w:pPr>
              <w:pStyle w:val="TableText"/>
              <w:rPr>
                <w:i/>
                <w:sz w:val="18"/>
                <w:szCs w:val="18"/>
              </w:rPr>
            </w:pPr>
          </w:p>
        </w:tc>
      </w:tr>
      <w:tr w:rsidR="00A454D6" w:rsidRPr="000C675E" w:rsidTr="00A83A85">
        <w:trPr>
          <w:trHeight w:val="288"/>
        </w:trPr>
        <w:tc>
          <w:tcPr>
            <w:tcW w:w="5000" w:type="pct"/>
            <w:gridSpan w:val="9"/>
            <w:tcBorders>
              <w:top w:val="nil"/>
              <w:left w:val="single" w:sz="4" w:space="0" w:color="auto"/>
              <w:bottom w:val="single" w:sz="4" w:space="0" w:color="auto"/>
              <w:right w:val="single" w:sz="4" w:space="0" w:color="auto"/>
            </w:tcBorders>
            <w:shd w:val="clear" w:color="auto" w:fill="auto"/>
            <w:vAlign w:val="center"/>
          </w:tcPr>
          <w:p w:rsidR="00A454D6" w:rsidRPr="000C675E" w:rsidRDefault="00A454D6" w:rsidP="009E7910">
            <w:pPr>
              <w:pStyle w:val="TableText"/>
              <w:rPr>
                <w:rFonts w:cstheme="minorHAnsi"/>
                <w:b/>
                <w:i/>
                <w:sz w:val="18"/>
                <w:szCs w:val="18"/>
              </w:rPr>
            </w:pPr>
            <w:r w:rsidRPr="000C675E">
              <w:rPr>
                <w:rFonts w:cstheme="minorHAnsi"/>
                <w:b/>
                <w:i/>
                <w:sz w:val="18"/>
                <w:szCs w:val="18"/>
              </w:rPr>
              <w:t>PBAC scenario (VTX AEMP $</w:t>
            </w:r>
            <w:r w:rsidR="00777702">
              <w:rPr>
                <w:rFonts w:cstheme="minorHAnsi"/>
                <w:b/>
                <w:i/>
                <w:noProof/>
                <w:color w:val="000000"/>
                <w:sz w:val="18"/>
                <w:szCs w:val="18"/>
                <w:highlight w:val="black"/>
              </w:rPr>
              <w:t>'''''''''''''''''</w:t>
            </w:r>
            <w:r w:rsidRPr="000C675E">
              <w:rPr>
                <w:rFonts w:cstheme="minorHAnsi"/>
                <w:b/>
                <w:i/>
                <w:sz w:val="18"/>
                <w:szCs w:val="18"/>
              </w:rPr>
              <w:t xml:space="preserve"> as per resubmission)</w:t>
            </w:r>
          </w:p>
        </w:tc>
      </w:tr>
      <w:tr w:rsidR="008C3C11" w:rsidRPr="000C675E" w:rsidTr="00A83A85">
        <w:trPr>
          <w:trHeight w:val="288"/>
        </w:trPr>
        <w:tc>
          <w:tcPr>
            <w:tcW w:w="640" w:type="pct"/>
            <w:tcBorders>
              <w:top w:val="nil"/>
              <w:left w:val="single" w:sz="4" w:space="0" w:color="auto"/>
              <w:bottom w:val="single" w:sz="4" w:space="0" w:color="auto"/>
              <w:right w:val="single" w:sz="4" w:space="0" w:color="auto"/>
            </w:tcBorders>
            <w:shd w:val="clear" w:color="auto" w:fill="auto"/>
            <w:vAlign w:val="bottom"/>
            <w:hideMark/>
          </w:tcPr>
          <w:p w:rsidR="00A454D6" w:rsidRPr="000C675E" w:rsidRDefault="00A454D6" w:rsidP="009E7910">
            <w:pPr>
              <w:pStyle w:val="TableText"/>
              <w:rPr>
                <w:rFonts w:cstheme="minorHAnsi"/>
                <w:i/>
                <w:sz w:val="18"/>
                <w:szCs w:val="18"/>
              </w:rPr>
            </w:pPr>
            <w:r w:rsidRPr="000C675E">
              <w:rPr>
                <w:rFonts w:cstheme="minorHAnsi"/>
                <w:i/>
                <w:sz w:val="18"/>
                <w:szCs w:val="18"/>
              </w:rPr>
              <w:t>VTX+AZA versus AZA</w:t>
            </w:r>
          </w:p>
        </w:tc>
        <w:tc>
          <w:tcPr>
            <w:tcW w:w="444" w:type="pct"/>
            <w:tcBorders>
              <w:top w:val="nil"/>
              <w:left w:val="nil"/>
              <w:bottom w:val="single" w:sz="4" w:space="0" w:color="auto"/>
              <w:right w:val="single" w:sz="4" w:space="0" w:color="auto"/>
            </w:tcBorders>
            <w:shd w:val="clear" w:color="auto" w:fill="auto"/>
            <w:vAlign w:val="bottom"/>
            <w:hideMark/>
          </w:tcPr>
          <w:p w:rsidR="00A454D6" w:rsidRPr="000C675E" w:rsidRDefault="00A454D6" w:rsidP="009E7910">
            <w:pPr>
              <w:pStyle w:val="TableText"/>
              <w:jc w:val="center"/>
              <w:rPr>
                <w:rFonts w:cstheme="minorHAnsi"/>
                <w:i/>
                <w:sz w:val="18"/>
                <w:szCs w:val="18"/>
              </w:rPr>
            </w:pPr>
            <w:r w:rsidRPr="000C675E">
              <w:rPr>
                <w:rFonts w:cstheme="minorHAnsi"/>
                <w:i/>
                <w:sz w:val="18"/>
                <w:szCs w:val="18"/>
              </w:rPr>
              <w:t>55.6%</w:t>
            </w:r>
          </w:p>
        </w:tc>
        <w:tc>
          <w:tcPr>
            <w:tcW w:w="453"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w:t>
            </w:r>
            <w:r w:rsidR="00777702">
              <w:rPr>
                <w:rFonts w:cstheme="minorHAnsi"/>
                <w:i/>
                <w:noProof/>
                <w:color w:val="000000"/>
                <w:sz w:val="18"/>
                <w:szCs w:val="18"/>
                <w:highlight w:val="black"/>
              </w:rPr>
              <w:t>''''''''''''''''</w:t>
            </w:r>
          </w:p>
        </w:tc>
        <w:tc>
          <w:tcPr>
            <w:tcW w:w="615"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$34,399</w:t>
            </w:r>
          </w:p>
        </w:tc>
        <w:tc>
          <w:tcPr>
            <w:tcW w:w="612"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w:t>
            </w:r>
            <w:r w:rsidR="00777702">
              <w:rPr>
                <w:rFonts w:cstheme="minorHAnsi"/>
                <w:i/>
                <w:noProof/>
                <w:color w:val="000000"/>
                <w:sz w:val="18"/>
                <w:szCs w:val="18"/>
                <w:highlight w:val="black"/>
              </w:rPr>
              <w:t>'''''''''''''''</w:t>
            </w:r>
          </w:p>
        </w:tc>
        <w:tc>
          <w:tcPr>
            <w:tcW w:w="543"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1.438</w:t>
            </w:r>
          </w:p>
        </w:tc>
        <w:tc>
          <w:tcPr>
            <w:tcW w:w="578"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0.784</w:t>
            </w:r>
          </w:p>
        </w:tc>
        <w:tc>
          <w:tcPr>
            <w:tcW w:w="569"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0.653</w:t>
            </w:r>
          </w:p>
        </w:tc>
        <w:tc>
          <w:tcPr>
            <w:tcW w:w="545"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w:t>
            </w:r>
            <w:r w:rsidR="00777702">
              <w:rPr>
                <w:rFonts w:cstheme="minorHAnsi"/>
                <w:i/>
                <w:noProof/>
                <w:color w:val="000000"/>
                <w:sz w:val="18"/>
                <w:szCs w:val="18"/>
                <w:highlight w:val="black"/>
              </w:rPr>
              <w:t>'''''''''''''''''</w:t>
            </w:r>
            <w:r w:rsidR="00F51C6B" w:rsidRPr="00734311">
              <w:rPr>
                <w:rFonts w:cstheme="minorHAnsi"/>
                <w:i/>
                <w:sz w:val="18"/>
                <w:szCs w:val="18"/>
                <w:vertAlign w:val="superscript"/>
              </w:rPr>
              <w:t>1</w:t>
            </w:r>
          </w:p>
        </w:tc>
      </w:tr>
      <w:tr w:rsidR="008C3C11" w:rsidRPr="000C675E" w:rsidTr="00A83A85">
        <w:trPr>
          <w:trHeight w:val="377"/>
        </w:trPr>
        <w:tc>
          <w:tcPr>
            <w:tcW w:w="640" w:type="pct"/>
            <w:tcBorders>
              <w:top w:val="nil"/>
              <w:left w:val="single" w:sz="4" w:space="0" w:color="auto"/>
              <w:bottom w:val="single" w:sz="4" w:space="0" w:color="auto"/>
              <w:right w:val="single" w:sz="4" w:space="0" w:color="auto"/>
            </w:tcBorders>
            <w:shd w:val="clear" w:color="auto" w:fill="auto"/>
            <w:vAlign w:val="bottom"/>
            <w:hideMark/>
          </w:tcPr>
          <w:p w:rsidR="00A454D6" w:rsidRPr="000C675E" w:rsidRDefault="00A454D6" w:rsidP="009E7910">
            <w:pPr>
              <w:pStyle w:val="TableText"/>
              <w:rPr>
                <w:rFonts w:cstheme="minorHAnsi"/>
                <w:i/>
                <w:sz w:val="18"/>
                <w:szCs w:val="18"/>
              </w:rPr>
            </w:pPr>
            <w:r w:rsidRPr="000C675E">
              <w:rPr>
                <w:rFonts w:cstheme="minorHAnsi"/>
                <w:i/>
                <w:sz w:val="18"/>
                <w:szCs w:val="18"/>
              </w:rPr>
              <w:t>VTX+AZA versus LoDAC</w:t>
            </w:r>
          </w:p>
        </w:tc>
        <w:tc>
          <w:tcPr>
            <w:tcW w:w="444" w:type="pct"/>
            <w:tcBorders>
              <w:top w:val="nil"/>
              <w:left w:val="nil"/>
              <w:bottom w:val="single" w:sz="4" w:space="0" w:color="auto"/>
              <w:right w:val="single" w:sz="4" w:space="0" w:color="auto"/>
            </w:tcBorders>
            <w:shd w:val="clear" w:color="auto" w:fill="auto"/>
            <w:vAlign w:val="bottom"/>
            <w:hideMark/>
          </w:tcPr>
          <w:p w:rsidR="00A454D6" w:rsidRPr="000C675E" w:rsidRDefault="00A454D6" w:rsidP="009E7910">
            <w:pPr>
              <w:pStyle w:val="TableText"/>
              <w:jc w:val="center"/>
              <w:rPr>
                <w:rFonts w:cstheme="minorHAnsi"/>
                <w:i/>
                <w:sz w:val="18"/>
                <w:szCs w:val="18"/>
              </w:rPr>
            </w:pPr>
            <w:r w:rsidRPr="000C675E">
              <w:rPr>
                <w:rFonts w:cstheme="minorHAnsi"/>
                <w:i/>
                <w:sz w:val="18"/>
                <w:szCs w:val="18"/>
              </w:rPr>
              <w:t>44.4%</w:t>
            </w:r>
          </w:p>
        </w:tc>
        <w:tc>
          <w:tcPr>
            <w:tcW w:w="453"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w:t>
            </w:r>
            <w:r w:rsidR="00777702">
              <w:rPr>
                <w:rFonts w:cstheme="minorHAnsi"/>
                <w:i/>
                <w:noProof/>
                <w:color w:val="000000"/>
                <w:sz w:val="18"/>
                <w:szCs w:val="18"/>
                <w:highlight w:val="black"/>
              </w:rPr>
              <w:t>''''''''''''''''</w:t>
            </w:r>
          </w:p>
        </w:tc>
        <w:tc>
          <w:tcPr>
            <w:tcW w:w="615"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$18,631</w:t>
            </w:r>
          </w:p>
        </w:tc>
        <w:tc>
          <w:tcPr>
            <w:tcW w:w="612"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w:t>
            </w:r>
            <w:r w:rsidR="00777702">
              <w:rPr>
                <w:rFonts w:cstheme="minorHAnsi"/>
                <w:i/>
                <w:noProof/>
                <w:color w:val="000000"/>
                <w:sz w:val="18"/>
                <w:szCs w:val="18"/>
                <w:highlight w:val="black"/>
              </w:rPr>
              <w:t>''''''''''''''''''</w:t>
            </w:r>
          </w:p>
        </w:tc>
        <w:tc>
          <w:tcPr>
            <w:tcW w:w="543"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1.425</w:t>
            </w:r>
          </w:p>
        </w:tc>
        <w:tc>
          <w:tcPr>
            <w:tcW w:w="578"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0.740</w:t>
            </w:r>
          </w:p>
        </w:tc>
        <w:tc>
          <w:tcPr>
            <w:tcW w:w="569"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0.686</w:t>
            </w:r>
          </w:p>
        </w:tc>
        <w:tc>
          <w:tcPr>
            <w:tcW w:w="545"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theme="minorHAnsi"/>
                <w:i/>
                <w:sz w:val="18"/>
                <w:szCs w:val="18"/>
              </w:rPr>
              <w:t>$</w:t>
            </w:r>
            <w:r w:rsidR="00777702">
              <w:rPr>
                <w:rFonts w:cstheme="minorHAnsi"/>
                <w:i/>
                <w:noProof/>
                <w:color w:val="000000"/>
                <w:sz w:val="18"/>
                <w:szCs w:val="18"/>
                <w:highlight w:val="black"/>
              </w:rPr>
              <w:t>'''''''''''''''''''''</w:t>
            </w:r>
            <w:r w:rsidR="00F51C6B">
              <w:rPr>
                <w:rFonts w:cstheme="minorHAnsi"/>
                <w:i/>
                <w:sz w:val="18"/>
                <w:szCs w:val="18"/>
                <w:vertAlign w:val="superscript"/>
              </w:rPr>
              <w:t>2</w:t>
            </w:r>
          </w:p>
        </w:tc>
      </w:tr>
      <w:tr w:rsidR="008C3C11" w:rsidRPr="000C675E" w:rsidTr="00A83A85">
        <w:trPr>
          <w:trHeight w:val="288"/>
        </w:trPr>
        <w:tc>
          <w:tcPr>
            <w:tcW w:w="108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454D6" w:rsidRPr="000C675E" w:rsidRDefault="00A454D6" w:rsidP="009E7910">
            <w:pPr>
              <w:pStyle w:val="TableText"/>
              <w:rPr>
                <w:rFonts w:cstheme="minorHAnsi"/>
                <w:i/>
                <w:sz w:val="18"/>
                <w:szCs w:val="18"/>
              </w:rPr>
            </w:pPr>
            <w:r w:rsidRPr="000C675E">
              <w:rPr>
                <w:rFonts w:cstheme="minorHAnsi"/>
                <w:i/>
                <w:sz w:val="18"/>
                <w:szCs w:val="18"/>
              </w:rPr>
              <w:t>Weighted costs and QALYs</w:t>
            </w:r>
          </w:p>
        </w:tc>
        <w:tc>
          <w:tcPr>
            <w:tcW w:w="453"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Calibri"/>
                <w:i/>
                <w:color w:val="000000"/>
                <w:sz w:val="18"/>
                <w:szCs w:val="18"/>
              </w:rPr>
              <w:t>$</w:t>
            </w:r>
            <w:r w:rsidR="00777702">
              <w:rPr>
                <w:rFonts w:cs="Calibri"/>
                <w:i/>
                <w:noProof/>
                <w:color w:val="000000"/>
                <w:sz w:val="18"/>
                <w:szCs w:val="18"/>
                <w:highlight w:val="black"/>
              </w:rPr>
              <w:t>''''''''''''''''</w:t>
            </w:r>
          </w:p>
        </w:tc>
        <w:tc>
          <w:tcPr>
            <w:tcW w:w="615"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Calibri"/>
                <w:i/>
                <w:color w:val="000000"/>
                <w:sz w:val="18"/>
                <w:szCs w:val="18"/>
              </w:rPr>
              <w:t>$27,391</w:t>
            </w:r>
          </w:p>
        </w:tc>
        <w:tc>
          <w:tcPr>
            <w:tcW w:w="612"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Calibri"/>
                <w:i/>
                <w:color w:val="000000"/>
                <w:sz w:val="18"/>
                <w:szCs w:val="18"/>
              </w:rPr>
              <w:t>$</w:t>
            </w:r>
            <w:r w:rsidR="00777702">
              <w:rPr>
                <w:rFonts w:cs="Calibri"/>
                <w:i/>
                <w:noProof/>
                <w:color w:val="000000"/>
                <w:sz w:val="18"/>
                <w:szCs w:val="18"/>
                <w:highlight w:val="black"/>
              </w:rPr>
              <w:t>''''''''''''''''''</w:t>
            </w:r>
          </w:p>
        </w:tc>
        <w:tc>
          <w:tcPr>
            <w:tcW w:w="543"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Calibri"/>
                <w:i/>
                <w:color w:val="000000"/>
                <w:sz w:val="18"/>
                <w:szCs w:val="18"/>
              </w:rPr>
              <w:t>1.432</w:t>
            </w:r>
          </w:p>
        </w:tc>
        <w:tc>
          <w:tcPr>
            <w:tcW w:w="578"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Calibri"/>
                <w:i/>
                <w:color w:val="000000"/>
                <w:sz w:val="18"/>
                <w:szCs w:val="18"/>
              </w:rPr>
              <w:t>0.765</w:t>
            </w:r>
          </w:p>
        </w:tc>
        <w:tc>
          <w:tcPr>
            <w:tcW w:w="569" w:type="pct"/>
            <w:tcBorders>
              <w:top w:val="nil"/>
              <w:left w:val="nil"/>
              <w:bottom w:val="single" w:sz="4" w:space="0" w:color="auto"/>
              <w:right w:val="single" w:sz="4" w:space="0" w:color="auto"/>
            </w:tcBorders>
            <w:shd w:val="clear" w:color="auto" w:fill="auto"/>
            <w:noWrap/>
            <w:vAlign w:val="bottom"/>
          </w:tcPr>
          <w:p w:rsidR="00A454D6" w:rsidRPr="000C675E" w:rsidRDefault="00A454D6" w:rsidP="009E7910">
            <w:pPr>
              <w:pStyle w:val="TableText"/>
              <w:jc w:val="center"/>
              <w:rPr>
                <w:rFonts w:cstheme="minorHAnsi"/>
                <w:i/>
                <w:sz w:val="18"/>
                <w:szCs w:val="18"/>
              </w:rPr>
            </w:pPr>
            <w:r w:rsidRPr="000C675E">
              <w:rPr>
                <w:rFonts w:cs="Calibri"/>
                <w:i/>
                <w:color w:val="000000"/>
                <w:sz w:val="18"/>
                <w:szCs w:val="18"/>
              </w:rPr>
              <w:t>0.668</w:t>
            </w:r>
          </w:p>
        </w:tc>
        <w:tc>
          <w:tcPr>
            <w:tcW w:w="54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A454D6" w:rsidRPr="000C675E" w:rsidRDefault="00A454D6" w:rsidP="009E7910">
            <w:pPr>
              <w:pStyle w:val="TableText"/>
              <w:rPr>
                <w:i/>
                <w:sz w:val="18"/>
                <w:szCs w:val="18"/>
              </w:rPr>
            </w:pPr>
            <w:r w:rsidRPr="000C675E">
              <w:rPr>
                <w:i/>
                <w:sz w:val="18"/>
                <w:szCs w:val="18"/>
              </w:rPr>
              <w:t> </w:t>
            </w:r>
          </w:p>
        </w:tc>
      </w:tr>
      <w:tr w:rsidR="008C3C11" w:rsidRPr="000C675E" w:rsidTr="00A83A85">
        <w:trPr>
          <w:trHeight w:val="288"/>
        </w:trPr>
        <w:tc>
          <w:tcPr>
            <w:tcW w:w="108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454D6" w:rsidRPr="000C675E" w:rsidRDefault="00A454D6" w:rsidP="009E7910">
            <w:pPr>
              <w:pStyle w:val="TableText"/>
              <w:rPr>
                <w:rFonts w:cstheme="minorHAnsi"/>
                <w:i/>
                <w:sz w:val="18"/>
                <w:szCs w:val="18"/>
              </w:rPr>
            </w:pPr>
            <w:r w:rsidRPr="000C675E">
              <w:rPr>
                <w:rFonts w:cstheme="minorHAnsi"/>
                <w:i/>
                <w:sz w:val="18"/>
                <w:szCs w:val="18"/>
              </w:rPr>
              <w:t>Weighted ICER</w:t>
            </w:r>
          </w:p>
        </w:tc>
        <w:tc>
          <w:tcPr>
            <w:tcW w:w="3371" w:type="pct"/>
            <w:gridSpan w:val="6"/>
            <w:tcBorders>
              <w:top w:val="single" w:sz="4" w:space="0" w:color="auto"/>
              <w:left w:val="nil"/>
              <w:bottom w:val="single" w:sz="4" w:space="0" w:color="auto"/>
              <w:right w:val="single" w:sz="4" w:space="0" w:color="000000"/>
            </w:tcBorders>
            <w:shd w:val="clear" w:color="auto" w:fill="auto"/>
            <w:noWrap/>
            <w:vAlign w:val="bottom"/>
          </w:tcPr>
          <w:p w:rsidR="00A454D6" w:rsidRPr="000C675E" w:rsidRDefault="00A454D6" w:rsidP="009E7910">
            <w:pPr>
              <w:jc w:val="center"/>
              <w:rPr>
                <w:rFonts w:ascii="Arial Narrow" w:hAnsi="Arial Narrow" w:cs="Calibri"/>
                <w:b/>
                <w:i/>
                <w:color w:val="000000"/>
                <w:sz w:val="18"/>
                <w:szCs w:val="18"/>
              </w:rPr>
            </w:pPr>
            <w:r w:rsidRPr="000C675E">
              <w:rPr>
                <w:rFonts w:ascii="Arial Narrow" w:hAnsi="Arial Narrow" w:cs="Calibri"/>
                <w:b/>
                <w:i/>
                <w:color w:val="000000"/>
                <w:sz w:val="18"/>
                <w:szCs w:val="18"/>
              </w:rPr>
              <w:t>$</w:t>
            </w:r>
            <w:r w:rsidR="00777702">
              <w:rPr>
                <w:rFonts w:ascii="Arial Narrow" w:hAnsi="Arial Narrow" w:cs="Calibri"/>
                <w:b/>
                <w:i/>
                <w:noProof/>
                <w:color w:val="000000"/>
                <w:sz w:val="18"/>
                <w:szCs w:val="18"/>
                <w:highlight w:val="black"/>
              </w:rPr>
              <w:t>''''''''''''''</w:t>
            </w:r>
            <w:r w:rsidR="00F51C6B">
              <w:rPr>
                <w:rFonts w:cstheme="minorHAnsi"/>
                <w:i/>
                <w:sz w:val="18"/>
                <w:szCs w:val="18"/>
                <w:vertAlign w:val="superscript"/>
              </w:rPr>
              <w:t>2</w:t>
            </w:r>
          </w:p>
        </w:tc>
        <w:tc>
          <w:tcPr>
            <w:tcW w:w="545" w:type="pct"/>
            <w:vMerge/>
            <w:tcBorders>
              <w:top w:val="single" w:sz="4" w:space="0" w:color="auto"/>
              <w:left w:val="single" w:sz="4" w:space="0" w:color="auto"/>
              <w:bottom w:val="single" w:sz="4" w:space="0" w:color="000000"/>
              <w:right w:val="single" w:sz="4" w:space="0" w:color="auto"/>
            </w:tcBorders>
            <w:vAlign w:val="center"/>
            <w:hideMark/>
          </w:tcPr>
          <w:p w:rsidR="00A454D6" w:rsidRPr="000C675E" w:rsidRDefault="00A454D6" w:rsidP="009E7910">
            <w:pPr>
              <w:pStyle w:val="TableText"/>
              <w:rPr>
                <w:i/>
                <w:sz w:val="18"/>
                <w:szCs w:val="18"/>
              </w:rPr>
            </w:pPr>
          </w:p>
        </w:tc>
      </w:tr>
      <w:tr w:rsidR="008C3C11" w:rsidRPr="000C675E" w:rsidTr="00A83A85">
        <w:trPr>
          <w:trHeight w:val="288"/>
        </w:trPr>
        <w:tc>
          <w:tcPr>
            <w:tcW w:w="5000" w:type="pct"/>
            <w:gridSpan w:val="9"/>
            <w:tcBorders>
              <w:top w:val="nil"/>
              <w:left w:val="single" w:sz="4" w:space="0" w:color="auto"/>
              <w:bottom w:val="single" w:sz="4" w:space="0" w:color="auto"/>
              <w:right w:val="single" w:sz="4" w:space="0" w:color="auto"/>
            </w:tcBorders>
            <w:shd w:val="clear" w:color="auto" w:fill="auto"/>
            <w:vAlign w:val="center"/>
          </w:tcPr>
          <w:p w:rsidR="008C3C11" w:rsidRPr="000C675E" w:rsidRDefault="008C3C11" w:rsidP="009E7910">
            <w:pPr>
              <w:pStyle w:val="TableText"/>
              <w:rPr>
                <w:rFonts w:cstheme="minorHAnsi"/>
                <w:b/>
                <w:i/>
                <w:sz w:val="18"/>
                <w:szCs w:val="18"/>
              </w:rPr>
            </w:pPr>
            <w:r w:rsidRPr="000C675E">
              <w:rPr>
                <w:rFonts w:cstheme="minorHAnsi"/>
                <w:b/>
                <w:i/>
                <w:sz w:val="18"/>
                <w:szCs w:val="18"/>
              </w:rPr>
              <w:t>PBAC scenario (VTX AEMP $</w:t>
            </w:r>
            <w:r w:rsidR="00777702">
              <w:rPr>
                <w:rFonts w:cstheme="minorHAnsi"/>
                <w:b/>
                <w:i/>
                <w:noProof/>
                <w:color w:val="000000"/>
                <w:sz w:val="18"/>
                <w:szCs w:val="18"/>
                <w:highlight w:val="black"/>
              </w:rPr>
              <w:t>''''''''''</w:t>
            </w:r>
            <w:r w:rsidRPr="000C675E">
              <w:rPr>
                <w:rFonts w:cstheme="minorHAnsi"/>
                <w:b/>
                <w:i/>
                <w:sz w:val="18"/>
                <w:szCs w:val="18"/>
              </w:rPr>
              <w:t xml:space="preserve"> required for weighted ICER of </w:t>
            </w:r>
            <w:r w:rsidR="004B2028" w:rsidRPr="000C675E">
              <w:rPr>
                <w:rFonts w:cstheme="minorHAnsi"/>
                <w:b/>
                <w:i/>
                <w:sz w:val="18"/>
                <w:szCs w:val="18"/>
              </w:rPr>
              <w:t xml:space="preserve">approximately </w:t>
            </w:r>
            <w:r w:rsidRPr="000C675E">
              <w:rPr>
                <w:rFonts w:cstheme="minorHAnsi"/>
                <w:b/>
                <w:i/>
                <w:sz w:val="18"/>
                <w:szCs w:val="18"/>
              </w:rPr>
              <w:t>$</w:t>
            </w:r>
            <w:r w:rsidR="00777702">
              <w:rPr>
                <w:rFonts w:cstheme="minorHAnsi"/>
                <w:b/>
                <w:i/>
                <w:noProof/>
                <w:color w:val="000000"/>
                <w:sz w:val="18"/>
                <w:szCs w:val="18"/>
                <w:highlight w:val="black"/>
              </w:rPr>
              <w:t>'''''''''''''''</w:t>
            </w:r>
            <w:r w:rsidR="00F51C6B" w:rsidRPr="00734311">
              <w:rPr>
                <w:rFonts w:cstheme="minorHAnsi"/>
                <w:i/>
                <w:sz w:val="18"/>
                <w:szCs w:val="18"/>
                <w:vertAlign w:val="superscript"/>
              </w:rPr>
              <w:t>1</w:t>
            </w:r>
            <w:r w:rsidRPr="000C675E">
              <w:rPr>
                <w:rFonts w:cstheme="minorHAnsi"/>
                <w:b/>
                <w:i/>
                <w:sz w:val="18"/>
                <w:szCs w:val="18"/>
              </w:rPr>
              <w:t>/QALY)</w:t>
            </w:r>
          </w:p>
        </w:tc>
      </w:tr>
      <w:tr w:rsidR="008C3C11" w:rsidRPr="000C675E" w:rsidTr="00A83A85">
        <w:trPr>
          <w:trHeight w:val="288"/>
        </w:trPr>
        <w:tc>
          <w:tcPr>
            <w:tcW w:w="640" w:type="pct"/>
            <w:tcBorders>
              <w:top w:val="nil"/>
              <w:left w:val="single" w:sz="4" w:space="0" w:color="auto"/>
              <w:bottom w:val="single" w:sz="4" w:space="0" w:color="auto"/>
              <w:right w:val="single" w:sz="4" w:space="0" w:color="auto"/>
            </w:tcBorders>
            <w:shd w:val="clear" w:color="auto" w:fill="auto"/>
            <w:vAlign w:val="bottom"/>
            <w:hideMark/>
          </w:tcPr>
          <w:p w:rsidR="008C3C11" w:rsidRPr="000C675E" w:rsidRDefault="008C3C11" w:rsidP="009E7910">
            <w:pPr>
              <w:pStyle w:val="TableText"/>
              <w:rPr>
                <w:rFonts w:cstheme="minorHAnsi"/>
                <w:i/>
                <w:sz w:val="18"/>
                <w:szCs w:val="18"/>
              </w:rPr>
            </w:pPr>
            <w:r w:rsidRPr="000C675E">
              <w:rPr>
                <w:rFonts w:cstheme="minorHAnsi"/>
                <w:i/>
                <w:sz w:val="18"/>
                <w:szCs w:val="18"/>
              </w:rPr>
              <w:t>VTX+AZA versus AZA</w:t>
            </w:r>
          </w:p>
        </w:tc>
        <w:tc>
          <w:tcPr>
            <w:tcW w:w="444" w:type="pct"/>
            <w:tcBorders>
              <w:top w:val="nil"/>
              <w:left w:val="nil"/>
              <w:bottom w:val="single" w:sz="4" w:space="0" w:color="auto"/>
              <w:right w:val="single" w:sz="4" w:space="0" w:color="auto"/>
            </w:tcBorders>
            <w:shd w:val="clear" w:color="auto" w:fill="auto"/>
            <w:vAlign w:val="bottom"/>
            <w:hideMark/>
          </w:tcPr>
          <w:p w:rsidR="008C3C11" w:rsidRPr="000C675E" w:rsidRDefault="008C3C11" w:rsidP="009E7910">
            <w:pPr>
              <w:pStyle w:val="TableText"/>
              <w:jc w:val="center"/>
              <w:rPr>
                <w:rFonts w:cstheme="minorHAnsi"/>
                <w:i/>
                <w:sz w:val="18"/>
                <w:szCs w:val="18"/>
              </w:rPr>
            </w:pPr>
            <w:r w:rsidRPr="000C675E">
              <w:rPr>
                <w:rFonts w:cstheme="minorHAnsi"/>
                <w:i/>
                <w:sz w:val="18"/>
                <w:szCs w:val="18"/>
              </w:rPr>
              <w:t>55.6%</w:t>
            </w:r>
          </w:p>
        </w:tc>
        <w:tc>
          <w:tcPr>
            <w:tcW w:w="453" w:type="pct"/>
            <w:tcBorders>
              <w:top w:val="nil"/>
              <w:left w:val="nil"/>
              <w:bottom w:val="single" w:sz="4" w:space="0" w:color="auto"/>
              <w:right w:val="single" w:sz="4" w:space="0" w:color="auto"/>
            </w:tcBorders>
            <w:shd w:val="clear" w:color="auto" w:fill="auto"/>
            <w:noWrap/>
            <w:vAlign w:val="bottom"/>
          </w:tcPr>
          <w:p w:rsidR="008C3C11" w:rsidRPr="000C675E" w:rsidRDefault="008C3C11" w:rsidP="009E7910">
            <w:pPr>
              <w:pStyle w:val="TableText"/>
              <w:jc w:val="center"/>
              <w:rPr>
                <w:rFonts w:cstheme="minorHAnsi"/>
                <w:i/>
                <w:sz w:val="18"/>
                <w:szCs w:val="18"/>
              </w:rPr>
            </w:pPr>
            <w:r w:rsidRPr="000C675E">
              <w:rPr>
                <w:rFonts w:cstheme="minorHAnsi"/>
                <w:i/>
                <w:sz w:val="18"/>
                <w:szCs w:val="18"/>
              </w:rPr>
              <w:t>$</w:t>
            </w:r>
            <w:r w:rsidR="00777702">
              <w:rPr>
                <w:rFonts w:cstheme="minorHAnsi"/>
                <w:i/>
                <w:noProof/>
                <w:color w:val="000000"/>
                <w:sz w:val="18"/>
                <w:szCs w:val="18"/>
                <w:highlight w:val="black"/>
              </w:rPr>
              <w:t>'''''''''''''''''</w:t>
            </w:r>
          </w:p>
        </w:tc>
        <w:tc>
          <w:tcPr>
            <w:tcW w:w="615" w:type="pct"/>
            <w:tcBorders>
              <w:top w:val="nil"/>
              <w:left w:val="nil"/>
              <w:bottom w:val="single" w:sz="4" w:space="0" w:color="auto"/>
              <w:right w:val="single" w:sz="4" w:space="0" w:color="auto"/>
            </w:tcBorders>
            <w:shd w:val="clear" w:color="auto" w:fill="auto"/>
            <w:noWrap/>
            <w:vAlign w:val="bottom"/>
          </w:tcPr>
          <w:p w:rsidR="008C3C11" w:rsidRPr="000C675E" w:rsidRDefault="008C3C11" w:rsidP="009E7910">
            <w:pPr>
              <w:pStyle w:val="TableText"/>
              <w:jc w:val="center"/>
              <w:rPr>
                <w:rFonts w:cstheme="minorHAnsi"/>
                <w:i/>
                <w:sz w:val="18"/>
                <w:szCs w:val="18"/>
              </w:rPr>
            </w:pPr>
            <w:r w:rsidRPr="000C675E">
              <w:rPr>
                <w:rFonts w:cstheme="minorHAnsi"/>
                <w:i/>
                <w:sz w:val="18"/>
                <w:szCs w:val="18"/>
              </w:rPr>
              <w:t>$34,399</w:t>
            </w:r>
          </w:p>
        </w:tc>
        <w:tc>
          <w:tcPr>
            <w:tcW w:w="612" w:type="pct"/>
            <w:tcBorders>
              <w:top w:val="nil"/>
              <w:left w:val="nil"/>
              <w:bottom w:val="single" w:sz="4" w:space="0" w:color="auto"/>
              <w:right w:val="single" w:sz="4" w:space="0" w:color="auto"/>
            </w:tcBorders>
            <w:shd w:val="clear" w:color="auto" w:fill="auto"/>
            <w:noWrap/>
            <w:vAlign w:val="bottom"/>
          </w:tcPr>
          <w:p w:rsidR="008C3C11" w:rsidRPr="000C675E" w:rsidRDefault="008C3C11" w:rsidP="009E7910">
            <w:pPr>
              <w:pStyle w:val="TableText"/>
              <w:jc w:val="center"/>
              <w:rPr>
                <w:rFonts w:cstheme="minorHAnsi"/>
                <w:i/>
                <w:sz w:val="18"/>
                <w:szCs w:val="18"/>
              </w:rPr>
            </w:pPr>
            <w:r w:rsidRPr="000C675E">
              <w:rPr>
                <w:rFonts w:cstheme="minorHAnsi"/>
                <w:i/>
                <w:sz w:val="18"/>
                <w:szCs w:val="18"/>
              </w:rPr>
              <w:t>$</w:t>
            </w:r>
            <w:r w:rsidR="00777702">
              <w:rPr>
                <w:rFonts w:cstheme="minorHAnsi"/>
                <w:i/>
                <w:noProof/>
                <w:color w:val="000000"/>
                <w:sz w:val="18"/>
                <w:szCs w:val="18"/>
                <w:highlight w:val="black"/>
              </w:rPr>
              <w:t>''''''''''''''''</w:t>
            </w:r>
          </w:p>
        </w:tc>
        <w:tc>
          <w:tcPr>
            <w:tcW w:w="543" w:type="pct"/>
            <w:tcBorders>
              <w:top w:val="nil"/>
              <w:left w:val="nil"/>
              <w:bottom w:val="single" w:sz="4" w:space="0" w:color="auto"/>
              <w:right w:val="single" w:sz="4" w:space="0" w:color="auto"/>
            </w:tcBorders>
            <w:shd w:val="clear" w:color="auto" w:fill="auto"/>
            <w:noWrap/>
            <w:vAlign w:val="bottom"/>
          </w:tcPr>
          <w:p w:rsidR="008C3C11" w:rsidRPr="000C675E" w:rsidRDefault="008C3C11" w:rsidP="009E7910">
            <w:pPr>
              <w:pStyle w:val="TableText"/>
              <w:jc w:val="center"/>
              <w:rPr>
                <w:rFonts w:cstheme="minorHAnsi"/>
                <w:i/>
                <w:sz w:val="18"/>
                <w:szCs w:val="18"/>
              </w:rPr>
            </w:pPr>
            <w:r w:rsidRPr="000C675E">
              <w:rPr>
                <w:rFonts w:cstheme="minorHAnsi"/>
                <w:i/>
                <w:sz w:val="18"/>
                <w:szCs w:val="18"/>
              </w:rPr>
              <w:t>1.438</w:t>
            </w:r>
          </w:p>
        </w:tc>
        <w:tc>
          <w:tcPr>
            <w:tcW w:w="578" w:type="pct"/>
            <w:tcBorders>
              <w:top w:val="nil"/>
              <w:left w:val="nil"/>
              <w:bottom w:val="single" w:sz="4" w:space="0" w:color="auto"/>
              <w:right w:val="single" w:sz="4" w:space="0" w:color="auto"/>
            </w:tcBorders>
            <w:shd w:val="clear" w:color="auto" w:fill="auto"/>
            <w:noWrap/>
            <w:vAlign w:val="bottom"/>
          </w:tcPr>
          <w:p w:rsidR="008C3C11" w:rsidRPr="000C675E" w:rsidRDefault="008C3C11" w:rsidP="009E7910">
            <w:pPr>
              <w:pStyle w:val="TableText"/>
              <w:jc w:val="center"/>
              <w:rPr>
                <w:rFonts w:cstheme="minorHAnsi"/>
                <w:i/>
                <w:sz w:val="18"/>
                <w:szCs w:val="18"/>
              </w:rPr>
            </w:pPr>
            <w:r w:rsidRPr="000C675E">
              <w:rPr>
                <w:rFonts w:cstheme="minorHAnsi"/>
                <w:i/>
                <w:sz w:val="18"/>
                <w:szCs w:val="18"/>
              </w:rPr>
              <w:t>0.784</w:t>
            </w:r>
          </w:p>
        </w:tc>
        <w:tc>
          <w:tcPr>
            <w:tcW w:w="569" w:type="pct"/>
            <w:tcBorders>
              <w:top w:val="nil"/>
              <w:left w:val="nil"/>
              <w:bottom w:val="single" w:sz="4" w:space="0" w:color="auto"/>
              <w:right w:val="single" w:sz="4" w:space="0" w:color="auto"/>
            </w:tcBorders>
            <w:shd w:val="clear" w:color="auto" w:fill="auto"/>
            <w:noWrap/>
            <w:vAlign w:val="bottom"/>
          </w:tcPr>
          <w:p w:rsidR="008C3C11" w:rsidRPr="000C675E" w:rsidRDefault="008C3C11" w:rsidP="009E7910">
            <w:pPr>
              <w:pStyle w:val="TableText"/>
              <w:jc w:val="center"/>
              <w:rPr>
                <w:rFonts w:cstheme="minorHAnsi"/>
                <w:i/>
                <w:sz w:val="18"/>
                <w:szCs w:val="18"/>
              </w:rPr>
            </w:pPr>
            <w:r w:rsidRPr="000C675E">
              <w:rPr>
                <w:rFonts w:cstheme="minorHAnsi"/>
                <w:i/>
                <w:sz w:val="18"/>
                <w:szCs w:val="18"/>
              </w:rPr>
              <w:t>0.653</w:t>
            </w:r>
          </w:p>
        </w:tc>
        <w:tc>
          <w:tcPr>
            <w:tcW w:w="545" w:type="pct"/>
            <w:tcBorders>
              <w:top w:val="nil"/>
              <w:left w:val="nil"/>
              <w:bottom w:val="single" w:sz="4" w:space="0" w:color="auto"/>
              <w:right w:val="single" w:sz="4" w:space="0" w:color="auto"/>
            </w:tcBorders>
            <w:shd w:val="clear" w:color="auto" w:fill="auto"/>
            <w:noWrap/>
            <w:vAlign w:val="bottom"/>
          </w:tcPr>
          <w:p w:rsidR="008C3C11" w:rsidRPr="000C675E" w:rsidRDefault="008C3C11" w:rsidP="009E7910">
            <w:pPr>
              <w:pStyle w:val="TableText"/>
              <w:jc w:val="center"/>
              <w:rPr>
                <w:rFonts w:cstheme="minorHAnsi"/>
                <w:i/>
                <w:sz w:val="18"/>
                <w:szCs w:val="18"/>
              </w:rPr>
            </w:pPr>
            <w:r w:rsidRPr="000C675E">
              <w:rPr>
                <w:rFonts w:cstheme="minorHAnsi"/>
                <w:i/>
                <w:sz w:val="18"/>
                <w:szCs w:val="18"/>
              </w:rPr>
              <w:t>$</w:t>
            </w:r>
            <w:r w:rsidR="00777702">
              <w:rPr>
                <w:rFonts w:cstheme="minorHAnsi"/>
                <w:i/>
                <w:noProof/>
                <w:color w:val="000000"/>
                <w:sz w:val="18"/>
                <w:szCs w:val="18"/>
                <w:highlight w:val="black"/>
              </w:rPr>
              <w:t>''''''''''''''''</w:t>
            </w:r>
            <w:r w:rsidR="00F51C6B">
              <w:rPr>
                <w:rFonts w:cstheme="minorHAnsi"/>
                <w:i/>
                <w:sz w:val="18"/>
                <w:szCs w:val="18"/>
                <w:vertAlign w:val="superscript"/>
              </w:rPr>
              <w:t>3</w:t>
            </w:r>
          </w:p>
        </w:tc>
      </w:tr>
      <w:tr w:rsidR="008C3C11" w:rsidRPr="000C675E" w:rsidTr="00A83A85">
        <w:trPr>
          <w:trHeight w:val="361"/>
        </w:trPr>
        <w:tc>
          <w:tcPr>
            <w:tcW w:w="640" w:type="pct"/>
            <w:tcBorders>
              <w:top w:val="nil"/>
              <w:left w:val="single" w:sz="4" w:space="0" w:color="auto"/>
              <w:bottom w:val="single" w:sz="4" w:space="0" w:color="auto"/>
              <w:right w:val="single" w:sz="4" w:space="0" w:color="auto"/>
            </w:tcBorders>
            <w:shd w:val="clear" w:color="auto" w:fill="auto"/>
            <w:vAlign w:val="bottom"/>
            <w:hideMark/>
          </w:tcPr>
          <w:p w:rsidR="008C3C11" w:rsidRPr="000C675E" w:rsidRDefault="008C3C11" w:rsidP="009E7910">
            <w:pPr>
              <w:pStyle w:val="TableText"/>
              <w:rPr>
                <w:rFonts w:cstheme="minorHAnsi"/>
                <w:i/>
                <w:sz w:val="18"/>
                <w:szCs w:val="18"/>
              </w:rPr>
            </w:pPr>
            <w:r w:rsidRPr="000C675E">
              <w:rPr>
                <w:rFonts w:cstheme="minorHAnsi"/>
                <w:i/>
                <w:sz w:val="18"/>
                <w:szCs w:val="18"/>
              </w:rPr>
              <w:t>VTX+AZA versus LoDAC</w:t>
            </w:r>
          </w:p>
        </w:tc>
        <w:tc>
          <w:tcPr>
            <w:tcW w:w="444" w:type="pct"/>
            <w:tcBorders>
              <w:top w:val="nil"/>
              <w:left w:val="nil"/>
              <w:bottom w:val="single" w:sz="4" w:space="0" w:color="auto"/>
              <w:right w:val="single" w:sz="4" w:space="0" w:color="auto"/>
            </w:tcBorders>
            <w:shd w:val="clear" w:color="auto" w:fill="auto"/>
            <w:vAlign w:val="bottom"/>
            <w:hideMark/>
          </w:tcPr>
          <w:p w:rsidR="008C3C11" w:rsidRPr="000C675E" w:rsidRDefault="008C3C11" w:rsidP="009E7910">
            <w:pPr>
              <w:pStyle w:val="TableText"/>
              <w:jc w:val="center"/>
              <w:rPr>
                <w:rFonts w:cstheme="minorHAnsi"/>
                <w:i/>
                <w:sz w:val="18"/>
                <w:szCs w:val="18"/>
              </w:rPr>
            </w:pPr>
            <w:r w:rsidRPr="000C675E">
              <w:rPr>
                <w:rFonts w:cstheme="minorHAnsi"/>
                <w:i/>
                <w:sz w:val="18"/>
                <w:szCs w:val="18"/>
              </w:rPr>
              <w:t>44.4%</w:t>
            </w:r>
          </w:p>
        </w:tc>
        <w:tc>
          <w:tcPr>
            <w:tcW w:w="453" w:type="pct"/>
            <w:tcBorders>
              <w:top w:val="nil"/>
              <w:left w:val="nil"/>
              <w:bottom w:val="single" w:sz="4" w:space="0" w:color="auto"/>
              <w:right w:val="single" w:sz="4" w:space="0" w:color="auto"/>
            </w:tcBorders>
            <w:shd w:val="clear" w:color="auto" w:fill="auto"/>
            <w:noWrap/>
            <w:vAlign w:val="bottom"/>
          </w:tcPr>
          <w:p w:rsidR="008C3C11" w:rsidRPr="000C675E" w:rsidRDefault="008C3C11" w:rsidP="009E7910">
            <w:pPr>
              <w:pStyle w:val="TableText"/>
              <w:jc w:val="center"/>
              <w:rPr>
                <w:rFonts w:cstheme="minorHAnsi"/>
                <w:i/>
                <w:sz w:val="18"/>
                <w:szCs w:val="18"/>
              </w:rPr>
            </w:pPr>
            <w:r w:rsidRPr="000C675E">
              <w:rPr>
                <w:rFonts w:cstheme="minorHAnsi"/>
                <w:i/>
                <w:sz w:val="18"/>
                <w:szCs w:val="18"/>
              </w:rPr>
              <w:t>$</w:t>
            </w:r>
            <w:r w:rsidR="00777702">
              <w:rPr>
                <w:rFonts w:cstheme="minorHAnsi"/>
                <w:i/>
                <w:noProof/>
                <w:color w:val="000000"/>
                <w:sz w:val="18"/>
                <w:szCs w:val="18"/>
                <w:highlight w:val="black"/>
              </w:rPr>
              <w:t>'''''''''''''''''</w:t>
            </w:r>
          </w:p>
        </w:tc>
        <w:tc>
          <w:tcPr>
            <w:tcW w:w="615" w:type="pct"/>
            <w:tcBorders>
              <w:top w:val="nil"/>
              <w:left w:val="nil"/>
              <w:bottom w:val="single" w:sz="4" w:space="0" w:color="auto"/>
              <w:right w:val="single" w:sz="4" w:space="0" w:color="auto"/>
            </w:tcBorders>
            <w:shd w:val="clear" w:color="auto" w:fill="auto"/>
            <w:noWrap/>
            <w:vAlign w:val="bottom"/>
          </w:tcPr>
          <w:p w:rsidR="008C3C11" w:rsidRPr="000C675E" w:rsidRDefault="008C3C11" w:rsidP="009E7910">
            <w:pPr>
              <w:pStyle w:val="TableText"/>
              <w:jc w:val="center"/>
              <w:rPr>
                <w:rFonts w:cstheme="minorHAnsi"/>
                <w:i/>
                <w:sz w:val="18"/>
                <w:szCs w:val="18"/>
              </w:rPr>
            </w:pPr>
            <w:r w:rsidRPr="000C675E">
              <w:rPr>
                <w:rFonts w:cstheme="minorHAnsi"/>
                <w:i/>
                <w:sz w:val="18"/>
                <w:szCs w:val="18"/>
              </w:rPr>
              <w:t>$18,631</w:t>
            </w:r>
          </w:p>
        </w:tc>
        <w:tc>
          <w:tcPr>
            <w:tcW w:w="612" w:type="pct"/>
            <w:tcBorders>
              <w:top w:val="nil"/>
              <w:left w:val="nil"/>
              <w:bottom w:val="single" w:sz="4" w:space="0" w:color="auto"/>
              <w:right w:val="single" w:sz="4" w:space="0" w:color="auto"/>
            </w:tcBorders>
            <w:shd w:val="clear" w:color="auto" w:fill="auto"/>
            <w:noWrap/>
            <w:vAlign w:val="bottom"/>
          </w:tcPr>
          <w:p w:rsidR="008C3C11" w:rsidRPr="000C675E" w:rsidRDefault="008C3C11" w:rsidP="009E7910">
            <w:pPr>
              <w:pStyle w:val="TableText"/>
              <w:jc w:val="center"/>
              <w:rPr>
                <w:rFonts w:cstheme="minorHAnsi"/>
                <w:i/>
                <w:sz w:val="18"/>
                <w:szCs w:val="18"/>
              </w:rPr>
            </w:pPr>
            <w:r w:rsidRPr="000C675E">
              <w:rPr>
                <w:rFonts w:cstheme="minorHAnsi"/>
                <w:i/>
                <w:sz w:val="18"/>
                <w:szCs w:val="18"/>
              </w:rPr>
              <w:t>$</w:t>
            </w:r>
            <w:r w:rsidR="00777702">
              <w:rPr>
                <w:rFonts w:cstheme="minorHAnsi"/>
                <w:i/>
                <w:noProof/>
                <w:color w:val="000000"/>
                <w:sz w:val="18"/>
                <w:szCs w:val="18"/>
                <w:highlight w:val="black"/>
              </w:rPr>
              <w:t>''''''''''''''''''</w:t>
            </w:r>
          </w:p>
        </w:tc>
        <w:tc>
          <w:tcPr>
            <w:tcW w:w="543" w:type="pct"/>
            <w:tcBorders>
              <w:top w:val="nil"/>
              <w:left w:val="nil"/>
              <w:bottom w:val="single" w:sz="4" w:space="0" w:color="auto"/>
              <w:right w:val="single" w:sz="4" w:space="0" w:color="auto"/>
            </w:tcBorders>
            <w:shd w:val="clear" w:color="auto" w:fill="auto"/>
            <w:noWrap/>
            <w:vAlign w:val="bottom"/>
          </w:tcPr>
          <w:p w:rsidR="008C3C11" w:rsidRPr="000C675E" w:rsidRDefault="008C3C11" w:rsidP="009E7910">
            <w:pPr>
              <w:pStyle w:val="TableText"/>
              <w:jc w:val="center"/>
              <w:rPr>
                <w:rFonts w:cstheme="minorHAnsi"/>
                <w:i/>
                <w:sz w:val="18"/>
                <w:szCs w:val="18"/>
              </w:rPr>
            </w:pPr>
            <w:r w:rsidRPr="000C675E">
              <w:rPr>
                <w:rFonts w:cstheme="minorHAnsi"/>
                <w:i/>
                <w:sz w:val="18"/>
                <w:szCs w:val="18"/>
              </w:rPr>
              <w:t>1.425</w:t>
            </w:r>
          </w:p>
        </w:tc>
        <w:tc>
          <w:tcPr>
            <w:tcW w:w="578" w:type="pct"/>
            <w:tcBorders>
              <w:top w:val="nil"/>
              <w:left w:val="nil"/>
              <w:bottom w:val="single" w:sz="4" w:space="0" w:color="auto"/>
              <w:right w:val="single" w:sz="4" w:space="0" w:color="auto"/>
            </w:tcBorders>
            <w:shd w:val="clear" w:color="auto" w:fill="auto"/>
            <w:noWrap/>
            <w:vAlign w:val="bottom"/>
          </w:tcPr>
          <w:p w:rsidR="008C3C11" w:rsidRPr="000C675E" w:rsidRDefault="008C3C11" w:rsidP="009E7910">
            <w:pPr>
              <w:pStyle w:val="TableText"/>
              <w:jc w:val="center"/>
              <w:rPr>
                <w:rFonts w:cstheme="minorHAnsi"/>
                <w:i/>
                <w:sz w:val="18"/>
                <w:szCs w:val="18"/>
              </w:rPr>
            </w:pPr>
            <w:r w:rsidRPr="000C675E">
              <w:rPr>
                <w:rFonts w:cstheme="minorHAnsi"/>
                <w:i/>
                <w:sz w:val="18"/>
                <w:szCs w:val="18"/>
              </w:rPr>
              <w:t>0.740</w:t>
            </w:r>
          </w:p>
        </w:tc>
        <w:tc>
          <w:tcPr>
            <w:tcW w:w="569" w:type="pct"/>
            <w:tcBorders>
              <w:top w:val="nil"/>
              <w:left w:val="nil"/>
              <w:bottom w:val="single" w:sz="4" w:space="0" w:color="auto"/>
              <w:right w:val="single" w:sz="4" w:space="0" w:color="auto"/>
            </w:tcBorders>
            <w:shd w:val="clear" w:color="auto" w:fill="auto"/>
            <w:noWrap/>
            <w:vAlign w:val="bottom"/>
          </w:tcPr>
          <w:p w:rsidR="008C3C11" w:rsidRPr="000C675E" w:rsidRDefault="008C3C11" w:rsidP="009E7910">
            <w:pPr>
              <w:pStyle w:val="TableText"/>
              <w:jc w:val="center"/>
              <w:rPr>
                <w:rFonts w:cstheme="minorHAnsi"/>
                <w:i/>
                <w:sz w:val="18"/>
                <w:szCs w:val="18"/>
              </w:rPr>
            </w:pPr>
            <w:r w:rsidRPr="000C675E">
              <w:rPr>
                <w:rFonts w:cstheme="minorHAnsi"/>
                <w:i/>
                <w:sz w:val="18"/>
                <w:szCs w:val="18"/>
              </w:rPr>
              <w:t>0.686</w:t>
            </w:r>
          </w:p>
        </w:tc>
        <w:tc>
          <w:tcPr>
            <w:tcW w:w="545" w:type="pct"/>
            <w:tcBorders>
              <w:top w:val="nil"/>
              <w:left w:val="nil"/>
              <w:bottom w:val="single" w:sz="4" w:space="0" w:color="auto"/>
              <w:right w:val="single" w:sz="4" w:space="0" w:color="auto"/>
            </w:tcBorders>
            <w:shd w:val="clear" w:color="auto" w:fill="auto"/>
            <w:noWrap/>
            <w:vAlign w:val="bottom"/>
          </w:tcPr>
          <w:p w:rsidR="008C3C11" w:rsidRPr="000C675E" w:rsidRDefault="008C3C11" w:rsidP="009E7910">
            <w:pPr>
              <w:pStyle w:val="TableText"/>
              <w:jc w:val="center"/>
              <w:rPr>
                <w:rFonts w:cstheme="minorHAnsi"/>
                <w:i/>
                <w:sz w:val="18"/>
                <w:szCs w:val="18"/>
              </w:rPr>
            </w:pPr>
            <w:r w:rsidRPr="000C675E">
              <w:rPr>
                <w:rFonts w:cstheme="minorHAnsi"/>
                <w:i/>
                <w:sz w:val="18"/>
                <w:szCs w:val="18"/>
              </w:rPr>
              <w:t>$</w:t>
            </w:r>
            <w:r w:rsidR="00777702">
              <w:rPr>
                <w:rFonts w:cstheme="minorHAnsi"/>
                <w:i/>
                <w:noProof/>
                <w:color w:val="000000"/>
                <w:sz w:val="18"/>
                <w:szCs w:val="18"/>
                <w:highlight w:val="black"/>
              </w:rPr>
              <w:t>''''''''''''''''</w:t>
            </w:r>
            <w:r w:rsidR="00F51C6B" w:rsidRPr="00734311">
              <w:rPr>
                <w:rFonts w:cstheme="minorHAnsi"/>
                <w:i/>
                <w:sz w:val="18"/>
                <w:szCs w:val="18"/>
                <w:vertAlign w:val="superscript"/>
              </w:rPr>
              <w:t>1</w:t>
            </w:r>
          </w:p>
        </w:tc>
      </w:tr>
      <w:tr w:rsidR="008C3C11" w:rsidRPr="000C675E" w:rsidTr="00A83A85">
        <w:trPr>
          <w:trHeight w:val="288"/>
        </w:trPr>
        <w:tc>
          <w:tcPr>
            <w:tcW w:w="108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C3C11" w:rsidRPr="000C675E" w:rsidRDefault="008C3C11" w:rsidP="009E7910">
            <w:pPr>
              <w:pStyle w:val="TableText"/>
              <w:rPr>
                <w:rFonts w:cstheme="minorHAnsi"/>
                <w:i/>
                <w:sz w:val="18"/>
                <w:szCs w:val="18"/>
              </w:rPr>
            </w:pPr>
            <w:r w:rsidRPr="000C675E">
              <w:rPr>
                <w:rFonts w:cstheme="minorHAnsi"/>
                <w:i/>
                <w:sz w:val="18"/>
                <w:szCs w:val="18"/>
              </w:rPr>
              <w:t>Weighted costs and QALYs</w:t>
            </w:r>
          </w:p>
        </w:tc>
        <w:tc>
          <w:tcPr>
            <w:tcW w:w="453" w:type="pct"/>
            <w:tcBorders>
              <w:top w:val="nil"/>
              <w:left w:val="nil"/>
              <w:bottom w:val="single" w:sz="4" w:space="0" w:color="auto"/>
              <w:right w:val="single" w:sz="4" w:space="0" w:color="auto"/>
            </w:tcBorders>
            <w:shd w:val="clear" w:color="auto" w:fill="auto"/>
            <w:noWrap/>
            <w:vAlign w:val="bottom"/>
          </w:tcPr>
          <w:p w:rsidR="008C3C11" w:rsidRPr="000C675E" w:rsidRDefault="008C3C11" w:rsidP="009E7910">
            <w:pPr>
              <w:pStyle w:val="TableText"/>
              <w:jc w:val="center"/>
              <w:rPr>
                <w:rFonts w:cstheme="minorHAnsi"/>
                <w:i/>
                <w:sz w:val="18"/>
                <w:szCs w:val="18"/>
              </w:rPr>
            </w:pPr>
            <w:r w:rsidRPr="000C675E">
              <w:rPr>
                <w:rFonts w:cstheme="minorHAnsi"/>
                <w:i/>
                <w:sz w:val="18"/>
                <w:szCs w:val="18"/>
              </w:rPr>
              <w:t>$</w:t>
            </w:r>
            <w:r w:rsidR="00777702">
              <w:rPr>
                <w:rFonts w:cstheme="minorHAnsi"/>
                <w:i/>
                <w:noProof/>
                <w:color w:val="000000"/>
                <w:sz w:val="18"/>
                <w:szCs w:val="18"/>
                <w:highlight w:val="black"/>
              </w:rPr>
              <w:t>'''''''''''''''</w:t>
            </w:r>
          </w:p>
        </w:tc>
        <w:tc>
          <w:tcPr>
            <w:tcW w:w="615" w:type="pct"/>
            <w:tcBorders>
              <w:top w:val="nil"/>
              <w:left w:val="nil"/>
              <w:bottom w:val="single" w:sz="4" w:space="0" w:color="auto"/>
              <w:right w:val="single" w:sz="4" w:space="0" w:color="auto"/>
            </w:tcBorders>
            <w:shd w:val="clear" w:color="auto" w:fill="auto"/>
            <w:noWrap/>
            <w:vAlign w:val="bottom"/>
          </w:tcPr>
          <w:p w:rsidR="008C3C11" w:rsidRPr="000C675E" w:rsidRDefault="008C3C11" w:rsidP="009E7910">
            <w:pPr>
              <w:pStyle w:val="TableText"/>
              <w:jc w:val="center"/>
              <w:rPr>
                <w:rFonts w:cstheme="minorHAnsi"/>
                <w:i/>
                <w:sz w:val="18"/>
                <w:szCs w:val="18"/>
              </w:rPr>
            </w:pPr>
            <w:r w:rsidRPr="000C675E">
              <w:rPr>
                <w:rFonts w:cstheme="minorHAnsi"/>
                <w:i/>
                <w:sz w:val="18"/>
                <w:szCs w:val="18"/>
              </w:rPr>
              <w:t>$27,391</w:t>
            </w:r>
          </w:p>
        </w:tc>
        <w:tc>
          <w:tcPr>
            <w:tcW w:w="612" w:type="pct"/>
            <w:tcBorders>
              <w:top w:val="nil"/>
              <w:left w:val="nil"/>
              <w:bottom w:val="single" w:sz="4" w:space="0" w:color="auto"/>
              <w:right w:val="single" w:sz="4" w:space="0" w:color="auto"/>
            </w:tcBorders>
            <w:shd w:val="clear" w:color="auto" w:fill="auto"/>
            <w:noWrap/>
            <w:vAlign w:val="bottom"/>
          </w:tcPr>
          <w:p w:rsidR="008C3C11" w:rsidRPr="000C675E" w:rsidRDefault="008C3C11" w:rsidP="009E7910">
            <w:pPr>
              <w:pStyle w:val="TableText"/>
              <w:jc w:val="center"/>
              <w:rPr>
                <w:rFonts w:cstheme="minorHAnsi"/>
                <w:i/>
                <w:sz w:val="18"/>
                <w:szCs w:val="18"/>
              </w:rPr>
            </w:pPr>
            <w:r w:rsidRPr="000C675E">
              <w:rPr>
                <w:rFonts w:cstheme="minorHAnsi"/>
                <w:i/>
                <w:sz w:val="18"/>
                <w:szCs w:val="18"/>
              </w:rPr>
              <w:t>$</w:t>
            </w:r>
            <w:r w:rsidR="00777702">
              <w:rPr>
                <w:rFonts w:cstheme="minorHAnsi"/>
                <w:i/>
                <w:noProof/>
                <w:color w:val="000000"/>
                <w:sz w:val="18"/>
                <w:szCs w:val="18"/>
                <w:highlight w:val="black"/>
              </w:rPr>
              <w:t>''''''''''''''''''</w:t>
            </w:r>
          </w:p>
        </w:tc>
        <w:tc>
          <w:tcPr>
            <w:tcW w:w="543" w:type="pct"/>
            <w:tcBorders>
              <w:top w:val="nil"/>
              <w:left w:val="nil"/>
              <w:bottom w:val="single" w:sz="4" w:space="0" w:color="auto"/>
              <w:right w:val="single" w:sz="4" w:space="0" w:color="auto"/>
            </w:tcBorders>
            <w:shd w:val="clear" w:color="auto" w:fill="auto"/>
            <w:noWrap/>
            <w:vAlign w:val="bottom"/>
          </w:tcPr>
          <w:p w:rsidR="008C3C11" w:rsidRPr="000C675E" w:rsidRDefault="008C3C11" w:rsidP="009E7910">
            <w:pPr>
              <w:pStyle w:val="TableText"/>
              <w:jc w:val="center"/>
              <w:rPr>
                <w:rFonts w:cstheme="minorHAnsi"/>
                <w:i/>
                <w:sz w:val="18"/>
                <w:szCs w:val="18"/>
              </w:rPr>
            </w:pPr>
            <w:r w:rsidRPr="000C675E">
              <w:rPr>
                <w:rFonts w:cstheme="minorHAnsi"/>
                <w:i/>
                <w:sz w:val="18"/>
                <w:szCs w:val="18"/>
              </w:rPr>
              <w:t>1.432</w:t>
            </w:r>
          </w:p>
        </w:tc>
        <w:tc>
          <w:tcPr>
            <w:tcW w:w="578" w:type="pct"/>
            <w:tcBorders>
              <w:top w:val="nil"/>
              <w:left w:val="nil"/>
              <w:bottom w:val="single" w:sz="4" w:space="0" w:color="auto"/>
              <w:right w:val="single" w:sz="4" w:space="0" w:color="auto"/>
            </w:tcBorders>
            <w:shd w:val="clear" w:color="auto" w:fill="auto"/>
            <w:noWrap/>
            <w:vAlign w:val="bottom"/>
          </w:tcPr>
          <w:p w:rsidR="008C3C11" w:rsidRPr="000C675E" w:rsidRDefault="008C3C11" w:rsidP="009E7910">
            <w:pPr>
              <w:pStyle w:val="TableText"/>
              <w:jc w:val="center"/>
              <w:rPr>
                <w:rFonts w:cstheme="minorHAnsi"/>
                <w:i/>
                <w:sz w:val="18"/>
                <w:szCs w:val="18"/>
              </w:rPr>
            </w:pPr>
            <w:r w:rsidRPr="000C675E">
              <w:rPr>
                <w:rFonts w:cstheme="minorHAnsi"/>
                <w:i/>
                <w:sz w:val="18"/>
                <w:szCs w:val="18"/>
              </w:rPr>
              <w:t>0.765</w:t>
            </w:r>
          </w:p>
        </w:tc>
        <w:tc>
          <w:tcPr>
            <w:tcW w:w="569" w:type="pct"/>
            <w:tcBorders>
              <w:top w:val="nil"/>
              <w:left w:val="nil"/>
              <w:bottom w:val="single" w:sz="4" w:space="0" w:color="auto"/>
              <w:right w:val="single" w:sz="4" w:space="0" w:color="auto"/>
            </w:tcBorders>
            <w:shd w:val="clear" w:color="auto" w:fill="auto"/>
            <w:noWrap/>
            <w:vAlign w:val="bottom"/>
          </w:tcPr>
          <w:p w:rsidR="008C3C11" w:rsidRPr="000C675E" w:rsidRDefault="008C3C11" w:rsidP="009E7910">
            <w:pPr>
              <w:pStyle w:val="TableText"/>
              <w:jc w:val="center"/>
              <w:rPr>
                <w:rFonts w:cstheme="minorHAnsi"/>
                <w:i/>
                <w:sz w:val="18"/>
                <w:szCs w:val="18"/>
              </w:rPr>
            </w:pPr>
            <w:r w:rsidRPr="000C675E">
              <w:rPr>
                <w:rFonts w:cstheme="minorHAnsi"/>
                <w:i/>
                <w:sz w:val="18"/>
                <w:szCs w:val="18"/>
              </w:rPr>
              <w:t>0.668</w:t>
            </w:r>
          </w:p>
        </w:tc>
        <w:tc>
          <w:tcPr>
            <w:tcW w:w="54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C3C11" w:rsidRPr="000C675E" w:rsidRDefault="008C3C11" w:rsidP="009E7910">
            <w:pPr>
              <w:pStyle w:val="TableText"/>
              <w:rPr>
                <w:i/>
                <w:sz w:val="18"/>
                <w:szCs w:val="18"/>
              </w:rPr>
            </w:pPr>
            <w:r w:rsidRPr="000C675E">
              <w:rPr>
                <w:i/>
                <w:sz w:val="18"/>
                <w:szCs w:val="18"/>
              </w:rPr>
              <w:t> </w:t>
            </w:r>
          </w:p>
        </w:tc>
      </w:tr>
      <w:tr w:rsidR="008C3C11" w:rsidRPr="000C675E" w:rsidTr="00A83A85">
        <w:trPr>
          <w:trHeight w:val="288"/>
        </w:trPr>
        <w:tc>
          <w:tcPr>
            <w:tcW w:w="108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C3C11" w:rsidRPr="000C675E" w:rsidRDefault="008C3C11" w:rsidP="009E7910">
            <w:pPr>
              <w:pStyle w:val="TableText"/>
              <w:rPr>
                <w:rFonts w:cstheme="minorHAnsi"/>
                <w:i/>
                <w:sz w:val="18"/>
                <w:szCs w:val="18"/>
              </w:rPr>
            </w:pPr>
            <w:r w:rsidRPr="000C675E">
              <w:rPr>
                <w:rFonts w:cstheme="minorHAnsi"/>
                <w:i/>
                <w:sz w:val="18"/>
                <w:szCs w:val="18"/>
              </w:rPr>
              <w:t>Weighted ICER</w:t>
            </w:r>
          </w:p>
        </w:tc>
        <w:tc>
          <w:tcPr>
            <w:tcW w:w="3371" w:type="pct"/>
            <w:gridSpan w:val="6"/>
            <w:tcBorders>
              <w:top w:val="single" w:sz="4" w:space="0" w:color="auto"/>
              <w:left w:val="nil"/>
              <w:bottom w:val="single" w:sz="4" w:space="0" w:color="auto"/>
              <w:right w:val="single" w:sz="4" w:space="0" w:color="000000"/>
            </w:tcBorders>
            <w:shd w:val="clear" w:color="auto" w:fill="auto"/>
            <w:noWrap/>
            <w:vAlign w:val="bottom"/>
          </w:tcPr>
          <w:p w:rsidR="008C3C11" w:rsidRPr="000C675E" w:rsidRDefault="008C3C11" w:rsidP="009E7910">
            <w:pPr>
              <w:jc w:val="center"/>
              <w:rPr>
                <w:rFonts w:cs="Calibri"/>
                <w:i/>
                <w:color w:val="000000"/>
                <w:sz w:val="22"/>
                <w:szCs w:val="22"/>
              </w:rPr>
            </w:pPr>
            <w:r w:rsidRPr="000C675E">
              <w:rPr>
                <w:rFonts w:ascii="Arial Narrow" w:hAnsi="Arial Narrow" w:cs="Calibri"/>
                <w:b/>
                <w:i/>
                <w:color w:val="000000"/>
                <w:sz w:val="18"/>
                <w:szCs w:val="18"/>
              </w:rPr>
              <w:t>$</w:t>
            </w:r>
            <w:r w:rsidR="00777702">
              <w:rPr>
                <w:rFonts w:ascii="Arial Narrow" w:hAnsi="Arial Narrow" w:cs="Calibri"/>
                <w:b/>
                <w:i/>
                <w:noProof/>
                <w:color w:val="000000"/>
                <w:sz w:val="18"/>
                <w:szCs w:val="18"/>
                <w:highlight w:val="black"/>
              </w:rPr>
              <w:t>''''''''''''''</w:t>
            </w:r>
            <w:r w:rsidR="00F51C6B" w:rsidRPr="00734311">
              <w:rPr>
                <w:rFonts w:cstheme="minorHAnsi"/>
                <w:i/>
                <w:sz w:val="18"/>
                <w:szCs w:val="18"/>
                <w:vertAlign w:val="superscript"/>
              </w:rPr>
              <w:t>1</w:t>
            </w:r>
          </w:p>
        </w:tc>
        <w:tc>
          <w:tcPr>
            <w:tcW w:w="545" w:type="pct"/>
            <w:vMerge/>
            <w:tcBorders>
              <w:top w:val="single" w:sz="4" w:space="0" w:color="auto"/>
              <w:left w:val="single" w:sz="4" w:space="0" w:color="auto"/>
              <w:bottom w:val="single" w:sz="4" w:space="0" w:color="000000"/>
              <w:right w:val="single" w:sz="4" w:space="0" w:color="auto"/>
            </w:tcBorders>
            <w:vAlign w:val="center"/>
            <w:hideMark/>
          </w:tcPr>
          <w:p w:rsidR="008C3C11" w:rsidRPr="000C675E" w:rsidRDefault="008C3C11" w:rsidP="009E7910">
            <w:pPr>
              <w:pStyle w:val="TableText"/>
              <w:rPr>
                <w:i/>
                <w:sz w:val="18"/>
                <w:szCs w:val="18"/>
              </w:rPr>
            </w:pPr>
          </w:p>
        </w:tc>
      </w:tr>
      <w:tr w:rsidR="00EF5EDE" w:rsidRPr="000C675E" w:rsidTr="00A83A85">
        <w:trPr>
          <w:trHeight w:val="288"/>
        </w:trPr>
        <w:tc>
          <w:tcPr>
            <w:tcW w:w="5000" w:type="pct"/>
            <w:gridSpan w:val="9"/>
            <w:tcBorders>
              <w:top w:val="nil"/>
              <w:left w:val="single" w:sz="4" w:space="0" w:color="auto"/>
              <w:bottom w:val="single" w:sz="4" w:space="0" w:color="auto"/>
              <w:right w:val="single" w:sz="4" w:space="0" w:color="auto"/>
            </w:tcBorders>
            <w:shd w:val="clear" w:color="auto" w:fill="auto"/>
            <w:vAlign w:val="center"/>
          </w:tcPr>
          <w:p w:rsidR="00EF5EDE" w:rsidRPr="000C675E" w:rsidRDefault="00EF5EDE" w:rsidP="009E7910">
            <w:pPr>
              <w:pStyle w:val="TableText"/>
              <w:rPr>
                <w:rFonts w:cstheme="minorHAnsi"/>
                <w:b/>
                <w:sz w:val="18"/>
                <w:szCs w:val="18"/>
              </w:rPr>
            </w:pPr>
            <w:r w:rsidRPr="000C675E">
              <w:rPr>
                <w:rFonts w:cstheme="minorHAnsi"/>
                <w:b/>
                <w:sz w:val="18"/>
                <w:szCs w:val="18"/>
              </w:rPr>
              <w:t>Resubmission</w:t>
            </w:r>
            <w:r w:rsidR="00A454D6" w:rsidRPr="000C675E">
              <w:rPr>
                <w:rFonts w:cstheme="minorHAnsi"/>
                <w:b/>
                <w:sz w:val="18"/>
                <w:szCs w:val="18"/>
              </w:rPr>
              <w:t xml:space="preserve"> scenario</w:t>
            </w:r>
            <w:r w:rsidR="004B2028" w:rsidRPr="000C675E">
              <w:rPr>
                <w:rFonts w:cstheme="minorHAnsi"/>
                <w:b/>
                <w:sz w:val="18"/>
                <w:szCs w:val="18"/>
              </w:rPr>
              <w:t xml:space="preserve"> (VTX AEMP $</w:t>
            </w:r>
            <w:r w:rsidR="00777702">
              <w:rPr>
                <w:rFonts w:cstheme="minorHAnsi"/>
                <w:b/>
                <w:noProof/>
                <w:color w:val="000000"/>
                <w:sz w:val="18"/>
                <w:szCs w:val="18"/>
                <w:highlight w:val="black"/>
              </w:rPr>
              <w:t>'''''''''''''''</w:t>
            </w:r>
            <w:r w:rsidR="004B2028" w:rsidRPr="000C675E">
              <w:rPr>
                <w:rFonts w:cstheme="minorHAnsi"/>
                <w:b/>
                <w:sz w:val="18"/>
                <w:szCs w:val="18"/>
              </w:rPr>
              <w:t xml:space="preserve"> as per resubmission)</w:t>
            </w:r>
          </w:p>
        </w:tc>
      </w:tr>
      <w:tr w:rsidR="00B570C6" w:rsidRPr="000C675E" w:rsidTr="00A83A85">
        <w:trPr>
          <w:trHeight w:val="288"/>
        </w:trPr>
        <w:tc>
          <w:tcPr>
            <w:tcW w:w="640" w:type="pct"/>
            <w:tcBorders>
              <w:top w:val="nil"/>
              <w:left w:val="single" w:sz="4" w:space="0" w:color="auto"/>
              <w:bottom w:val="single" w:sz="4" w:space="0" w:color="auto"/>
              <w:right w:val="single" w:sz="4" w:space="0" w:color="auto"/>
            </w:tcBorders>
            <w:shd w:val="clear" w:color="auto" w:fill="auto"/>
            <w:vAlign w:val="bottom"/>
            <w:hideMark/>
          </w:tcPr>
          <w:p w:rsidR="00EF5EDE" w:rsidRPr="000C675E" w:rsidRDefault="00EF5EDE" w:rsidP="009E7910">
            <w:pPr>
              <w:pStyle w:val="TableText"/>
              <w:rPr>
                <w:rFonts w:cstheme="minorHAnsi"/>
                <w:sz w:val="18"/>
                <w:szCs w:val="18"/>
              </w:rPr>
            </w:pPr>
            <w:r w:rsidRPr="000C675E">
              <w:rPr>
                <w:rFonts w:cstheme="minorHAnsi"/>
                <w:sz w:val="18"/>
                <w:szCs w:val="18"/>
              </w:rPr>
              <w:t>VTX+AZA versus AZA</w:t>
            </w:r>
          </w:p>
        </w:tc>
        <w:tc>
          <w:tcPr>
            <w:tcW w:w="444" w:type="pct"/>
            <w:tcBorders>
              <w:top w:val="nil"/>
              <w:left w:val="nil"/>
              <w:bottom w:val="single" w:sz="4" w:space="0" w:color="auto"/>
              <w:right w:val="single" w:sz="4" w:space="0" w:color="auto"/>
            </w:tcBorders>
            <w:shd w:val="clear" w:color="auto" w:fill="auto"/>
            <w:vAlign w:val="bottom"/>
            <w:hideMark/>
          </w:tcPr>
          <w:p w:rsidR="00EF5EDE" w:rsidRPr="000C675E" w:rsidRDefault="00EF5EDE" w:rsidP="009E7910">
            <w:pPr>
              <w:pStyle w:val="TableText"/>
              <w:jc w:val="center"/>
              <w:rPr>
                <w:rFonts w:cstheme="minorHAnsi"/>
                <w:sz w:val="18"/>
                <w:szCs w:val="18"/>
              </w:rPr>
            </w:pPr>
            <w:r w:rsidRPr="000C675E">
              <w:rPr>
                <w:rFonts w:cstheme="minorHAnsi"/>
                <w:sz w:val="18"/>
                <w:szCs w:val="18"/>
              </w:rPr>
              <w:t>55.6%</w:t>
            </w:r>
          </w:p>
        </w:tc>
        <w:tc>
          <w:tcPr>
            <w:tcW w:w="453" w:type="pct"/>
            <w:tcBorders>
              <w:top w:val="nil"/>
              <w:left w:val="nil"/>
              <w:bottom w:val="single" w:sz="4" w:space="0" w:color="auto"/>
              <w:right w:val="single" w:sz="4" w:space="0" w:color="auto"/>
            </w:tcBorders>
            <w:shd w:val="clear" w:color="auto" w:fill="auto"/>
            <w:noWrap/>
            <w:vAlign w:val="bottom"/>
          </w:tcPr>
          <w:p w:rsidR="00EF5EDE" w:rsidRPr="000C675E" w:rsidRDefault="00EF5EDE" w:rsidP="009E7910">
            <w:pPr>
              <w:pStyle w:val="TableText"/>
              <w:jc w:val="center"/>
              <w:rPr>
                <w:rFonts w:cstheme="minorHAnsi"/>
                <w:sz w:val="18"/>
                <w:szCs w:val="18"/>
              </w:rPr>
            </w:pPr>
            <w:r w:rsidRPr="000C675E">
              <w:rPr>
                <w:rFonts w:cstheme="minorHAnsi"/>
                <w:sz w:val="18"/>
                <w:szCs w:val="18"/>
              </w:rPr>
              <w:t>$</w:t>
            </w:r>
            <w:r w:rsidR="00777702">
              <w:rPr>
                <w:rFonts w:cstheme="minorHAnsi"/>
                <w:noProof/>
                <w:color w:val="000000"/>
                <w:sz w:val="18"/>
                <w:szCs w:val="18"/>
                <w:highlight w:val="black"/>
              </w:rPr>
              <w:t>'''''''''''''''''</w:t>
            </w:r>
          </w:p>
        </w:tc>
        <w:tc>
          <w:tcPr>
            <w:tcW w:w="615" w:type="pct"/>
            <w:tcBorders>
              <w:top w:val="nil"/>
              <w:left w:val="nil"/>
              <w:bottom w:val="single" w:sz="4" w:space="0" w:color="auto"/>
              <w:right w:val="single" w:sz="4" w:space="0" w:color="auto"/>
            </w:tcBorders>
            <w:shd w:val="clear" w:color="auto" w:fill="auto"/>
            <w:noWrap/>
            <w:vAlign w:val="bottom"/>
          </w:tcPr>
          <w:p w:rsidR="00EF5EDE" w:rsidRPr="000C675E" w:rsidRDefault="00EF5EDE" w:rsidP="009E7910">
            <w:pPr>
              <w:pStyle w:val="TableText"/>
              <w:jc w:val="center"/>
              <w:rPr>
                <w:rFonts w:cstheme="minorHAnsi"/>
                <w:sz w:val="18"/>
                <w:szCs w:val="18"/>
              </w:rPr>
            </w:pPr>
            <w:r w:rsidRPr="000C675E">
              <w:rPr>
                <w:rFonts w:cstheme="minorHAnsi"/>
                <w:sz w:val="18"/>
                <w:szCs w:val="18"/>
              </w:rPr>
              <w:t>$34,399</w:t>
            </w:r>
          </w:p>
        </w:tc>
        <w:tc>
          <w:tcPr>
            <w:tcW w:w="612" w:type="pct"/>
            <w:tcBorders>
              <w:top w:val="nil"/>
              <w:left w:val="nil"/>
              <w:bottom w:val="single" w:sz="4" w:space="0" w:color="auto"/>
              <w:right w:val="single" w:sz="4" w:space="0" w:color="auto"/>
            </w:tcBorders>
            <w:shd w:val="clear" w:color="auto" w:fill="auto"/>
            <w:noWrap/>
            <w:vAlign w:val="bottom"/>
          </w:tcPr>
          <w:p w:rsidR="00EF5EDE" w:rsidRPr="000C675E" w:rsidRDefault="00EF5EDE" w:rsidP="009E7910">
            <w:pPr>
              <w:pStyle w:val="TableText"/>
              <w:jc w:val="center"/>
              <w:rPr>
                <w:rFonts w:cstheme="minorHAnsi"/>
                <w:sz w:val="18"/>
                <w:szCs w:val="18"/>
              </w:rPr>
            </w:pPr>
            <w:r w:rsidRPr="000C675E">
              <w:rPr>
                <w:rFonts w:cstheme="minorHAnsi"/>
                <w:sz w:val="18"/>
                <w:szCs w:val="18"/>
              </w:rPr>
              <w:t>$</w:t>
            </w:r>
            <w:r w:rsidR="00777702">
              <w:rPr>
                <w:rFonts w:cstheme="minorHAnsi"/>
                <w:noProof/>
                <w:color w:val="000000"/>
                <w:sz w:val="18"/>
                <w:szCs w:val="18"/>
                <w:highlight w:val="black"/>
              </w:rPr>
              <w:t>''''''''''''''''</w:t>
            </w:r>
          </w:p>
        </w:tc>
        <w:tc>
          <w:tcPr>
            <w:tcW w:w="543" w:type="pct"/>
            <w:tcBorders>
              <w:top w:val="nil"/>
              <w:left w:val="nil"/>
              <w:bottom w:val="single" w:sz="4" w:space="0" w:color="auto"/>
              <w:right w:val="single" w:sz="4" w:space="0" w:color="auto"/>
            </w:tcBorders>
            <w:shd w:val="clear" w:color="auto" w:fill="auto"/>
            <w:noWrap/>
            <w:vAlign w:val="bottom"/>
          </w:tcPr>
          <w:p w:rsidR="00EF5EDE" w:rsidRPr="000C675E" w:rsidRDefault="00EF5EDE" w:rsidP="009E7910">
            <w:pPr>
              <w:pStyle w:val="TableText"/>
              <w:jc w:val="center"/>
              <w:rPr>
                <w:rFonts w:cstheme="minorHAnsi"/>
                <w:sz w:val="18"/>
                <w:szCs w:val="18"/>
              </w:rPr>
            </w:pPr>
            <w:r w:rsidRPr="000C675E">
              <w:rPr>
                <w:rFonts w:cstheme="minorHAnsi"/>
                <w:sz w:val="18"/>
                <w:szCs w:val="18"/>
              </w:rPr>
              <w:t>1.781</w:t>
            </w:r>
          </w:p>
        </w:tc>
        <w:tc>
          <w:tcPr>
            <w:tcW w:w="578" w:type="pct"/>
            <w:tcBorders>
              <w:top w:val="nil"/>
              <w:left w:val="nil"/>
              <w:bottom w:val="single" w:sz="4" w:space="0" w:color="auto"/>
              <w:right w:val="single" w:sz="4" w:space="0" w:color="auto"/>
            </w:tcBorders>
            <w:shd w:val="clear" w:color="auto" w:fill="auto"/>
            <w:noWrap/>
            <w:vAlign w:val="bottom"/>
          </w:tcPr>
          <w:p w:rsidR="00EF5EDE" w:rsidRPr="000C675E" w:rsidRDefault="00EF5EDE" w:rsidP="009E7910">
            <w:pPr>
              <w:pStyle w:val="TableText"/>
              <w:jc w:val="center"/>
              <w:rPr>
                <w:rFonts w:cstheme="minorHAnsi"/>
                <w:sz w:val="18"/>
                <w:szCs w:val="18"/>
              </w:rPr>
            </w:pPr>
            <w:r w:rsidRPr="000C675E">
              <w:rPr>
                <w:rFonts w:cstheme="minorHAnsi"/>
                <w:sz w:val="18"/>
                <w:szCs w:val="18"/>
              </w:rPr>
              <w:t>0.784</w:t>
            </w:r>
          </w:p>
        </w:tc>
        <w:tc>
          <w:tcPr>
            <w:tcW w:w="569" w:type="pct"/>
            <w:tcBorders>
              <w:top w:val="nil"/>
              <w:left w:val="nil"/>
              <w:bottom w:val="single" w:sz="4" w:space="0" w:color="auto"/>
              <w:right w:val="single" w:sz="4" w:space="0" w:color="auto"/>
            </w:tcBorders>
            <w:shd w:val="clear" w:color="auto" w:fill="auto"/>
            <w:noWrap/>
            <w:vAlign w:val="bottom"/>
          </w:tcPr>
          <w:p w:rsidR="00EF5EDE" w:rsidRPr="000C675E" w:rsidRDefault="00EF5EDE" w:rsidP="009E7910">
            <w:pPr>
              <w:pStyle w:val="TableText"/>
              <w:jc w:val="center"/>
              <w:rPr>
                <w:rFonts w:cstheme="minorHAnsi"/>
                <w:sz w:val="18"/>
                <w:szCs w:val="18"/>
              </w:rPr>
            </w:pPr>
            <w:r w:rsidRPr="000C675E">
              <w:rPr>
                <w:rFonts w:cstheme="minorHAnsi"/>
                <w:sz w:val="18"/>
                <w:szCs w:val="18"/>
              </w:rPr>
              <w:t>0.997</w:t>
            </w:r>
          </w:p>
        </w:tc>
        <w:tc>
          <w:tcPr>
            <w:tcW w:w="545" w:type="pct"/>
            <w:tcBorders>
              <w:top w:val="nil"/>
              <w:left w:val="nil"/>
              <w:bottom w:val="single" w:sz="4" w:space="0" w:color="auto"/>
              <w:right w:val="single" w:sz="4" w:space="0" w:color="auto"/>
            </w:tcBorders>
            <w:shd w:val="clear" w:color="auto" w:fill="auto"/>
            <w:noWrap/>
            <w:vAlign w:val="bottom"/>
          </w:tcPr>
          <w:p w:rsidR="00EF5EDE" w:rsidRPr="000C675E" w:rsidRDefault="00EF5EDE" w:rsidP="009E7910">
            <w:pPr>
              <w:pStyle w:val="TableText"/>
              <w:jc w:val="center"/>
              <w:rPr>
                <w:sz w:val="18"/>
                <w:szCs w:val="18"/>
              </w:rPr>
            </w:pPr>
            <w:r w:rsidRPr="000C675E">
              <w:rPr>
                <w:rFonts w:cstheme="minorHAnsi"/>
                <w:sz w:val="18"/>
                <w:szCs w:val="18"/>
              </w:rPr>
              <w:t>$</w:t>
            </w:r>
            <w:r w:rsidR="00777702">
              <w:rPr>
                <w:rFonts w:cstheme="minorHAnsi"/>
                <w:noProof/>
                <w:color w:val="000000"/>
                <w:sz w:val="18"/>
                <w:szCs w:val="18"/>
                <w:highlight w:val="black"/>
              </w:rPr>
              <w:t>'''''''''''''''</w:t>
            </w:r>
            <w:r w:rsidR="00F51C6B">
              <w:rPr>
                <w:rFonts w:cstheme="minorHAnsi"/>
                <w:i/>
                <w:sz w:val="18"/>
                <w:szCs w:val="18"/>
                <w:vertAlign w:val="superscript"/>
              </w:rPr>
              <w:t>3</w:t>
            </w:r>
          </w:p>
        </w:tc>
      </w:tr>
      <w:tr w:rsidR="00B570C6" w:rsidRPr="000C675E" w:rsidTr="00A83A85">
        <w:trPr>
          <w:trHeight w:val="363"/>
        </w:trPr>
        <w:tc>
          <w:tcPr>
            <w:tcW w:w="640" w:type="pct"/>
            <w:tcBorders>
              <w:top w:val="nil"/>
              <w:left w:val="single" w:sz="4" w:space="0" w:color="auto"/>
              <w:bottom w:val="single" w:sz="4" w:space="0" w:color="auto"/>
              <w:right w:val="single" w:sz="4" w:space="0" w:color="auto"/>
            </w:tcBorders>
            <w:shd w:val="clear" w:color="auto" w:fill="auto"/>
            <w:vAlign w:val="bottom"/>
            <w:hideMark/>
          </w:tcPr>
          <w:p w:rsidR="00EF5EDE" w:rsidRPr="000C675E" w:rsidRDefault="00EF5EDE" w:rsidP="009E7910">
            <w:pPr>
              <w:pStyle w:val="TableText"/>
              <w:rPr>
                <w:rFonts w:cstheme="minorHAnsi"/>
                <w:sz w:val="18"/>
                <w:szCs w:val="18"/>
              </w:rPr>
            </w:pPr>
            <w:r w:rsidRPr="000C675E">
              <w:rPr>
                <w:rFonts w:cstheme="minorHAnsi"/>
                <w:sz w:val="18"/>
                <w:szCs w:val="18"/>
              </w:rPr>
              <w:t>VTX+AZA versus LoDAC</w:t>
            </w:r>
          </w:p>
        </w:tc>
        <w:tc>
          <w:tcPr>
            <w:tcW w:w="444" w:type="pct"/>
            <w:tcBorders>
              <w:top w:val="nil"/>
              <w:left w:val="nil"/>
              <w:bottom w:val="single" w:sz="4" w:space="0" w:color="auto"/>
              <w:right w:val="single" w:sz="4" w:space="0" w:color="auto"/>
            </w:tcBorders>
            <w:shd w:val="clear" w:color="auto" w:fill="auto"/>
            <w:vAlign w:val="bottom"/>
            <w:hideMark/>
          </w:tcPr>
          <w:p w:rsidR="00EF5EDE" w:rsidRPr="000C675E" w:rsidRDefault="00EF5EDE" w:rsidP="009E7910">
            <w:pPr>
              <w:pStyle w:val="TableText"/>
              <w:jc w:val="center"/>
              <w:rPr>
                <w:rFonts w:cstheme="minorHAnsi"/>
                <w:sz w:val="18"/>
                <w:szCs w:val="18"/>
              </w:rPr>
            </w:pPr>
            <w:r w:rsidRPr="000C675E">
              <w:rPr>
                <w:rFonts w:cstheme="minorHAnsi"/>
                <w:sz w:val="18"/>
                <w:szCs w:val="18"/>
              </w:rPr>
              <w:t>44.4%</w:t>
            </w:r>
          </w:p>
        </w:tc>
        <w:tc>
          <w:tcPr>
            <w:tcW w:w="453" w:type="pct"/>
            <w:tcBorders>
              <w:top w:val="nil"/>
              <w:left w:val="nil"/>
              <w:bottom w:val="single" w:sz="4" w:space="0" w:color="auto"/>
              <w:right w:val="single" w:sz="4" w:space="0" w:color="auto"/>
            </w:tcBorders>
            <w:shd w:val="clear" w:color="auto" w:fill="auto"/>
            <w:noWrap/>
            <w:vAlign w:val="bottom"/>
          </w:tcPr>
          <w:p w:rsidR="00EF5EDE" w:rsidRPr="000C675E" w:rsidRDefault="00EF5EDE" w:rsidP="009E7910">
            <w:pPr>
              <w:pStyle w:val="TableText"/>
              <w:jc w:val="center"/>
              <w:rPr>
                <w:rFonts w:cstheme="minorHAnsi"/>
                <w:sz w:val="18"/>
                <w:szCs w:val="18"/>
              </w:rPr>
            </w:pPr>
            <w:r w:rsidRPr="000C675E">
              <w:rPr>
                <w:rFonts w:cstheme="minorHAnsi"/>
                <w:sz w:val="18"/>
                <w:szCs w:val="18"/>
              </w:rPr>
              <w:t>$</w:t>
            </w:r>
            <w:r w:rsidR="00777702">
              <w:rPr>
                <w:rFonts w:cstheme="minorHAnsi"/>
                <w:noProof/>
                <w:color w:val="000000"/>
                <w:sz w:val="18"/>
                <w:szCs w:val="18"/>
                <w:highlight w:val="black"/>
              </w:rPr>
              <w:t>'''''''''''''''''''''</w:t>
            </w:r>
          </w:p>
        </w:tc>
        <w:tc>
          <w:tcPr>
            <w:tcW w:w="615" w:type="pct"/>
            <w:tcBorders>
              <w:top w:val="nil"/>
              <w:left w:val="nil"/>
              <w:bottom w:val="single" w:sz="4" w:space="0" w:color="auto"/>
              <w:right w:val="single" w:sz="4" w:space="0" w:color="auto"/>
            </w:tcBorders>
            <w:shd w:val="clear" w:color="auto" w:fill="auto"/>
            <w:noWrap/>
            <w:vAlign w:val="bottom"/>
          </w:tcPr>
          <w:p w:rsidR="00EF5EDE" w:rsidRPr="000C675E" w:rsidRDefault="00EF5EDE" w:rsidP="009E7910">
            <w:pPr>
              <w:pStyle w:val="TableText"/>
              <w:jc w:val="center"/>
              <w:rPr>
                <w:rFonts w:cstheme="minorHAnsi"/>
                <w:sz w:val="18"/>
                <w:szCs w:val="18"/>
              </w:rPr>
            </w:pPr>
            <w:r w:rsidRPr="000C675E">
              <w:rPr>
                <w:rFonts w:cstheme="minorHAnsi"/>
                <w:sz w:val="18"/>
                <w:szCs w:val="18"/>
              </w:rPr>
              <w:t>$19,780</w:t>
            </w:r>
          </w:p>
        </w:tc>
        <w:tc>
          <w:tcPr>
            <w:tcW w:w="612" w:type="pct"/>
            <w:tcBorders>
              <w:top w:val="nil"/>
              <w:left w:val="nil"/>
              <w:bottom w:val="single" w:sz="4" w:space="0" w:color="auto"/>
              <w:right w:val="single" w:sz="4" w:space="0" w:color="auto"/>
            </w:tcBorders>
            <w:shd w:val="clear" w:color="auto" w:fill="auto"/>
            <w:noWrap/>
            <w:vAlign w:val="bottom"/>
          </w:tcPr>
          <w:p w:rsidR="00EF5EDE" w:rsidRPr="000C675E" w:rsidRDefault="00EF5EDE" w:rsidP="009E7910">
            <w:pPr>
              <w:pStyle w:val="TableText"/>
              <w:jc w:val="center"/>
              <w:rPr>
                <w:rFonts w:cstheme="minorHAnsi"/>
                <w:sz w:val="18"/>
                <w:szCs w:val="18"/>
              </w:rPr>
            </w:pPr>
            <w:r w:rsidRPr="000C675E">
              <w:rPr>
                <w:rFonts w:cstheme="minorHAnsi"/>
                <w:sz w:val="18"/>
                <w:szCs w:val="18"/>
              </w:rPr>
              <w:t>$</w:t>
            </w:r>
            <w:r w:rsidR="00777702">
              <w:rPr>
                <w:rFonts w:cstheme="minorHAnsi"/>
                <w:noProof/>
                <w:color w:val="000000"/>
                <w:sz w:val="18"/>
                <w:szCs w:val="18"/>
                <w:highlight w:val="black"/>
              </w:rPr>
              <w:t>''''''''''''''''''</w:t>
            </w:r>
          </w:p>
        </w:tc>
        <w:tc>
          <w:tcPr>
            <w:tcW w:w="543" w:type="pct"/>
            <w:tcBorders>
              <w:top w:val="nil"/>
              <w:left w:val="nil"/>
              <w:bottom w:val="single" w:sz="4" w:space="0" w:color="auto"/>
              <w:right w:val="single" w:sz="4" w:space="0" w:color="auto"/>
            </w:tcBorders>
            <w:shd w:val="clear" w:color="auto" w:fill="auto"/>
            <w:noWrap/>
            <w:vAlign w:val="bottom"/>
          </w:tcPr>
          <w:p w:rsidR="00EF5EDE" w:rsidRPr="000C675E" w:rsidRDefault="00EF5EDE" w:rsidP="009E7910">
            <w:pPr>
              <w:pStyle w:val="TableText"/>
              <w:jc w:val="center"/>
              <w:rPr>
                <w:rFonts w:cstheme="minorHAnsi"/>
                <w:sz w:val="18"/>
                <w:szCs w:val="18"/>
              </w:rPr>
            </w:pPr>
            <w:r w:rsidRPr="000C675E">
              <w:rPr>
                <w:rFonts w:cstheme="minorHAnsi"/>
                <w:sz w:val="18"/>
                <w:szCs w:val="18"/>
              </w:rPr>
              <w:t>1.779</w:t>
            </w:r>
          </w:p>
        </w:tc>
        <w:tc>
          <w:tcPr>
            <w:tcW w:w="578" w:type="pct"/>
            <w:tcBorders>
              <w:top w:val="nil"/>
              <w:left w:val="nil"/>
              <w:bottom w:val="single" w:sz="4" w:space="0" w:color="auto"/>
              <w:right w:val="single" w:sz="4" w:space="0" w:color="auto"/>
            </w:tcBorders>
            <w:shd w:val="clear" w:color="auto" w:fill="auto"/>
            <w:noWrap/>
            <w:vAlign w:val="bottom"/>
          </w:tcPr>
          <w:p w:rsidR="00EF5EDE" w:rsidRPr="000C675E" w:rsidRDefault="00EF5EDE" w:rsidP="009E7910">
            <w:pPr>
              <w:pStyle w:val="TableText"/>
              <w:jc w:val="center"/>
              <w:rPr>
                <w:rFonts w:cstheme="minorHAnsi"/>
                <w:sz w:val="18"/>
                <w:szCs w:val="18"/>
              </w:rPr>
            </w:pPr>
            <w:r w:rsidRPr="000C675E">
              <w:rPr>
                <w:rFonts w:cstheme="minorHAnsi"/>
                <w:sz w:val="18"/>
                <w:szCs w:val="18"/>
              </w:rPr>
              <w:t>0.881</w:t>
            </w:r>
          </w:p>
        </w:tc>
        <w:tc>
          <w:tcPr>
            <w:tcW w:w="569" w:type="pct"/>
            <w:tcBorders>
              <w:top w:val="nil"/>
              <w:left w:val="nil"/>
              <w:bottom w:val="single" w:sz="4" w:space="0" w:color="auto"/>
              <w:right w:val="single" w:sz="4" w:space="0" w:color="auto"/>
            </w:tcBorders>
            <w:shd w:val="clear" w:color="auto" w:fill="auto"/>
            <w:noWrap/>
            <w:vAlign w:val="bottom"/>
          </w:tcPr>
          <w:p w:rsidR="00EF5EDE" w:rsidRPr="000C675E" w:rsidRDefault="00EF5EDE" w:rsidP="009E7910">
            <w:pPr>
              <w:pStyle w:val="TableText"/>
              <w:jc w:val="center"/>
              <w:rPr>
                <w:rFonts w:cstheme="minorHAnsi"/>
                <w:sz w:val="18"/>
                <w:szCs w:val="18"/>
              </w:rPr>
            </w:pPr>
            <w:r w:rsidRPr="000C675E">
              <w:rPr>
                <w:rFonts w:cstheme="minorHAnsi"/>
                <w:sz w:val="18"/>
                <w:szCs w:val="18"/>
              </w:rPr>
              <w:t>0.897</w:t>
            </w:r>
          </w:p>
        </w:tc>
        <w:tc>
          <w:tcPr>
            <w:tcW w:w="545" w:type="pct"/>
            <w:tcBorders>
              <w:top w:val="nil"/>
              <w:left w:val="nil"/>
              <w:bottom w:val="single" w:sz="4" w:space="0" w:color="auto"/>
              <w:right w:val="single" w:sz="4" w:space="0" w:color="auto"/>
            </w:tcBorders>
            <w:shd w:val="clear" w:color="auto" w:fill="auto"/>
            <w:noWrap/>
            <w:vAlign w:val="bottom"/>
          </w:tcPr>
          <w:p w:rsidR="00EF5EDE" w:rsidRPr="000C675E" w:rsidRDefault="00EF5EDE" w:rsidP="009E7910">
            <w:pPr>
              <w:pStyle w:val="TableText"/>
              <w:jc w:val="center"/>
              <w:rPr>
                <w:sz w:val="18"/>
                <w:szCs w:val="18"/>
              </w:rPr>
            </w:pPr>
            <w:r w:rsidRPr="000C675E">
              <w:rPr>
                <w:rFonts w:cstheme="minorHAnsi"/>
                <w:sz w:val="18"/>
                <w:szCs w:val="18"/>
              </w:rPr>
              <w:t>$</w:t>
            </w:r>
            <w:r w:rsidR="00777702">
              <w:rPr>
                <w:rFonts w:cstheme="minorHAnsi"/>
                <w:noProof/>
                <w:color w:val="000000"/>
                <w:sz w:val="18"/>
                <w:szCs w:val="18"/>
                <w:highlight w:val="black"/>
              </w:rPr>
              <w:t>'''''''''''''''</w:t>
            </w:r>
            <w:r w:rsidR="00F51C6B" w:rsidRPr="00734311">
              <w:rPr>
                <w:rFonts w:cstheme="minorHAnsi"/>
                <w:i/>
                <w:sz w:val="18"/>
                <w:szCs w:val="18"/>
                <w:vertAlign w:val="superscript"/>
              </w:rPr>
              <w:t>1</w:t>
            </w:r>
          </w:p>
        </w:tc>
      </w:tr>
      <w:tr w:rsidR="00B570C6" w:rsidRPr="000C675E" w:rsidTr="00A83A85">
        <w:trPr>
          <w:trHeight w:val="288"/>
        </w:trPr>
        <w:tc>
          <w:tcPr>
            <w:tcW w:w="108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F5EDE" w:rsidRPr="000C675E" w:rsidRDefault="00EF5EDE" w:rsidP="009E7910">
            <w:pPr>
              <w:pStyle w:val="TableText"/>
              <w:rPr>
                <w:rFonts w:cstheme="minorHAnsi"/>
                <w:sz w:val="18"/>
                <w:szCs w:val="18"/>
              </w:rPr>
            </w:pPr>
            <w:r w:rsidRPr="000C675E">
              <w:rPr>
                <w:rFonts w:cstheme="minorHAnsi"/>
                <w:sz w:val="18"/>
                <w:szCs w:val="18"/>
              </w:rPr>
              <w:t>Weighted costs and QALYs</w:t>
            </w:r>
          </w:p>
        </w:tc>
        <w:tc>
          <w:tcPr>
            <w:tcW w:w="453" w:type="pct"/>
            <w:tcBorders>
              <w:top w:val="nil"/>
              <w:left w:val="nil"/>
              <w:bottom w:val="single" w:sz="4" w:space="0" w:color="auto"/>
              <w:right w:val="single" w:sz="4" w:space="0" w:color="auto"/>
            </w:tcBorders>
            <w:shd w:val="clear" w:color="auto" w:fill="auto"/>
            <w:noWrap/>
            <w:vAlign w:val="bottom"/>
          </w:tcPr>
          <w:p w:rsidR="00EF5EDE" w:rsidRPr="000C675E" w:rsidRDefault="00EF5EDE" w:rsidP="009E7910">
            <w:pPr>
              <w:pStyle w:val="TableText"/>
              <w:jc w:val="center"/>
              <w:rPr>
                <w:rFonts w:cstheme="minorHAnsi"/>
                <w:sz w:val="18"/>
                <w:szCs w:val="18"/>
              </w:rPr>
            </w:pPr>
            <w:r w:rsidRPr="000C675E">
              <w:rPr>
                <w:rFonts w:cstheme="minorHAnsi"/>
                <w:sz w:val="18"/>
                <w:szCs w:val="18"/>
              </w:rPr>
              <w:t>$</w:t>
            </w:r>
            <w:r w:rsidR="00777702">
              <w:rPr>
                <w:rFonts w:cstheme="minorHAnsi"/>
                <w:noProof/>
                <w:color w:val="000000"/>
                <w:sz w:val="18"/>
                <w:szCs w:val="18"/>
                <w:highlight w:val="black"/>
              </w:rPr>
              <w:t>''''''''''''''''''''</w:t>
            </w:r>
          </w:p>
        </w:tc>
        <w:tc>
          <w:tcPr>
            <w:tcW w:w="615" w:type="pct"/>
            <w:tcBorders>
              <w:top w:val="nil"/>
              <w:left w:val="nil"/>
              <w:bottom w:val="single" w:sz="4" w:space="0" w:color="auto"/>
              <w:right w:val="single" w:sz="4" w:space="0" w:color="auto"/>
            </w:tcBorders>
            <w:shd w:val="clear" w:color="auto" w:fill="auto"/>
            <w:noWrap/>
            <w:vAlign w:val="bottom"/>
          </w:tcPr>
          <w:p w:rsidR="00EF5EDE" w:rsidRPr="000C675E" w:rsidRDefault="00EF5EDE" w:rsidP="009E7910">
            <w:pPr>
              <w:pStyle w:val="TableText"/>
              <w:jc w:val="center"/>
              <w:rPr>
                <w:rFonts w:cstheme="minorHAnsi"/>
                <w:sz w:val="18"/>
                <w:szCs w:val="18"/>
              </w:rPr>
            </w:pPr>
            <w:r w:rsidRPr="000C675E">
              <w:rPr>
                <w:rFonts w:cstheme="minorHAnsi"/>
                <w:sz w:val="18"/>
                <w:szCs w:val="18"/>
              </w:rPr>
              <w:t>$27,902</w:t>
            </w:r>
          </w:p>
        </w:tc>
        <w:tc>
          <w:tcPr>
            <w:tcW w:w="612" w:type="pct"/>
            <w:tcBorders>
              <w:top w:val="nil"/>
              <w:left w:val="nil"/>
              <w:bottom w:val="single" w:sz="4" w:space="0" w:color="auto"/>
              <w:right w:val="single" w:sz="4" w:space="0" w:color="auto"/>
            </w:tcBorders>
            <w:shd w:val="clear" w:color="auto" w:fill="auto"/>
            <w:noWrap/>
            <w:vAlign w:val="bottom"/>
          </w:tcPr>
          <w:p w:rsidR="00EF5EDE" w:rsidRPr="000C675E" w:rsidRDefault="00EF5EDE" w:rsidP="009E7910">
            <w:pPr>
              <w:pStyle w:val="TableText"/>
              <w:jc w:val="center"/>
              <w:rPr>
                <w:rFonts w:cstheme="minorHAnsi"/>
                <w:sz w:val="18"/>
                <w:szCs w:val="18"/>
              </w:rPr>
            </w:pPr>
            <w:r w:rsidRPr="000C675E">
              <w:rPr>
                <w:rFonts w:cstheme="minorHAnsi"/>
                <w:sz w:val="18"/>
                <w:szCs w:val="18"/>
              </w:rPr>
              <w:t>$</w:t>
            </w:r>
            <w:r w:rsidR="00777702">
              <w:rPr>
                <w:rFonts w:cstheme="minorHAnsi"/>
                <w:noProof/>
                <w:color w:val="000000"/>
                <w:sz w:val="18"/>
                <w:szCs w:val="18"/>
                <w:highlight w:val="black"/>
              </w:rPr>
              <w:t>''''''''''''''''</w:t>
            </w:r>
          </w:p>
        </w:tc>
        <w:tc>
          <w:tcPr>
            <w:tcW w:w="543" w:type="pct"/>
            <w:tcBorders>
              <w:top w:val="nil"/>
              <w:left w:val="nil"/>
              <w:bottom w:val="single" w:sz="4" w:space="0" w:color="auto"/>
              <w:right w:val="single" w:sz="4" w:space="0" w:color="auto"/>
            </w:tcBorders>
            <w:shd w:val="clear" w:color="auto" w:fill="auto"/>
            <w:noWrap/>
            <w:vAlign w:val="bottom"/>
          </w:tcPr>
          <w:p w:rsidR="00EF5EDE" w:rsidRPr="000C675E" w:rsidRDefault="00EF5EDE" w:rsidP="009E7910">
            <w:pPr>
              <w:pStyle w:val="TableText"/>
              <w:jc w:val="center"/>
              <w:rPr>
                <w:rFonts w:cstheme="minorHAnsi"/>
                <w:sz w:val="18"/>
                <w:szCs w:val="18"/>
              </w:rPr>
            </w:pPr>
            <w:r w:rsidRPr="000C675E">
              <w:rPr>
                <w:rFonts w:cstheme="minorHAnsi"/>
                <w:sz w:val="18"/>
                <w:szCs w:val="18"/>
              </w:rPr>
              <w:t>1.780</w:t>
            </w:r>
          </w:p>
        </w:tc>
        <w:tc>
          <w:tcPr>
            <w:tcW w:w="578" w:type="pct"/>
            <w:tcBorders>
              <w:top w:val="nil"/>
              <w:left w:val="nil"/>
              <w:bottom w:val="single" w:sz="4" w:space="0" w:color="auto"/>
              <w:right w:val="single" w:sz="4" w:space="0" w:color="auto"/>
            </w:tcBorders>
            <w:shd w:val="clear" w:color="auto" w:fill="auto"/>
            <w:noWrap/>
            <w:vAlign w:val="bottom"/>
          </w:tcPr>
          <w:p w:rsidR="00EF5EDE" w:rsidRPr="000C675E" w:rsidRDefault="00EF5EDE" w:rsidP="009E7910">
            <w:pPr>
              <w:pStyle w:val="TableText"/>
              <w:jc w:val="center"/>
              <w:rPr>
                <w:rFonts w:cstheme="minorHAnsi"/>
                <w:sz w:val="18"/>
                <w:szCs w:val="18"/>
              </w:rPr>
            </w:pPr>
            <w:r w:rsidRPr="000C675E">
              <w:rPr>
                <w:rFonts w:cstheme="minorHAnsi"/>
                <w:sz w:val="18"/>
                <w:szCs w:val="18"/>
              </w:rPr>
              <w:t>0.827</w:t>
            </w:r>
          </w:p>
        </w:tc>
        <w:tc>
          <w:tcPr>
            <w:tcW w:w="569" w:type="pct"/>
            <w:tcBorders>
              <w:top w:val="nil"/>
              <w:left w:val="nil"/>
              <w:bottom w:val="single" w:sz="4" w:space="0" w:color="auto"/>
              <w:right w:val="single" w:sz="4" w:space="0" w:color="auto"/>
            </w:tcBorders>
            <w:shd w:val="clear" w:color="auto" w:fill="auto"/>
            <w:noWrap/>
            <w:vAlign w:val="bottom"/>
          </w:tcPr>
          <w:p w:rsidR="00EF5EDE" w:rsidRPr="000C675E" w:rsidRDefault="00EF5EDE" w:rsidP="009E7910">
            <w:pPr>
              <w:pStyle w:val="TableText"/>
              <w:jc w:val="center"/>
              <w:rPr>
                <w:rFonts w:cstheme="minorHAnsi"/>
                <w:sz w:val="18"/>
                <w:szCs w:val="18"/>
              </w:rPr>
            </w:pPr>
            <w:r w:rsidRPr="000C675E">
              <w:rPr>
                <w:rFonts w:cstheme="minorHAnsi"/>
                <w:sz w:val="18"/>
                <w:szCs w:val="18"/>
              </w:rPr>
              <w:t>0.953</w:t>
            </w:r>
          </w:p>
        </w:tc>
        <w:tc>
          <w:tcPr>
            <w:tcW w:w="54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EF5EDE" w:rsidRPr="000C675E" w:rsidRDefault="00EF5EDE" w:rsidP="009E7910">
            <w:pPr>
              <w:pStyle w:val="TableText"/>
              <w:rPr>
                <w:sz w:val="18"/>
                <w:szCs w:val="18"/>
              </w:rPr>
            </w:pPr>
            <w:r w:rsidRPr="000C675E">
              <w:rPr>
                <w:sz w:val="18"/>
                <w:szCs w:val="18"/>
              </w:rPr>
              <w:t> </w:t>
            </w:r>
          </w:p>
        </w:tc>
      </w:tr>
      <w:tr w:rsidR="00EF5EDE" w:rsidRPr="000C675E" w:rsidTr="00A83A85">
        <w:trPr>
          <w:trHeight w:val="288"/>
        </w:trPr>
        <w:tc>
          <w:tcPr>
            <w:tcW w:w="108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F5EDE" w:rsidRPr="000C675E" w:rsidRDefault="00EF5EDE" w:rsidP="009E7910">
            <w:pPr>
              <w:pStyle w:val="TableText"/>
              <w:rPr>
                <w:rFonts w:cstheme="minorHAnsi"/>
                <w:sz w:val="18"/>
                <w:szCs w:val="18"/>
              </w:rPr>
            </w:pPr>
            <w:r w:rsidRPr="000C675E">
              <w:rPr>
                <w:rFonts w:cstheme="minorHAnsi"/>
                <w:sz w:val="18"/>
                <w:szCs w:val="18"/>
              </w:rPr>
              <w:t>Weighted ICER</w:t>
            </w:r>
          </w:p>
        </w:tc>
        <w:tc>
          <w:tcPr>
            <w:tcW w:w="3371" w:type="pct"/>
            <w:gridSpan w:val="6"/>
            <w:tcBorders>
              <w:top w:val="single" w:sz="4" w:space="0" w:color="auto"/>
              <w:left w:val="nil"/>
              <w:bottom w:val="single" w:sz="4" w:space="0" w:color="auto"/>
              <w:right w:val="single" w:sz="4" w:space="0" w:color="000000"/>
            </w:tcBorders>
            <w:shd w:val="clear" w:color="auto" w:fill="auto"/>
            <w:noWrap/>
            <w:vAlign w:val="bottom"/>
          </w:tcPr>
          <w:p w:rsidR="00EF5EDE" w:rsidRPr="000C675E" w:rsidRDefault="00EF5EDE" w:rsidP="009E7910">
            <w:pPr>
              <w:pStyle w:val="TableText"/>
              <w:jc w:val="center"/>
              <w:rPr>
                <w:rFonts w:cstheme="minorHAnsi"/>
                <w:b/>
                <w:bCs w:val="0"/>
                <w:sz w:val="18"/>
                <w:szCs w:val="18"/>
              </w:rPr>
            </w:pPr>
            <w:bookmarkStart w:id="19" w:name="_Hlk78221685"/>
            <w:r w:rsidRPr="000C675E">
              <w:rPr>
                <w:rFonts w:cs="Calibri"/>
                <w:b/>
                <w:sz w:val="18"/>
                <w:szCs w:val="18"/>
              </w:rPr>
              <w:t>$</w:t>
            </w:r>
            <w:bookmarkEnd w:id="19"/>
            <w:r w:rsidR="00777702">
              <w:rPr>
                <w:rFonts w:cs="Calibri"/>
                <w:b/>
                <w:noProof/>
                <w:color w:val="000000"/>
                <w:sz w:val="18"/>
                <w:szCs w:val="18"/>
                <w:highlight w:val="black"/>
              </w:rPr>
              <w:t>'''''''''''''''</w:t>
            </w:r>
            <w:r w:rsidR="00F51C6B" w:rsidRPr="00734311">
              <w:rPr>
                <w:rFonts w:cstheme="minorHAnsi"/>
                <w:i/>
                <w:sz w:val="18"/>
                <w:szCs w:val="18"/>
                <w:vertAlign w:val="superscript"/>
              </w:rPr>
              <w:t>1</w:t>
            </w:r>
          </w:p>
        </w:tc>
        <w:tc>
          <w:tcPr>
            <w:tcW w:w="545" w:type="pct"/>
            <w:vMerge/>
            <w:tcBorders>
              <w:top w:val="single" w:sz="4" w:space="0" w:color="auto"/>
              <w:left w:val="single" w:sz="4" w:space="0" w:color="auto"/>
              <w:bottom w:val="single" w:sz="4" w:space="0" w:color="000000"/>
              <w:right w:val="single" w:sz="4" w:space="0" w:color="auto"/>
            </w:tcBorders>
            <w:vAlign w:val="center"/>
            <w:hideMark/>
          </w:tcPr>
          <w:p w:rsidR="00EF5EDE" w:rsidRPr="000C675E" w:rsidRDefault="00EF5EDE" w:rsidP="009E7910">
            <w:pPr>
              <w:pStyle w:val="TableText"/>
              <w:rPr>
                <w:sz w:val="18"/>
                <w:szCs w:val="18"/>
              </w:rPr>
            </w:pPr>
          </w:p>
        </w:tc>
      </w:tr>
    </w:tbl>
    <w:p w:rsidR="00AA7703" w:rsidRPr="000C675E" w:rsidRDefault="00AA3C5F" w:rsidP="009E7910">
      <w:pPr>
        <w:pStyle w:val="TableFigureFooter"/>
        <w:spacing w:after="240"/>
      </w:pPr>
      <w:r w:rsidRPr="000C675E">
        <w:t>Source: ‘VTX AZA CEA April 2021 final’ spreadsheet provided with the July 2021 resubmission; Table 14 of the July 2021 resubmission.</w:t>
      </w:r>
    </w:p>
    <w:p w:rsidR="00E643F8" w:rsidRPr="000C675E" w:rsidRDefault="00E643F8" w:rsidP="009E7910">
      <w:pPr>
        <w:pStyle w:val="TableFigureFooter"/>
        <w:spacing w:after="240"/>
        <w:rPr>
          <w:i/>
        </w:rPr>
      </w:pPr>
      <w:r w:rsidRPr="000C675E">
        <w:rPr>
          <w:i/>
        </w:rPr>
        <w:t xml:space="preserve">Figures in italics were calculated by the PBAC Secretariat for </w:t>
      </w:r>
      <w:r w:rsidR="005B241A" w:rsidRPr="000C675E">
        <w:rPr>
          <w:i/>
        </w:rPr>
        <w:t xml:space="preserve">the </w:t>
      </w:r>
      <w:r w:rsidRPr="000C675E">
        <w:rPr>
          <w:i/>
        </w:rPr>
        <w:t>overview</w:t>
      </w:r>
      <w:r w:rsidR="005B241A" w:rsidRPr="000C675E">
        <w:rPr>
          <w:i/>
        </w:rPr>
        <w:t xml:space="preserve"> presented to the PBAC</w:t>
      </w:r>
      <w:r w:rsidRPr="000C675E">
        <w:rPr>
          <w:i/>
        </w:rPr>
        <w:t xml:space="preserve">. </w:t>
      </w:r>
    </w:p>
    <w:p w:rsidR="00841E06" w:rsidRDefault="00841E06" w:rsidP="00B911EB">
      <w:pPr>
        <w:pStyle w:val="TableFigureFooter"/>
        <w:spacing w:after="0"/>
        <w:contextualSpacing w:val="0"/>
        <w:rPr>
          <w:iCs/>
        </w:rPr>
      </w:pPr>
      <w:r w:rsidRPr="000C675E">
        <w:rPr>
          <w:iCs/>
        </w:rPr>
        <w:t>AEMP = approved ex-manufacturer price, AZA = azacitidine, ICER = incremental cost-effectiveness ratio, LoDAC = low-dose cytarabine, QALY = quality-adjusted life year, VTX = venetoclax.</w:t>
      </w:r>
    </w:p>
    <w:p w:rsidR="00F51C6B" w:rsidRPr="009A6D58" w:rsidRDefault="00F51C6B" w:rsidP="00F51C6B">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rsidR="00F51C6B" w:rsidRPr="009A6D58" w:rsidRDefault="00F51C6B" w:rsidP="00F51C6B">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F51C6B">
        <w:rPr>
          <w:rFonts w:ascii="Arial Narrow" w:hAnsi="Arial Narrow" w:cs="Arial"/>
          <w:i/>
          <w:sz w:val="18"/>
          <w:szCs w:val="18"/>
        </w:rPr>
        <w:t>$75,000 to &lt; $95,000</w:t>
      </w:r>
    </w:p>
    <w:p w:rsidR="00F51C6B" w:rsidRPr="009A6D58" w:rsidRDefault="00F51C6B" w:rsidP="00F51C6B">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F51C6B">
        <w:rPr>
          <w:rFonts w:ascii="Arial Narrow" w:hAnsi="Arial Narrow" w:cs="Arial"/>
          <w:i/>
          <w:sz w:val="18"/>
          <w:szCs w:val="18"/>
        </w:rPr>
        <w:t>$95,000 to &lt; $115,000</w:t>
      </w:r>
    </w:p>
    <w:p w:rsidR="00F51C6B" w:rsidRDefault="00F51C6B" w:rsidP="00F51C6B">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F51C6B">
        <w:rPr>
          <w:rFonts w:ascii="Arial Narrow" w:hAnsi="Arial Narrow" w:cs="Arial"/>
          <w:i/>
          <w:sz w:val="18"/>
          <w:szCs w:val="18"/>
        </w:rPr>
        <w:t>$55,000 to &lt; $75,000</w:t>
      </w:r>
    </w:p>
    <w:p w:rsidR="00F51C6B" w:rsidRPr="000C675E" w:rsidRDefault="00F51C6B" w:rsidP="009E7910">
      <w:pPr>
        <w:pStyle w:val="TableFigureFooter"/>
        <w:spacing w:after="240"/>
        <w:rPr>
          <w:iCs/>
        </w:rPr>
      </w:pPr>
    </w:p>
    <w:p w:rsidR="00B570C6" w:rsidRPr="000C675E" w:rsidRDefault="00B570C6" w:rsidP="00F51C6B">
      <w:pPr>
        <w:pStyle w:val="3-BodyText"/>
      </w:pPr>
      <w:r w:rsidRPr="000C675E">
        <w:t>Based on the proposed price for VTX in the resubmission (</w:t>
      </w:r>
      <w:r w:rsidR="00ED105A" w:rsidRPr="000C675E">
        <w:t>approved ex-manufacturer price (</w:t>
      </w:r>
      <w:r w:rsidRPr="000C675E">
        <w:t>AEMP</w:t>
      </w:r>
      <w:r w:rsidR="00ED105A" w:rsidRPr="000C675E">
        <w:t>)</w:t>
      </w:r>
      <w:r w:rsidRPr="000C675E">
        <w:t xml:space="preserve"> $</w:t>
      </w:r>
      <w:r w:rsidR="00777702">
        <w:rPr>
          <w:noProof/>
          <w:color w:val="000000"/>
          <w:highlight w:val="black"/>
        </w:rPr>
        <w:t>''''''''''''''''</w:t>
      </w:r>
      <w:r w:rsidRPr="000C675E">
        <w:t xml:space="preserve">), </w:t>
      </w:r>
      <w:r w:rsidR="00E94D39" w:rsidRPr="000C675E">
        <w:t>the ICER for the PBAC scenario wa</w:t>
      </w:r>
      <w:r w:rsidRPr="000C675E">
        <w:t xml:space="preserve">s </w:t>
      </w:r>
      <w:r w:rsidR="00F51C6B" w:rsidRPr="00F51C6B">
        <w:t xml:space="preserve">$95,000 to &lt; $115,000 </w:t>
      </w:r>
      <w:r w:rsidRPr="000C675E">
        <w:t xml:space="preserve">/QALY. A reduction in the price of VTX of approximately 28% </w:t>
      </w:r>
      <w:r w:rsidR="004B2028" w:rsidRPr="000C675E">
        <w:t>(AEMP $</w:t>
      </w:r>
      <w:r w:rsidR="00777702">
        <w:rPr>
          <w:noProof/>
          <w:color w:val="000000"/>
          <w:highlight w:val="black"/>
        </w:rPr>
        <w:t>'''''''''</w:t>
      </w:r>
      <w:r w:rsidR="004B2028" w:rsidRPr="000C675E">
        <w:t xml:space="preserve">) </w:t>
      </w:r>
      <w:r w:rsidRPr="000C675E">
        <w:t xml:space="preserve">would be required for the ICER to be approximately </w:t>
      </w:r>
      <w:r w:rsidR="00F51C6B">
        <w:t>$75,000 to &lt; $9</w:t>
      </w:r>
      <w:r w:rsidR="00F51C6B" w:rsidRPr="00F51C6B">
        <w:t xml:space="preserve">5,000 </w:t>
      </w:r>
      <w:r w:rsidRPr="000C675E">
        <w:t>/QALY. If the weighting for the LoDAC comparison was increased</w:t>
      </w:r>
      <w:r w:rsidR="005565D2" w:rsidRPr="000C675E">
        <w:t xml:space="preserve"> to be higher than 44.4%</w:t>
      </w:r>
      <w:r w:rsidRPr="000C675E">
        <w:t xml:space="preserve">, the price reduction required for VTX for the ICER to be </w:t>
      </w:r>
      <w:r w:rsidR="00F51C6B">
        <w:t>$75,000 to &lt; $9</w:t>
      </w:r>
      <w:r w:rsidR="00F51C6B" w:rsidRPr="00F51C6B">
        <w:t xml:space="preserve">5,000 </w:t>
      </w:r>
      <w:r w:rsidRPr="000C675E">
        <w:t>/QALY would be larger.</w:t>
      </w:r>
    </w:p>
    <w:p w:rsidR="00B570C6" w:rsidRPr="000C675E" w:rsidRDefault="005565D2" w:rsidP="00F51C6B">
      <w:pPr>
        <w:pStyle w:val="3-BodyText"/>
      </w:pPr>
      <w:r w:rsidRPr="000C675E">
        <w:t>Based on the proposed price for VTX in the resubmission (AEMP $</w:t>
      </w:r>
      <w:r w:rsidR="00777702">
        <w:rPr>
          <w:noProof/>
          <w:color w:val="000000"/>
          <w:highlight w:val="black"/>
        </w:rPr>
        <w:t>'''''''''''''''</w:t>
      </w:r>
      <w:r w:rsidRPr="000C675E">
        <w:t>), the ICER for the resubmission</w:t>
      </w:r>
      <w:r w:rsidR="00E94D39" w:rsidRPr="000C675E">
        <w:t xml:space="preserve"> scenario wa</w:t>
      </w:r>
      <w:r w:rsidRPr="000C675E">
        <w:t xml:space="preserve">s </w:t>
      </w:r>
      <w:r w:rsidR="00F51C6B" w:rsidRPr="00F51C6B">
        <w:t>$75,000 to &lt; $95,000</w:t>
      </w:r>
      <w:r w:rsidRPr="000C675E">
        <w:t>/QALY. The resubmission note</w:t>
      </w:r>
      <w:r w:rsidR="00E94D39" w:rsidRPr="000C675E">
        <w:t>d</w:t>
      </w:r>
      <w:r w:rsidRPr="000C675E">
        <w:t xml:space="preserve"> for the comparison of VTX+AZA versus AZA t</w:t>
      </w:r>
      <w:r w:rsidRPr="00B911EB">
        <w:t xml:space="preserve">hat </w:t>
      </w:r>
      <w:r w:rsidR="00777702">
        <w:rPr>
          <w:noProof/>
          <w:color w:val="000000"/>
          <w:highlight w:val="black"/>
        </w:rPr>
        <w:t>'''''</w:t>
      </w:r>
      <w:r w:rsidRPr="00B911EB">
        <w:t xml:space="preserve">% of the total incremental cost </w:t>
      </w:r>
      <w:r w:rsidR="00ED105A" w:rsidRPr="00B911EB">
        <w:t>was</w:t>
      </w:r>
      <w:r w:rsidRPr="00B911EB">
        <w:t xml:space="preserve"> due to either co-administered AZA (which is PBS listed and subject to price disclosure) or the </w:t>
      </w:r>
      <w:r w:rsidR="00ED105A" w:rsidRPr="00B911EB">
        <w:t>intravenous (</w:t>
      </w:r>
      <w:r w:rsidRPr="00B911EB">
        <w:t>IV</w:t>
      </w:r>
      <w:r w:rsidR="00ED105A" w:rsidRPr="00B911EB">
        <w:t>)</w:t>
      </w:r>
      <w:r w:rsidRPr="00B911EB">
        <w:t xml:space="preserve"> administration costs associated with AZA. For the comparison of VTX+AZA versus LoDAC, </w:t>
      </w:r>
      <w:r w:rsidR="00777702">
        <w:rPr>
          <w:noProof/>
          <w:color w:val="000000"/>
          <w:highlight w:val="black"/>
        </w:rPr>
        <w:t>'''''</w:t>
      </w:r>
      <w:r w:rsidRPr="00B911EB">
        <w:t xml:space="preserve">% </w:t>
      </w:r>
      <w:r w:rsidR="00E94D39" w:rsidRPr="00B911EB">
        <w:t>of the total incremental cost wa</w:t>
      </w:r>
      <w:r w:rsidRPr="00B911EB">
        <w:t>s due to either co-administered AZA or the IV administration</w:t>
      </w:r>
      <w:r w:rsidRPr="000C675E">
        <w:t xml:space="preserve"> costs associated with AZA.</w:t>
      </w:r>
    </w:p>
    <w:p w:rsidR="008C5230" w:rsidRPr="000C675E" w:rsidRDefault="008C5230" w:rsidP="009E7910">
      <w:pPr>
        <w:pStyle w:val="3-BodyText"/>
      </w:pPr>
      <w:r w:rsidRPr="000C675E">
        <w:t>The pre-PBAC response noted that from 1 October 2021, the PBS price of AZA is likely to decrease by 38.61%</w:t>
      </w:r>
      <w:r w:rsidR="005B241A" w:rsidRPr="000C675E">
        <w:rPr>
          <w:rStyle w:val="FootnoteReference"/>
        </w:rPr>
        <w:footnoteReference w:id="2"/>
      </w:r>
      <w:r w:rsidRPr="000C675E">
        <w:t xml:space="preserve">, which would improve the cost effectiveness and </w:t>
      </w:r>
      <w:r w:rsidR="00991A4C" w:rsidRPr="000C675E">
        <w:t xml:space="preserve">reduce the </w:t>
      </w:r>
      <w:r w:rsidRPr="0075328D">
        <w:t>budget impa</w:t>
      </w:r>
      <w:r w:rsidRPr="000C675E">
        <w:t>ct of the VTX with AZA listings</w:t>
      </w:r>
      <w:r w:rsidR="003A5046" w:rsidRPr="000C675E">
        <w:t>, with revised results shown in the table below</w:t>
      </w:r>
      <w:r w:rsidRPr="000C675E">
        <w:t>.</w:t>
      </w:r>
    </w:p>
    <w:p w:rsidR="008C5230" w:rsidRPr="005F5101" w:rsidRDefault="003A5046" w:rsidP="003A5046">
      <w:pPr>
        <w:pStyle w:val="Tableheadingrow"/>
        <w:rPr>
          <w:sz w:val="24"/>
          <w:lang w:val="en-AU"/>
        </w:rPr>
      </w:pPr>
      <w:bookmarkStart w:id="20" w:name="_Ref78374072"/>
      <w:r w:rsidRPr="005F5101">
        <w:rPr>
          <w:lang w:val="en-AU"/>
        </w:rPr>
        <w:t>Table 5</w:t>
      </w:r>
      <w:bookmarkEnd w:id="20"/>
      <w:r w:rsidR="008C5230" w:rsidRPr="005F5101">
        <w:rPr>
          <w:lang w:val="en-AU"/>
        </w:rPr>
        <w:t xml:space="preserve">: </w:t>
      </w:r>
      <w:r w:rsidR="008C5230" w:rsidRPr="005F5101">
        <w:rPr>
          <w:iCs/>
          <w:lang w:val="en-AU"/>
        </w:rPr>
        <w:t>Recalculated</w:t>
      </w:r>
      <w:r w:rsidR="008C5230" w:rsidRPr="005F5101">
        <w:rPr>
          <w:lang w:val="en-AU"/>
        </w:rPr>
        <w:t xml:space="preserve"> ICERs using the likely AZA price (October 2021 Price Disclosure Cycle)</w:t>
      </w:r>
    </w:p>
    <w:tbl>
      <w:tblPr>
        <w:tblW w:w="5000" w:type="pct"/>
        <w:tblLook w:val="04A0" w:firstRow="1" w:lastRow="0" w:firstColumn="1" w:lastColumn="0" w:noHBand="0" w:noVBand="1"/>
      </w:tblPr>
      <w:tblGrid>
        <w:gridCol w:w="2887"/>
        <w:gridCol w:w="2016"/>
        <w:gridCol w:w="2070"/>
        <w:gridCol w:w="2043"/>
      </w:tblGrid>
      <w:tr w:rsidR="008C5230" w:rsidRPr="000C675E" w:rsidTr="00AB0F8D">
        <w:trPr>
          <w:trHeight w:val="288"/>
        </w:trPr>
        <w:tc>
          <w:tcPr>
            <w:tcW w:w="1601" w:type="pct"/>
            <w:tcBorders>
              <w:top w:val="single" w:sz="4" w:space="0" w:color="auto"/>
              <w:left w:val="single" w:sz="4" w:space="0" w:color="auto"/>
              <w:bottom w:val="single" w:sz="4" w:space="0" w:color="auto"/>
              <w:right w:val="single" w:sz="4" w:space="0" w:color="auto"/>
            </w:tcBorders>
            <w:noWrap/>
            <w:vAlign w:val="bottom"/>
            <w:hideMark/>
          </w:tcPr>
          <w:p w:rsidR="008C5230" w:rsidRPr="000C675E" w:rsidRDefault="008C5230">
            <w:pPr>
              <w:spacing w:line="276" w:lineRule="auto"/>
              <w:rPr>
                <w:rFonts w:ascii="Arial Narrow" w:hAnsi="Arial Narrow" w:cs="Calibri"/>
                <w:color w:val="000000"/>
                <w:sz w:val="20"/>
                <w:szCs w:val="20"/>
              </w:rPr>
            </w:pPr>
          </w:p>
        </w:tc>
        <w:tc>
          <w:tcPr>
            <w:tcW w:w="1118" w:type="pct"/>
            <w:tcBorders>
              <w:top w:val="single" w:sz="4" w:space="0" w:color="auto"/>
              <w:left w:val="nil"/>
              <w:bottom w:val="single" w:sz="4" w:space="0" w:color="auto"/>
              <w:right w:val="single" w:sz="4" w:space="0" w:color="auto"/>
            </w:tcBorders>
            <w:noWrap/>
            <w:vAlign w:val="bottom"/>
            <w:hideMark/>
          </w:tcPr>
          <w:p w:rsidR="008C5230" w:rsidRPr="000C675E" w:rsidRDefault="008C5230">
            <w:pPr>
              <w:spacing w:line="276" w:lineRule="auto"/>
              <w:jc w:val="center"/>
              <w:rPr>
                <w:rFonts w:ascii="Arial Narrow" w:hAnsi="Arial Narrow" w:cs="Calibri"/>
                <w:b/>
                <w:bCs/>
                <w:iCs/>
                <w:color w:val="000000"/>
                <w:sz w:val="20"/>
                <w:szCs w:val="20"/>
              </w:rPr>
            </w:pPr>
            <w:r w:rsidRPr="0075328D">
              <w:rPr>
                <w:rFonts w:ascii="Arial Narrow" w:hAnsi="Arial Narrow" w:cs="Calibri"/>
                <w:b/>
                <w:bCs/>
                <w:iCs/>
                <w:color w:val="000000"/>
                <w:sz w:val="20"/>
                <w:szCs w:val="20"/>
              </w:rPr>
              <w:t>ICER vs AZA</w:t>
            </w:r>
            <w:r w:rsidR="003A5046" w:rsidRPr="000C675E">
              <w:rPr>
                <w:rFonts w:ascii="Arial Narrow" w:hAnsi="Arial Narrow" w:cs="Calibri"/>
                <w:b/>
                <w:bCs/>
                <w:iCs/>
                <w:color w:val="000000"/>
                <w:sz w:val="20"/>
                <w:szCs w:val="20"/>
              </w:rPr>
              <w:t xml:space="preserve"> </w:t>
            </w:r>
          </w:p>
        </w:tc>
        <w:tc>
          <w:tcPr>
            <w:tcW w:w="1148" w:type="pct"/>
            <w:tcBorders>
              <w:top w:val="single" w:sz="4" w:space="0" w:color="auto"/>
              <w:left w:val="nil"/>
              <w:bottom w:val="single" w:sz="4" w:space="0" w:color="auto"/>
              <w:right w:val="single" w:sz="4" w:space="0" w:color="auto"/>
            </w:tcBorders>
            <w:noWrap/>
            <w:vAlign w:val="bottom"/>
            <w:hideMark/>
          </w:tcPr>
          <w:p w:rsidR="008C5230" w:rsidRPr="000C675E" w:rsidRDefault="008C5230">
            <w:pPr>
              <w:spacing w:line="276" w:lineRule="auto"/>
              <w:jc w:val="center"/>
              <w:rPr>
                <w:rFonts w:ascii="Arial Narrow" w:hAnsi="Arial Narrow" w:cs="Calibri"/>
                <w:b/>
                <w:bCs/>
                <w:iCs/>
                <w:color w:val="000000"/>
                <w:sz w:val="20"/>
                <w:szCs w:val="20"/>
              </w:rPr>
            </w:pPr>
            <w:r w:rsidRPr="000C675E">
              <w:rPr>
                <w:rFonts w:ascii="Arial Narrow" w:hAnsi="Arial Narrow" w:cs="Calibri"/>
                <w:b/>
                <w:bCs/>
                <w:iCs/>
                <w:color w:val="000000"/>
                <w:sz w:val="20"/>
                <w:szCs w:val="20"/>
              </w:rPr>
              <w:t>ICER vs L</w:t>
            </w:r>
            <w:r w:rsidR="003A5046" w:rsidRPr="000C675E">
              <w:rPr>
                <w:rFonts w:ascii="Arial Narrow" w:hAnsi="Arial Narrow" w:cs="Calibri"/>
                <w:b/>
                <w:bCs/>
                <w:iCs/>
                <w:color w:val="000000"/>
                <w:sz w:val="20"/>
                <w:szCs w:val="20"/>
              </w:rPr>
              <w:t>o</w:t>
            </w:r>
            <w:r w:rsidRPr="000C675E">
              <w:rPr>
                <w:rFonts w:ascii="Arial Narrow" w:hAnsi="Arial Narrow" w:cs="Calibri"/>
                <w:b/>
                <w:bCs/>
                <w:iCs/>
                <w:color w:val="000000"/>
                <w:sz w:val="20"/>
                <w:szCs w:val="20"/>
              </w:rPr>
              <w:t>DAC</w:t>
            </w:r>
          </w:p>
        </w:tc>
        <w:tc>
          <w:tcPr>
            <w:tcW w:w="1133" w:type="pct"/>
            <w:tcBorders>
              <w:top w:val="single" w:sz="4" w:space="0" w:color="auto"/>
              <w:left w:val="nil"/>
              <w:bottom w:val="single" w:sz="4" w:space="0" w:color="auto"/>
              <w:right w:val="single" w:sz="4" w:space="0" w:color="auto"/>
            </w:tcBorders>
            <w:noWrap/>
            <w:vAlign w:val="bottom"/>
            <w:hideMark/>
          </w:tcPr>
          <w:p w:rsidR="008C5230" w:rsidRPr="000C675E" w:rsidRDefault="008C5230">
            <w:pPr>
              <w:spacing w:line="276" w:lineRule="auto"/>
              <w:jc w:val="center"/>
              <w:rPr>
                <w:rFonts w:ascii="Arial Narrow" w:hAnsi="Arial Narrow" w:cs="Calibri"/>
                <w:b/>
                <w:bCs/>
                <w:iCs/>
                <w:color w:val="000000"/>
                <w:sz w:val="20"/>
                <w:szCs w:val="20"/>
              </w:rPr>
            </w:pPr>
            <w:r w:rsidRPr="000C675E">
              <w:rPr>
                <w:rFonts w:ascii="Arial Narrow" w:hAnsi="Arial Narrow" w:cs="Calibri"/>
                <w:b/>
                <w:bCs/>
                <w:iCs/>
                <w:color w:val="000000"/>
                <w:sz w:val="20"/>
                <w:szCs w:val="20"/>
              </w:rPr>
              <w:t>Weighted ICER</w:t>
            </w:r>
          </w:p>
        </w:tc>
      </w:tr>
      <w:tr w:rsidR="008C5230" w:rsidRPr="000C675E" w:rsidTr="00AB0F8D">
        <w:trPr>
          <w:trHeight w:val="288"/>
        </w:trPr>
        <w:tc>
          <w:tcPr>
            <w:tcW w:w="1601" w:type="pct"/>
            <w:tcBorders>
              <w:top w:val="nil"/>
              <w:left w:val="single" w:sz="4" w:space="0" w:color="auto"/>
              <w:bottom w:val="single" w:sz="4" w:space="0" w:color="auto"/>
              <w:right w:val="single" w:sz="4" w:space="0" w:color="auto"/>
            </w:tcBorders>
            <w:vAlign w:val="bottom"/>
            <w:hideMark/>
          </w:tcPr>
          <w:p w:rsidR="008C5230" w:rsidRPr="000C675E" w:rsidRDefault="003B2464" w:rsidP="00AB0F8D">
            <w:pPr>
              <w:spacing w:line="276" w:lineRule="auto"/>
              <w:jc w:val="left"/>
              <w:rPr>
                <w:rFonts w:ascii="Arial Narrow" w:hAnsi="Arial Narrow" w:cs="Calibri"/>
                <w:iCs/>
                <w:color w:val="000000"/>
                <w:sz w:val="20"/>
                <w:szCs w:val="20"/>
              </w:rPr>
            </w:pPr>
            <w:r w:rsidRPr="000C675E">
              <w:rPr>
                <w:rFonts w:ascii="Arial Narrow" w:hAnsi="Arial Narrow" w:cs="Calibri"/>
                <w:iCs/>
                <w:color w:val="000000"/>
                <w:sz w:val="20"/>
                <w:szCs w:val="20"/>
              </w:rPr>
              <w:t>Resubmission scenario</w:t>
            </w:r>
          </w:p>
        </w:tc>
        <w:tc>
          <w:tcPr>
            <w:tcW w:w="1118" w:type="pct"/>
            <w:tcBorders>
              <w:top w:val="nil"/>
              <w:left w:val="nil"/>
              <w:bottom w:val="single" w:sz="4" w:space="0" w:color="auto"/>
              <w:right w:val="single" w:sz="4" w:space="0" w:color="auto"/>
            </w:tcBorders>
            <w:noWrap/>
            <w:vAlign w:val="bottom"/>
            <w:hideMark/>
          </w:tcPr>
          <w:p w:rsidR="008C5230" w:rsidRPr="00B911EB" w:rsidRDefault="008C5230">
            <w:pPr>
              <w:spacing w:line="276" w:lineRule="auto"/>
              <w:jc w:val="center"/>
              <w:rPr>
                <w:rFonts w:ascii="Arial Narrow" w:hAnsi="Arial Narrow" w:cs="Calibri"/>
                <w:iCs/>
                <w:color w:val="000000"/>
                <w:sz w:val="20"/>
                <w:szCs w:val="20"/>
                <w:vertAlign w:val="superscript"/>
              </w:rPr>
            </w:pPr>
            <w:r w:rsidRPr="000C675E">
              <w:rPr>
                <w:rFonts w:ascii="Arial Narrow" w:hAnsi="Arial Narrow" w:cs="Calibri"/>
                <w:iCs/>
                <w:color w:val="000000"/>
                <w:sz w:val="20"/>
                <w:szCs w:val="20"/>
              </w:rPr>
              <w:t>$</w:t>
            </w:r>
            <w:r w:rsidR="00777702">
              <w:rPr>
                <w:rFonts w:ascii="Arial Narrow" w:hAnsi="Arial Narrow" w:cs="Calibri"/>
                <w:iCs/>
                <w:noProof/>
                <w:color w:val="000000"/>
                <w:sz w:val="20"/>
                <w:szCs w:val="20"/>
                <w:highlight w:val="black"/>
              </w:rPr>
              <w:t>''''''''''''''''</w:t>
            </w:r>
            <w:r w:rsidR="0084497F" w:rsidRPr="00B911EB">
              <w:rPr>
                <w:rFonts w:ascii="Arial Narrow" w:hAnsi="Arial Narrow" w:cs="Calibri"/>
                <w:iCs/>
                <w:color w:val="000000"/>
                <w:sz w:val="20"/>
                <w:szCs w:val="20"/>
                <w:vertAlign w:val="superscript"/>
              </w:rPr>
              <w:t>1</w:t>
            </w:r>
          </w:p>
        </w:tc>
        <w:tc>
          <w:tcPr>
            <w:tcW w:w="1148" w:type="pct"/>
            <w:tcBorders>
              <w:top w:val="nil"/>
              <w:left w:val="nil"/>
              <w:bottom w:val="single" w:sz="4" w:space="0" w:color="auto"/>
              <w:right w:val="single" w:sz="4" w:space="0" w:color="auto"/>
            </w:tcBorders>
            <w:noWrap/>
            <w:vAlign w:val="bottom"/>
            <w:hideMark/>
          </w:tcPr>
          <w:p w:rsidR="008C5230" w:rsidRPr="000C675E" w:rsidRDefault="008C5230">
            <w:pPr>
              <w:spacing w:line="276" w:lineRule="auto"/>
              <w:jc w:val="center"/>
              <w:rPr>
                <w:rFonts w:ascii="Arial Narrow" w:hAnsi="Arial Narrow" w:cs="Calibri"/>
                <w:iCs/>
                <w:color w:val="000000"/>
                <w:sz w:val="20"/>
                <w:szCs w:val="20"/>
              </w:rPr>
            </w:pPr>
            <w:r w:rsidRPr="000C675E">
              <w:rPr>
                <w:rFonts w:ascii="Arial Narrow" w:hAnsi="Arial Narrow" w:cs="Calibri"/>
                <w:iCs/>
                <w:color w:val="000000"/>
                <w:sz w:val="20"/>
                <w:szCs w:val="20"/>
              </w:rPr>
              <w:t>$</w:t>
            </w:r>
            <w:r w:rsidR="00777702">
              <w:rPr>
                <w:rFonts w:ascii="Arial Narrow" w:hAnsi="Arial Narrow" w:cs="Calibri"/>
                <w:iCs/>
                <w:noProof/>
                <w:color w:val="000000"/>
                <w:sz w:val="20"/>
                <w:szCs w:val="20"/>
                <w:highlight w:val="black"/>
              </w:rPr>
              <w:t>''''''''''''''''</w:t>
            </w:r>
            <w:r w:rsidR="0084497F">
              <w:rPr>
                <w:rFonts w:ascii="Arial Narrow" w:hAnsi="Arial Narrow" w:cs="Calibri"/>
                <w:iCs/>
                <w:color w:val="000000"/>
                <w:sz w:val="20"/>
                <w:szCs w:val="20"/>
                <w:vertAlign w:val="superscript"/>
              </w:rPr>
              <w:t>2</w:t>
            </w:r>
          </w:p>
        </w:tc>
        <w:tc>
          <w:tcPr>
            <w:tcW w:w="1133" w:type="pct"/>
            <w:tcBorders>
              <w:top w:val="nil"/>
              <w:left w:val="nil"/>
              <w:bottom w:val="single" w:sz="4" w:space="0" w:color="auto"/>
              <w:right w:val="single" w:sz="4" w:space="0" w:color="auto"/>
            </w:tcBorders>
            <w:noWrap/>
            <w:vAlign w:val="bottom"/>
            <w:hideMark/>
          </w:tcPr>
          <w:p w:rsidR="008C5230" w:rsidRPr="000C675E" w:rsidRDefault="008C5230">
            <w:pPr>
              <w:spacing w:line="276" w:lineRule="auto"/>
              <w:jc w:val="center"/>
              <w:rPr>
                <w:rFonts w:ascii="Arial Narrow" w:hAnsi="Arial Narrow" w:cs="Calibri"/>
                <w:iCs/>
                <w:color w:val="000000"/>
                <w:sz w:val="20"/>
                <w:szCs w:val="20"/>
              </w:rPr>
            </w:pPr>
            <w:r w:rsidRPr="000C675E">
              <w:rPr>
                <w:rFonts w:ascii="Arial Narrow" w:hAnsi="Arial Narrow" w:cs="Calibri"/>
                <w:iCs/>
                <w:color w:val="000000"/>
                <w:sz w:val="20"/>
                <w:szCs w:val="20"/>
              </w:rPr>
              <w:t>$</w:t>
            </w:r>
            <w:r w:rsidR="00777702">
              <w:rPr>
                <w:rFonts w:ascii="Arial Narrow" w:hAnsi="Arial Narrow" w:cs="Calibri"/>
                <w:iCs/>
                <w:noProof/>
                <w:color w:val="000000"/>
                <w:sz w:val="20"/>
                <w:szCs w:val="20"/>
                <w:highlight w:val="black"/>
              </w:rPr>
              <w:t>'''''''''''''''''</w:t>
            </w:r>
            <w:r w:rsidR="0084497F" w:rsidRPr="00734311">
              <w:rPr>
                <w:rFonts w:ascii="Arial Narrow" w:hAnsi="Arial Narrow" w:cs="Calibri"/>
                <w:iCs/>
                <w:color w:val="000000"/>
                <w:sz w:val="20"/>
                <w:szCs w:val="20"/>
                <w:vertAlign w:val="superscript"/>
              </w:rPr>
              <w:t>1</w:t>
            </w:r>
          </w:p>
        </w:tc>
      </w:tr>
      <w:tr w:rsidR="008C5230" w:rsidRPr="000C675E" w:rsidTr="00AB0F8D">
        <w:trPr>
          <w:trHeight w:val="344"/>
        </w:trPr>
        <w:tc>
          <w:tcPr>
            <w:tcW w:w="1601" w:type="pct"/>
            <w:tcBorders>
              <w:top w:val="nil"/>
              <w:left w:val="single" w:sz="4" w:space="0" w:color="auto"/>
              <w:bottom w:val="single" w:sz="4" w:space="0" w:color="auto"/>
              <w:right w:val="single" w:sz="4" w:space="0" w:color="auto"/>
            </w:tcBorders>
            <w:vAlign w:val="bottom"/>
            <w:hideMark/>
          </w:tcPr>
          <w:p w:rsidR="008C5230" w:rsidRPr="000C675E" w:rsidRDefault="008C5230" w:rsidP="00AB0F8D">
            <w:pPr>
              <w:spacing w:line="276" w:lineRule="auto"/>
              <w:jc w:val="left"/>
              <w:rPr>
                <w:rFonts w:ascii="Arial Narrow" w:hAnsi="Arial Narrow" w:cs="Calibri"/>
                <w:iCs/>
                <w:color w:val="000000"/>
                <w:sz w:val="20"/>
                <w:szCs w:val="20"/>
              </w:rPr>
            </w:pPr>
            <w:r w:rsidRPr="000C675E">
              <w:rPr>
                <w:rFonts w:ascii="Arial Narrow" w:hAnsi="Arial Narrow" w:cs="Calibri"/>
                <w:iCs/>
                <w:color w:val="000000"/>
                <w:sz w:val="20"/>
                <w:szCs w:val="20"/>
              </w:rPr>
              <w:t xml:space="preserve">PBAC </w:t>
            </w:r>
            <w:r w:rsidR="003A5046" w:rsidRPr="000C675E">
              <w:rPr>
                <w:rFonts w:ascii="Arial Narrow" w:hAnsi="Arial Narrow" w:cs="Calibri"/>
                <w:iCs/>
                <w:color w:val="000000"/>
                <w:sz w:val="20"/>
                <w:szCs w:val="20"/>
              </w:rPr>
              <w:t>scenario</w:t>
            </w:r>
            <w:r w:rsidRPr="000C675E">
              <w:rPr>
                <w:rFonts w:ascii="Arial Narrow" w:hAnsi="Arial Narrow" w:cs="Calibri"/>
                <w:iCs/>
                <w:color w:val="000000"/>
                <w:sz w:val="20"/>
                <w:szCs w:val="20"/>
              </w:rPr>
              <w:t xml:space="preserve"> </w:t>
            </w:r>
          </w:p>
        </w:tc>
        <w:tc>
          <w:tcPr>
            <w:tcW w:w="1118" w:type="pct"/>
            <w:tcBorders>
              <w:top w:val="nil"/>
              <w:left w:val="nil"/>
              <w:bottom w:val="single" w:sz="4" w:space="0" w:color="auto"/>
              <w:right w:val="single" w:sz="4" w:space="0" w:color="auto"/>
            </w:tcBorders>
            <w:noWrap/>
            <w:vAlign w:val="bottom"/>
            <w:hideMark/>
          </w:tcPr>
          <w:p w:rsidR="008C5230" w:rsidRPr="000C675E" w:rsidRDefault="008C5230">
            <w:pPr>
              <w:spacing w:line="276" w:lineRule="auto"/>
              <w:jc w:val="center"/>
              <w:rPr>
                <w:rFonts w:ascii="Arial Narrow" w:hAnsi="Arial Narrow" w:cs="Calibri"/>
                <w:iCs/>
                <w:color w:val="000000"/>
                <w:sz w:val="20"/>
                <w:szCs w:val="20"/>
              </w:rPr>
            </w:pPr>
            <w:r w:rsidRPr="000C675E">
              <w:rPr>
                <w:rFonts w:ascii="Arial Narrow" w:hAnsi="Arial Narrow" w:cs="Calibri"/>
                <w:iCs/>
                <w:color w:val="000000"/>
                <w:sz w:val="20"/>
                <w:szCs w:val="20"/>
              </w:rPr>
              <w:t>$</w:t>
            </w:r>
            <w:r w:rsidR="00777702">
              <w:rPr>
                <w:rFonts w:ascii="Arial Narrow" w:hAnsi="Arial Narrow" w:cs="Calibri"/>
                <w:iCs/>
                <w:noProof/>
                <w:color w:val="000000"/>
                <w:sz w:val="20"/>
                <w:szCs w:val="20"/>
                <w:highlight w:val="black"/>
              </w:rPr>
              <w:t>''''''''''''''''</w:t>
            </w:r>
            <w:r w:rsidR="0084497F">
              <w:rPr>
                <w:rFonts w:ascii="Arial Narrow" w:hAnsi="Arial Narrow" w:cs="Calibri"/>
                <w:iCs/>
                <w:color w:val="000000"/>
                <w:sz w:val="20"/>
                <w:szCs w:val="20"/>
                <w:vertAlign w:val="superscript"/>
              </w:rPr>
              <w:t>2</w:t>
            </w:r>
          </w:p>
        </w:tc>
        <w:tc>
          <w:tcPr>
            <w:tcW w:w="1148" w:type="pct"/>
            <w:tcBorders>
              <w:top w:val="nil"/>
              <w:left w:val="nil"/>
              <w:bottom w:val="single" w:sz="4" w:space="0" w:color="auto"/>
              <w:right w:val="single" w:sz="4" w:space="0" w:color="auto"/>
            </w:tcBorders>
            <w:noWrap/>
            <w:vAlign w:val="bottom"/>
            <w:hideMark/>
          </w:tcPr>
          <w:p w:rsidR="008C5230" w:rsidRPr="000C675E" w:rsidRDefault="008C5230">
            <w:pPr>
              <w:spacing w:line="276" w:lineRule="auto"/>
              <w:jc w:val="center"/>
              <w:rPr>
                <w:rFonts w:ascii="Arial Narrow" w:hAnsi="Arial Narrow" w:cs="Calibri"/>
                <w:iCs/>
                <w:color w:val="000000"/>
                <w:sz w:val="20"/>
                <w:szCs w:val="20"/>
              </w:rPr>
            </w:pPr>
            <w:r w:rsidRPr="000C675E">
              <w:rPr>
                <w:rFonts w:ascii="Arial Narrow" w:hAnsi="Arial Narrow" w:cs="Calibri"/>
                <w:iCs/>
                <w:color w:val="000000"/>
                <w:sz w:val="20"/>
                <w:szCs w:val="20"/>
              </w:rPr>
              <w:t>$</w:t>
            </w:r>
            <w:r w:rsidR="00777702">
              <w:rPr>
                <w:rFonts w:ascii="Arial Narrow" w:hAnsi="Arial Narrow" w:cs="Calibri"/>
                <w:iCs/>
                <w:noProof/>
                <w:color w:val="000000"/>
                <w:sz w:val="20"/>
                <w:szCs w:val="20"/>
                <w:highlight w:val="black"/>
              </w:rPr>
              <w:t>''''''''''''''''</w:t>
            </w:r>
            <w:r w:rsidR="0084497F">
              <w:rPr>
                <w:rFonts w:ascii="Arial Narrow" w:hAnsi="Arial Narrow" w:cs="Calibri"/>
                <w:iCs/>
                <w:color w:val="000000"/>
                <w:sz w:val="20"/>
                <w:szCs w:val="20"/>
                <w:vertAlign w:val="superscript"/>
              </w:rPr>
              <w:t>2</w:t>
            </w:r>
          </w:p>
        </w:tc>
        <w:tc>
          <w:tcPr>
            <w:tcW w:w="1133" w:type="pct"/>
            <w:tcBorders>
              <w:top w:val="nil"/>
              <w:left w:val="nil"/>
              <w:bottom w:val="single" w:sz="4" w:space="0" w:color="auto"/>
              <w:right w:val="single" w:sz="4" w:space="0" w:color="auto"/>
            </w:tcBorders>
            <w:noWrap/>
            <w:vAlign w:val="bottom"/>
            <w:hideMark/>
          </w:tcPr>
          <w:p w:rsidR="008C5230" w:rsidRPr="000C675E" w:rsidRDefault="008C5230">
            <w:pPr>
              <w:spacing w:line="276" w:lineRule="auto"/>
              <w:jc w:val="center"/>
              <w:rPr>
                <w:rFonts w:ascii="Arial Narrow" w:hAnsi="Arial Narrow" w:cs="Calibri"/>
                <w:iCs/>
                <w:color w:val="000000"/>
                <w:sz w:val="20"/>
                <w:szCs w:val="20"/>
              </w:rPr>
            </w:pPr>
            <w:r w:rsidRPr="000C675E">
              <w:rPr>
                <w:rFonts w:ascii="Arial Narrow" w:hAnsi="Arial Narrow" w:cs="Calibri"/>
                <w:iCs/>
                <w:color w:val="000000"/>
                <w:sz w:val="20"/>
                <w:szCs w:val="20"/>
              </w:rPr>
              <w:t>$</w:t>
            </w:r>
            <w:r w:rsidR="00777702">
              <w:rPr>
                <w:rFonts w:ascii="Arial Narrow" w:hAnsi="Arial Narrow" w:cs="Calibri"/>
                <w:iCs/>
                <w:noProof/>
                <w:color w:val="000000"/>
                <w:sz w:val="20"/>
                <w:szCs w:val="20"/>
                <w:highlight w:val="black"/>
              </w:rPr>
              <w:t>''''''''''''''''''</w:t>
            </w:r>
            <w:r w:rsidR="0084497F">
              <w:rPr>
                <w:rFonts w:ascii="Arial Narrow" w:hAnsi="Arial Narrow" w:cs="Calibri"/>
                <w:iCs/>
                <w:color w:val="000000"/>
                <w:sz w:val="20"/>
                <w:szCs w:val="20"/>
                <w:vertAlign w:val="superscript"/>
              </w:rPr>
              <w:t>2</w:t>
            </w:r>
          </w:p>
        </w:tc>
      </w:tr>
    </w:tbl>
    <w:p w:rsidR="008C5230" w:rsidRPr="000C675E" w:rsidRDefault="003A5046" w:rsidP="003A5046">
      <w:pPr>
        <w:pStyle w:val="TableFigureFooter"/>
      </w:pPr>
      <w:r w:rsidRPr="000C675E">
        <w:t>Source: Table 1, p3 of pre-PBAC response.</w:t>
      </w:r>
    </w:p>
    <w:p w:rsidR="003A5046" w:rsidRPr="000C675E" w:rsidRDefault="003A5046" w:rsidP="00B911EB">
      <w:pPr>
        <w:pStyle w:val="TableFigureFooter"/>
        <w:spacing w:after="0"/>
        <w:contextualSpacing w:val="0"/>
        <w:rPr>
          <w:iCs/>
        </w:rPr>
      </w:pPr>
      <w:r w:rsidRPr="000C675E">
        <w:rPr>
          <w:iCs/>
        </w:rPr>
        <w:t>AZA = azacitidine, ICER = incremental cost-effectiveness ratio, LoDAC = low-dose cytarabine, QALY = VTX = venetoclax.</w:t>
      </w:r>
    </w:p>
    <w:p w:rsidR="0084497F" w:rsidRPr="009A6D58" w:rsidRDefault="0084497F" w:rsidP="0084497F">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rsidR="0084497F" w:rsidRPr="009A6D58" w:rsidRDefault="0084497F" w:rsidP="0084497F">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F51C6B">
        <w:rPr>
          <w:rFonts w:ascii="Arial Narrow" w:hAnsi="Arial Narrow" w:cs="Arial"/>
          <w:i/>
          <w:sz w:val="18"/>
          <w:szCs w:val="18"/>
        </w:rPr>
        <w:t>$</w:t>
      </w:r>
      <w:r>
        <w:rPr>
          <w:rFonts w:ascii="Arial Narrow" w:hAnsi="Arial Narrow" w:cs="Arial"/>
          <w:i/>
          <w:sz w:val="18"/>
          <w:szCs w:val="18"/>
        </w:rPr>
        <w:t>5</w:t>
      </w:r>
      <w:r w:rsidRPr="00F51C6B">
        <w:rPr>
          <w:rFonts w:ascii="Arial Narrow" w:hAnsi="Arial Narrow" w:cs="Arial"/>
          <w:i/>
          <w:sz w:val="18"/>
          <w:szCs w:val="18"/>
        </w:rPr>
        <w:t>5,000 to &lt; $</w:t>
      </w:r>
      <w:r>
        <w:rPr>
          <w:rFonts w:ascii="Arial Narrow" w:hAnsi="Arial Narrow" w:cs="Arial"/>
          <w:i/>
          <w:sz w:val="18"/>
          <w:szCs w:val="18"/>
        </w:rPr>
        <w:t>7</w:t>
      </w:r>
      <w:r w:rsidRPr="00F51C6B">
        <w:rPr>
          <w:rFonts w:ascii="Arial Narrow" w:hAnsi="Arial Narrow" w:cs="Arial"/>
          <w:i/>
          <w:sz w:val="18"/>
          <w:szCs w:val="18"/>
        </w:rPr>
        <w:t>5,000</w:t>
      </w:r>
    </w:p>
    <w:p w:rsidR="003A5046" w:rsidRPr="00B911EB" w:rsidRDefault="0084497F" w:rsidP="00B911EB">
      <w:pPr>
        <w:rPr>
          <w:i/>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F51C6B">
        <w:rPr>
          <w:rFonts w:ascii="Arial Narrow" w:hAnsi="Arial Narrow" w:cs="Arial"/>
          <w:i/>
          <w:sz w:val="18"/>
          <w:szCs w:val="18"/>
        </w:rPr>
        <w:t>$</w:t>
      </w:r>
      <w:r>
        <w:rPr>
          <w:rFonts w:ascii="Arial Narrow" w:hAnsi="Arial Narrow" w:cs="Arial"/>
          <w:i/>
          <w:sz w:val="18"/>
          <w:szCs w:val="18"/>
        </w:rPr>
        <w:t>7</w:t>
      </w:r>
      <w:r w:rsidRPr="00F51C6B">
        <w:rPr>
          <w:rFonts w:ascii="Arial Narrow" w:hAnsi="Arial Narrow" w:cs="Arial"/>
          <w:i/>
          <w:sz w:val="18"/>
          <w:szCs w:val="18"/>
        </w:rPr>
        <w:t>5,000 to &lt; $</w:t>
      </w:r>
      <w:r>
        <w:rPr>
          <w:rFonts w:ascii="Arial Narrow" w:hAnsi="Arial Narrow" w:cs="Arial"/>
          <w:i/>
          <w:sz w:val="18"/>
          <w:szCs w:val="18"/>
        </w:rPr>
        <w:t>9</w:t>
      </w:r>
      <w:r w:rsidRPr="00F51C6B">
        <w:rPr>
          <w:rFonts w:ascii="Arial Narrow" w:hAnsi="Arial Narrow" w:cs="Arial"/>
          <w:i/>
          <w:sz w:val="18"/>
          <w:szCs w:val="18"/>
        </w:rPr>
        <w:t>5,000</w:t>
      </w:r>
    </w:p>
    <w:p w:rsidR="005565D2" w:rsidRPr="000C675E" w:rsidRDefault="005565D2" w:rsidP="009E7910">
      <w:pPr>
        <w:pStyle w:val="4-SubsectionHeading"/>
      </w:pPr>
      <w:r w:rsidRPr="000C675E">
        <w:t>Drug cost/patient/course</w:t>
      </w:r>
    </w:p>
    <w:p w:rsidR="00AA7703" w:rsidRPr="000C675E" w:rsidRDefault="00EE5822" w:rsidP="009E7910">
      <w:pPr>
        <w:pStyle w:val="3-BodyText"/>
      </w:pPr>
      <w:r w:rsidRPr="000C675E">
        <w:t xml:space="preserve">The cost per patient for VTX+AZA and the comparator treatments </w:t>
      </w:r>
      <w:r w:rsidR="00DF0DDC" w:rsidRPr="000C675E">
        <w:t>based on</w:t>
      </w:r>
      <w:r w:rsidRPr="000C675E">
        <w:t xml:space="preserve"> the economic model are summarised in </w:t>
      </w:r>
      <w:r w:rsidR="003A5046" w:rsidRPr="000C675E">
        <w:t xml:space="preserve">Table </w:t>
      </w:r>
      <w:r w:rsidR="003A5046" w:rsidRPr="005F5101">
        <w:t>6</w:t>
      </w:r>
      <w:r w:rsidRPr="000C675E">
        <w:t xml:space="preserve"> for the PBAC </w:t>
      </w:r>
      <w:r w:rsidR="00DF0DDC" w:rsidRPr="000C675E">
        <w:t xml:space="preserve">and resubmission </w:t>
      </w:r>
      <w:r w:rsidRPr="0075328D">
        <w:t>scenario</w:t>
      </w:r>
      <w:r w:rsidR="00DF0DDC" w:rsidRPr="000C675E">
        <w:t>s.</w:t>
      </w:r>
      <w:r w:rsidRPr="000C675E">
        <w:t xml:space="preserve"> The </w:t>
      </w:r>
      <w:r w:rsidR="00DF0DDC" w:rsidRPr="000C675E">
        <w:t xml:space="preserve">cost per patient </w:t>
      </w:r>
      <w:r w:rsidR="00ED105A" w:rsidRPr="000C675E">
        <w:t>was</w:t>
      </w:r>
      <w:r w:rsidR="00DF0DDC" w:rsidRPr="000C675E">
        <w:t xml:space="preserve"> higher based on the resubmission scenario</w:t>
      </w:r>
      <w:r w:rsidR="00305BEB" w:rsidRPr="000C675E">
        <w:t xml:space="preserve"> (compared with the PBAC scenario)</w:t>
      </w:r>
      <w:r w:rsidR="00DF0DDC" w:rsidRPr="000C675E">
        <w:t xml:space="preserve"> due to the use of the generalised gamma function for the extrapolation of EFS which result</w:t>
      </w:r>
      <w:r w:rsidR="00ED105A" w:rsidRPr="000C675E">
        <w:t>ed</w:t>
      </w:r>
      <w:r w:rsidR="00DF0DDC" w:rsidRPr="000C675E">
        <w:t xml:space="preserve"> in a small proportion of patients remaining on treatment for a long duration (refer to </w:t>
      </w:r>
      <w:r w:rsidR="003A5046" w:rsidRPr="000C675E">
        <w:t xml:space="preserve">Figure </w:t>
      </w:r>
      <w:r w:rsidR="003A5046" w:rsidRPr="005F5101">
        <w:t>2</w:t>
      </w:r>
      <w:r w:rsidR="00DF0DDC" w:rsidRPr="000C675E">
        <w:t xml:space="preserve">). </w:t>
      </w:r>
    </w:p>
    <w:p w:rsidR="00DF0DDC" w:rsidRPr="000C675E" w:rsidRDefault="00305BEB" w:rsidP="009E7910">
      <w:pPr>
        <w:pStyle w:val="TableFigureHeading"/>
      </w:pPr>
      <w:bookmarkStart w:id="21" w:name="_Ref75284393"/>
      <w:r w:rsidRPr="0075328D">
        <w:t xml:space="preserve">Table </w:t>
      </w:r>
      <w:r w:rsidR="003A5046" w:rsidRPr="005F5101">
        <w:t>6</w:t>
      </w:r>
      <w:bookmarkEnd w:id="21"/>
      <w:r w:rsidRPr="000C675E">
        <w:t>:</w:t>
      </w:r>
      <w:r w:rsidR="00DF0DDC" w:rsidRPr="000C675E">
        <w:t xml:space="preserve"> </w:t>
      </w:r>
      <w:r w:rsidR="00DF0DDC" w:rsidRPr="0075328D">
        <w:t>Drug cost per patient per</w:t>
      </w:r>
      <w:r w:rsidR="00DF0DDC" w:rsidRPr="000C675E">
        <w:t xml:space="preserve"> course for VTX+AZA and comparator treatments </w:t>
      </w:r>
    </w:p>
    <w:tbl>
      <w:tblPr>
        <w:tblStyle w:val="TableGrid"/>
        <w:tblW w:w="8206" w:type="dxa"/>
        <w:tblLook w:val="04A0" w:firstRow="1" w:lastRow="0" w:firstColumn="1" w:lastColumn="0" w:noHBand="0" w:noVBand="1"/>
        <w:tblCaption w:val="Table 6: Drug cost per patient per course for VTX+AZA and comparator treatments "/>
      </w:tblPr>
      <w:tblGrid>
        <w:gridCol w:w="2252"/>
        <w:gridCol w:w="1559"/>
        <w:gridCol w:w="1366"/>
        <w:gridCol w:w="6"/>
        <w:gridCol w:w="1463"/>
        <w:gridCol w:w="1560"/>
      </w:tblGrid>
      <w:tr w:rsidR="00305BEB" w:rsidRPr="000C675E" w:rsidTr="00F57123">
        <w:trPr>
          <w:tblHeader/>
        </w:trPr>
        <w:tc>
          <w:tcPr>
            <w:tcW w:w="2252" w:type="dxa"/>
            <w:vMerge w:val="restart"/>
          </w:tcPr>
          <w:p w:rsidR="00305BEB" w:rsidRPr="000C675E" w:rsidRDefault="00305BEB" w:rsidP="009E7910">
            <w:pPr>
              <w:pStyle w:val="TableText"/>
              <w:rPr>
                <w:rFonts w:cstheme="minorHAnsi"/>
                <w:b/>
                <w:szCs w:val="20"/>
              </w:rPr>
            </w:pPr>
            <w:r w:rsidRPr="000C675E">
              <w:rPr>
                <w:rFonts w:cstheme="minorHAnsi"/>
                <w:b/>
                <w:szCs w:val="20"/>
              </w:rPr>
              <w:t>Scenario</w:t>
            </w:r>
          </w:p>
        </w:tc>
        <w:tc>
          <w:tcPr>
            <w:tcW w:w="2931" w:type="dxa"/>
            <w:gridSpan w:val="3"/>
          </w:tcPr>
          <w:p w:rsidR="00305BEB" w:rsidRPr="000C675E" w:rsidRDefault="00305BEB" w:rsidP="009E7910">
            <w:pPr>
              <w:pStyle w:val="TableText"/>
              <w:jc w:val="center"/>
              <w:rPr>
                <w:rFonts w:cstheme="minorHAnsi"/>
                <w:b/>
                <w:szCs w:val="20"/>
              </w:rPr>
            </w:pPr>
            <w:r w:rsidRPr="000C675E">
              <w:rPr>
                <w:rFonts w:cstheme="minorHAnsi"/>
                <w:b/>
                <w:szCs w:val="20"/>
              </w:rPr>
              <w:t>VTX+AZA vs AZA</w:t>
            </w:r>
          </w:p>
        </w:tc>
        <w:tc>
          <w:tcPr>
            <w:tcW w:w="3023" w:type="dxa"/>
            <w:gridSpan w:val="2"/>
          </w:tcPr>
          <w:p w:rsidR="00305BEB" w:rsidRPr="000C675E" w:rsidRDefault="00305BEB" w:rsidP="009E7910">
            <w:pPr>
              <w:pStyle w:val="TableText"/>
              <w:jc w:val="center"/>
              <w:rPr>
                <w:rFonts w:cstheme="minorHAnsi"/>
                <w:b/>
                <w:szCs w:val="20"/>
              </w:rPr>
            </w:pPr>
            <w:r w:rsidRPr="000C675E">
              <w:rPr>
                <w:rFonts w:cstheme="minorHAnsi"/>
                <w:b/>
                <w:szCs w:val="20"/>
              </w:rPr>
              <w:t>VTX+AZA vs LoDAC</w:t>
            </w:r>
          </w:p>
        </w:tc>
      </w:tr>
      <w:tr w:rsidR="00305BEB" w:rsidRPr="000C675E" w:rsidTr="00F57123">
        <w:trPr>
          <w:tblHeader/>
        </w:trPr>
        <w:tc>
          <w:tcPr>
            <w:tcW w:w="2252" w:type="dxa"/>
            <w:vMerge/>
          </w:tcPr>
          <w:p w:rsidR="00305BEB" w:rsidRPr="000C675E" w:rsidRDefault="00305BEB" w:rsidP="009E7910">
            <w:pPr>
              <w:pStyle w:val="TableText"/>
              <w:rPr>
                <w:rFonts w:cstheme="minorHAnsi"/>
                <w:szCs w:val="20"/>
              </w:rPr>
            </w:pPr>
          </w:p>
        </w:tc>
        <w:tc>
          <w:tcPr>
            <w:tcW w:w="1559" w:type="dxa"/>
          </w:tcPr>
          <w:p w:rsidR="00305BEB" w:rsidRPr="000C675E" w:rsidRDefault="00305BEB" w:rsidP="009E7910">
            <w:pPr>
              <w:pStyle w:val="TableText"/>
              <w:jc w:val="center"/>
              <w:rPr>
                <w:rFonts w:cstheme="minorHAnsi"/>
                <w:b/>
                <w:szCs w:val="20"/>
              </w:rPr>
            </w:pPr>
            <w:r w:rsidRPr="000C675E">
              <w:rPr>
                <w:rFonts w:cstheme="minorHAnsi"/>
                <w:b/>
                <w:szCs w:val="20"/>
              </w:rPr>
              <w:t>VTZ +AZA</w:t>
            </w:r>
          </w:p>
        </w:tc>
        <w:tc>
          <w:tcPr>
            <w:tcW w:w="1366" w:type="dxa"/>
          </w:tcPr>
          <w:p w:rsidR="00305BEB" w:rsidRPr="000C675E" w:rsidRDefault="00305BEB" w:rsidP="009E7910">
            <w:pPr>
              <w:pStyle w:val="TableText"/>
              <w:jc w:val="center"/>
              <w:rPr>
                <w:rFonts w:cstheme="minorHAnsi"/>
                <w:b/>
                <w:szCs w:val="20"/>
              </w:rPr>
            </w:pPr>
            <w:r w:rsidRPr="000C675E">
              <w:rPr>
                <w:rFonts w:cstheme="minorHAnsi"/>
                <w:b/>
                <w:szCs w:val="20"/>
              </w:rPr>
              <w:t>AZA</w:t>
            </w:r>
          </w:p>
        </w:tc>
        <w:tc>
          <w:tcPr>
            <w:tcW w:w="1469" w:type="dxa"/>
            <w:gridSpan w:val="2"/>
          </w:tcPr>
          <w:p w:rsidR="00305BEB" w:rsidRPr="000C675E" w:rsidRDefault="00305BEB" w:rsidP="009E7910">
            <w:pPr>
              <w:pStyle w:val="TableText"/>
              <w:jc w:val="center"/>
              <w:rPr>
                <w:rFonts w:cstheme="minorHAnsi"/>
                <w:b/>
                <w:szCs w:val="20"/>
              </w:rPr>
            </w:pPr>
            <w:r w:rsidRPr="000C675E">
              <w:rPr>
                <w:rFonts w:cstheme="minorHAnsi"/>
                <w:b/>
                <w:szCs w:val="20"/>
              </w:rPr>
              <w:t>VTX+AZA</w:t>
            </w:r>
          </w:p>
        </w:tc>
        <w:tc>
          <w:tcPr>
            <w:tcW w:w="1560" w:type="dxa"/>
          </w:tcPr>
          <w:p w:rsidR="00305BEB" w:rsidRPr="000C675E" w:rsidRDefault="00305BEB" w:rsidP="009E7910">
            <w:pPr>
              <w:pStyle w:val="TableText"/>
              <w:jc w:val="center"/>
              <w:rPr>
                <w:rFonts w:cstheme="minorHAnsi"/>
                <w:b/>
                <w:szCs w:val="20"/>
              </w:rPr>
            </w:pPr>
            <w:r w:rsidRPr="000C675E">
              <w:rPr>
                <w:rFonts w:cstheme="minorHAnsi"/>
                <w:b/>
                <w:szCs w:val="20"/>
              </w:rPr>
              <w:t>LoDAC</w:t>
            </w:r>
          </w:p>
        </w:tc>
      </w:tr>
      <w:tr w:rsidR="007A2392" w:rsidRPr="000C675E" w:rsidTr="00BA1A49">
        <w:tc>
          <w:tcPr>
            <w:tcW w:w="8206" w:type="dxa"/>
            <w:gridSpan w:val="6"/>
          </w:tcPr>
          <w:p w:rsidR="007A2392" w:rsidRPr="000C675E" w:rsidRDefault="007A2392" w:rsidP="009E7910">
            <w:pPr>
              <w:pStyle w:val="TableText"/>
              <w:rPr>
                <w:rFonts w:cstheme="minorHAnsi"/>
                <w:szCs w:val="20"/>
              </w:rPr>
            </w:pPr>
            <w:r w:rsidRPr="000C675E">
              <w:rPr>
                <w:rFonts w:cstheme="minorHAnsi"/>
                <w:b/>
                <w:szCs w:val="20"/>
              </w:rPr>
              <w:t>PBAC scenario</w:t>
            </w:r>
          </w:p>
        </w:tc>
      </w:tr>
      <w:tr w:rsidR="007A2392" w:rsidRPr="000C675E" w:rsidTr="00BA1A49">
        <w:tc>
          <w:tcPr>
            <w:tcW w:w="2252" w:type="dxa"/>
          </w:tcPr>
          <w:p w:rsidR="007A2392" w:rsidRPr="000C675E" w:rsidRDefault="007A2392" w:rsidP="009E7910">
            <w:pPr>
              <w:pStyle w:val="TableText"/>
              <w:rPr>
                <w:rFonts w:cstheme="minorHAnsi"/>
                <w:szCs w:val="20"/>
              </w:rPr>
            </w:pPr>
            <w:r w:rsidRPr="000C675E">
              <w:rPr>
                <w:rFonts w:cstheme="minorHAnsi"/>
                <w:szCs w:val="20"/>
              </w:rPr>
              <w:t>Treatment duration (number of 28</w:t>
            </w:r>
            <w:r w:rsidR="00ED105A" w:rsidRPr="000C675E">
              <w:rPr>
                <w:rFonts w:cstheme="minorHAnsi"/>
                <w:szCs w:val="20"/>
              </w:rPr>
              <w:t>-</w:t>
            </w:r>
            <w:r w:rsidRPr="000C675E">
              <w:rPr>
                <w:rFonts w:cstheme="minorHAnsi"/>
                <w:szCs w:val="20"/>
              </w:rPr>
              <w:t>day cycles)</w:t>
            </w:r>
          </w:p>
        </w:tc>
        <w:tc>
          <w:tcPr>
            <w:tcW w:w="1559" w:type="dxa"/>
          </w:tcPr>
          <w:p w:rsidR="007A2392" w:rsidRPr="000C675E" w:rsidRDefault="007A2392" w:rsidP="009E7910">
            <w:pPr>
              <w:pStyle w:val="TableText"/>
              <w:jc w:val="center"/>
              <w:rPr>
                <w:rFonts w:cstheme="minorHAnsi"/>
                <w:i/>
                <w:szCs w:val="20"/>
              </w:rPr>
            </w:pPr>
            <w:r w:rsidRPr="000C675E">
              <w:rPr>
                <w:rFonts w:cstheme="minorHAnsi"/>
                <w:i/>
                <w:szCs w:val="20"/>
              </w:rPr>
              <w:t>16.7</w:t>
            </w:r>
          </w:p>
        </w:tc>
        <w:tc>
          <w:tcPr>
            <w:tcW w:w="1366" w:type="dxa"/>
          </w:tcPr>
          <w:p w:rsidR="007A2392" w:rsidRPr="000C675E" w:rsidRDefault="007A2392" w:rsidP="009E7910">
            <w:pPr>
              <w:pStyle w:val="TableText"/>
              <w:jc w:val="center"/>
              <w:rPr>
                <w:rFonts w:cstheme="minorHAnsi"/>
                <w:i/>
                <w:szCs w:val="20"/>
              </w:rPr>
            </w:pPr>
            <w:r w:rsidRPr="000C675E">
              <w:rPr>
                <w:rFonts w:cstheme="minorHAnsi"/>
                <w:i/>
                <w:szCs w:val="20"/>
              </w:rPr>
              <w:t>9.29</w:t>
            </w:r>
          </w:p>
        </w:tc>
        <w:tc>
          <w:tcPr>
            <w:tcW w:w="1469" w:type="dxa"/>
            <w:gridSpan w:val="2"/>
          </w:tcPr>
          <w:p w:rsidR="007A2392" w:rsidRPr="000C675E" w:rsidRDefault="00EE5822" w:rsidP="009E7910">
            <w:pPr>
              <w:pStyle w:val="TableText"/>
              <w:jc w:val="center"/>
              <w:rPr>
                <w:rFonts w:cstheme="minorHAnsi"/>
                <w:i/>
                <w:szCs w:val="20"/>
              </w:rPr>
            </w:pPr>
            <w:r w:rsidRPr="000C675E">
              <w:rPr>
                <w:rFonts w:cstheme="minorHAnsi"/>
                <w:i/>
                <w:szCs w:val="20"/>
              </w:rPr>
              <w:t>16.7</w:t>
            </w:r>
          </w:p>
        </w:tc>
        <w:tc>
          <w:tcPr>
            <w:tcW w:w="1560" w:type="dxa"/>
          </w:tcPr>
          <w:p w:rsidR="007A2392" w:rsidRPr="000C675E" w:rsidRDefault="007A2392" w:rsidP="009E7910">
            <w:pPr>
              <w:pStyle w:val="TableText"/>
              <w:jc w:val="center"/>
              <w:rPr>
                <w:rFonts w:cstheme="minorHAnsi"/>
                <w:i/>
                <w:szCs w:val="20"/>
              </w:rPr>
            </w:pPr>
            <w:r w:rsidRPr="000C675E">
              <w:rPr>
                <w:rFonts w:cstheme="minorHAnsi"/>
                <w:i/>
                <w:szCs w:val="20"/>
              </w:rPr>
              <w:t>5.2</w:t>
            </w:r>
          </w:p>
        </w:tc>
      </w:tr>
      <w:tr w:rsidR="007A2392" w:rsidRPr="000C675E" w:rsidTr="00BA1A49">
        <w:tc>
          <w:tcPr>
            <w:tcW w:w="2252" w:type="dxa"/>
          </w:tcPr>
          <w:p w:rsidR="007A2392" w:rsidRPr="000C675E" w:rsidRDefault="007A2392" w:rsidP="009E7910">
            <w:pPr>
              <w:pStyle w:val="TableText"/>
              <w:rPr>
                <w:rFonts w:cstheme="minorHAnsi"/>
                <w:szCs w:val="20"/>
              </w:rPr>
            </w:pPr>
            <w:r w:rsidRPr="000C675E">
              <w:rPr>
                <w:rFonts w:cstheme="minorHAnsi"/>
                <w:szCs w:val="20"/>
              </w:rPr>
              <w:t>Cost per patient</w:t>
            </w:r>
          </w:p>
        </w:tc>
        <w:tc>
          <w:tcPr>
            <w:tcW w:w="1559" w:type="dxa"/>
          </w:tcPr>
          <w:p w:rsidR="007A2392" w:rsidRPr="000C675E" w:rsidRDefault="007A2392" w:rsidP="009E7910">
            <w:pPr>
              <w:pStyle w:val="TableText"/>
              <w:jc w:val="center"/>
              <w:rPr>
                <w:rFonts w:cstheme="minorHAnsi"/>
                <w:i/>
                <w:szCs w:val="20"/>
              </w:rPr>
            </w:pPr>
            <w:r w:rsidRPr="000C675E">
              <w:rPr>
                <w:rFonts w:cstheme="minorHAnsi"/>
                <w:i/>
                <w:szCs w:val="20"/>
              </w:rPr>
              <w:t>VTX: $</w:t>
            </w:r>
            <w:r w:rsidR="00777702">
              <w:rPr>
                <w:rFonts w:cstheme="minorHAnsi"/>
                <w:i/>
                <w:noProof/>
                <w:color w:val="000000"/>
                <w:szCs w:val="20"/>
                <w:highlight w:val="black"/>
              </w:rPr>
              <w:t>'''''''''''''''</w:t>
            </w:r>
          </w:p>
          <w:p w:rsidR="007A2392" w:rsidRPr="000C675E" w:rsidRDefault="007A2392" w:rsidP="009E7910">
            <w:pPr>
              <w:pStyle w:val="TableText"/>
              <w:jc w:val="center"/>
              <w:rPr>
                <w:rFonts w:cstheme="minorHAnsi"/>
                <w:i/>
                <w:szCs w:val="20"/>
              </w:rPr>
            </w:pPr>
            <w:r w:rsidRPr="000C675E">
              <w:rPr>
                <w:rFonts w:cstheme="minorHAnsi"/>
                <w:i/>
                <w:szCs w:val="20"/>
              </w:rPr>
              <w:t>AZA: $35,097</w:t>
            </w:r>
          </w:p>
          <w:p w:rsidR="007A2392" w:rsidRPr="000C675E" w:rsidRDefault="007A2392" w:rsidP="009E7910">
            <w:pPr>
              <w:pStyle w:val="TableText"/>
              <w:jc w:val="center"/>
              <w:rPr>
                <w:rFonts w:cstheme="minorHAnsi"/>
                <w:i/>
                <w:szCs w:val="20"/>
              </w:rPr>
            </w:pPr>
            <w:r w:rsidRPr="000C675E">
              <w:rPr>
                <w:rFonts w:cstheme="minorHAnsi"/>
                <w:i/>
                <w:szCs w:val="20"/>
              </w:rPr>
              <w:t>Total: $</w:t>
            </w:r>
            <w:r w:rsidR="00777702">
              <w:rPr>
                <w:rFonts w:cstheme="minorHAnsi"/>
                <w:i/>
                <w:noProof/>
                <w:color w:val="000000"/>
                <w:szCs w:val="20"/>
                <w:highlight w:val="black"/>
              </w:rPr>
              <w:t>''''''''''''''''''</w:t>
            </w:r>
          </w:p>
        </w:tc>
        <w:tc>
          <w:tcPr>
            <w:tcW w:w="1366" w:type="dxa"/>
          </w:tcPr>
          <w:p w:rsidR="007A2392" w:rsidRPr="000C675E" w:rsidRDefault="007A2392" w:rsidP="009E7910">
            <w:pPr>
              <w:pStyle w:val="TableText"/>
              <w:jc w:val="center"/>
              <w:rPr>
                <w:rFonts w:cstheme="minorHAnsi"/>
                <w:i/>
                <w:szCs w:val="20"/>
              </w:rPr>
            </w:pPr>
            <w:r w:rsidRPr="000C675E">
              <w:rPr>
                <w:rFonts w:cstheme="minorHAnsi"/>
                <w:i/>
                <w:szCs w:val="20"/>
              </w:rPr>
              <w:t>AZA: $19,507</w:t>
            </w:r>
          </w:p>
        </w:tc>
        <w:tc>
          <w:tcPr>
            <w:tcW w:w="1469" w:type="dxa"/>
            <w:gridSpan w:val="2"/>
          </w:tcPr>
          <w:p w:rsidR="007A2392" w:rsidRPr="000C675E" w:rsidRDefault="007A2392" w:rsidP="009E7910">
            <w:pPr>
              <w:pStyle w:val="TableText"/>
              <w:jc w:val="center"/>
              <w:rPr>
                <w:rFonts w:cstheme="minorHAnsi"/>
                <w:i/>
                <w:szCs w:val="20"/>
              </w:rPr>
            </w:pPr>
            <w:r w:rsidRPr="000C675E">
              <w:rPr>
                <w:rFonts w:cstheme="minorHAnsi"/>
                <w:i/>
                <w:szCs w:val="20"/>
              </w:rPr>
              <w:t>VTX: $</w:t>
            </w:r>
            <w:r w:rsidR="00777702">
              <w:rPr>
                <w:rFonts w:cstheme="minorHAnsi"/>
                <w:i/>
                <w:noProof/>
                <w:color w:val="000000"/>
                <w:szCs w:val="20"/>
                <w:highlight w:val="black"/>
              </w:rPr>
              <w:t>''''''''''''''''''</w:t>
            </w:r>
          </w:p>
          <w:p w:rsidR="007A2392" w:rsidRPr="000C675E" w:rsidRDefault="00EE5822" w:rsidP="009E7910">
            <w:pPr>
              <w:pStyle w:val="TableText"/>
              <w:jc w:val="center"/>
              <w:rPr>
                <w:rFonts w:cstheme="minorHAnsi"/>
                <w:i/>
                <w:szCs w:val="20"/>
              </w:rPr>
            </w:pPr>
            <w:r w:rsidRPr="000C675E">
              <w:rPr>
                <w:rFonts w:cstheme="minorHAnsi"/>
                <w:i/>
                <w:szCs w:val="20"/>
              </w:rPr>
              <w:t>AZA: $34,947</w:t>
            </w:r>
          </w:p>
          <w:p w:rsidR="007A2392" w:rsidRPr="000C675E" w:rsidRDefault="007A2392" w:rsidP="009E7910">
            <w:pPr>
              <w:pStyle w:val="TableText"/>
              <w:jc w:val="center"/>
              <w:rPr>
                <w:rFonts w:cstheme="minorHAnsi"/>
                <w:i/>
                <w:szCs w:val="20"/>
              </w:rPr>
            </w:pPr>
            <w:r w:rsidRPr="000C675E">
              <w:rPr>
                <w:rFonts w:cstheme="minorHAnsi"/>
                <w:i/>
                <w:szCs w:val="20"/>
              </w:rPr>
              <w:t>Total: $</w:t>
            </w:r>
            <w:r w:rsidR="00777702">
              <w:rPr>
                <w:rFonts w:cstheme="minorHAnsi"/>
                <w:i/>
                <w:noProof/>
                <w:color w:val="000000"/>
                <w:szCs w:val="20"/>
                <w:highlight w:val="black"/>
              </w:rPr>
              <w:t>''''''''''''''''''</w:t>
            </w:r>
          </w:p>
        </w:tc>
        <w:tc>
          <w:tcPr>
            <w:tcW w:w="1560" w:type="dxa"/>
          </w:tcPr>
          <w:p w:rsidR="007A2392" w:rsidRPr="000C675E" w:rsidRDefault="007A2392" w:rsidP="009E7910">
            <w:pPr>
              <w:pStyle w:val="TableText"/>
              <w:jc w:val="center"/>
              <w:rPr>
                <w:rFonts w:cstheme="minorHAnsi"/>
                <w:i/>
                <w:szCs w:val="20"/>
              </w:rPr>
            </w:pPr>
            <w:r w:rsidRPr="000C675E">
              <w:rPr>
                <w:rFonts w:cstheme="minorHAnsi"/>
                <w:i/>
                <w:szCs w:val="20"/>
              </w:rPr>
              <w:t>LoDAC: $</w:t>
            </w:r>
            <w:r w:rsidR="00EE5822" w:rsidRPr="000C675E">
              <w:rPr>
                <w:rFonts w:cstheme="minorHAnsi"/>
                <w:i/>
                <w:szCs w:val="20"/>
              </w:rPr>
              <w:t>1,115</w:t>
            </w:r>
          </w:p>
        </w:tc>
      </w:tr>
      <w:tr w:rsidR="007A2392" w:rsidRPr="000C675E" w:rsidTr="00BA1A49">
        <w:tc>
          <w:tcPr>
            <w:tcW w:w="8206" w:type="dxa"/>
            <w:gridSpan w:val="6"/>
          </w:tcPr>
          <w:p w:rsidR="007A2392" w:rsidRPr="000C675E" w:rsidRDefault="007A2392" w:rsidP="009E7910">
            <w:pPr>
              <w:pStyle w:val="TableText"/>
              <w:rPr>
                <w:rFonts w:cstheme="minorHAnsi"/>
                <w:szCs w:val="20"/>
              </w:rPr>
            </w:pPr>
            <w:r w:rsidRPr="000C675E">
              <w:rPr>
                <w:rFonts w:cstheme="minorHAnsi"/>
                <w:b/>
                <w:szCs w:val="20"/>
              </w:rPr>
              <w:t>Resubmission scenario</w:t>
            </w:r>
          </w:p>
        </w:tc>
      </w:tr>
      <w:tr w:rsidR="007A2392" w:rsidRPr="000C675E" w:rsidTr="00BA1A49">
        <w:tc>
          <w:tcPr>
            <w:tcW w:w="2252" w:type="dxa"/>
          </w:tcPr>
          <w:p w:rsidR="007A2392" w:rsidRPr="000C675E" w:rsidRDefault="007A2392" w:rsidP="009E7910">
            <w:pPr>
              <w:pStyle w:val="TableText"/>
              <w:rPr>
                <w:rFonts w:cstheme="minorHAnsi"/>
                <w:szCs w:val="20"/>
              </w:rPr>
            </w:pPr>
            <w:r w:rsidRPr="000C675E">
              <w:rPr>
                <w:rFonts w:cstheme="minorHAnsi"/>
                <w:szCs w:val="20"/>
              </w:rPr>
              <w:t>Treatment duration (number of 28</w:t>
            </w:r>
            <w:r w:rsidR="00ED105A" w:rsidRPr="000C675E">
              <w:rPr>
                <w:rFonts w:cstheme="minorHAnsi"/>
                <w:szCs w:val="20"/>
              </w:rPr>
              <w:t>-</w:t>
            </w:r>
            <w:r w:rsidRPr="000C675E">
              <w:rPr>
                <w:rFonts w:cstheme="minorHAnsi"/>
                <w:szCs w:val="20"/>
              </w:rPr>
              <w:t>day cycles)</w:t>
            </w:r>
          </w:p>
        </w:tc>
        <w:tc>
          <w:tcPr>
            <w:tcW w:w="1559" w:type="dxa"/>
          </w:tcPr>
          <w:p w:rsidR="007A2392" w:rsidRPr="000C675E" w:rsidRDefault="007A2392" w:rsidP="009E7910">
            <w:pPr>
              <w:pStyle w:val="TableText"/>
              <w:jc w:val="center"/>
              <w:rPr>
                <w:rFonts w:cstheme="minorHAnsi"/>
                <w:szCs w:val="20"/>
              </w:rPr>
            </w:pPr>
            <w:r w:rsidRPr="000C675E">
              <w:rPr>
                <w:rFonts w:cstheme="minorHAnsi"/>
                <w:szCs w:val="20"/>
              </w:rPr>
              <w:t>19.3</w:t>
            </w:r>
          </w:p>
        </w:tc>
        <w:tc>
          <w:tcPr>
            <w:tcW w:w="1366" w:type="dxa"/>
          </w:tcPr>
          <w:p w:rsidR="007A2392" w:rsidRPr="000C675E" w:rsidRDefault="007A2392" w:rsidP="009E7910">
            <w:pPr>
              <w:pStyle w:val="TableText"/>
              <w:jc w:val="center"/>
              <w:rPr>
                <w:rFonts w:cstheme="minorHAnsi"/>
                <w:szCs w:val="20"/>
              </w:rPr>
            </w:pPr>
            <w:r w:rsidRPr="000C675E">
              <w:rPr>
                <w:rFonts w:cstheme="minorHAnsi"/>
                <w:szCs w:val="20"/>
              </w:rPr>
              <w:t>9.29</w:t>
            </w:r>
          </w:p>
        </w:tc>
        <w:tc>
          <w:tcPr>
            <w:tcW w:w="1469" w:type="dxa"/>
            <w:gridSpan w:val="2"/>
          </w:tcPr>
          <w:p w:rsidR="007A2392" w:rsidRPr="000C675E" w:rsidRDefault="00EE5822" w:rsidP="009E7910">
            <w:pPr>
              <w:pStyle w:val="TableText"/>
              <w:jc w:val="center"/>
              <w:rPr>
                <w:rFonts w:cstheme="minorHAnsi"/>
                <w:szCs w:val="20"/>
              </w:rPr>
            </w:pPr>
            <w:r w:rsidRPr="000C675E">
              <w:rPr>
                <w:rFonts w:cstheme="minorHAnsi"/>
                <w:szCs w:val="20"/>
              </w:rPr>
              <w:t>19.3</w:t>
            </w:r>
          </w:p>
        </w:tc>
        <w:tc>
          <w:tcPr>
            <w:tcW w:w="1560" w:type="dxa"/>
          </w:tcPr>
          <w:p w:rsidR="007A2392" w:rsidRPr="000C675E" w:rsidRDefault="007A2392" w:rsidP="009E7910">
            <w:pPr>
              <w:pStyle w:val="TableText"/>
              <w:jc w:val="center"/>
              <w:rPr>
                <w:rFonts w:cstheme="minorHAnsi"/>
                <w:szCs w:val="20"/>
              </w:rPr>
            </w:pPr>
            <w:r w:rsidRPr="000C675E">
              <w:rPr>
                <w:rFonts w:cstheme="minorHAnsi"/>
                <w:szCs w:val="20"/>
              </w:rPr>
              <w:t>6.84</w:t>
            </w:r>
          </w:p>
        </w:tc>
      </w:tr>
      <w:tr w:rsidR="007A2392" w:rsidRPr="000C675E" w:rsidTr="00BA1A49">
        <w:tc>
          <w:tcPr>
            <w:tcW w:w="2252" w:type="dxa"/>
          </w:tcPr>
          <w:p w:rsidR="007A2392" w:rsidRPr="000C675E" w:rsidRDefault="007A2392" w:rsidP="009E7910">
            <w:pPr>
              <w:pStyle w:val="TableText"/>
              <w:rPr>
                <w:rFonts w:cstheme="minorHAnsi"/>
                <w:szCs w:val="20"/>
              </w:rPr>
            </w:pPr>
            <w:r w:rsidRPr="000C675E">
              <w:rPr>
                <w:rFonts w:cstheme="minorHAnsi"/>
                <w:szCs w:val="20"/>
              </w:rPr>
              <w:t>Cost per patient</w:t>
            </w:r>
          </w:p>
        </w:tc>
        <w:tc>
          <w:tcPr>
            <w:tcW w:w="1559" w:type="dxa"/>
          </w:tcPr>
          <w:p w:rsidR="007A2392" w:rsidRPr="000C675E" w:rsidRDefault="007A2392" w:rsidP="009E7910">
            <w:pPr>
              <w:pStyle w:val="TableText"/>
              <w:jc w:val="center"/>
              <w:rPr>
                <w:rFonts w:cstheme="minorHAnsi"/>
                <w:szCs w:val="20"/>
              </w:rPr>
            </w:pPr>
            <w:r w:rsidRPr="000C675E">
              <w:rPr>
                <w:rFonts w:cstheme="minorHAnsi"/>
                <w:szCs w:val="20"/>
              </w:rPr>
              <w:t>VTX: $</w:t>
            </w:r>
            <w:r w:rsidR="00777702">
              <w:rPr>
                <w:rFonts w:cstheme="minorHAnsi"/>
                <w:noProof/>
                <w:color w:val="000000"/>
                <w:szCs w:val="20"/>
                <w:highlight w:val="black"/>
              </w:rPr>
              <w:t>''''''''''''''''''</w:t>
            </w:r>
          </w:p>
          <w:p w:rsidR="007A2392" w:rsidRPr="000C675E" w:rsidRDefault="007A2392" w:rsidP="009E7910">
            <w:pPr>
              <w:pStyle w:val="TableText"/>
              <w:jc w:val="center"/>
              <w:rPr>
                <w:rFonts w:cstheme="minorHAnsi"/>
                <w:szCs w:val="20"/>
              </w:rPr>
            </w:pPr>
            <w:r w:rsidRPr="000C675E">
              <w:rPr>
                <w:rFonts w:cstheme="minorHAnsi"/>
                <w:szCs w:val="20"/>
              </w:rPr>
              <w:t>AZA: $</w:t>
            </w:r>
            <w:r w:rsidR="00EE5822" w:rsidRPr="000C675E">
              <w:rPr>
                <w:rFonts w:cstheme="minorHAnsi"/>
                <w:szCs w:val="20"/>
              </w:rPr>
              <w:t>40,686</w:t>
            </w:r>
          </w:p>
          <w:p w:rsidR="007A2392" w:rsidRPr="000C675E" w:rsidRDefault="007A2392" w:rsidP="009E7910">
            <w:pPr>
              <w:pStyle w:val="TableText"/>
              <w:jc w:val="center"/>
              <w:rPr>
                <w:rFonts w:cstheme="minorHAnsi"/>
                <w:szCs w:val="20"/>
              </w:rPr>
            </w:pPr>
            <w:r w:rsidRPr="000C675E">
              <w:rPr>
                <w:rFonts w:cstheme="minorHAnsi"/>
                <w:szCs w:val="20"/>
              </w:rPr>
              <w:t>Total: $</w:t>
            </w:r>
            <w:r w:rsidR="00777702">
              <w:rPr>
                <w:rFonts w:cstheme="minorHAnsi"/>
                <w:noProof/>
                <w:color w:val="000000"/>
                <w:szCs w:val="20"/>
                <w:highlight w:val="black"/>
              </w:rPr>
              <w:t>'''''''''''''''''</w:t>
            </w:r>
          </w:p>
        </w:tc>
        <w:tc>
          <w:tcPr>
            <w:tcW w:w="1366" w:type="dxa"/>
          </w:tcPr>
          <w:p w:rsidR="007A2392" w:rsidRPr="000C675E" w:rsidRDefault="007A2392" w:rsidP="009E7910">
            <w:pPr>
              <w:pStyle w:val="TableText"/>
              <w:jc w:val="center"/>
              <w:rPr>
                <w:rFonts w:cstheme="minorHAnsi"/>
                <w:szCs w:val="20"/>
              </w:rPr>
            </w:pPr>
            <w:r w:rsidRPr="000C675E">
              <w:rPr>
                <w:rFonts w:cstheme="minorHAnsi"/>
                <w:szCs w:val="20"/>
              </w:rPr>
              <w:t>AZA: $19,507</w:t>
            </w:r>
          </w:p>
        </w:tc>
        <w:tc>
          <w:tcPr>
            <w:tcW w:w="1469" w:type="dxa"/>
            <w:gridSpan w:val="2"/>
          </w:tcPr>
          <w:p w:rsidR="007A2392" w:rsidRPr="000C675E" w:rsidRDefault="007A2392" w:rsidP="009E7910">
            <w:pPr>
              <w:pStyle w:val="TableText"/>
              <w:jc w:val="center"/>
              <w:rPr>
                <w:rFonts w:cstheme="minorHAnsi"/>
                <w:szCs w:val="20"/>
              </w:rPr>
            </w:pPr>
            <w:r w:rsidRPr="000C675E">
              <w:rPr>
                <w:rFonts w:cstheme="minorHAnsi"/>
                <w:szCs w:val="20"/>
              </w:rPr>
              <w:t>VTX: $</w:t>
            </w:r>
            <w:r w:rsidR="00777702">
              <w:rPr>
                <w:rFonts w:cstheme="minorHAnsi"/>
                <w:noProof/>
                <w:color w:val="000000"/>
                <w:szCs w:val="20"/>
                <w:highlight w:val="black"/>
              </w:rPr>
              <w:t>'''''''''''''''</w:t>
            </w:r>
          </w:p>
          <w:p w:rsidR="007A2392" w:rsidRPr="000C675E" w:rsidRDefault="00EE5822" w:rsidP="009E7910">
            <w:pPr>
              <w:pStyle w:val="TableText"/>
              <w:jc w:val="center"/>
              <w:rPr>
                <w:rFonts w:cstheme="minorHAnsi"/>
                <w:szCs w:val="20"/>
              </w:rPr>
            </w:pPr>
            <w:r w:rsidRPr="000C675E">
              <w:rPr>
                <w:rFonts w:cstheme="minorHAnsi"/>
                <w:szCs w:val="20"/>
              </w:rPr>
              <w:t>AZA: $40,767</w:t>
            </w:r>
          </w:p>
          <w:p w:rsidR="007A2392" w:rsidRPr="000C675E" w:rsidRDefault="007A2392" w:rsidP="009E7910">
            <w:pPr>
              <w:pStyle w:val="TableText"/>
              <w:jc w:val="center"/>
              <w:rPr>
                <w:rFonts w:cstheme="minorHAnsi"/>
                <w:szCs w:val="20"/>
              </w:rPr>
            </w:pPr>
            <w:r w:rsidRPr="000C675E">
              <w:rPr>
                <w:rFonts w:cstheme="minorHAnsi"/>
                <w:szCs w:val="20"/>
              </w:rPr>
              <w:t>Total: $</w:t>
            </w:r>
            <w:r w:rsidR="00777702">
              <w:rPr>
                <w:rFonts w:cstheme="minorHAnsi"/>
                <w:noProof/>
                <w:color w:val="000000"/>
                <w:szCs w:val="20"/>
                <w:highlight w:val="black"/>
              </w:rPr>
              <w:t>'''''''''''''''''</w:t>
            </w:r>
          </w:p>
        </w:tc>
        <w:tc>
          <w:tcPr>
            <w:tcW w:w="1560" w:type="dxa"/>
          </w:tcPr>
          <w:p w:rsidR="007A2392" w:rsidRPr="000C675E" w:rsidRDefault="007A2392" w:rsidP="009E7910">
            <w:pPr>
              <w:pStyle w:val="TableText"/>
              <w:jc w:val="center"/>
              <w:rPr>
                <w:rFonts w:cstheme="minorHAnsi"/>
                <w:szCs w:val="20"/>
              </w:rPr>
            </w:pPr>
            <w:r w:rsidRPr="000C675E">
              <w:rPr>
                <w:rFonts w:cstheme="minorHAnsi"/>
                <w:szCs w:val="20"/>
              </w:rPr>
              <w:t>LoDAC: $</w:t>
            </w:r>
            <w:r w:rsidR="00EE5822" w:rsidRPr="000C675E">
              <w:rPr>
                <w:rFonts w:cstheme="minorHAnsi"/>
                <w:szCs w:val="20"/>
              </w:rPr>
              <w:t>1,479</w:t>
            </w:r>
          </w:p>
        </w:tc>
      </w:tr>
    </w:tbl>
    <w:p w:rsidR="00EE5822" w:rsidRPr="000C675E" w:rsidRDefault="00305BEB" w:rsidP="009E7910">
      <w:pPr>
        <w:pStyle w:val="TableFigureFooter"/>
        <w:spacing w:after="0"/>
      </w:pPr>
      <w:r w:rsidRPr="000C675E">
        <w:t>Source: ‘VTX AZA CEA April 2021 final’ spreadsheet provided with the July 2021 resubmission.</w:t>
      </w:r>
    </w:p>
    <w:p w:rsidR="005B241A" w:rsidRPr="000C675E" w:rsidRDefault="005B241A" w:rsidP="005B241A">
      <w:pPr>
        <w:pStyle w:val="TableFigureFooter"/>
        <w:spacing w:after="240"/>
        <w:rPr>
          <w:i/>
        </w:rPr>
      </w:pPr>
      <w:r w:rsidRPr="000C675E">
        <w:rPr>
          <w:i/>
        </w:rPr>
        <w:t xml:space="preserve">Figures in italics were calculated by the PBAC Secretariat for the overview presented to the PBAC. </w:t>
      </w:r>
    </w:p>
    <w:p w:rsidR="00ED105A" w:rsidRPr="000C675E" w:rsidRDefault="00ED105A" w:rsidP="009E7910">
      <w:pPr>
        <w:pStyle w:val="TableFigureFooter"/>
        <w:spacing w:after="240"/>
        <w:rPr>
          <w:iCs/>
        </w:rPr>
      </w:pPr>
      <w:r w:rsidRPr="000C675E">
        <w:rPr>
          <w:iCs/>
        </w:rPr>
        <w:t>AZA = azacitidine, LoDAC = low-dose cytarabine, VTX = venetoclax.</w:t>
      </w:r>
    </w:p>
    <w:p w:rsidR="005565D2" w:rsidRPr="000C675E" w:rsidRDefault="005565D2" w:rsidP="009E7910">
      <w:pPr>
        <w:pStyle w:val="4-SubsectionHeading"/>
      </w:pPr>
      <w:r w:rsidRPr="000C675E">
        <w:t>Estimated PBS usage &amp; financial implications</w:t>
      </w:r>
    </w:p>
    <w:p w:rsidR="00370303" w:rsidRPr="000C675E" w:rsidRDefault="00B47DBA" w:rsidP="009E7910">
      <w:pPr>
        <w:pStyle w:val="3-BodyText"/>
      </w:pPr>
      <w:r w:rsidRPr="000C675E">
        <w:t>A comparison of the PBAC-</w:t>
      </w:r>
      <w:r w:rsidR="002C168B" w:rsidRPr="000C675E">
        <w:t xml:space="preserve">specified revisions for the calculation of the financial estimates and those included in the resubmission </w:t>
      </w:r>
      <w:r w:rsidRPr="000C675E">
        <w:t xml:space="preserve">is </w:t>
      </w:r>
      <w:r w:rsidR="002C168B" w:rsidRPr="000C675E">
        <w:t xml:space="preserve">summarised in </w:t>
      </w:r>
      <w:r w:rsidR="003A5046" w:rsidRPr="000C675E">
        <w:t xml:space="preserve">Table </w:t>
      </w:r>
      <w:r w:rsidR="003A5046" w:rsidRPr="005F5101">
        <w:t>7</w:t>
      </w:r>
      <w:r w:rsidR="002C168B" w:rsidRPr="000C675E">
        <w:t xml:space="preserve">. The </w:t>
      </w:r>
      <w:r w:rsidR="00FE158E" w:rsidRPr="000C675E">
        <w:t>dose intensity</w:t>
      </w:r>
      <w:r w:rsidR="002C168B" w:rsidRPr="0075328D">
        <w:t xml:space="preserve"> of AZA </w:t>
      </w:r>
      <w:r w:rsidR="00FE158E" w:rsidRPr="000C675E">
        <w:t>was</w:t>
      </w:r>
      <w:r w:rsidR="002C168B" w:rsidRPr="000C675E">
        <w:t xml:space="preserve"> revised as specified by the PBAC. </w:t>
      </w:r>
      <w:r w:rsidR="00FE158E" w:rsidRPr="000C675E">
        <w:t xml:space="preserve">The proportion of patients unfit for intensive regimens who receive </w:t>
      </w:r>
      <w:r w:rsidR="003C3866" w:rsidRPr="000C675E">
        <w:t>treatment</w:t>
      </w:r>
      <w:r w:rsidR="00FE158E" w:rsidRPr="000C675E">
        <w:t xml:space="preserve"> was not reduced. The treatment durations were revised to reflect the economic model scenario presented in the resubmission.</w:t>
      </w:r>
    </w:p>
    <w:p w:rsidR="002C168B" w:rsidRPr="000C675E" w:rsidRDefault="00BF5C6A" w:rsidP="009E7910">
      <w:pPr>
        <w:pStyle w:val="TableFigureHeading"/>
        <w:keepLines/>
      </w:pPr>
      <w:bookmarkStart w:id="22" w:name="_Ref75284654"/>
      <w:r w:rsidRPr="000C675E">
        <w:t xml:space="preserve">Table </w:t>
      </w:r>
      <w:r w:rsidR="003A5046" w:rsidRPr="005F5101">
        <w:t>7</w:t>
      </w:r>
      <w:bookmarkEnd w:id="22"/>
      <w:r w:rsidRPr="000C675E">
        <w:t xml:space="preserve">: </w:t>
      </w:r>
      <w:r w:rsidR="002C168B" w:rsidRPr="000C675E">
        <w:t xml:space="preserve">Comparison of </w:t>
      </w:r>
      <w:r w:rsidR="002C168B" w:rsidRPr="0075328D">
        <w:t>PBAC advised parameters</w:t>
      </w:r>
      <w:r w:rsidRPr="000C675E">
        <w:t xml:space="preserve"> for estimating financial impact and</w:t>
      </w:r>
      <w:r w:rsidR="002C168B" w:rsidRPr="000C675E">
        <w:t xml:space="preserve"> those used in the resubmission</w:t>
      </w:r>
    </w:p>
    <w:tbl>
      <w:tblPr>
        <w:tblStyle w:val="TableGrid"/>
        <w:tblW w:w="5000" w:type="pct"/>
        <w:tblLook w:val="04A0" w:firstRow="1" w:lastRow="0" w:firstColumn="1" w:lastColumn="0" w:noHBand="0" w:noVBand="1"/>
        <w:tblCaption w:val="Table 7: Comparison of PBAC advised parameters for estimating financial impact and those used in the resubmission"/>
      </w:tblPr>
      <w:tblGrid>
        <w:gridCol w:w="2593"/>
        <w:gridCol w:w="2593"/>
        <w:gridCol w:w="2593"/>
        <w:gridCol w:w="1237"/>
      </w:tblGrid>
      <w:tr w:rsidR="002C168B" w:rsidRPr="000C675E" w:rsidTr="00F57123">
        <w:trPr>
          <w:tblHeader/>
        </w:trPr>
        <w:tc>
          <w:tcPr>
            <w:tcW w:w="1438" w:type="pct"/>
          </w:tcPr>
          <w:p w:rsidR="002C168B" w:rsidRPr="000C675E" w:rsidRDefault="00BF5C6A" w:rsidP="009E7910">
            <w:pPr>
              <w:pStyle w:val="Table"/>
              <w:rPr>
                <w:rFonts w:ascii="Arial Narrow" w:hAnsi="Arial Narrow"/>
                <w:b/>
                <w:bCs/>
              </w:rPr>
            </w:pPr>
            <w:r w:rsidRPr="000C675E">
              <w:rPr>
                <w:rFonts w:ascii="Arial Narrow" w:hAnsi="Arial Narrow"/>
                <w:b/>
                <w:bCs/>
              </w:rPr>
              <w:t>P</w:t>
            </w:r>
            <w:r w:rsidR="002C168B" w:rsidRPr="000C675E">
              <w:rPr>
                <w:rFonts w:ascii="Arial Narrow" w:hAnsi="Arial Narrow"/>
                <w:b/>
                <w:bCs/>
              </w:rPr>
              <w:t>arameter</w:t>
            </w:r>
            <w:r w:rsidRPr="000C675E">
              <w:rPr>
                <w:rFonts w:ascii="Arial Narrow" w:hAnsi="Arial Narrow"/>
                <w:b/>
                <w:bCs/>
              </w:rPr>
              <w:t xml:space="preserve"> for estimating financial impact</w:t>
            </w:r>
          </w:p>
        </w:tc>
        <w:tc>
          <w:tcPr>
            <w:tcW w:w="1438" w:type="pct"/>
          </w:tcPr>
          <w:p w:rsidR="002C168B" w:rsidRPr="000C675E" w:rsidRDefault="002C168B" w:rsidP="009E7910">
            <w:pPr>
              <w:pStyle w:val="Table"/>
              <w:rPr>
                <w:rFonts w:ascii="Arial Narrow" w:hAnsi="Arial Narrow"/>
                <w:b/>
                <w:bCs/>
              </w:rPr>
            </w:pPr>
            <w:r w:rsidRPr="000C675E">
              <w:rPr>
                <w:rFonts w:ascii="Arial Narrow" w:hAnsi="Arial Narrow"/>
                <w:b/>
                <w:bCs/>
              </w:rPr>
              <w:t>PBAC advice, March 2021</w:t>
            </w:r>
          </w:p>
        </w:tc>
        <w:tc>
          <w:tcPr>
            <w:tcW w:w="1438" w:type="pct"/>
          </w:tcPr>
          <w:p w:rsidR="002C168B" w:rsidRPr="000C675E" w:rsidRDefault="002C168B" w:rsidP="009E7910">
            <w:pPr>
              <w:pStyle w:val="Table"/>
              <w:rPr>
                <w:rFonts w:ascii="Arial Narrow" w:hAnsi="Arial Narrow"/>
                <w:b/>
                <w:bCs/>
              </w:rPr>
            </w:pPr>
            <w:r w:rsidRPr="000C675E">
              <w:rPr>
                <w:rFonts w:ascii="Arial Narrow" w:hAnsi="Arial Narrow"/>
                <w:b/>
                <w:bCs/>
              </w:rPr>
              <w:t xml:space="preserve">Resubmission </w:t>
            </w:r>
            <w:r w:rsidR="00370303" w:rsidRPr="000C675E">
              <w:rPr>
                <w:rFonts w:ascii="Arial Narrow" w:hAnsi="Arial Narrow"/>
                <w:b/>
                <w:bCs/>
              </w:rPr>
              <w:t>financial estimates</w:t>
            </w:r>
          </w:p>
        </w:tc>
        <w:tc>
          <w:tcPr>
            <w:tcW w:w="686" w:type="pct"/>
          </w:tcPr>
          <w:p w:rsidR="002C168B" w:rsidRPr="000C675E" w:rsidRDefault="002C168B" w:rsidP="009E7910">
            <w:pPr>
              <w:pStyle w:val="Table"/>
              <w:rPr>
                <w:rFonts w:ascii="Arial Narrow" w:hAnsi="Arial Narrow"/>
                <w:b/>
                <w:bCs/>
              </w:rPr>
            </w:pPr>
            <w:r w:rsidRPr="000C675E">
              <w:rPr>
                <w:rFonts w:ascii="Arial Narrow" w:hAnsi="Arial Narrow"/>
                <w:b/>
                <w:bCs/>
              </w:rPr>
              <w:t>Addressed?</w:t>
            </w:r>
          </w:p>
        </w:tc>
      </w:tr>
      <w:tr w:rsidR="002C168B" w:rsidRPr="000C675E" w:rsidTr="00037A57">
        <w:trPr>
          <w:trHeight w:val="486"/>
        </w:trPr>
        <w:tc>
          <w:tcPr>
            <w:tcW w:w="1438" w:type="pct"/>
          </w:tcPr>
          <w:p w:rsidR="002C168B" w:rsidRPr="000C675E" w:rsidRDefault="00370303" w:rsidP="009E7910">
            <w:pPr>
              <w:pStyle w:val="Table"/>
              <w:rPr>
                <w:rFonts w:ascii="Arial Narrow" w:hAnsi="Arial Narrow"/>
              </w:rPr>
            </w:pPr>
            <w:r w:rsidRPr="000C675E">
              <w:rPr>
                <w:rFonts w:ascii="Arial Narrow" w:hAnsi="Arial Narrow"/>
              </w:rPr>
              <w:t>VTX price</w:t>
            </w:r>
          </w:p>
        </w:tc>
        <w:tc>
          <w:tcPr>
            <w:tcW w:w="1438" w:type="pct"/>
          </w:tcPr>
          <w:p w:rsidR="002C168B" w:rsidRPr="000C675E" w:rsidRDefault="00370303" w:rsidP="009E7910">
            <w:pPr>
              <w:pStyle w:val="Table"/>
              <w:rPr>
                <w:rFonts w:ascii="Arial Narrow" w:hAnsi="Arial Narrow"/>
              </w:rPr>
            </w:pPr>
            <w:r w:rsidRPr="000C675E">
              <w:rPr>
                <w:rFonts w:ascii="Arial Narrow" w:hAnsi="Arial Narrow"/>
              </w:rPr>
              <w:t>Apply lower price calculated from economic model (based on PBAC scenario AEMP of approx. $</w:t>
            </w:r>
            <w:r w:rsidR="00777702">
              <w:rPr>
                <w:rFonts w:ascii="Arial Narrow" w:hAnsi="Arial Narrow"/>
                <w:noProof/>
                <w:color w:val="000000"/>
                <w:highlight w:val="black"/>
              </w:rPr>
              <w:t>''''''''''''</w:t>
            </w:r>
            <w:r w:rsidRPr="000C675E">
              <w:rPr>
                <w:rFonts w:ascii="Arial Narrow" w:hAnsi="Arial Narrow"/>
              </w:rPr>
              <w:t xml:space="preserve">, </w:t>
            </w:r>
            <w:r w:rsidR="003A5046" w:rsidRPr="000C675E">
              <w:rPr>
                <w:rFonts w:ascii="Arial Narrow" w:hAnsi="Arial Narrow"/>
              </w:rPr>
              <w:t xml:space="preserve">Table </w:t>
            </w:r>
            <w:r w:rsidR="003A5046" w:rsidRPr="005F5101">
              <w:rPr>
                <w:rFonts w:ascii="Arial Narrow" w:hAnsi="Arial Narrow"/>
              </w:rPr>
              <w:t>4</w:t>
            </w:r>
            <w:r w:rsidRPr="000C675E">
              <w:rPr>
                <w:rFonts w:ascii="Arial Narrow" w:hAnsi="Arial Narrow"/>
              </w:rPr>
              <w:t>)</w:t>
            </w:r>
          </w:p>
        </w:tc>
        <w:tc>
          <w:tcPr>
            <w:tcW w:w="1438" w:type="pct"/>
          </w:tcPr>
          <w:p w:rsidR="002C168B" w:rsidRPr="000C675E" w:rsidRDefault="00370303" w:rsidP="009E7910">
            <w:pPr>
              <w:pStyle w:val="Table"/>
              <w:rPr>
                <w:rFonts w:ascii="Arial Narrow" w:hAnsi="Arial Narrow"/>
              </w:rPr>
            </w:pPr>
            <w:r w:rsidRPr="0075328D">
              <w:rPr>
                <w:rFonts w:ascii="Arial Narrow" w:hAnsi="Arial Narrow"/>
              </w:rPr>
              <w:t>Based on resubmission scenario, AEMP of $</w:t>
            </w:r>
            <w:r w:rsidR="00777702">
              <w:rPr>
                <w:rFonts w:ascii="Arial Narrow" w:hAnsi="Arial Narrow"/>
                <w:noProof/>
                <w:color w:val="000000"/>
                <w:highlight w:val="black"/>
              </w:rPr>
              <w:t>''''''''''''''''''''</w:t>
            </w:r>
          </w:p>
        </w:tc>
        <w:tc>
          <w:tcPr>
            <w:tcW w:w="686" w:type="pct"/>
          </w:tcPr>
          <w:p w:rsidR="002C168B" w:rsidRPr="000C675E" w:rsidRDefault="00BF5C6A" w:rsidP="005F5101">
            <w:pPr>
              <w:pStyle w:val="Table"/>
              <w:jc w:val="center"/>
              <w:rPr>
                <w:rFonts w:ascii="Arial Narrow" w:hAnsi="Arial Narrow"/>
              </w:rPr>
            </w:pPr>
            <w:r w:rsidRPr="000C675E">
              <w:rPr>
                <w:rFonts w:ascii="Arial Narrow" w:hAnsi="Arial Narrow"/>
              </w:rPr>
              <w:t>Partially</w:t>
            </w:r>
          </w:p>
        </w:tc>
      </w:tr>
      <w:tr w:rsidR="002C168B" w:rsidRPr="000C675E" w:rsidTr="00037A57">
        <w:trPr>
          <w:trHeight w:val="56"/>
        </w:trPr>
        <w:tc>
          <w:tcPr>
            <w:tcW w:w="1438" w:type="pct"/>
          </w:tcPr>
          <w:p w:rsidR="002C168B" w:rsidRPr="000C675E" w:rsidRDefault="00717F65" w:rsidP="009E7910">
            <w:pPr>
              <w:pStyle w:val="Table"/>
              <w:rPr>
                <w:rFonts w:ascii="Arial Narrow" w:hAnsi="Arial Narrow"/>
              </w:rPr>
            </w:pPr>
            <w:r w:rsidRPr="000C675E">
              <w:rPr>
                <w:rFonts w:ascii="Arial Narrow" w:hAnsi="Arial Narrow"/>
              </w:rPr>
              <w:t>Dose intensity of AZA when used in combination with VTX</w:t>
            </w:r>
          </w:p>
        </w:tc>
        <w:tc>
          <w:tcPr>
            <w:tcW w:w="1438" w:type="pct"/>
          </w:tcPr>
          <w:p w:rsidR="002C168B" w:rsidRPr="000C675E" w:rsidRDefault="00717F65" w:rsidP="009E7910">
            <w:pPr>
              <w:pStyle w:val="Table"/>
              <w:rPr>
                <w:rFonts w:ascii="Arial Narrow" w:hAnsi="Arial Narrow"/>
              </w:rPr>
            </w:pPr>
            <w:r w:rsidRPr="000C675E">
              <w:rPr>
                <w:rFonts w:ascii="Arial Narrow" w:hAnsi="Arial Narrow"/>
              </w:rPr>
              <w:t>1.9 vials per infusion</w:t>
            </w:r>
          </w:p>
        </w:tc>
        <w:tc>
          <w:tcPr>
            <w:tcW w:w="1438" w:type="pct"/>
          </w:tcPr>
          <w:p w:rsidR="002C168B" w:rsidRPr="000C675E" w:rsidRDefault="00717F65" w:rsidP="009E7910">
            <w:pPr>
              <w:pStyle w:val="Table"/>
              <w:rPr>
                <w:rFonts w:ascii="Arial Narrow" w:hAnsi="Arial Narrow"/>
              </w:rPr>
            </w:pPr>
            <w:r w:rsidRPr="000C675E">
              <w:rPr>
                <w:rFonts w:ascii="Arial Narrow" w:hAnsi="Arial Narrow"/>
              </w:rPr>
              <w:t>1.9 vials per infusion</w:t>
            </w:r>
            <w:r w:rsidR="0032686F" w:rsidRPr="000C675E">
              <w:rPr>
                <w:rFonts w:ascii="Arial Narrow" w:hAnsi="Arial Narrow"/>
              </w:rPr>
              <w:t xml:space="preserve"> (increased from 1</w:t>
            </w:r>
            <w:r w:rsidR="00BF5C6A" w:rsidRPr="000C675E">
              <w:rPr>
                <w:rFonts w:ascii="Arial Narrow" w:hAnsi="Arial Narrow"/>
              </w:rPr>
              <w:t xml:space="preserve"> vial in March </w:t>
            </w:r>
            <w:r w:rsidR="00ED105A" w:rsidRPr="000C675E">
              <w:rPr>
                <w:rFonts w:ascii="Arial Narrow" w:hAnsi="Arial Narrow"/>
              </w:rPr>
              <w:t>20</w:t>
            </w:r>
            <w:r w:rsidR="00BF5C6A" w:rsidRPr="000C675E">
              <w:rPr>
                <w:rFonts w:ascii="Arial Narrow" w:hAnsi="Arial Narrow"/>
              </w:rPr>
              <w:t>21 submission</w:t>
            </w:r>
            <w:r w:rsidR="0032686F" w:rsidRPr="000C675E">
              <w:rPr>
                <w:rFonts w:ascii="Arial Narrow" w:hAnsi="Arial Narrow"/>
              </w:rPr>
              <w:t>)</w:t>
            </w:r>
          </w:p>
        </w:tc>
        <w:tc>
          <w:tcPr>
            <w:tcW w:w="686" w:type="pct"/>
          </w:tcPr>
          <w:p w:rsidR="002C168B" w:rsidRPr="000C675E" w:rsidRDefault="00717F65" w:rsidP="005F5101">
            <w:pPr>
              <w:pStyle w:val="Table"/>
              <w:jc w:val="center"/>
              <w:rPr>
                <w:rFonts w:ascii="Arial Narrow" w:hAnsi="Arial Narrow"/>
              </w:rPr>
            </w:pPr>
            <w:r w:rsidRPr="000C675E">
              <w:rPr>
                <w:rFonts w:ascii="Arial Narrow" w:hAnsi="Arial Narrow"/>
              </w:rPr>
              <w:t>Yes</w:t>
            </w:r>
          </w:p>
        </w:tc>
      </w:tr>
      <w:tr w:rsidR="002C168B" w:rsidRPr="000C675E" w:rsidTr="00037A57">
        <w:trPr>
          <w:trHeight w:val="56"/>
        </w:trPr>
        <w:tc>
          <w:tcPr>
            <w:tcW w:w="1438" w:type="pct"/>
          </w:tcPr>
          <w:p w:rsidR="002C168B" w:rsidRPr="000C675E" w:rsidRDefault="003C3866" w:rsidP="009E7910">
            <w:pPr>
              <w:pStyle w:val="Table"/>
              <w:rPr>
                <w:rFonts w:ascii="Arial Narrow" w:hAnsi="Arial Narrow"/>
              </w:rPr>
            </w:pPr>
            <w:r w:rsidRPr="000C675E">
              <w:rPr>
                <w:rFonts w:ascii="Arial Narrow" w:hAnsi="Arial Narrow"/>
              </w:rPr>
              <w:t>Proportion of unfit patients who receive treatment</w:t>
            </w:r>
          </w:p>
        </w:tc>
        <w:tc>
          <w:tcPr>
            <w:tcW w:w="1438" w:type="pct"/>
          </w:tcPr>
          <w:p w:rsidR="002C168B" w:rsidRPr="000C675E" w:rsidRDefault="00717F65" w:rsidP="009E7910">
            <w:pPr>
              <w:pStyle w:val="Table"/>
              <w:rPr>
                <w:rFonts w:ascii="Arial Narrow" w:hAnsi="Arial Narrow"/>
              </w:rPr>
            </w:pPr>
            <w:r w:rsidRPr="000C675E">
              <w:rPr>
                <w:rFonts w:ascii="Arial Narrow" w:hAnsi="Arial Narrow"/>
              </w:rPr>
              <w:t>Reduction from 80%</w:t>
            </w:r>
          </w:p>
        </w:tc>
        <w:tc>
          <w:tcPr>
            <w:tcW w:w="1438" w:type="pct"/>
          </w:tcPr>
          <w:p w:rsidR="002C168B" w:rsidRPr="000C675E" w:rsidRDefault="00717F65" w:rsidP="009E7910">
            <w:pPr>
              <w:pStyle w:val="Table"/>
              <w:rPr>
                <w:rFonts w:ascii="Arial Narrow" w:hAnsi="Arial Narrow"/>
              </w:rPr>
            </w:pPr>
            <w:r w:rsidRPr="000C675E">
              <w:rPr>
                <w:rFonts w:ascii="Arial Narrow" w:hAnsi="Arial Narrow"/>
              </w:rPr>
              <w:t>No change from 80%</w:t>
            </w:r>
          </w:p>
        </w:tc>
        <w:tc>
          <w:tcPr>
            <w:tcW w:w="686" w:type="pct"/>
          </w:tcPr>
          <w:p w:rsidR="002C168B" w:rsidRPr="000C675E" w:rsidRDefault="00717F65" w:rsidP="005F5101">
            <w:pPr>
              <w:pStyle w:val="Table"/>
              <w:jc w:val="center"/>
              <w:rPr>
                <w:rFonts w:ascii="Arial Narrow" w:hAnsi="Arial Narrow"/>
              </w:rPr>
            </w:pPr>
            <w:r w:rsidRPr="000C675E">
              <w:rPr>
                <w:rFonts w:ascii="Arial Narrow" w:hAnsi="Arial Narrow"/>
              </w:rPr>
              <w:t>No</w:t>
            </w:r>
          </w:p>
        </w:tc>
      </w:tr>
      <w:tr w:rsidR="0054199D" w:rsidRPr="000C675E" w:rsidTr="0054199D">
        <w:trPr>
          <w:trHeight w:val="56"/>
        </w:trPr>
        <w:tc>
          <w:tcPr>
            <w:tcW w:w="5000" w:type="pct"/>
            <w:gridSpan w:val="4"/>
          </w:tcPr>
          <w:p w:rsidR="0054199D" w:rsidRPr="000C675E" w:rsidRDefault="0054199D" w:rsidP="009E7910">
            <w:pPr>
              <w:pStyle w:val="Table"/>
              <w:rPr>
                <w:rFonts w:ascii="Arial Narrow" w:hAnsi="Arial Narrow"/>
              </w:rPr>
            </w:pPr>
            <w:r w:rsidRPr="000C675E">
              <w:rPr>
                <w:rFonts w:ascii="Arial Narrow" w:hAnsi="Arial Narrow"/>
                <w:b/>
              </w:rPr>
              <w:t xml:space="preserve">Additional parameter changes </w:t>
            </w:r>
          </w:p>
        </w:tc>
      </w:tr>
      <w:tr w:rsidR="00FE158E" w:rsidRPr="000C675E" w:rsidTr="00FE158E">
        <w:trPr>
          <w:trHeight w:val="56"/>
        </w:trPr>
        <w:tc>
          <w:tcPr>
            <w:tcW w:w="1438" w:type="pct"/>
          </w:tcPr>
          <w:p w:rsidR="00FE158E" w:rsidRPr="000C675E" w:rsidRDefault="00FE158E" w:rsidP="009E7910">
            <w:pPr>
              <w:pStyle w:val="Table"/>
              <w:rPr>
                <w:rFonts w:ascii="Arial Narrow" w:hAnsi="Arial Narrow"/>
              </w:rPr>
            </w:pPr>
            <w:r w:rsidRPr="000C675E">
              <w:rPr>
                <w:rFonts w:ascii="Arial Narrow" w:hAnsi="Arial Narrow"/>
              </w:rPr>
              <w:t>Treatment duration to reflect economic model</w:t>
            </w:r>
            <w:r w:rsidR="00BF5C6A" w:rsidRPr="000C675E">
              <w:rPr>
                <w:rFonts w:ascii="Arial Narrow" w:hAnsi="Arial Narrow"/>
              </w:rPr>
              <w:t xml:space="preserve">, </w:t>
            </w:r>
            <w:r w:rsidRPr="000C675E">
              <w:rPr>
                <w:rFonts w:ascii="Arial Narrow" w:hAnsi="Arial Narrow"/>
              </w:rPr>
              <w:t>number of 28</w:t>
            </w:r>
            <w:r w:rsidR="009A5F3D" w:rsidRPr="000C675E">
              <w:rPr>
                <w:rFonts w:ascii="Arial Narrow" w:hAnsi="Arial Narrow"/>
              </w:rPr>
              <w:t>-</w:t>
            </w:r>
            <w:r w:rsidRPr="000C675E">
              <w:rPr>
                <w:rFonts w:ascii="Arial Narrow" w:hAnsi="Arial Narrow"/>
              </w:rPr>
              <w:t>day cycles</w:t>
            </w:r>
          </w:p>
        </w:tc>
        <w:tc>
          <w:tcPr>
            <w:tcW w:w="1438" w:type="pct"/>
          </w:tcPr>
          <w:p w:rsidR="00FE158E" w:rsidRPr="000C675E" w:rsidRDefault="00FE158E" w:rsidP="009E7910">
            <w:pPr>
              <w:pStyle w:val="Table"/>
              <w:rPr>
                <w:rFonts w:ascii="Arial Narrow" w:hAnsi="Arial Narrow"/>
              </w:rPr>
            </w:pPr>
            <w:r w:rsidRPr="000C675E">
              <w:rPr>
                <w:rFonts w:ascii="Arial Narrow" w:hAnsi="Arial Narrow"/>
              </w:rPr>
              <w:t>PBAC model scenario</w:t>
            </w:r>
          </w:p>
          <w:p w:rsidR="00FE158E" w:rsidRPr="000C675E" w:rsidRDefault="00FE158E" w:rsidP="009E7910">
            <w:pPr>
              <w:pStyle w:val="TableText"/>
              <w:keepLines/>
              <w:rPr>
                <w:rFonts w:cstheme="minorHAnsi"/>
                <w:szCs w:val="20"/>
              </w:rPr>
            </w:pPr>
            <w:r w:rsidRPr="000C675E">
              <w:rPr>
                <w:rFonts w:cstheme="minorHAnsi"/>
                <w:szCs w:val="20"/>
              </w:rPr>
              <w:t>VTX+AZA: 16.7</w:t>
            </w:r>
          </w:p>
          <w:p w:rsidR="00FE158E" w:rsidRPr="000C675E" w:rsidRDefault="00FE158E" w:rsidP="009E7910">
            <w:pPr>
              <w:pStyle w:val="TableText"/>
              <w:keepLines/>
              <w:rPr>
                <w:rFonts w:cstheme="minorHAnsi"/>
                <w:szCs w:val="20"/>
              </w:rPr>
            </w:pPr>
            <w:r w:rsidRPr="000C675E">
              <w:rPr>
                <w:rFonts w:cstheme="minorHAnsi"/>
                <w:szCs w:val="20"/>
              </w:rPr>
              <w:t>AZA: 9.29</w:t>
            </w:r>
          </w:p>
          <w:p w:rsidR="00FE158E" w:rsidRPr="000C675E" w:rsidRDefault="00FE158E" w:rsidP="009E7910">
            <w:pPr>
              <w:pStyle w:val="TableText"/>
              <w:keepLines/>
            </w:pPr>
            <w:r w:rsidRPr="000C675E">
              <w:rPr>
                <w:rFonts w:cstheme="minorHAnsi"/>
                <w:szCs w:val="20"/>
              </w:rPr>
              <w:t>LoDAC: 5.2</w:t>
            </w:r>
          </w:p>
        </w:tc>
        <w:tc>
          <w:tcPr>
            <w:tcW w:w="1438" w:type="pct"/>
          </w:tcPr>
          <w:p w:rsidR="00FE158E" w:rsidRPr="000C675E" w:rsidRDefault="00FE158E" w:rsidP="009E7910">
            <w:pPr>
              <w:pStyle w:val="Table"/>
              <w:rPr>
                <w:rFonts w:ascii="Arial Narrow" w:hAnsi="Arial Narrow"/>
              </w:rPr>
            </w:pPr>
            <w:r w:rsidRPr="000C675E">
              <w:rPr>
                <w:rFonts w:ascii="Arial Narrow" w:hAnsi="Arial Narrow"/>
              </w:rPr>
              <w:t>Resubmission model scenario</w:t>
            </w:r>
            <w:r w:rsidR="009A5F3D" w:rsidRPr="000C675E">
              <w:rPr>
                <w:rFonts w:ascii="Arial Narrow" w:hAnsi="Arial Narrow"/>
              </w:rPr>
              <w:t xml:space="preserve"> (March 2021 model scenario in parentheses)</w:t>
            </w:r>
          </w:p>
          <w:p w:rsidR="00FE158E" w:rsidRPr="000C675E" w:rsidRDefault="00FE158E" w:rsidP="009E7910">
            <w:pPr>
              <w:pStyle w:val="TableText"/>
              <w:keepLines/>
              <w:rPr>
                <w:rFonts w:cstheme="minorHAnsi"/>
                <w:szCs w:val="20"/>
              </w:rPr>
            </w:pPr>
            <w:r w:rsidRPr="000C675E">
              <w:rPr>
                <w:rFonts w:cstheme="minorHAnsi"/>
                <w:szCs w:val="20"/>
              </w:rPr>
              <w:t>VTX+AZA: 19.32</w:t>
            </w:r>
            <w:r w:rsidR="00BA3405" w:rsidRPr="000C675E">
              <w:rPr>
                <w:rFonts w:cstheme="minorHAnsi"/>
                <w:szCs w:val="20"/>
              </w:rPr>
              <w:t xml:space="preserve"> (20.1)</w:t>
            </w:r>
          </w:p>
          <w:p w:rsidR="00FE158E" w:rsidRPr="000C675E" w:rsidRDefault="00FE158E" w:rsidP="009E7910">
            <w:pPr>
              <w:pStyle w:val="TableText"/>
              <w:keepLines/>
              <w:rPr>
                <w:rFonts w:cstheme="minorHAnsi"/>
                <w:szCs w:val="20"/>
              </w:rPr>
            </w:pPr>
            <w:r w:rsidRPr="000C675E">
              <w:rPr>
                <w:rFonts w:cstheme="minorHAnsi"/>
                <w:szCs w:val="20"/>
              </w:rPr>
              <w:t>AZA: 9.29</w:t>
            </w:r>
            <w:r w:rsidR="00BA3405" w:rsidRPr="000C675E">
              <w:rPr>
                <w:rFonts w:cstheme="minorHAnsi"/>
                <w:szCs w:val="20"/>
              </w:rPr>
              <w:t xml:space="preserve"> (8.9)</w:t>
            </w:r>
          </w:p>
          <w:p w:rsidR="00FE158E" w:rsidRPr="000C675E" w:rsidRDefault="00FE158E" w:rsidP="009E7910">
            <w:pPr>
              <w:pStyle w:val="TableText"/>
              <w:keepLines/>
            </w:pPr>
            <w:r w:rsidRPr="000C675E">
              <w:rPr>
                <w:rFonts w:cstheme="minorHAnsi"/>
                <w:szCs w:val="20"/>
              </w:rPr>
              <w:t>LoDAC: 6.84</w:t>
            </w:r>
            <w:r w:rsidR="00BA3405" w:rsidRPr="000C675E">
              <w:rPr>
                <w:rFonts w:cstheme="minorHAnsi"/>
                <w:szCs w:val="20"/>
              </w:rPr>
              <w:t xml:space="preserve"> (7.4)</w:t>
            </w:r>
          </w:p>
        </w:tc>
        <w:tc>
          <w:tcPr>
            <w:tcW w:w="686" w:type="pct"/>
          </w:tcPr>
          <w:p w:rsidR="00FE158E" w:rsidRPr="000C675E" w:rsidRDefault="00FE158E" w:rsidP="005F5101">
            <w:pPr>
              <w:pStyle w:val="Table"/>
              <w:jc w:val="center"/>
              <w:rPr>
                <w:rFonts w:ascii="Arial Narrow" w:hAnsi="Arial Narrow"/>
              </w:rPr>
            </w:pPr>
            <w:r w:rsidRPr="000C675E">
              <w:rPr>
                <w:rFonts w:ascii="Arial Narrow" w:hAnsi="Arial Narrow"/>
              </w:rPr>
              <w:t>NA</w:t>
            </w:r>
          </w:p>
        </w:tc>
      </w:tr>
    </w:tbl>
    <w:p w:rsidR="001D0932" w:rsidRPr="000C675E" w:rsidRDefault="001D0932" w:rsidP="009E7910">
      <w:pPr>
        <w:pStyle w:val="TableFigureFooter"/>
        <w:keepNext/>
        <w:keepLines/>
        <w:spacing w:after="0"/>
      </w:pPr>
      <w:r w:rsidRPr="000C675E">
        <w:t xml:space="preserve">Source: </w:t>
      </w:r>
      <w:r w:rsidR="009A5F3D" w:rsidRPr="000C675E">
        <w:t xml:space="preserve">paragraph 7.13, </w:t>
      </w:r>
      <w:r w:rsidRPr="000C675E">
        <w:t>VTX</w:t>
      </w:r>
      <w:r w:rsidR="009A5F3D" w:rsidRPr="000C675E">
        <w:t xml:space="preserve">, PSD, </w:t>
      </w:r>
      <w:r w:rsidRPr="000C675E">
        <w:t>March 2021</w:t>
      </w:r>
      <w:r w:rsidR="009A5F3D" w:rsidRPr="000C675E">
        <w:t xml:space="preserve"> PBAC meeting</w:t>
      </w:r>
      <w:r w:rsidRPr="000C675E">
        <w:t>; Table 15 of the July 2021 resubmission.</w:t>
      </w:r>
    </w:p>
    <w:p w:rsidR="00ED105A" w:rsidRPr="000C675E" w:rsidRDefault="00ED105A" w:rsidP="009A5F3D">
      <w:pPr>
        <w:pStyle w:val="TableFigureFooter"/>
        <w:spacing w:after="240"/>
      </w:pPr>
      <w:r w:rsidRPr="000C675E">
        <w:rPr>
          <w:iCs/>
        </w:rPr>
        <w:t>AEMP = approved ex-manufacturer price, AZA = azacitidine, LoDAC = low-dose cytarabine, VTX = venetoclax.</w:t>
      </w:r>
    </w:p>
    <w:p w:rsidR="00526CC7" w:rsidRPr="000C675E" w:rsidRDefault="00526CC7" w:rsidP="009E7910">
      <w:pPr>
        <w:pStyle w:val="3-BodyText"/>
      </w:pPr>
      <w:r w:rsidRPr="000C675E">
        <w:t xml:space="preserve">The estimated use and financial implications are summarised in </w:t>
      </w:r>
      <w:r w:rsidR="003A5046" w:rsidRPr="000C675E">
        <w:t xml:space="preserve">Table </w:t>
      </w:r>
      <w:r w:rsidR="003A5046" w:rsidRPr="005F5101">
        <w:t>8</w:t>
      </w:r>
      <w:r w:rsidRPr="000C675E">
        <w:t xml:space="preserve">. The </w:t>
      </w:r>
      <w:r w:rsidR="00E33E28" w:rsidRPr="000C675E">
        <w:t xml:space="preserve">estimated </w:t>
      </w:r>
      <w:r w:rsidRPr="0075328D">
        <w:t xml:space="preserve">number of patients initiating treatment each year </w:t>
      </w:r>
      <w:r w:rsidR="009A5F3D" w:rsidRPr="000C675E">
        <w:t xml:space="preserve">were </w:t>
      </w:r>
      <w:r w:rsidR="00EB2B57" w:rsidRPr="000C675E">
        <w:t xml:space="preserve">the same as in the March </w:t>
      </w:r>
      <w:r w:rsidR="009A5F3D" w:rsidRPr="000C675E">
        <w:t>20</w:t>
      </w:r>
      <w:r w:rsidR="00EB2B57" w:rsidRPr="000C675E">
        <w:t xml:space="preserve">21 submission and </w:t>
      </w:r>
      <w:r w:rsidR="009A5F3D" w:rsidRPr="000C675E">
        <w:t xml:space="preserve">were </w:t>
      </w:r>
      <w:r w:rsidRPr="000C675E">
        <w:t xml:space="preserve">based on (i) an incidence of 4.3 cases per </w:t>
      </w:r>
      <w:r w:rsidRPr="000C675E">
        <w:rPr>
          <w:lang w:eastAsia="en-US"/>
        </w:rPr>
        <w:t xml:space="preserve">100,000 population based on </w:t>
      </w:r>
      <w:r w:rsidR="009A5F3D" w:rsidRPr="000C675E">
        <w:rPr>
          <w:lang w:eastAsia="en-US"/>
        </w:rPr>
        <w:t>Australian Institute of Health and Welfare (</w:t>
      </w:r>
      <w:r w:rsidRPr="000C675E">
        <w:rPr>
          <w:lang w:eastAsia="en-US"/>
        </w:rPr>
        <w:t>AIHW</w:t>
      </w:r>
      <w:r w:rsidR="009A5F3D" w:rsidRPr="000C675E">
        <w:rPr>
          <w:lang w:eastAsia="en-US"/>
        </w:rPr>
        <w:t>)</w:t>
      </w:r>
      <w:r w:rsidRPr="000C675E">
        <w:rPr>
          <w:lang w:eastAsia="en-US"/>
        </w:rPr>
        <w:t xml:space="preserve"> 2020 Cancer Data; (ii) 50% of patients being ineligible for intensive chemotherapy; (iii) 80% of patients</w:t>
      </w:r>
      <w:r w:rsidR="001A574D" w:rsidRPr="000C675E">
        <w:rPr>
          <w:lang w:eastAsia="en-US"/>
        </w:rPr>
        <w:t xml:space="preserve"> receiving low intensity treatment and (iv) 90% uptake of VTX+AZA for years 1 to 6.</w:t>
      </w:r>
      <w:r w:rsidR="00EB2B57" w:rsidRPr="000C675E">
        <w:rPr>
          <w:lang w:eastAsia="en-US"/>
        </w:rPr>
        <w:t xml:space="preserve"> </w:t>
      </w:r>
    </w:p>
    <w:p w:rsidR="0071004C" w:rsidRPr="000C675E" w:rsidRDefault="00B45E5E" w:rsidP="009E7910">
      <w:pPr>
        <w:pStyle w:val="3-BodyText"/>
      </w:pPr>
      <w:r w:rsidRPr="000C675E">
        <w:t xml:space="preserve">Paragraph 6.82 of the March </w:t>
      </w:r>
      <w:r w:rsidR="009A5F3D" w:rsidRPr="000C675E">
        <w:t>20</w:t>
      </w:r>
      <w:r w:rsidRPr="000C675E">
        <w:t xml:space="preserve">21 PBAC </w:t>
      </w:r>
      <w:r w:rsidR="002A660D">
        <w:t>PSD</w:t>
      </w:r>
      <w:r w:rsidR="002A660D" w:rsidRPr="000C675E">
        <w:t xml:space="preserve"> </w:t>
      </w:r>
      <w:r w:rsidRPr="000C675E">
        <w:t>note</w:t>
      </w:r>
      <w:r w:rsidR="0054199D" w:rsidRPr="000C675E">
        <w:t>d</w:t>
      </w:r>
      <w:r w:rsidRPr="000C675E">
        <w:t xml:space="preserve"> DUSC’s concern that the proportion of patients unfit for standard intensive remission induction chemotherapy who receive treatment was overestimated </w:t>
      </w:r>
      <w:bookmarkStart w:id="23" w:name="_Hlk78290743"/>
      <w:r w:rsidRPr="000C675E">
        <w:t>(80%, inconsistent with Australian data provided in the submission that suggested a much lower proportion of patients going on to treatment (54%, CURRENT study)).</w:t>
      </w:r>
      <w:bookmarkEnd w:id="23"/>
      <w:r w:rsidRPr="000C675E">
        <w:t xml:space="preserve"> The PBAC advised that a resubmission should </w:t>
      </w:r>
      <w:r w:rsidRPr="000C675E">
        <w:rPr>
          <w:bCs/>
        </w:rPr>
        <w:t>reduce the estimate of the proportion of patients unfit for intensive regimens</w:t>
      </w:r>
      <w:r w:rsidR="001D0932" w:rsidRPr="000C675E">
        <w:rPr>
          <w:bCs/>
        </w:rPr>
        <w:t xml:space="preserve"> who receive treatment</w:t>
      </w:r>
      <w:r w:rsidRPr="000C675E">
        <w:rPr>
          <w:bCs/>
        </w:rPr>
        <w:t xml:space="preserve"> (</w:t>
      </w:r>
      <w:r w:rsidR="009A5F3D" w:rsidRPr="000C675E">
        <w:rPr>
          <w:bCs/>
        </w:rPr>
        <w:t xml:space="preserve">paragraph 7.13, VTX, PSD, </w:t>
      </w:r>
      <w:r w:rsidR="001D0932" w:rsidRPr="000C675E">
        <w:rPr>
          <w:bCs/>
        </w:rPr>
        <w:t xml:space="preserve">March </w:t>
      </w:r>
      <w:r w:rsidR="009A5F3D" w:rsidRPr="000C675E">
        <w:rPr>
          <w:bCs/>
        </w:rPr>
        <w:t>20</w:t>
      </w:r>
      <w:r w:rsidR="001D0932" w:rsidRPr="000C675E">
        <w:rPr>
          <w:bCs/>
        </w:rPr>
        <w:t>21</w:t>
      </w:r>
      <w:r w:rsidR="009A5F3D" w:rsidRPr="000C675E">
        <w:rPr>
          <w:bCs/>
        </w:rPr>
        <w:t xml:space="preserve"> PBAC meeting</w:t>
      </w:r>
      <w:r w:rsidRPr="000C675E">
        <w:rPr>
          <w:bCs/>
        </w:rPr>
        <w:t>).</w:t>
      </w:r>
      <w:r w:rsidRPr="000C675E">
        <w:t xml:space="preserve"> The resubmission </w:t>
      </w:r>
      <w:r w:rsidR="0025609E" w:rsidRPr="000C675E">
        <w:t xml:space="preserve">claimed </w:t>
      </w:r>
      <w:r w:rsidRPr="000C675E">
        <w:t xml:space="preserve">that many patients receiving BSC may do so due to limited access to AZA or the lack of effective therapies, therefore it is likely a greater proportion of these patients </w:t>
      </w:r>
      <w:r w:rsidR="009A5F3D" w:rsidRPr="000C675E">
        <w:t xml:space="preserve">would </w:t>
      </w:r>
      <w:r w:rsidRPr="000C675E">
        <w:t>seek treatment with VTX + AZA if PBS listed. On this basis the 80% estimate was retained in the resubmission.</w:t>
      </w:r>
    </w:p>
    <w:p w:rsidR="00BA3405" w:rsidRPr="000C675E" w:rsidRDefault="00BA3405" w:rsidP="009E7910">
      <w:pPr>
        <w:pStyle w:val="3-BodyText"/>
      </w:pPr>
      <w:bookmarkStart w:id="24" w:name="_Hlk78229250"/>
      <w:r w:rsidRPr="000C675E">
        <w:t xml:space="preserve">The time on treatment for VTX+AZA, </w:t>
      </w:r>
      <w:r w:rsidR="005146CC" w:rsidRPr="000C675E">
        <w:t xml:space="preserve">AZA </w:t>
      </w:r>
      <w:r w:rsidRPr="000C675E">
        <w:t>monotherapy and LoDAC was revised in the resubmission to be consistent with the durations in the economic model</w:t>
      </w:r>
      <w:bookmarkEnd w:id="24"/>
      <w:r w:rsidRPr="000C675E">
        <w:t>. This resulted in a reduction in the treatment durations (</w:t>
      </w:r>
      <w:r w:rsidR="003A5046" w:rsidRPr="000C675E">
        <w:t xml:space="preserve">Table </w:t>
      </w:r>
      <w:r w:rsidR="003A5046" w:rsidRPr="005F5101">
        <w:t>7</w:t>
      </w:r>
      <w:r w:rsidRPr="000C675E">
        <w:t>). Based on the PBAC scenario for the economic model</w:t>
      </w:r>
      <w:r w:rsidR="001D0932" w:rsidRPr="0075328D">
        <w:t>,</w:t>
      </w:r>
      <w:r w:rsidRPr="000C675E">
        <w:t xml:space="preserve"> the treatment durations </w:t>
      </w:r>
      <w:r w:rsidR="001D0932" w:rsidRPr="000C675E">
        <w:t>would</w:t>
      </w:r>
      <w:r w:rsidRPr="000C675E">
        <w:t xml:space="preserve"> be further reduced.</w:t>
      </w:r>
    </w:p>
    <w:p w:rsidR="0071004C" w:rsidRPr="0075328D" w:rsidRDefault="001D0932" w:rsidP="009E7910">
      <w:pPr>
        <w:pStyle w:val="TableFigureHeading"/>
      </w:pPr>
      <w:bookmarkStart w:id="25" w:name="_Ref75285081"/>
      <w:r w:rsidRPr="000C675E">
        <w:t xml:space="preserve">Table </w:t>
      </w:r>
      <w:r w:rsidR="003A5046" w:rsidRPr="005F5101">
        <w:t>8</w:t>
      </w:r>
      <w:bookmarkEnd w:id="25"/>
      <w:r w:rsidR="0071004C" w:rsidRPr="000C675E">
        <w:t>: Estimated use and financial implications, based on proposed effective price of venetoclax</w:t>
      </w:r>
    </w:p>
    <w:tbl>
      <w:tblPr>
        <w:tblStyle w:val="TableGrid"/>
        <w:tblW w:w="5000" w:type="pct"/>
        <w:tblLook w:val="04A0" w:firstRow="1" w:lastRow="0" w:firstColumn="1" w:lastColumn="0" w:noHBand="0" w:noVBand="1"/>
        <w:tblCaption w:val="Table 8: Estimated use and financial implications, based on proposed effective price of venetoclax"/>
      </w:tblPr>
      <w:tblGrid>
        <w:gridCol w:w="1336"/>
        <w:gridCol w:w="1216"/>
        <w:gridCol w:w="1279"/>
        <w:gridCol w:w="1302"/>
        <w:gridCol w:w="1279"/>
        <w:gridCol w:w="1302"/>
        <w:gridCol w:w="1302"/>
      </w:tblGrid>
      <w:tr w:rsidR="0071004C" w:rsidRPr="000C675E" w:rsidTr="00F57123">
        <w:trPr>
          <w:tblHeader/>
        </w:trPr>
        <w:tc>
          <w:tcPr>
            <w:tcW w:w="1838" w:type="dxa"/>
          </w:tcPr>
          <w:p w:rsidR="0071004C" w:rsidRPr="000C675E" w:rsidRDefault="0071004C" w:rsidP="009E7910">
            <w:pPr>
              <w:pStyle w:val="TableText"/>
            </w:pPr>
          </w:p>
        </w:tc>
        <w:tc>
          <w:tcPr>
            <w:tcW w:w="1129" w:type="dxa"/>
            <w:shd w:val="clear" w:color="auto" w:fill="auto"/>
            <w:vAlign w:val="center"/>
          </w:tcPr>
          <w:p w:rsidR="0071004C" w:rsidRPr="005F5101" w:rsidRDefault="0071004C" w:rsidP="009E7910">
            <w:pPr>
              <w:pStyle w:val="In-tableHeading"/>
              <w:rPr>
                <w:lang w:val="en-AU"/>
              </w:rPr>
            </w:pPr>
            <w:r w:rsidRPr="005F5101">
              <w:rPr>
                <w:lang w:val="en-AU"/>
              </w:rPr>
              <w:t>Year 1</w:t>
            </w:r>
          </w:p>
        </w:tc>
        <w:tc>
          <w:tcPr>
            <w:tcW w:w="1242" w:type="dxa"/>
            <w:shd w:val="clear" w:color="auto" w:fill="auto"/>
            <w:vAlign w:val="center"/>
          </w:tcPr>
          <w:p w:rsidR="0071004C" w:rsidRPr="005F5101" w:rsidRDefault="0071004C" w:rsidP="009E7910">
            <w:pPr>
              <w:pStyle w:val="In-tableHeading"/>
              <w:rPr>
                <w:lang w:val="en-AU"/>
              </w:rPr>
            </w:pPr>
            <w:r w:rsidRPr="005F5101">
              <w:rPr>
                <w:lang w:val="en-AU"/>
              </w:rPr>
              <w:t>Year 2</w:t>
            </w:r>
          </w:p>
        </w:tc>
        <w:tc>
          <w:tcPr>
            <w:tcW w:w="1242" w:type="dxa"/>
            <w:shd w:val="clear" w:color="auto" w:fill="auto"/>
            <w:vAlign w:val="center"/>
          </w:tcPr>
          <w:p w:rsidR="0071004C" w:rsidRPr="005F5101" w:rsidRDefault="0071004C" w:rsidP="009E7910">
            <w:pPr>
              <w:pStyle w:val="In-tableHeading"/>
              <w:rPr>
                <w:lang w:val="en-AU"/>
              </w:rPr>
            </w:pPr>
            <w:r w:rsidRPr="005F5101">
              <w:rPr>
                <w:lang w:val="en-AU"/>
              </w:rPr>
              <w:t>Year 3</w:t>
            </w:r>
          </w:p>
        </w:tc>
        <w:tc>
          <w:tcPr>
            <w:tcW w:w="1242" w:type="dxa"/>
            <w:shd w:val="clear" w:color="auto" w:fill="auto"/>
            <w:vAlign w:val="center"/>
          </w:tcPr>
          <w:p w:rsidR="0071004C" w:rsidRPr="005F5101" w:rsidRDefault="0071004C" w:rsidP="009E7910">
            <w:pPr>
              <w:pStyle w:val="In-tableHeading"/>
              <w:rPr>
                <w:lang w:val="en-AU"/>
              </w:rPr>
            </w:pPr>
            <w:r w:rsidRPr="005F5101">
              <w:rPr>
                <w:lang w:val="en-AU"/>
              </w:rPr>
              <w:t>Year 4</w:t>
            </w:r>
          </w:p>
        </w:tc>
        <w:tc>
          <w:tcPr>
            <w:tcW w:w="1242" w:type="dxa"/>
            <w:shd w:val="clear" w:color="auto" w:fill="auto"/>
            <w:vAlign w:val="center"/>
          </w:tcPr>
          <w:p w:rsidR="0071004C" w:rsidRPr="005F5101" w:rsidRDefault="0071004C" w:rsidP="009E7910">
            <w:pPr>
              <w:pStyle w:val="In-tableHeading"/>
              <w:rPr>
                <w:lang w:val="en-AU"/>
              </w:rPr>
            </w:pPr>
            <w:r w:rsidRPr="005F5101">
              <w:rPr>
                <w:lang w:val="en-AU"/>
              </w:rPr>
              <w:t>Year 5</w:t>
            </w:r>
          </w:p>
        </w:tc>
        <w:tc>
          <w:tcPr>
            <w:tcW w:w="1247" w:type="dxa"/>
          </w:tcPr>
          <w:p w:rsidR="0071004C" w:rsidRPr="005F5101" w:rsidRDefault="0071004C" w:rsidP="009E7910">
            <w:pPr>
              <w:pStyle w:val="In-tableHeading"/>
              <w:rPr>
                <w:lang w:val="en-AU"/>
              </w:rPr>
            </w:pPr>
            <w:r w:rsidRPr="005F5101">
              <w:rPr>
                <w:lang w:val="en-AU"/>
              </w:rPr>
              <w:t>Year 6</w:t>
            </w:r>
          </w:p>
        </w:tc>
      </w:tr>
      <w:tr w:rsidR="0071004C" w:rsidRPr="000C675E" w:rsidTr="009E7910">
        <w:tc>
          <w:tcPr>
            <w:tcW w:w="9182" w:type="dxa"/>
            <w:gridSpan w:val="7"/>
          </w:tcPr>
          <w:p w:rsidR="0071004C" w:rsidRPr="00A12350" w:rsidRDefault="0071004C" w:rsidP="009E7910">
            <w:pPr>
              <w:pStyle w:val="In-tableHeading"/>
              <w:rPr>
                <w:lang w:val="en-AU"/>
              </w:rPr>
            </w:pPr>
            <w:r w:rsidRPr="00A12350">
              <w:rPr>
                <w:lang w:val="en-AU" w:eastAsia="en-US"/>
              </w:rPr>
              <w:t>Estimated extent of use</w:t>
            </w:r>
          </w:p>
        </w:tc>
      </w:tr>
      <w:tr w:rsidR="0071004C" w:rsidRPr="000C675E" w:rsidTr="009E7910">
        <w:tc>
          <w:tcPr>
            <w:tcW w:w="1838" w:type="dxa"/>
            <w:vAlign w:val="center"/>
          </w:tcPr>
          <w:p w:rsidR="0071004C" w:rsidRPr="000C675E" w:rsidRDefault="0071004C" w:rsidP="009E7910">
            <w:pPr>
              <w:pStyle w:val="TableText"/>
            </w:pPr>
            <w:r w:rsidRPr="000C675E">
              <w:t>Number of initiating patients treated</w:t>
            </w:r>
          </w:p>
        </w:tc>
        <w:tc>
          <w:tcPr>
            <w:tcW w:w="1129" w:type="dxa"/>
            <w:vAlign w:val="center"/>
          </w:tcPr>
          <w:p w:rsidR="0071004C" w:rsidRPr="00777702" w:rsidRDefault="00777702" w:rsidP="00A12350">
            <w:pPr>
              <w:pStyle w:val="TableText"/>
              <w:jc w:val="right"/>
              <w:rPr>
                <w:rFonts w:cs="Arial"/>
                <w:color w:val="000000"/>
                <w:szCs w:val="20"/>
              </w:rPr>
            </w:pPr>
            <w:r>
              <w:rPr>
                <w:rFonts w:cs="Arial"/>
                <w:noProof/>
                <w:color w:val="000000"/>
                <w:szCs w:val="20"/>
                <w:highlight w:val="black"/>
              </w:rPr>
              <w:t>''''''''''</w:t>
            </w:r>
            <w:r w:rsidR="00AA6B6D" w:rsidRPr="00B911EB">
              <w:rPr>
                <w:rFonts w:cs="Arial"/>
                <w:color w:val="000000"/>
                <w:szCs w:val="20"/>
                <w:vertAlign w:val="superscript"/>
              </w:rPr>
              <w:t>1</w:t>
            </w:r>
            <w:r>
              <w:rPr>
                <w:rFonts w:cs="Arial"/>
                <w:noProof/>
                <w:color w:val="000000"/>
                <w:szCs w:val="20"/>
                <w:highlight w:val="black"/>
              </w:rPr>
              <w:t xml:space="preserve"> </w:t>
            </w:r>
          </w:p>
        </w:tc>
        <w:tc>
          <w:tcPr>
            <w:tcW w:w="1242" w:type="dxa"/>
            <w:vAlign w:val="center"/>
          </w:tcPr>
          <w:p w:rsidR="0071004C" w:rsidRPr="00777702" w:rsidRDefault="00777702" w:rsidP="00A12350">
            <w:pPr>
              <w:pStyle w:val="TableText"/>
              <w:jc w:val="right"/>
              <w:rPr>
                <w:rFonts w:cs="Arial"/>
                <w:color w:val="000000"/>
                <w:szCs w:val="20"/>
              </w:rPr>
            </w:pPr>
            <w:r>
              <w:rPr>
                <w:rFonts w:cs="Arial"/>
                <w:noProof/>
                <w:color w:val="000000"/>
                <w:szCs w:val="20"/>
                <w:highlight w:val="black"/>
              </w:rPr>
              <w:t>''''''''</w:t>
            </w:r>
            <w:r w:rsidR="00AA6B6D" w:rsidRPr="00734311">
              <w:rPr>
                <w:rFonts w:cs="Arial"/>
                <w:color w:val="000000"/>
                <w:szCs w:val="20"/>
                <w:vertAlign w:val="superscript"/>
              </w:rPr>
              <w:t>1</w:t>
            </w:r>
            <w:r>
              <w:rPr>
                <w:rFonts w:cs="Arial"/>
                <w:noProof/>
                <w:color w:val="000000"/>
                <w:szCs w:val="20"/>
                <w:highlight w:val="black"/>
              </w:rPr>
              <w:t xml:space="preserve"> </w:t>
            </w:r>
          </w:p>
        </w:tc>
        <w:tc>
          <w:tcPr>
            <w:tcW w:w="1242" w:type="dxa"/>
            <w:vAlign w:val="center"/>
          </w:tcPr>
          <w:p w:rsidR="0071004C" w:rsidRPr="00777702" w:rsidRDefault="00777702" w:rsidP="00A12350">
            <w:pPr>
              <w:pStyle w:val="TableText"/>
              <w:jc w:val="right"/>
              <w:rPr>
                <w:rFonts w:cs="Arial"/>
                <w:color w:val="000000"/>
                <w:szCs w:val="20"/>
              </w:rPr>
            </w:pPr>
            <w:r>
              <w:rPr>
                <w:rFonts w:cs="Arial"/>
                <w:noProof/>
                <w:color w:val="000000"/>
                <w:szCs w:val="20"/>
                <w:highlight w:val="black"/>
              </w:rPr>
              <w:t>''''''''</w:t>
            </w:r>
            <w:r w:rsidR="00AA6B6D" w:rsidRPr="00734311">
              <w:rPr>
                <w:rFonts w:cs="Arial"/>
                <w:color w:val="000000"/>
                <w:szCs w:val="20"/>
                <w:vertAlign w:val="superscript"/>
              </w:rPr>
              <w:t>1</w:t>
            </w:r>
            <w:r>
              <w:rPr>
                <w:rFonts w:cs="Arial"/>
                <w:noProof/>
                <w:color w:val="000000"/>
                <w:szCs w:val="20"/>
                <w:highlight w:val="black"/>
              </w:rPr>
              <w:t xml:space="preserve"> </w:t>
            </w:r>
          </w:p>
        </w:tc>
        <w:tc>
          <w:tcPr>
            <w:tcW w:w="1242" w:type="dxa"/>
            <w:vAlign w:val="center"/>
          </w:tcPr>
          <w:p w:rsidR="0071004C" w:rsidRPr="00777702" w:rsidRDefault="00777702" w:rsidP="00A12350">
            <w:pPr>
              <w:pStyle w:val="TableText"/>
              <w:jc w:val="right"/>
              <w:rPr>
                <w:rFonts w:cs="Arial"/>
                <w:color w:val="000000"/>
                <w:szCs w:val="20"/>
              </w:rPr>
            </w:pPr>
            <w:r>
              <w:rPr>
                <w:rFonts w:cs="Arial"/>
                <w:noProof/>
                <w:color w:val="000000"/>
                <w:szCs w:val="20"/>
                <w:highlight w:val="black"/>
              </w:rPr>
              <w:t>''''''''</w:t>
            </w:r>
            <w:r w:rsidR="00AA6B6D" w:rsidRPr="00734311">
              <w:rPr>
                <w:rFonts w:cs="Arial"/>
                <w:color w:val="000000"/>
                <w:szCs w:val="20"/>
                <w:vertAlign w:val="superscript"/>
              </w:rPr>
              <w:t>1</w:t>
            </w:r>
            <w:r>
              <w:rPr>
                <w:rFonts w:cs="Arial"/>
                <w:noProof/>
                <w:color w:val="000000"/>
                <w:szCs w:val="20"/>
                <w:highlight w:val="black"/>
              </w:rPr>
              <w:t xml:space="preserve"> </w:t>
            </w:r>
          </w:p>
        </w:tc>
        <w:tc>
          <w:tcPr>
            <w:tcW w:w="1242" w:type="dxa"/>
            <w:vAlign w:val="center"/>
          </w:tcPr>
          <w:p w:rsidR="0071004C" w:rsidRPr="00777702" w:rsidRDefault="00777702" w:rsidP="00A12350">
            <w:pPr>
              <w:pStyle w:val="TableText"/>
              <w:jc w:val="right"/>
              <w:rPr>
                <w:rFonts w:cs="Arial"/>
                <w:color w:val="000000"/>
                <w:szCs w:val="20"/>
              </w:rPr>
            </w:pPr>
            <w:r>
              <w:rPr>
                <w:rFonts w:cs="Arial"/>
                <w:noProof/>
                <w:color w:val="000000"/>
                <w:szCs w:val="20"/>
                <w:highlight w:val="black"/>
              </w:rPr>
              <w:t>''''''''''</w:t>
            </w:r>
            <w:r w:rsidR="00AA6B6D" w:rsidRPr="00734311">
              <w:rPr>
                <w:rFonts w:cs="Arial"/>
                <w:color w:val="000000"/>
                <w:szCs w:val="20"/>
                <w:vertAlign w:val="superscript"/>
              </w:rPr>
              <w:t>1</w:t>
            </w:r>
            <w:r>
              <w:rPr>
                <w:rFonts w:cs="Arial"/>
                <w:noProof/>
                <w:color w:val="000000"/>
                <w:szCs w:val="20"/>
                <w:highlight w:val="black"/>
              </w:rPr>
              <w:t xml:space="preserve"> </w:t>
            </w:r>
          </w:p>
        </w:tc>
        <w:tc>
          <w:tcPr>
            <w:tcW w:w="1247" w:type="dxa"/>
            <w:vAlign w:val="center"/>
          </w:tcPr>
          <w:p w:rsidR="0071004C" w:rsidRPr="00777702" w:rsidRDefault="00777702" w:rsidP="00A12350">
            <w:pPr>
              <w:pStyle w:val="TableText"/>
              <w:jc w:val="right"/>
              <w:rPr>
                <w:rFonts w:cs="Arial"/>
                <w:color w:val="000000"/>
                <w:szCs w:val="20"/>
              </w:rPr>
            </w:pPr>
            <w:r>
              <w:rPr>
                <w:rFonts w:cs="Arial"/>
                <w:noProof/>
                <w:color w:val="000000"/>
                <w:szCs w:val="20"/>
                <w:highlight w:val="black"/>
              </w:rPr>
              <w:t>''''''''</w:t>
            </w:r>
            <w:r w:rsidR="00AA6B6D" w:rsidRPr="00734311">
              <w:rPr>
                <w:rFonts w:cs="Arial"/>
                <w:color w:val="000000"/>
                <w:szCs w:val="20"/>
                <w:vertAlign w:val="superscript"/>
              </w:rPr>
              <w:t>1</w:t>
            </w:r>
            <w:r>
              <w:rPr>
                <w:rFonts w:cs="Arial"/>
                <w:noProof/>
                <w:color w:val="000000"/>
                <w:szCs w:val="20"/>
                <w:highlight w:val="black"/>
              </w:rPr>
              <w:t xml:space="preserve"> </w:t>
            </w:r>
          </w:p>
        </w:tc>
      </w:tr>
      <w:tr w:rsidR="009F544E" w:rsidRPr="000C675E" w:rsidTr="009E7910">
        <w:tc>
          <w:tcPr>
            <w:tcW w:w="1838" w:type="dxa"/>
            <w:vAlign w:val="center"/>
          </w:tcPr>
          <w:p w:rsidR="009F544E" w:rsidRPr="000C675E" w:rsidRDefault="009F544E" w:rsidP="009E7910">
            <w:pPr>
              <w:pStyle w:val="TableText"/>
            </w:pPr>
            <w:r w:rsidRPr="000C675E">
              <w:t>Number of scripts dispensed</w:t>
            </w:r>
            <w:r w:rsidR="0054199D" w:rsidRPr="000C675E">
              <w:t xml:space="preserve"> – VTX   </w:t>
            </w:r>
          </w:p>
        </w:tc>
        <w:tc>
          <w:tcPr>
            <w:tcW w:w="1129" w:type="dxa"/>
            <w:vAlign w:val="center"/>
          </w:tcPr>
          <w:p w:rsidR="009F544E" w:rsidRPr="00777702" w:rsidRDefault="00777702" w:rsidP="00A12350">
            <w:pPr>
              <w:pStyle w:val="TableText"/>
              <w:jc w:val="right"/>
              <w:rPr>
                <w:rFonts w:cs="Arial"/>
                <w:color w:val="000000"/>
                <w:szCs w:val="20"/>
              </w:rPr>
            </w:pPr>
            <w:r>
              <w:rPr>
                <w:rFonts w:cs="Arial"/>
                <w:noProof/>
                <w:color w:val="000000"/>
                <w:szCs w:val="20"/>
                <w:highlight w:val="black"/>
              </w:rPr>
              <w:t>''''''''''''</w:t>
            </w:r>
            <w:r w:rsidR="00AA6B6D">
              <w:rPr>
                <w:rFonts w:cs="Arial"/>
                <w:color w:val="000000"/>
                <w:szCs w:val="20"/>
                <w:vertAlign w:val="superscript"/>
              </w:rPr>
              <w:t>2</w:t>
            </w:r>
            <w:r>
              <w:rPr>
                <w:rFonts w:cs="Arial"/>
                <w:noProof/>
                <w:color w:val="000000"/>
                <w:szCs w:val="20"/>
                <w:highlight w:val="black"/>
              </w:rPr>
              <w:t xml:space="preserve"> </w:t>
            </w:r>
          </w:p>
        </w:tc>
        <w:tc>
          <w:tcPr>
            <w:tcW w:w="1242" w:type="dxa"/>
            <w:vAlign w:val="center"/>
          </w:tcPr>
          <w:p w:rsidR="009F544E" w:rsidRPr="00777702" w:rsidRDefault="00777702" w:rsidP="00A12350">
            <w:pPr>
              <w:pStyle w:val="TableText"/>
              <w:jc w:val="right"/>
              <w:rPr>
                <w:rFonts w:cs="Arial"/>
                <w:color w:val="000000"/>
                <w:szCs w:val="20"/>
              </w:rPr>
            </w:pPr>
            <w:r>
              <w:rPr>
                <w:rFonts w:cs="Arial"/>
                <w:noProof/>
                <w:color w:val="000000"/>
                <w:szCs w:val="20"/>
                <w:highlight w:val="black"/>
              </w:rPr>
              <w:t>'''''''''''''''</w:t>
            </w:r>
            <w:r w:rsidR="00AA6B6D">
              <w:rPr>
                <w:rFonts w:cs="Arial"/>
                <w:color w:val="000000"/>
                <w:szCs w:val="20"/>
                <w:vertAlign w:val="superscript"/>
              </w:rPr>
              <w:t>3</w:t>
            </w:r>
            <w:r>
              <w:rPr>
                <w:rFonts w:cs="Arial"/>
                <w:noProof/>
                <w:color w:val="000000"/>
                <w:szCs w:val="20"/>
                <w:highlight w:val="black"/>
              </w:rPr>
              <w:t xml:space="preserve"> </w:t>
            </w:r>
          </w:p>
        </w:tc>
        <w:tc>
          <w:tcPr>
            <w:tcW w:w="1242" w:type="dxa"/>
            <w:vAlign w:val="center"/>
          </w:tcPr>
          <w:p w:rsidR="009F544E" w:rsidRPr="00777702" w:rsidRDefault="00777702" w:rsidP="00A12350">
            <w:pPr>
              <w:pStyle w:val="TableText"/>
              <w:jc w:val="right"/>
              <w:rPr>
                <w:rFonts w:cs="Arial"/>
                <w:color w:val="000000"/>
                <w:szCs w:val="20"/>
              </w:rPr>
            </w:pPr>
            <w:r>
              <w:rPr>
                <w:rFonts w:cs="Arial"/>
                <w:noProof/>
                <w:color w:val="000000"/>
                <w:szCs w:val="20"/>
                <w:highlight w:val="black"/>
              </w:rPr>
              <w:t>''''''''''''</w:t>
            </w:r>
            <w:r w:rsidR="00AA6B6D">
              <w:rPr>
                <w:rFonts w:cs="Arial"/>
                <w:color w:val="000000"/>
                <w:szCs w:val="20"/>
                <w:vertAlign w:val="superscript"/>
              </w:rPr>
              <w:t>3</w:t>
            </w:r>
            <w:r>
              <w:rPr>
                <w:rFonts w:cs="Arial"/>
                <w:noProof/>
                <w:color w:val="000000"/>
                <w:szCs w:val="20"/>
                <w:highlight w:val="black"/>
              </w:rPr>
              <w:t xml:space="preserve"> </w:t>
            </w:r>
          </w:p>
        </w:tc>
        <w:tc>
          <w:tcPr>
            <w:tcW w:w="1242" w:type="dxa"/>
            <w:vAlign w:val="center"/>
          </w:tcPr>
          <w:p w:rsidR="009F544E" w:rsidRPr="00777702" w:rsidRDefault="00777702" w:rsidP="00A12350">
            <w:pPr>
              <w:pStyle w:val="TableText"/>
              <w:jc w:val="right"/>
              <w:rPr>
                <w:rFonts w:cs="Arial"/>
                <w:color w:val="000000"/>
                <w:szCs w:val="20"/>
              </w:rPr>
            </w:pPr>
            <w:r>
              <w:rPr>
                <w:rFonts w:cs="Arial"/>
                <w:noProof/>
                <w:color w:val="000000"/>
                <w:szCs w:val="20"/>
                <w:highlight w:val="black"/>
              </w:rPr>
              <w:t>'''''''''''''</w:t>
            </w:r>
            <w:r w:rsidR="00AA6B6D">
              <w:rPr>
                <w:rFonts w:cs="Arial"/>
                <w:color w:val="000000"/>
                <w:szCs w:val="20"/>
                <w:vertAlign w:val="superscript"/>
              </w:rPr>
              <w:t>3</w:t>
            </w:r>
            <w:r>
              <w:rPr>
                <w:rFonts w:cs="Arial"/>
                <w:noProof/>
                <w:color w:val="000000"/>
                <w:szCs w:val="20"/>
                <w:highlight w:val="black"/>
              </w:rPr>
              <w:t xml:space="preserve"> </w:t>
            </w:r>
          </w:p>
        </w:tc>
        <w:tc>
          <w:tcPr>
            <w:tcW w:w="1242" w:type="dxa"/>
            <w:vAlign w:val="center"/>
          </w:tcPr>
          <w:p w:rsidR="009F544E" w:rsidRPr="00777702" w:rsidRDefault="00777702" w:rsidP="00A12350">
            <w:pPr>
              <w:pStyle w:val="TableText"/>
              <w:jc w:val="right"/>
              <w:rPr>
                <w:rFonts w:cs="Arial"/>
                <w:color w:val="000000"/>
                <w:szCs w:val="20"/>
              </w:rPr>
            </w:pPr>
            <w:r>
              <w:rPr>
                <w:rFonts w:cs="Arial"/>
                <w:noProof/>
                <w:color w:val="000000"/>
                <w:szCs w:val="20"/>
                <w:highlight w:val="black"/>
              </w:rPr>
              <w:t>'''''''''''''</w:t>
            </w:r>
            <w:r w:rsidR="00AA6B6D">
              <w:rPr>
                <w:rFonts w:cs="Arial"/>
                <w:color w:val="000000"/>
                <w:szCs w:val="20"/>
                <w:vertAlign w:val="superscript"/>
              </w:rPr>
              <w:t>3</w:t>
            </w:r>
            <w:r>
              <w:rPr>
                <w:rFonts w:cs="Arial"/>
                <w:noProof/>
                <w:color w:val="000000"/>
                <w:szCs w:val="20"/>
                <w:highlight w:val="black"/>
              </w:rPr>
              <w:t xml:space="preserve"> </w:t>
            </w:r>
          </w:p>
        </w:tc>
        <w:tc>
          <w:tcPr>
            <w:tcW w:w="1247" w:type="dxa"/>
            <w:vAlign w:val="center"/>
          </w:tcPr>
          <w:p w:rsidR="009F544E" w:rsidRPr="00777702" w:rsidRDefault="00777702" w:rsidP="00A12350">
            <w:pPr>
              <w:pStyle w:val="TableText"/>
              <w:jc w:val="right"/>
              <w:rPr>
                <w:rFonts w:cs="Arial"/>
                <w:color w:val="000000"/>
                <w:szCs w:val="20"/>
              </w:rPr>
            </w:pPr>
            <w:r>
              <w:rPr>
                <w:rFonts w:cs="Arial"/>
                <w:noProof/>
                <w:color w:val="000000"/>
                <w:szCs w:val="20"/>
                <w:highlight w:val="black"/>
              </w:rPr>
              <w:t>'''''''''''''</w:t>
            </w:r>
            <w:r w:rsidR="00AA6B6D">
              <w:rPr>
                <w:rFonts w:cs="Arial"/>
                <w:color w:val="000000"/>
                <w:szCs w:val="20"/>
                <w:vertAlign w:val="superscript"/>
              </w:rPr>
              <w:t>3</w:t>
            </w:r>
            <w:r>
              <w:rPr>
                <w:rFonts w:cs="Arial"/>
                <w:noProof/>
                <w:color w:val="000000"/>
                <w:szCs w:val="20"/>
                <w:highlight w:val="black"/>
              </w:rPr>
              <w:t xml:space="preserve"> </w:t>
            </w:r>
          </w:p>
        </w:tc>
      </w:tr>
      <w:tr w:rsidR="0071004C" w:rsidRPr="000C675E" w:rsidTr="009E7910">
        <w:tc>
          <w:tcPr>
            <w:tcW w:w="9182" w:type="dxa"/>
            <w:gridSpan w:val="7"/>
          </w:tcPr>
          <w:p w:rsidR="0071004C" w:rsidRPr="00A12350" w:rsidRDefault="0071004C" w:rsidP="009E7910">
            <w:pPr>
              <w:pStyle w:val="In-tableHeading"/>
              <w:rPr>
                <w:lang w:val="en-AU"/>
              </w:rPr>
            </w:pPr>
            <w:r w:rsidRPr="00A12350">
              <w:rPr>
                <w:lang w:val="en-AU"/>
              </w:rPr>
              <w:t>Estimated financial implications</w:t>
            </w:r>
          </w:p>
        </w:tc>
      </w:tr>
      <w:tr w:rsidR="0043496E" w:rsidRPr="000C675E" w:rsidTr="009E7910">
        <w:tc>
          <w:tcPr>
            <w:tcW w:w="1838" w:type="dxa"/>
            <w:vAlign w:val="center"/>
          </w:tcPr>
          <w:p w:rsidR="0043496E" w:rsidRPr="000C675E" w:rsidRDefault="0043496E" w:rsidP="009E7910">
            <w:pPr>
              <w:pStyle w:val="TableText"/>
            </w:pPr>
            <w:r w:rsidRPr="000C675E">
              <w:t>Net cost to PBS/RPBS – VTX</w:t>
            </w:r>
          </w:p>
        </w:tc>
        <w:tc>
          <w:tcPr>
            <w:tcW w:w="1129" w:type="dxa"/>
            <w:tcBorders>
              <w:top w:val="single" w:sz="4" w:space="0" w:color="auto"/>
              <w:left w:val="nil"/>
              <w:bottom w:val="single" w:sz="4" w:space="0" w:color="auto"/>
              <w:right w:val="nil"/>
            </w:tcBorders>
            <w:shd w:val="clear" w:color="auto" w:fill="auto"/>
            <w:vAlign w:val="center"/>
          </w:tcPr>
          <w:p w:rsidR="0043496E" w:rsidRPr="000C675E" w:rsidRDefault="0043496E"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A6B6D">
              <w:rPr>
                <w:rFonts w:cs="Arial"/>
                <w:color w:val="000000"/>
                <w:szCs w:val="20"/>
                <w:vertAlign w:val="superscript"/>
              </w:rPr>
              <w:t>4</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43496E" w:rsidRPr="000C675E" w:rsidRDefault="0043496E"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A6B6D">
              <w:rPr>
                <w:rFonts w:cs="Arial"/>
                <w:color w:val="000000"/>
                <w:szCs w:val="20"/>
                <w:vertAlign w:val="superscript"/>
              </w:rPr>
              <w:t>4</w:t>
            </w:r>
          </w:p>
        </w:tc>
        <w:tc>
          <w:tcPr>
            <w:tcW w:w="1242" w:type="dxa"/>
            <w:tcBorders>
              <w:top w:val="single" w:sz="4" w:space="0" w:color="auto"/>
              <w:left w:val="nil"/>
              <w:bottom w:val="single" w:sz="4" w:space="0" w:color="auto"/>
              <w:right w:val="nil"/>
            </w:tcBorders>
            <w:shd w:val="clear" w:color="auto" w:fill="auto"/>
            <w:vAlign w:val="center"/>
          </w:tcPr>
          <w:p w:rsidR="0043496E" w:rsidRPr="000C675E" w:rsidRDefault="0043496E"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A6B6D">
              <w:rPr>
                <w:rFonts w:cs="Arial"/>
                <w:color w:val="000000"/>
                <w:szCs w:val="20"/>
                <w:vertAlign w:val="superscript"/>
              </w:rPr>
              <w:t>4</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43496E" w:rsidRPr="000C675E" w:rsidRDefault="0043496E"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A6B6D">
              <w:rPr>
                <w:rFonts w:cs="Arial"/>
                <w:color w:val="000000"/>
                <w:szCs w:val="20"/>
                <w:vertAlign w:val="superscript"/>
              </w:rPr>
              <w:t>5</w:t>
            </w:r>
          </w:p>
        </w:tc>
        <w:tc>
          <w:tcPr>
            <w:tcW w:w="1242" w:type="dxa"/>
            <w:tcBorders>
              <w:top w:val="single" w:sz="4" w:space="0" w:color="auto"/>
              <w:left w:val="nil"/>
              <w:bottom w:val="single" w:sz="4" w:space="0" w:color="auto"/>
              <w:right w:val="nil"/>
            </w:tcBorders>
            <w:shd w:val="clear" w:color="auto" w:fill="auto"/>
            <w:vAlign w:val="center"/>
          </w:tcPr>
          <w:p w:rsidR="0043496E" w:rsidRPr="000C675E" w:rsidRDefault="0043496E"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A6B6D">
              <w:rPr>
                <w:rFonts w:cs="Arial"/>
                <w:color w:val="000000"/>
                <w:szCs w:val="20"/>
                <w:vertAlign w:val="superscript"/>
              </w:rPr>
              <w:t>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43496E" w:rsidRPr="000C675E" w:rsidRDefault="0043496E"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A6B6D">
              <w:rPr>
                <w:rFonts w:cs="Arial"/>
                <w:color w:val="000000"/>
                <w:szCs w:val="20"/>
                <w:vertAlign w:val="superscript"/>
              </w:rPr>
              <w:t>5</w:t>
            </w:r>
          </w:p>
        </w:tc>
      </w:tr>
      <w:tr w:rsidR="00E33E28" w:rsidRPr="000C675E" w:rsidTr="009E7910">
        <w:tc>
          <w:tcPr>
            <w:tcW w:w="1838" w:type="dxa"/>
            <w:vAlign w:val="center"/>
          </w:tcPr>
          <w:p w:rsidR="00E33E28" w:rsidRPr="000C675E" w:rsidRDefault="0043496E" w:rsidP="009E7910">
            <w:pPr>
              <w:pStyle w:val="TableText"/>
            </w:pPr>
            <w:r w:rsidRPr="000C675E">
              <w:t>Net c</w:t>
            </w:r>
            <w:r w:rsidR="00E33E28" w:rsidRPr="000C675E">
              <w:t xml:space="preserve">ost to PBS/RPBS </w:t>
            </w:r>
            <w:r w:rsidRPr="000C675E">
              <w:t>–</w:t>
            </w:r>
            <w:r w:rsidR="00E33E28" w:rsidRPr="000C675E">
              <w:t xml:space="preserve"> </w:t>
            </w:r>
            <w:r w:rsidRPr="000C675E">
              <w:t>AZA for use with VTX, AZA monotherapy offset, LoDAC offset</w:t>
            </w:r>
          </w:p>
        </w:tc>
        <w:tc>
          <w:tcPr>
            <w:tcW w:w="1129" w:type="dxa"/>
            <w:tcBorders>
              <w:top w:val="single" w:sz="4" w:space="0" w:color="auto"/>
              <w:left w:val="nil"/>
              <w:bottom w:val="single" w:sz="4" w:space="0" w:color="auto"/>
              <w:right w:val="nil"/>
            </w:tcBorders>
            <w:shd w:val="clear" w:color="auto" w:fill="auto"/>
            <w:vAlign w:val="center"/>
          </w:tcPr>
          <w:p w:rsidR="00E33E28" w:rsidRPr="000C675E" w:rsidRDefault="00E33E28"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A6B6D">
              <w:rPr>
                <w:rFonts w:cs="Arial"/>
                <w:color w:val="000000"/>
                <w:szCs w:val="20"/>
                <w:vertAlign w:val="superscript"/>
              </w:rPr>
              <w:t>4</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E33E28" w:rsidRPr="000C675E" w:rsidRDefault="00E33E28"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A6B6D">
              <w:rPr>
                <w:rFonts w:cs="Arial"/>
                <w:color w:val="000000"/>
                <w:szCs w:val="20"/>
                <w:vertAlign w:val="superscript"/>
              </w:rPr>
              <w:t>5</w:t>
            </w:r>
          </w:p>
        </w:tc>
        <w:tc>
          <w:tcPr>
            <w:tcW w:w="1242" w:type="dxa"/>
            <w:tcBorders>
              <w:top w:val="single" w:sz="4" w:space="0" w:color="auto"/>
              <w:left w:val="nil"/>
              <w:bottom w:val="single" w:sz="4" w:space="0" w:color="auto"/>
              <w:right w:val="nil"/>
            </w:tcBorders>
            <w:shd w:val="clear" w:color="auto" w:fill="auto"/>
            <w:vAlign w:val="center"/>
          </w:tcPr>
          <w:p w:rsidR="00E33E28" w:rsidRPr="000C675E" w:rsidRDefault="00E33E28"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A6B6D">
              <w:rPr>
                <w:rFonts w:cs="Arial"/>
                <w:color w:val="000000"/>
                <w:szCs w:val="20"/>
                <w:vertAlign w:val="superscript"/>
              </w:rPr>
              <w:t>5</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E33E28" w:rsidRPr="000C675E" w:rsidRDefault="00E33E28"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A6B6D">
              <w:rPr>
                <w:rFonts w:cs="Arial"/>
                <w:color w:val="000000"/>
                <w:szCs w:val="20"/>
                <w:vertAlign w:val="superscript"/>
              </w:rPr>
              <w:t>5</w:t>
            </w:r>
          </w:p>
        </w:tc>
        <w:tc>
          <w:tcPr>
            <w:tcW w:w="1242" w:type="dxa"/>
            <w:tcBorders>
              <w:top w:val="single" w:sz="4" w:space="0" w:color="auto"/>
              <w:left w:val="nil"/>
              <w:bottom w:val="single" w:sz="4" w:space="0" w:color="auto"/>
              <w:right w:val="nil"/>
            </w:tcBorders>
            <w:shd w:val="clear" w:color="auto" w:fill="auto"/>
            <w:vAlign w:val="center"/>
          </w:tcPr>
          <w:p w:rsidR="00E33E28" w:rsidRPr="000C675E" w:rsidRDefault="00E33E28"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A6B6D">
              <w:rPr>
                <w:rFonts w:cs="Arial"/>
                <w:color w:val="000000"/>
                <w:szCs w:val="20"/>
                <w:vertAlign w:val="superscript"/>
              </w:rPr>
              <w:t>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E33E28" w:rsidRPr="000C675E" w:rsidRDefault="00E33E28"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A6B6D">
              <w:rPr>
                <w:rFonts w:cs="Arial"/>
                <w:color w:val="000000"/>
                <w:szCs w:val="20"/>
                <w:vertAlign w:val="superscript"/>
              </w:rPr>
              <w:t>5</w:t>
            </w:r>
          </w:p>
        </w:tc>
      </w:tr>
      <w:tr w:rsidR="0043496E" w:rsidRPr="000C675E" w:rsidTr="009E7910">
        <w:trPr>
          <w:trHeight w:val="477"/>
        </w:trPr>
        <w:tc>
          <w:tcPr>
            <w:tcW w:w="1838" w:type="dxa"/>
            <w:vAlign w:val="center"/>
          </w:tcPr>
          <w:p w:rsidR="0043496E" w:rsidRPr="000C675E" w:rsidRDefault="0043496E" w:rsidP="009E7910">
            <w:pPr>
              <w:pStyle w:val="TableText"/>
              <w:rPr>
                <w:b/>
              </w:rPr>
            </w:pPr>
            <w:r w:rsidRPr="000C675E">
              <w:rPr>
                <w:b/>
              </w:rPr>
              <w:t xml:space="preserve">Net cost to PBS/RPBS </w:t>
            </w:r>
            <w:r w:rsidR="0054199D" w:rsidRPr="000C675E">
              <w:rPr>
                <w:b/>
              </w:rPr>
              <w:t>–</w:t>
            </w:r>
            <w:r w:rsidRPr="000C675E">
              <w:rPr>
                <w:b/>
              </w:rPr>
              <w:t xml:space="preserve"> total</w:t>
            </w:r>
            <w:r w:rsidR="0054199D" w:rsidRPr="000C675E">
              <w:rPr>
                <w:b/>
              </w:rPr>
              <w:t xml:space="preserve"> </w:t>
            </w:r>
          </w:p>
        </w:tc>
        <w:tc>
          <w:tcPr>
            <w:tcW w:w="1129" w:type="dxa"/>
            <w:tcBorders>
              <w:top w:val="single" w:sz="4" w:space="0" w:color="auto"/>
              <w:left w:val="nil"/>
              <w:bottom w:val="single" w:sz="4" w:space="0" w:color="auto"/>
              <w:right w:val="nil"/>
            </w:tcBorders>
            <w:shd w:val="clear" w:color="auto" w:fill="auto"/>
            <w:vAlign w:val="center"/>
          </w:tcPr>
          <w:p w:rsidR="0043496E" w:rsidRPr="000C675E" w:rsidRDefault="0043496E" w:rsidP="00A12350">
            <w:pPr>
              <w:pStyle w:val="TableText"/>
              <w:jc w:val="right"/>
              <w:rPr>
                <w:rFonts w:cs="Arial"/>
                <w:b/>
                <w:color w:val="000000"/>
                <w:szCs w:val="20"/>
              </w:rPr>
            </w:pPr>
            <w:r w:rsidRPr="000C675E">
              <w:rPr>
                <w:rFonts w:cs="Arial"/>
                <w:b/>
                <w:color w:val="000000"/>
                <w:szCs w:val="20"/>
              </w:rPr>
              <w:t>$</w:t>
            </w:r>
            <w:r w:rsidR="00777702">
              <w:rPr>
                <w:rFonts w:cs="Arial"/>
                <w:b/>
                <w:noProof/>
                <w:color w:val="000000"/>
                <w:szCs w:val="20"/>
                <w:highlight w:val="black"/>
              </w:rPr>
              <w:t>''''''''''''''''''''</w:t>
            </w:r>
            <w:r w:rsidR="00A71D24">
              <w:rPr>
                <w:rFonts w:cs="Arial"/>
                <w:color w:val="000000"/>
                <w:szCs w:val="20"/>
                <w:vertAlign w:val="superscript"/>
              </w:rPr>
              <w:t>6</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43496E" w:rsidRPr="000C675E" w:rsidRDefault="0043496E" w:rsidP="00A12350">
            <w:pPr>
              <w:pStyle w:val="TableText"/>
              <w:jc w:val="right"/>
              <w:rPr>
                <w:rFonts w:cs="Arial"/>
                <w:b/>
                <w:color w:val="000000"/>
                <w:szCs w:val="20"/>
              </w:rPr>
            </w:pPr>
            <w:r w:rsidRPr="000C675E">
              <w:rPr>
                <w:rFonts w:cs="Arial"/>
                <w:b/>
                <w:color w:val="000000"/>
                <w:szCs w:val="20"/>
              </w:rPr>
              <w:t>$</w:t>
            </w:r>
            <w:r w:rsidR="00777702">
              <w:rPr>
                <w:rFonts w:cs="Arial"/>
                <w:b/>
                <w:noProof/>
                <w:color w:val="000000"/>
                <w:szCs w:val="20"/>
                <w:highlight w:val="black"/>
              </w:rPr>
              <w:t>''''''''''''''''''''</w:t>
            </w:r>
            <w:r w:rsidR="00A71D24">
              <w:rPr>
                <w:rFonts w:cs="Arial"/>
                <w:color w:val="000000"/>
                <w:szCs w:val="20"/>
                <w:vertAlign w:val="superscript"/>
              </w:rPr>
              <w:t>7</w:t>
            </w:r>
          </w:p>
        </w:tc>
        <w:tc>
          <w:tcPr>
            <w:tcW w:w="1242" w:type="dxa"/>
            <w:tcBorders>
              <w:top w:val="single" w:sz="4" w:space="0" w:color="auto"/>
              <w:left w:val="nil"/>
              <w:bottom w:val="single" w:sz="4" w:space="0" w:color="auto"/>
              <w:right w:val="nil"/>
            </w:tcBorders>
            <w:shd w:val="clear" w:color="auto" w:fill="auto"/>
            <w:vAlign w:val="center"/>
          </w:tcPr>
          <w:p w:rsidR="0043496E" w:rsidRPr="000C675E" w:rsidRDefault="0043496E" w:rsidP="00A12350">
            <w:pPr>
              <w:pStyle w:val="TableText"/>
              <w:jc w:val="right"/>
              <w:rPr>
                <w:rFonts w:cs="Arial"/>
                <w:b/>
                <w:color w:val="000000"/>
                <w:szCs w:val="20"/>
              </w:rPr>
            </w:pPr>
            <w:r w:rsidRPr="000C675E">
              <w:rPr>
                <w:rFonts w:cs="Arial"/>
                <w:b/>
                <w:color w:val="000000"/>
                <w:szCs w:val="20"/>
              </w:rPr>
              <w:t>$</w:t>
            </w:r>
            <w:r w:rsidR="00777702">
              <w:rPr>
                <w:rFonts w:cs="Arial"/>
                <w:b/>
                <w:noProof/>
                <w:color w:val="000000"/>
                <w:szCs w:val="20"/>
                <w:highlight w:val="black"/>
              </w:rPr>
              <w:t>''''''''''''''''''''''''</w:t>
            </w:r>
            <w:r w:rsidR="00A71D24">
              <w:rPr>
                <w:rFonts w:cs="Arial"/>
                <w:color w:val="000000"/>
                <w:szCs w:val="20"/>
                <w:vertAlign w:val="superscript"/>
              </w:rPr>
              <w:t>7</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43496E" w:rsidRPr="000C675E" w:rsidRDefault="0043496E" w:rsidP="00A12350">
            <w:pPr>
              <w:pStyle w:val="TableText"/>
              <w:jc w:val="right"/>
              <w:rPr>
                <w:rFonts w:cs="Arial"/>
                <w:b/>
                <w:color w:val="000000"/>
                <w:szCs w:val="20"/>
              </w:rPr>
            </w:pPr>
            <w:r w:rsidRPr="000C675E">
              <w:rPr>
                <w:rFonts w:cs="Arial"/>
                <w:b/>
                <w:color w:val="000000"/>
                <w:szCs w:val="20"/>
              </w:rPr>
              <w:t>$</w:t>
            </w:r>
            <w:r w:rsidR="00777702">
              <w:rPr>
                <w:rFonts w:cs="Arial"/>
                <w:b/>
                <w:noProof/>
                <w:color w:val="000000"/>
                <w:szCs w:val="20"/>
                <w:highlight w:val="black"/>
              </w:rPr>
              <w:t>'''''''''''''''''''''''</w:t>
            </w:r>
            <w:r w:rsidR="00A71D24">
              <w:rPr>
                <w:rFonts w:cs="Arial"/>
                <w:color w:val="000000"/>
                <w:szCs w:val="20"/>
                <w:vertAlign w:val="superscript"/>
              </w:rPr>
              <w:t>7</w:t>
            </w:r>
          </w:p>
        </w:tc>
        <w:tc>
          <w:tcPr>
            <w:tcW w:w="1242" w:type="dxa"/>
            <w:tcBorders>
              <w:top w:val="single" w:sz="4" w:space="0" w:color="auto"/>
              <w:left w:val="nil"/>
              <w:bottom w:val="single" w:sz="4" w:space="0" w:color="auto"/>
              <w:right w:val="nil"/>
            </w:tcBorders>
            <w:shd w:val="clear" w:color="auto" w:fill="auto"/>
            <w:vAlign w:val="center"/>
          </w:tcPr>
          <w:p w:rsidR="0043496E" w:rsidRPr="000C675E" w:rsidRDefault="0043496E" w:rsidP="00A12350">
            <w:pPr>
              <w:pStyle w:val="TableText"/>
              <w:jc w:val="right"/>
              <w:rPr>
                <w:rFonts w:cs="Arial"/>
                <w:b/>
                <w:color w:val="000000"/>
                <w:szCs w:val="20"/>
              </w:rPr>
            </w:pPr>
            <w:r w:rsidRPr="000C675E">
              <w:rPr>
                <w:rFonts w:cs="Arial"/>
                <w:b/>
                <w:color w:val="000000"/>
                <w:szCs w:val="20"/>
              </w:rPr>
              <w:t>$</w:t>
            </w:r>
            <w:r w:rsidR="00777702">
              <w:rPr>
                <w:rFonts w:cs="Arial"/>
                <w:b/>
                <w:noProof/>
                <w:color w:val="000000"/>
                <w:szCs w:val="20"/>
                <w:highlight w:val="black"/>
              </w:rPr>
              <w:t>''''''''''''''''''''</w:t>
            </w:r>
            <w:r w:rsidR="00A71D24">
              <w:rPr>
                <w:rFonts w:cs="Arial"/>
                <w:color w:val="000000"/>
                <w:szCs w:val="20"/>
                <w:vertAlign w:val="superscript"/>
              </w:rPr>
              <w:t>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43496E" w:rsidRPr="000C675E" w:rsidRDefault="0043496E" w:rsidP="00A12350">
            <w:pPr>
              <w:pStyle w:val="TableText"/>
              <w:jc w:val="right"/>
              <w:rPr>
                <w:rFonts w:cs="Arial"/>
                <w:b/>
                <w:color w:val="000000"/>
                <w:szCs w:val="20"/>
              </w:rPr>
            </w:pPr>
            <w:r w:rsidRPr="000C675E">
              <w:rPr>
                <w:rFonts w:cs="Arial"/>
                <w:b/>
                <w:color w:val="000000"/>
                <w:szCs w:val="20"/>
              </w:rPr>
              <w:t>$</w:t>
            </w:r>
            <w:r w:rsidR="00777702">
              <w:rPr>
                <w:rFonts w:cs="Arial"/>
                <w:b/>
                <w:noProof/>
                <w:color w:val="000000"/>
                <w:szCs w:val="20"/>
                <w:highlight w:val="black"/>
              </w:rPr>
              <w:t>''''''''''''''''''''''</w:t>
            </w:r>
            <w:r w:rsidR="00A71D24">
              <w:rPr>
                <w:rFonts w:cs="Arial"/>
                <w:color w:val="000000"/>
                <w:szCs w:val="20"/>
                <w:vertAlign w:val="superscript"/>
              </w:rPr>
              <w:t>7</w:t>
            </w:r>
          </w:p>
        </w:tc>
      </w:tr>
      <w:tr w:rsidR="0043496E" w:rsidRPr="000C675E" w:rsidTr="009E7910">
        <w:tc>
          <w:tcPr>
            <w:tcW w:w="1838" w:type="dxa"/>
            <w:vAlign w:val="center"/>
          </w:tcPr>
          <w:p w:rsidR="0043496E" w:rsidRPr="000C675E" w:rsidRDefault="0043496E" w:rsidP="009E7910">
            <w:pPr>
              <w:pStyle w:val="TableText"/>
            </w:pPr>
            <w:r w:rsidRPr="000C675E">
              <w:t>Cost to MBS</w:t>
            </w:r>
          </w:p>
        </w:tc>
        <w:tc>
          <w:tcPr>
            <w:tcW w:w="1129" w:type="dxa"/>
            <w:vAlign w:val="center"/>
          </w:tcPr>
          <w:p w:rsidR="0043496E" w:rsidRPr="000C675E" w:rsidRDefault="0043496E"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71D24">
              <w:rPr>
                <w:rFonts w:cs="Arial"/>
                <w:color w:val="000000"/>
                <w:szCs w:val="20"/>
                <w:vertAlign w:val="superscript"/>
              </w:rPr>
              <w:t>8</w:t>
            </w:r>
          </w:p>
        </w:tc>
        <w:tc>
          <w:tcPr>
            <w:tcW w:w="1242" w:type="dxa"/>
            <w:vAlign w:val="center"/>
          </w:tcPr>
          <w:p w:rsidR="0043496E" w:rsidRPr="000C675E" w:rsidRDefault="0043496E"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71D24">
              <w:rPr>
                <w:rFonts w:cs="Arial"/>
                <w:color w:val="000000"/>
                <w:szCs w:val="20"/>
                <w:vertAlign w:val="superscript"/>
              </w:rPr>
              <w:t>8</w:t>
            </w:r>
          </w:p>
        </w:tc>
        <w:tc>
          <w:tcPr>
            <w:tcW w:w="1242" w:type="dxa"/>
            <w:vAlign w:val="center"/>
          </w:tcPr>
          <w:p w:rsidR="0043496E" w:rsidRPr="000C675E" w:rsidRDefault="0043496E"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71D24">
              <w:rPr>
                <w:rFonts w:cs="Arial"/>
                <w:color w:val="000000"/>
                <w:szCs w:val="20"/>
                <w:vertAlign w:val="superscript"/>
              </w:rPr>
              <w:t>8</w:t>
            </w:r>
          </w:p>
        </w:tc>
        <w:tc>
          <w:tcPr>
            <w:tcW w:w="1242" w:type="dxa"/>
            <w:vAlign w:val="center"/>
          </w:tcPr>
          <w:p w:rsidR="0043496E" w:rsidRPr="000C675E" w:rsidRDefault="0043496E"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71D24">
              <w:rPr>
                <w:rFonts w:cs="Arial"/>
                <w:color w:val="000000"/>
                <w:szCs w:val="20"/>
                <w:vertAlign w:val="superscript"/>
              </w:rPr>
              <w:t>8</w:t>
            </w:r>
          </w:p>
        </w:tc>
        <w:tc>
          <w:tcPr>
            <w:tcW w:w="1242" w:type="dxa"/>
            <w:vAlign w:val="center"/>
          </w:tcPr>
          <w:p w:rsidR="0043496E" w:rsidRPr="000C675E" w:rsidRDefault="0043496E"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71D24">
              <w:rPr>
                <w:rFonts w:cs="Arial"/>
                <w:color w:val="000000"/>
                <w:szCs w:val="20"/>
                <w:vertAlign w:val="superscript"/>
              </w:rPr>
              <w:t>8</w:t>
            </w:r>
          </w:p>
        </w:tc>
        <w:tc>
          <w:tcPr>
            <w:tcW w:w="1247" w:type="dxa"/>
            <w:vAlign w:val="center"/>
          </w:tcPr>
          <w:p w:rsidR="0043496E" w:rsidRPr="000C675E" w:rsidRDefault="0043496E"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71D24">
              <w:rPr>
                <w:rFonts w:cs="Arial"/>
                <w:color w:val="000000"/>
                <w:szCs w:val="20"/>
                <w:vertAlign w:val="superscript"/>
              </w:rPr>
              <w:t>8</w:t>
            </w:r>
          </w:p>
        </w:tc>
      </w:tr>
      <w:tr w:rsidR="00E33E28" w:rsidRPr="000C675E" w:rsidDel="008147AE" w:rsidTr="009E7910">
        <w:tc>
          <w:tcPr>
            <w:tcW w:w="9182" w:type="dxa"/>
            <w:gridSpan w:val="7"/>
            <w:shd w:val="clear" w:color="auto" w:fill="F2F2F2" w:themeFill="background1" w:themeFillShade="F2"/>
            <w:vAlign w:val="center"/>
          </w:tcPr>
          <w:p w:rsidR="00E33E28" w:rsidRPr="00A12350" w:rsidDel="008147AE" w:rsidRDefault="00E33E28" w:rsidP="009E7910">
            <w:pPr>
              <w:pStyle w:val="In-tableHeading"/>
              <w:rPr>
                <w:lang w:val="en-AU"/>
              </w:rPr>
            </w:pPr>
            <w:r w:rsidRPr="00A12350">
              <w:rPr>
                <w:lang w:val="en-AU"/>
              </w:rPr>
              <w:t>Previous submission March 2021 PBAC meeting</w:t>
            </w:r>
          </w:p>
        </w:tc>
      </w:tr>
      <w:tr w:rsidR="00A00FB4" w:rsidRPr="000C675E" w:rsidDel="008147AE" w:rsidTr="009E7910">
        <w:tc>
          <w:tcPr>
            <w:tcW w:w="1838" w:type="dxa"/>
            <w:shd w:val="clear" w:color="auto" w:fill="F2F2F2" w:themeFill="background1" w:themeFillShade="F2"/>
            <w:vAlign w:val="center"/>
          </w:tcPr>
          <w:p w:rsidR="00A00FB4" w:rsidRPr="000C675E" w:rsidRDefault="00A00FB4" w:rsidP="009E7910">
            <w:pPr>
              <w:pStyle w:val="TableText"/>
            </w:pPr>
            <w:r w:rsidRPr="000C675E">
              <w:t>Net cost to PBS/RPBS – VTX</w:t>
            </w:r>
          </w:p>
        </w:tc>
        <w:tc>
          <w:tcPr>
            <w:tcW w:w="1129" w:type="dxa"/>
            <w:shd w:val="clear" w:color="auto" w:fill="F2F2F2" w:themeFill="background1" w:themeFillShade="F2"/>
            <w:vAlign w:val="center"/>
          </w:tcPr>
          <w:p w:rsidR="00A00FB4" w:rsidRPr="000C675E" w:rsidRDefault="00A00FB4"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A6B6D">
              <w:rPr>
                <w:rFonts w:cs="Arial"/>
                <w:color w:val="000000"/>
                <w:szCs w:val="20"/>
                <w:vertAlign w:val="superscript"/>
              </w:rPr>
              <w:t>4</w:t>
            </w:r>
          </w:p>
        </w:tc>
        <w:tc>
          <w:tcPr>
            <w:tcW w:w="1242" w:type="dxa"/>
            <w:shd w:val="clear" w:color="auto" w:fill="F2F2F2" w:themeFill="background1" w:themeFillShade="F2"/>
            <w:vAlign w:val="center"/>
          </w:tcPr>
          <w:p w:rsidR="00A00FB4" w:rsidRPr="000C675E" w:rsidRDefault="00A00FB4"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71D24">
              <w:rPr>
                <w:rFonts w:cs="Arial"/>
                <w:color w:val="000000"/>
                <w:szCs w:val="20"/>
                <w:vertAlign w:val="superscript"/>
              </w:rPr>
              <w:t>5</w:t>
            </w:r>
          </w:p>
        </w:tc>
        <w:tc>
          <w:tcPr>
            <w:tcW w:w="1242" w:type="dxa"/>
            <w:shd w:val="clear" w:color="auto" w:fill="F2F2F2" w:themeFill="background1" w:themeFillShade="F2"/>
            <w:vAlign w:val="center"/>
          </w:tcPr>
          <w:p w:rsidR="00A00FB4" w:rsidRPr="000C675E" w:rsidRDefault="00A00FB4"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71D24">
              <w:rPr>
                <w:rFonts w:cs="Arial"/>
                <w:color w:val="000000"/>
                <w:szCs w:val="20"/>
                <w:vertAlign w:val="superscript"/>
              </w:rPr>
              <w:t>5</w:t>
            </w:r>
          </w:p>
        </w:tc>
        <w:tc>
          <w:tcPr>
            <w:tcW w:w="1242" w:type="dxa"/>
            <w:shd w:val="clear" w:color="auto" w:fill="F2F2F2" w:themeFill="background1" w:themeFillShade="F2"/>
            <w:vAlign w:val="center"/>
          </w:tcPr>
          <w:p w:rsidR="00A00FB4" w:rsidRPr="000C675E" w:rsidRDefault="00A00FB4"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71D24">
              <w:rPr>
                <w:rFonts w:cs="Arial"/>
                <w:color w:val="000000"/>
                <w:szCs w:val="20"/>
                <w:vertAlign w:val="superscript"/>
              </w:rPr>
              <w:t>5</w:t>
            </w:r>
          </w:p>
        </w:tc>
        <w:tc>
          <w:tcPr>
            <w:tcW w:w="1242" w:type="dxa"/>
            <w:shd w:val="clear" w:color="auto" w:fill="F2F2F2" w:themeFill="background1" w:themeFillShade="F2"/>
            <w:vAlign w:val="center"/>
          </w:tcPr>
          <w:p w:rsidR="00A00FB4" w:rsidRPr="000C675E" w:rsidRDefault="00A00FB4"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71D24">
              <w:rPr>
                <w:rFonts w:cs="Arial"/>
                <w:color w:val="000000"/>
                <w:szCs w:val="20"/>
                <w:vertAlign w:val="superscript"/>
              </w:rPr>
              <w:t>5</w:t>
            </w:r>
          </w:p>
        </w:tc>
        <w:tc>
          <w:tcPr>
            <w:tcW w:w="1247" w:type="dxa"/>
            <w:shd w:val="clear" w:color="auto" w:fill="F2F2F2" w:themeFill="background1" w:themeFillShade="F2"/>
            <w:vAlign w:val="center"/>
          </w:tcPr>
          <w:p w:rsidR="00A00FB4" w:rsidRPr="000C675E" w:rsidRDefault="00A00FB4"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71D24">
              <w:rPr>
                <w:rFonts w:cs="Arial"/>
                <w:color w:val="000000"/>
                <w:szCs w:val="20"/>
                <w:vertAlign w:val="superscript"/>
              </w:rPr>
              <w:t>5</w:t>
            </w:r>
          </w:p>
        </w:tc>
      </w:tr>
      <w:tr w:rsidR="00A00FB4" w:rsidRPr="000C675E" w:rsidDel="008147AE" w:rsidTr="009E7910">
        <w:tc>
          <w:tcPr>
            <w:tcW w:w="1838" w:type="dxa"/>
            <w:shd w:val="clear" w:color="auto" w:fill="F2F2F2" w:themeFill="background1" w:themeFillShade="F2"/>
            <w:vAlign w:val="center"/>
          </w:tcPr>
          <w:p w:rsidR="00A00FB4" w:rsidRPr="000C675E" w:rsidRDefault="00A00FB4" w:rsidP="009E7910">
            <w:pPr>
              <w:pStyle w:val="TableText"/>
            </w:pPr>
            <w:r w:rsidRPr="000C675E">
              <w:t>Net cost to PBS/RPBS – AZA for use with VTX, AZA monotherapy offset, LoDAC offset</w:t>
            </w:r>
          </w:p>
        </w:tc>
        <w:tc>
          <w:tcPr>
            <w:tcW w:w="1129" w:type="dxa"/>
            <w:shd w:val="clear" w:color="auto" w:fill="F2F2F2" w:themeFill="background1" w:themeFillShade="F2"/>
            <w:vAlign w:val="center"/>
          </w:tcPr>
          <w:p w:rsidR="00A00FB4" w:rsidRPr="000C675E" w:rsidRDefault="00A00FB4"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71D24">
              <w:rPr>
                <w:rFonts w:cs="Arial"/>
                <w:color w:val="000000"/>
                <w:szCs w:val="20"/>
                <w:vertAlign w:val="superscript"/>
              </w:rPr>
              <w:t>8</w:t>
            </w:r>
          </w:p>
        </w:tc>
        <w:tc>
          <w:tcPr>
            <w:tcW w:w="1242" w:type="dxa"/>
            <w:shd w:val="clear" w:color="auto" w:fill="F2F2F2" w:themeFill="background1" w:themeFillShade="F2"/>
            <w:vAlign w:val="center"/>
          </w:tcPr>
          <w:p w:rsidR="00A00FB4" w:rsidRPr="000C675E" w:rsidRDefault="00A00FB4"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71D24">
              <w:rPr>
                <w:rFonts w:cs="Arial"/>
                <w:color w:val="000000"/>
                <w:szCs w:val="20"/>
                <w:vertAlign w:val="superscript"/>
              </w:rPr>
              <w:t>8</w:t>
            </w:r>
          </w:p>
        </w:tc>
        <w:tc>
          <w:tcPr>
            <w:tcW w:w="1242" w:type="dxa"/>
            <w:shd w:val="clear" w:color="auto" w:fill="F2F2F2" w:themeFill="background1" w:themeFillShade="F2"/>
            <w:vAlign w:val="center"/>
          </w:tcPr>
          <w:p w:rsidR="00A00FB4" w:rsidRPr="000C675E" w:rsidRDefault="00A00FB4"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71D24">
              <w:rPr>
                <w:rFonts w:cs="Arial"/>
                <w:color w:val="000000"/>
                <w:szCs w:val="20"/>
                <w:vertAlign w:val="superscript"/>
              </w:rPr>
              <w:t>8</w:t>
            </w:r>
          </w:p>
        </w:tc>
        <w:tc>
          <w:tcPr>
            <w:tcW w:w="1242" w:type="dxa"/>
            <w:shd w:val="clear" w:color="auto" w:fill="F2F2F2" w:themeFill="background1" w:themeFillShade="F2"/>
            <w:vAlign w:val="center"/>
          </w:tcPr>
          <w:p w:rsidR="00A00FB4" w:rsidRPr="000C675E" w:rsidRDefault="00A00FB4"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71D24">
              <w:rPr>
                <w:rFonts w:cs="Arial"/>
                <w:color w:val="000000"/>
                <w:szCs w:val="20"/>
                <w:vertAlign w:val="superscript"/>
              </w:rPr>
              <w:t>8</w:t>
            </w:r>
          </w:p>
        </w:tc>
        <w:tc>
          <w:tcPr>
            <w:tcW w:w="1242" w:type="dxa"/>
            <w:shd w:val="clear" w:color="auto" w:fill="F2F2F2" w:themeFill="background1" w:themeFillShade="F2"/>
            <w:vAlign w:val="center"/>
          </w:tcPr>
          <w:p w:rsidR="00A00FB4" w:rsidRPr="000C675E" w:rsidRDefault="00A00FB4"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71D24">
              <w:rPr>
                <w:rFonts w:cs="Arial"/>
                <w:color w:val="000000"/>
                <w:szCs w:val="20"/>
                <w:vertAlign w:val="superscript"/>
              </w:rPr>
              <w:t>8</w:t>
            </w:r>
          </w:p>
        </w:tc>
        <w:tc>
          <w:tcPr>
            <w:tcW w:w="1247" w:type="dxa"/>
            <w:shd w:val="clear" w:color="auto" w:fill="F2F2F2" w:themeFill="background1" w:themeFillShade="F2"/>
            <w:vAlign w:val="center"/>
          </w:tcPr>
          <w:p w:rsidR="00A00FB4" w:rsidRPr="000C675E" w:rsidRDefault="00A00FB4" w:rsidP="00A12350">
            <w:pPr>
              <w:pStyle w:val="TableText"/>
              <w:jc w:val="right"/>
              <w:rPr>
                <w:rFonts w:cs="Arial"/>
                <w:color w:val="000000"/>
                <w:szCs w:val="20"/>
              </w:rPr>
            </w:pPr>
            <w:r w:rsidRPr="000C675E">
              <w:rPr>
                <w:rFonts w:cs="Arial"/>
                <w:color w:val="000000"/>
                <w:szCs w:val="20"/>
              </w:rPr>
              <w:t>$</w:t>
            </w:r>
            <w:r w:rsidR="00777702">
              <w:rPr>
                <w:rFonts w:cs="Arial"/>
                <w:noProof/>
                <w:color w:val="000000"/>
                <w:szCs w:val="20"/>
                <w:highlight w:val="black"/>
              </w:rPr>
              <w:t>''''''''''''''''''''''</w:t>
            </w:r>
            <w:r w:rsidR="00A71D24">
              <w:rPr>
                <w:rFonts w:cs="Arial"/>
                <w:color w:val="000000"/>
                <w:szCs w:val="20"/>
                <w:vertAlign w:val="superscript"/>
              </w:rPr>
              <w:t>8</w:t>
            </w:r>
          </w:p>
        </w:tc>
      </w:tr>
      <w:tr w:rsidR="00037A57" w:rsidRPr="000C675E" w:rsidDel="008147AE" w:rsidTr="009E7910">
        <w:tc>
          <w:tcPr>
            <w:tcW w:w="1838" w:type="dxa"/>
            <w:shd w:val="clear" w:color="auto" w:fill="F2F2F2" w:themeFill="background1" w:themeFillShade="F2"/>
            <w:vAlign w:val="center"/>
          </w:tcPr>
          <w:p w:rsidR="00A00FB4" w:rsidRPr="000C675E" w:rsidRDefault="00A00FB4" w:rsidP="009E7910">
            <w:pPr>
              <w:pStyle w:val="TableText"/>
            </w:pPr>
            <w:r w:rsidRPr="000C675E">
              <w:t>Net cost to PBS/RPBS</w:t>
            </w:r>
          </w:p>
        </w:tc>
        <w:tc>
          <w:tcPr>
            <w:tcW w:w="1129" w:type="dxa"/>
            <w:shd w:val="clear" w:color="auto" w:fill="F2F2F2" w:themeFill="background1" w:themeFillShade="F2"/>
            <w:vAlign w:val="center"/>
          </w:tcPr>
          <w:p w:rsidR="00A00FB4" w:rsidRPr="000C675E" w:rsidDel="008147AE" w:rsidRDefault="00A00FB4" w:rsidP="00A12350">
            <w:pPr>
              <w:pStyle w:val="TableText"/>
              <w:jc w:val="right"/>
            </w:pPr>
            <w:r w:rsidRPr="000C675E">
              <w:rPr>
                <w:b/>
                <w:bCs w:val="0"/>
                <w:lang w:eastAsia="en-US"/>
              </w:rPr>
              <w:t>$</w:t>
            </w:r>
            <w:r w:rsidR="00777702">
              <w:rPr>
                <w:b/>
                <w:bCs w:val="0"/>
                <w:noProof/>
                <w:color w:val="000000"/>
                <w:highlight w:val="black"/>
                <w:lang w:eastAsia="en-US"/>
              </w:rPr>
              <w:t>'''''''''''''''''''</w:t>
            </w:r>
            <w:r w:rsidR="00AA6B6D">
              <w:rPr>
                <w:rFonts w:cs="Arial"/>
                <w:color w:val="000000"/>
                <w:szCs w:val="20"/>
                <w:vertAlign w:val="superscript"/>
              </w:rPr>
              <w:t>4</w:t>
            </w:r>
          </w:p>
        </w:tc>
        <w:tc>
          <w:tcPr>
            <w:tcW w:w="1242" w:type="dxa"/>
            <w:shd w:val="clear" w:color="auto" w:fill="F2F2F2" w:themeFill="background1" w:themeFillShade="F2"/>
            <w:vAlign w:val="center"/>
          </w:tcPr>
          <w:p w:rsidR="00A00FB4" w:rsidRPr="000C675E" w:rsidDel="008147AE" w:rsidRDefault="00A00FB4" w:rsidP="00A12350">
            <w:pPr>
              <w:pStyle w:val="TableText"/>
              <w:jc w:val="right"/>
            </w:pPr>
            <w:r w:rsidRPr="000C675E">
              <w:rPr>
                <w:b/>
                <w:bCs w:val="0"/>
                <w:lang w:eastAsia="en-US"/>
              </w:rPr>
              <w:t>$</w:t>
            </w:r>
            <w:r w:rsidR="00777702">
              <w:rPr>
                <w:b/>
                <w:bCs w:val="0"/>
                <w:noProof/>
                <w:color w:val="000000"/>
                <w:highlight w:val="black"/>
                <w:lang w:eastAsia="en-US"/>
              </w:rPr>
              <w:t>'''''''''''''''''''''</w:t>
            </w:r>
            <w:r w:rsidR="00F52828">
              <w:rPr>
                <w:rFonts w:cs="Arial"/>
                <w:color w:val="000000"/>
                <w:szCs w:val="20"/>
                <w:vertAlign w:val="superscript"/>
              </w:rPr>
              <w:t>5</w:t>
            </w:r>
          </w:p>
        </w:tc>
        <w:tc>
          <w:tcPr>
            <w:tcW w:w="1242" w:type="dxa"/>
            <w:shd w:val="clear" w:color="auto" w:fill="F2F2F2" w:themeFill="background1" w:themeFillShade="F2"/>
            <w:vAlign w:val="center"/>
          </w:tcPr>
          <w:p w:rsidR="00A00FB4" w:rsidRPr="000C675E" w:rsidDel="008147AE" w:rsidRDefault="00A00FB4" w:rsidP="00A12350">
            <w:pPr>
              <w:pStyle w:val="TableText"/>
              <w:jc w:val="right"/>
            </w:pPr>
            <w:r w:rsidRPr="000C675E">
              <w:rPr>
                <w:b/>
                <w:bCs w:val="0"/>
                <w:lang w:eastAsia="en-US"/>
              </w:rPr>
              <w:t>$</w:t>
            </w:r>
            <w:r w:rsidR="00777702">
              <w:rPr>
                <w:b/>
                <w:bCs w:val="0"/>
                <w:noProof/>
                <w:color w:val="000000"/>
                <w:highlight w:val="black"/>
                <w:lang w:eastAsia="en-US"/>
              </w:rPr>
              <w:t>'''''''''''''''''''''</w:t>
            </w:r>
            <w:r w:rsidR="00F52828">
              <w:rPr>
                <w:rFonts w:cs="Arial"/>
                <w:color w:val="000000"/>
                <w:szCs w:val="20"/>
                <w:vertAlign w:val="superscript"/>
              </w:rPr>
              <w:t>5</w:t>
            </w:r>
          </w:p>
        </w:tc>
        <w:tc>
          <w:tcPr>
            <w:tcW w:w="1242" w:type="dxa"/>
            <w:shd w:val="clear" w:color="auto" w:fill="F2F2F2" w:themeFill="background1" w:themeFillShade="F2"/>
            <w:vAlign w:val="center"/>
          </w:tcPr>
          <w:p w:rsidR="00A00FB4" w:rsidRPr="000C675E" w:rsidDel="008147AE" w:rsidRDefault="00A00FB4" w:rsidP="00A12350">
            <w:pPr>
              <w:pStyle w:val="TableText"/>
              <w:jc w:val="right"/>
            </w:pPr>
            <w:r w:rsidRPr="000C675E">
              <w:rPr>
                <w:b/>
                <w:bCs w:val="0"/>
                <w:lang w:eastAsia="en-US"/>
              </w:rPr>
              <w:t>$</w:t>
            </w:r>
            <w:r w:rsidR="00777702">
              <w:rPr>
                <w:b/>
                <w:bCs w:val="0"/>
                <w:noProof/>
                <w:color w:val="000000"/>
                <w:highlight w:val="black"/>
                <w:lang w:eastAsia="en-US"/>
              </w:rPr>
              <w:t>''''''''''''''''''''</w:t>
            </w:r>
            <w:r w:rsidR="00F52828">
              <w:rPr>
                <w:rFonts w:cs="Arial"/>
                <w:color w:val="000000"/>
                <w:szCs w:val="20"/>
                <w:vertAlign w:val="superscript"/>
              </w:rPr>
              <w:t>5</w:t>
            </w:r>
          </w:p>
        </w:tc>
        <w:tc>
          <w:tcPr>
            <w:tcW w:w="1242" w:type="dxa"/>
            <w:shd w:val="clear" w:color="auto" w:fill="F2F2F2" w:themeFill="background1" w:themeFillShade="F2"/>
            <w:vAlign w:val="center"/>
          </w:tcPr>
          <w:p w:rsidR="00A00FB4" w:rsidRPr="000C675E" w:rsidDel="008147AE" w:rsidRDefault="00A00FB4" w:rsidP="00A12350">
            <w:pPr>
              <w:pStyle w:val="TableText"/>
              <w:jc w:val="right"/>
            </w:pPr>
            <w:r w:rsidRPr="000C675E">
              <w:rPr>
                <w:b/>
                <w:bCs w:val="0"/>
                <w:lang w:eastAsia="en-US"/>
              </w:rPr>
              <w:t>$</w:t>
            </w:r>
            <w:r w:rsidR="00777702">
              <w:rPr>
                <w:b/>
                <w:bCs w:val="0"/>
                <w:noProof/>
                <w:color w:val="000000"/>
                <w:highlight w:val="black"/>
                <w:lang w:eastAsia="en-US"/>
              </w:rPr>
              <w:t>''''''''''''''''''''''''</w:t>
            </w:r>
            <w:r w:rsidR="00F52828">
              <w:rPr>
                <w:rFonts w:cs="Arial"/>
                <w:color w:val="000000"/>
                <w:szCs w:val="20"/>
                <w:vertAlign w:val="superscript"/>
              </w:rPr>
              <w:t>5</w:t>
            </w:r>
          </w:p>
        </w:tc>
        <w:tc>
          <w:tcPr>
            <w:tcW w:w="1247" w:type="dxa"/>
            <w:shd w:val="clear" w:color="auto" w:fill="F2F2F2" w:themeFill="background1" w:themeFillShade="F2"/>
            <w:vAlign w:val="center"/>
          </w:tcPr>
          <w:p w:rsidR="00A00FB4" w:rsidRPr="000C675E" w:rsidDel="008147AE" w:rsidRDefault="00A00FB4" w:rsidP="00A12350">
            <w:pPr>
              <w:pStyle w:val="TableText"/>
              <w:jc w:val="right"/>
            </w:pPr>
            <w:r w:rsidRPr="000C675E">
              <w:rPr>
                <w:b/>
                <w:bCs w:val="0"/>
                <w:lang w:eastAsia="en-US"/>
              </w:rPr>
              <w:t>$</w:t>
            </w:r>
            <w:r w:rsidR="00777702">
              <w:rPr>
                <w:b/>
                <w:bCs w:val="0"/>
                <w:noProof/>
                <w:color w:val="000000"/>
                <w:highlight w:val="black"/>
                <w:lang w:eastAsia="en-US"/>
              </w:rPr>
              <w:t>''''''''''''''''''''''''</w:t>
            </w:r>
            <w:r w:rsidR="00F52828">
              <w:rPr>
                <w:rFonts w:cs="Arial"/>
                <w:color w:val="000000"/>
                <w:szCs w:val="20"/>
                <w:vertAlign w:val="superscript"/>
              </w:rPr>
              <w:t>5</w:t>
            </w:r>
          </w:p>
        </w:tc>
      </w:tr>
    </w:tbl>
    <w:p w:rsidR="009A5F3D" w:rsidRPr="000C675E" w:rsidRDefault="00FD0E23" w:rsidP="009E7910">
      <w:pPr>
        <w:pStyle w:val="TableFigureFooter"/>
        <w:spacing w:after="0"/>
      </w:pPr>
      <w:r w:rsidRPr="000C675E">
        <w:t xml:space="preserve">Source: ‘VTX PBAC BIA April 2021’ spreadsheet provided with the July 2021 resubmission; </w:t>
      </w:r>
      <w:r w:rsidR="009A5F3D" w:rsidRPr="000C675E">
        <w:t xml:space="preserve">Table 20, </w:t>
      </w:r>
      <w:r w:rsidRPr="000C675E">
        <w:t>VTX</w:t>
      </w:r>
      <w:r w:rsidR="009A5F3D" w:rsidRPr="000C675E">
        <w:t>,</w:t>
      </w:r>
      <w:r w:rsidRPr="000C675E">
        <w:t xml:space="preserve"> PBAC </w:t>
      </w:r>
      <w:r w:rsidR="00AA6B6D">
        <w:t>Public Summary Document</w:t>
      </w:r>
      <w:r w:rsidRPr="000C675E">
        <w:t>, March 2021</w:t>
      </w:r>
      <w:r w:rsidR="009A5F3D" w:rsidRPr="000C675E">
        <w:t xml:space="preserve"> PBAC meeting</w:t>
      </w:r>
      <w:r w:rsidRPr="000C675E">
        <w:t>.</w:t>
      </w:r>
    </w:p>
    <w:p w:rsidR="00AA6B6D" w:rsidRDefault="009A5F3D" w:rsidP="00B911EB">
      <w:pPr>
        <w:pStyle w:val="TableFigureFooter"/>
        <w:spacing w:after="0"/>
        <w:contextualSpacing w:val="0"/>
      </w:pPr>
      <w:r w:rsidRPr="000C675E">
        <w:rPr>
          <w:iCs/>
        </w:rPr>
        <w:t>AZA = azacitidine, LoDAC = low-dose cytarabine, VTX = venetoclax.</w:t>
      </w:r>
    </w:p>
    <w:p w:rsidR="00AA6B6D" w:rsidRPr="009A6D58" w:rsidRDefault="00AA6B6D" w:rsidP="00AA6B6D">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rsidR="00AA6B6D" w:rsidRPr="009A6D58" w:rsidRDefault="00AA6B6D" w:rsidP="00AA6B6D">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AA6B6D">
        <w:rPr>
          <w:rFonts w:ascii="Arial Narrow" w:hAnsi="Arial Narrow" w:cs="Arial"/>
          <w:i/>
          <w:sz w:val="18"/>
          <w:szCs w:val="18"/>
        </w:rPr>
        <w:t>&lt; 500</w:t>
      </w:r>
    </w:p>
    <w:p w:rsidR="00AA6B6D" w:rsidRPr="009A6D58" w:rsidRDefault="00AA6B6D" w:rsidP="00AA6B6D">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AA6B6D">
        <w:rPr>
          <w:rFonts w:ascii="Arial Narrow" w:hAnsi="Arial Narrow" w:cs="Arial"/>
          <w:i/>
          <w:sz w:val="18"/>
          <w:szCs w:val="18"/>
        </w:rPr>
        <w:t>500 to &lt; 5,000</w:t>
      </w:r>
    </w:p>
    <w:p w:rsidR="00AA6B6D" w:rsidRPr="00AA6B6D" w:rsidRDefault="00AA6B6D" w:rsidP="00AA6B6D">
      <w:pPr>
        <w:rPr>
          <w:rFonts w:ascii="Arial Narrow" w:hAnsi="Arial Narrow" w:cs="Arial"/>
          <w:i/>
          <w:sz w:val="18"/>
          <w:szCs w:val="18"/>
        </w:rPr>
      </w:pPr>
      <w:r>
        <w:rPr>
          <w:rFonts w:ascii="Arial Narrow" w:hAnsi="Arial Narrow" w:cs="Arial"/>
          <w:i/>
          <w:sz w:val="18"/>
          <w:szCs w:val="18"/>
          <w:vertAlign w:val="superscript"/>
        </w:rPr>
        <w:t>3</w:t>
      </w:r>
      <w:r>
        <w:rPr>
          <w:rFonts w:ascii="Arial Narrow" w:hAnsi="Arial Narrow" w:cs="Arial"/>
          <w:i/>
          <w:sz w:val="18"/>
          <w:szCs w:val="18"/>
        </w:rPr>
        <w:t xml:space="preserve"> </w:t>
      </w:r>
      <w:r w:rsidRPr="00AA6B6D">
        <w:rPr>
          <w:rFonts w:ascii="Arial Narrow" w:hAnsi="Arial Narrow" w:cs="Arial"/>
          <w:i/>
          <w:sz w:val="18"/>
          <w:szCs w:val="18"/>
        </w:rPr>
        <w:t>5,000 to &lt; 10,000</w:t>
      </w:r>
    </w:p>
    <w:p w:rsidR="00AA6B6D" w:rsidRPr="00A71D24" w:rsidRDefault="00AA6B6D" w:rsidP="00AA6B6D">
      <w:pPr>
        <w:rPr>
          <w:rFonts w:ascii="Arial Narrow" w:hAnsi="Arial Narrow" w:cs="Arial"/>
          <w:i/>
          <w:sz w:val="18"/>
          <w:szCs w:val="18"/>
        </w:rPr>
      </w:pPr>
      <w:r w:rsidRPr="00B911EB">
        <w:rPr>
          <w:rFonts w:ascii="Arial Narrow" w:hAnsi="Arial Narrow" w:cs="Arial"/>
          <w:i/>
          <w:sz w:val="18"/>
          <w:szCs w:val="18"/>
          <w:vertAlign w:val="superscript"/>
        </w:rPr>
        <w:t>4</w:t>
      </w:r>
      <w:r>
        <w:rPr>
          <w:rFonts w:ascii="Arial Narrow" w:hAnsi="Arial Narrow" w:cs="Arial"/>
          <w:i/>
          <w:sz w:val="18"/>
          <w:szCs w:val="18"/>
          <w:vertAlign w:val="superscript"/>
        </w:rPr>
        <w:t xml:space="preserve"> </w:t>
      </w:r>
      <w:r w:rsidRPr="00B911EB">
        <w:rPr>
          <w:rFonts w:ascii="Arial Narrow" w:hAnsi="Arial Narrow" w:cs="Arial"/>
          <w:i/>
          <w:sz w:val="18"/>
          <w:szCs w:val="18"/>
        </w:rPr>
        <w:t>$10 million to &lt; $20 million</w:t>
      </w:r>
    </w:p>
    <w:p w:rsidR="00AA6B6D" w:rsidRPr="009A6D58" w:rsidRDefault="00AA6B6D" w:rsidP="00AA6B6D">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Pr="00734311">
        <w:rPr>
          <w:rFonts w:ascii="Arial Narrow" w:hAnsi="Arial Narrow" w:cs="Arial"/>
          <w:i/>
          <w:sz w:val="18"/>
          <w:szCs w:val="18"/>
        </w:rPr>
        <w:t>$</w:t>
      </w:r>
      <w:r>
        <w:rPr>
          <w:rFonts w:ascii="Arial Narrow" w:hAnsi="Arial Narrow" w:cs="Arial"/>
          <w:i/>
          <w:sz w:val="18"/>
          <w:szCs w:val="18"/>
        </w:rPr>
        <w:t>20 million to &lt; $3</w:t>
      </w:r>
      <w:r w:rsidRPr="00734311">
        <w:rPr>
          <w:rFonts w:ascii="Arial Narrow" w:hAnsi="Arial Narrow" w:cs="Arial"/>
          <w:i/>
          <w:sz w:val="18"/>
          <w:szCs w:val="18"/>
        </w:rPr>
        <w:t>0 million</w:t>
      </w:r>
    </w:p>
    <w:p w:rsidR="00AA6B6D" w:rsidRPr="00AA6B6D" w:rsidRDefault="00AA6B6D" w:rsidP="00AA6B6D">
      <w:pPr>
        <w:rPr>
          <w:rFonts w:ascii="Arial Narrow" w:hAnsi="Arial Narrow" w:cs="Arial"/>
          <w:i/>
          <w:sz w:val="18"/>
          <w:szCs w:val="18"/>
        </w:rPr>
      </w:pPr>
      <w:r>
        <w:rPr>
          <w:rFonts w:ascii="Arial Narrow" w:hAnsi="Arial Narrow" w:cs="Arial"/>
          <w:i/>
          <w:sz w:val="18"/>
          <w:szCs w:val="18"/>
          <w:vertAlign w:val="superscript"/>
        </w:rPr>
        <w:t>6</w:t>
      </w:r>
      <w:r>
        <w:rPr>
          <w:rFonts w:ascii="Arial Narrow" w:hAnsi="Arial Narrow" w:cs="Arial"/>
          <w:i/>
          <w:sz w:val="18"/>
          <w:szCs w:val="18"/>
        </w:rPr>
        <w:t xml:space="preserve"> </w:t>
      </w:r>
      <w:r w:rsidR="00A71D24" w:rsidRPr="00734311">
        <w:rPr>
          <w:rFonts w:ascii="Arial Narrow" w:hAnsi="Arial Narrow" w:cs="Arial"/>
          <w:i/>
          <w:sz w:val="18"/>
          <w:szCs w:val="18"/>
        </w:rPr>
        <w:t>$</w:t>
      </w:r>
      <w:r w:rsidR="00A71D24">
        <w:rPr>
          <w:rFonts w:ascii="Arial Narrow" w:hAnsi="Arial Narrow" w:cs="Arial"/>
          <w:i/>
          <w:sz w:val="18"/>
          <w:szCs w:val="18"/>
        </w:rPr>
        <w:t>30 million to &lt; $4</w:t>
      </w:r>
      <w:r w:rsidR="00A71D24" w:rsidRPr="00734311">
        <w:rPr>
          <w:rFonts w:ascii="Arial Narrow" w:hAnsi="Arial Narrow" w:cs="Arial"/>
          <w:i/>
          <w:sz w:val="18"/>
          <w:szCs w:val="18"/>
        </w:rPr>
        <w:t>0 million</w:t>
      </w:r>
    </w:p>
    <w:p w:rsidR="00AA6B6D" w:rsidRPr="00734311" w:rsidRDefault="00AA6B6D" w:rsidP="00AA6B6D">
      <w:pPr>
        <w:rPr>
          <w:rFonts w:ascii="Arial Narrow" w:hAnsi="Arial Narrow" w:cs="Arial"/>
          <w:i/>
          <w:sz w:val="18"/>
          <w:szCs w:val="18"/>
        </w:rPr>
      </w:pPr>
      <w:r>
        <w:rPr>
          <w:rFonts w:ascii="Arial Narrow" w:hAnsi="Arial Narrow" w:cs="Arial"/>
          <w:i/>
          <w:sz w:val="18"/>
          <w:szCs w:val="18"/>
          <w:vertAlign w:val="superscript"/>
        </w:rPr>
        <w:t xml:space="preserve">7 </w:t>
      </w:r>
      <w:r w:rsidRPr="00734311">
        <w:rPr>
          <w:rFonts w:ascii="Arial Narrow" w:hAnsi="Arial Narrow" w:cs="Arial"/>
          <w:i/>
          <w:sz w:val="18"/>
          <w:szCs w:val="18"/>
        </w:rPr>
        <w:t>$</w:t>
      </w:r>
      <w:r w:rsidR="00A71D24">
        <w:rPr>
          <w:rFonts w:ascii="Arial Narrow" w:hAnsi="Arial Narrow" w:cs="Arial"/>
          <w:i/>
          <w:sz w:val="18"/>
          <w:szCs w:val="18"/>
        </w:rPr>
        <w:t>4</w:t>
      </w:r>
      <w:r w:rsidRPr="00734311">
        <w:rPr>
          <w:rFonts w:ascii="Arial Narrow" w:hAnsi="Arial Narrow" w:cs="Arial"/>
          <w:i/>
          <w:sz w:val="18"/>
          <w:szCs w:val="18"/>
        </w:rPr>
        <w:t>0 million to &lt; $</w:t>
      </w:r>
      <w:r w:rsidR="00A71D24">
        <w:rPr>
          <w:rFonts w:ascii="Arial Narrow" w:hAnsi="Arial Narrow" w:cs="Arial"/>
          <w:i/>
          <w:sz w:val="18"/>
          <w:szCs w:val="18"/>
        </w:rPr>
        <w:t>5</w:t>
      </w:r>
      <w:r w:rsidRPr="00734311">
        <w:rPr>
          <w:rFonts w:ascii="Arial Narrow" w:hAnsi="Arial Narrow" w:cs="Arial"/>
          <w:i/>
          <w:sz w:val="18"/>
          <w:szCs w:val="18"/>
        </w:rPr>
        <w:t>0 million</w:t>
      </w:r>
    </w:p>
    <w:p w:rsidR="00A71D24" w:rsidRPr="00734311" w:rsidRDefault="00A71D24" w:rsidP="00A71D24">
      <w:pPr>
        <w:rPr>
          <w:rFonts w:ascii="Arial Narrow" w:hAnsi="Arial Narrow" w:cs="Arial"/>
          <w:i/>
          <w:sz w:val="18"/>
          <w:szCs w:val="18"/>
        </w:rPr>
      </w:pPr>
      <w:r>
        <w:rPr>
          <w:rFonts w:ascii="Arial Narrow" w:hAnsi="Arial Narrow" w:cs="Arial"/>
          <w:i/>
          <w:sz w:val="18"/>
          <w:szCs w:val="18"/>
          <w:vertAlign w:val="superscript"/>
        </w:rPr>
        <w:t xml:space="preserve">8 </w:t>
      </w:r>
      <w:r w:rsidRPr="00734311">
        <w:rPr>
          <w:rFonts w:ascii="Arial Narrow" w:hAnsi="Arial Narrow" w:cs="Arial"/>
          <w:i/>
          <w:sz w:val="18"/>
          <w:szCs w:val="18"/>
        </w:rPr>
        <w:t>$0 to &lt; $</w:t>
      </w:r>
      <w:r>
        <w:rPr>
          <w:rFonts w:ascii="Arial Narrow" w:hAnsi="Arial Narrow" w:cs="Arial"/>
          <w:i/>
          <w:sz w:val="18"/>
          <w:szCs w:val="18"/>
        </w:rPr>
        <w:t>1</w:t>
      </w:r>
      <w:r w:rsidRPr="00734311">
        <w:rPr>
          <w:rFonts w:ascii="Arial Narrow" w:hAnsi="Arial Narrow" w:cs="Arial"/>
          <w:i/>
          <w:sz w:val="18"/>
          <w:szCs w:val="18"/>
        </w:rPr>
        <w:t>0 million</w:t>
      </w:r>
    </w:p>
    <w:p w:rsidR="00FD0E23" w:rsidRPr="000C675E" w:rsidRDefault="00FD0E23" w:rsidP="009A5F3D">
      <w:pPr>
        <w:pStyle w:val="TableFigureFooter"/>
        <w:spacing w:after="240"/>
        <w:rPr>
          <w:iCs/>
        </w:rPr>
      </w:pPr>
    </w:p>
    <w:p w:rsidR="00D3281E" w:rsidRPr="000C675E" w:rsidRDefault="00D3281E" w:rsidP="00CF4303">
      <w:pPr>
        <w:pStyle w:val="3-BodyText"/>
      </w:pPr>
      <w:r w:rsidRPr="000C675E">
        <w:t xml:space="preserve">The VTX+AZA listing is estimated to be associated with potential VTX costs of </w:t>
      </w:r>
      <w:r w:rsidR="00CF4303" w:rsidRPr="00CF4303">
        <w:t>$10 million to &lt; $20 million</w:t>
      </w:r>
      <w:r w:rsidRPr="000C675E">
        <w:t xml:space="preserve"> in Year 1 increasing to </w:t>
      </w:r>
      <w:r w:rsidR="00CF4303">
        <w:t>$2</w:t>
      </w:r>
      <w:r w:rsidR="00CF4303" w:rsidRPr="00CF4303">
        <w:t>0 million to &lt; $</w:t>
      </w:r>
      <w:r w:rsidR="00CF4303">
        <w:t>3</w:t>
      </w:r>
      <w:r w:rsidR="00CF4303" w:rsidRPr="00CF4303">
        <w:t>0 million</w:t>
      </w:r>
      <w:r w:rsidRPr="000C675E">
        <w:t xml:space="preserve">in Year 6, with a total cost of </w:t>
      </w:r>
      <w:r w:rsidR="00CF4303" w:rsidRPr="00CF4303">
        <w:t>$100 million to &lt; $200 million</w:t>
      </w:r>
      <w:r w:rsidRPr="000C675E">
        <w:t>over the first 6 years (effective prices). The reduced cost compared wit</w:t>
      </w:r>
      <w:r w:rsidR="00FD0E23" w:rsidRPr="000C675E">
        <w:t xml:space="preserve">h the March </w:t>
      </w:r>
      <w:r w:rsidR="009A5F3D" w:rsidRPr="000C675E">
        <w:t>20</w:t>
      </w:r>
      <w:r w:rsidR="00FD0E23" w:rsidRPr="000C675E">
        <w:t>21 submission (</w:t>
      </w:r>
      <w:r w:rsidR="00CF4303" w:rsidRPr="00CF4303">
        <w:t>$100 million to &lt; $200 million</w:t>
      </w:r>
      <w:r w:rsidR="00CF4303">
        <w:t xml:space="preserve"> </w:t>
      </w:r>
      <w:r w:rsidRPr="000C675E">
        <w:t>over the first 6 years) reflects the lower proposed price for VTX</w:t>
      </w:r>
      <w:r w:rsidR="00BA3405" w:rsidRPr="000C675E">
        <w:t xml:space="preserve"> and the reduction in the treatment duration</w:t>
      </w:r>
      <w:r w:rsidRPr="000C675E">
        <w:t>.</w:t>
      </w:r>
    </w:p>
    <w:p w:rsidR="00D3281E" w:rsidRPr="000C675E" w:rsidRDefault="00BA3405" w:rsidP="00CF4303">
      <w:pPr>
        <w:pStyle w:val="3-BodyText"/>
      </w:pPr>
      <w:r w:rsidRPr="000C675E">
        <w:t>The net</w:t>
      </w:r>
      <w:r w:rsidR="00D3281E" w:rsidRPr="000C675E">
        <w:t xml:space="preserve"> financial implications for the PBS/RPBS </w:t>
      </w:r>
      <w:r w:rsidRPr="000C675E">
        <w:t>is estimated to be</w:t>
      </w:r>
      <w:r w:rsidR="00FD0E23" w:rsidRPr="000C675E">
        <w:t xml:space="preserve"> </w:t>
      </w:r>
      <w:r w:rsidR="00CF4303">
        <w:t>$30 million to &lt; $4</w:t>
      </w:r>
      <w:r w:rsidR="00CF4303" w:rsidRPr="00CF4303">
        <w:t>0 million</w:t>
      </w:r>
      <w:r w:rsidR="009A4229" w:rsidRPr="000C675E">
        <w:t>in Year </w:t>
      </w:r>
      <w:r w:rsidR="00D3281E" w:rsidRPr="000C675E">
        <w:t xml:space="preserve">1 </w:t>
      </w:r>
      <w:r w:rsidRPr="000C675E">
        <w:t xml:space="preserve">increasing </w:t>
      </w:r>
      <w:r w:rsidR="00D3281E" w:rsidRPr="000C675E">
        <w:t xml:space="preserve">to </w:t>
      </w:r>
      <w:r w:rsidR="00CF4303" w:rsidRPr="00CF4303">
        <w:t>$40 million to &lt; $50 million</w:t>
      </w:r>
      <w:r w:rsidR="00CF4303">
        <w:t xml:space="preserve"> </w:t>
      </w:r>
      <w:r w:rsidR="00D3281E" w:rsidRPr="000C675E">
        <w:t>in Year 6</w:t>
      </w:r>
      <w:r w:rsidRPr="000C675E">
        <w:t>, with</w:t>
      </w:r>
      <w:r w:rsidR="00F17D98" w:rsidRPr="000C675E">
        <w:t xml:space="preserve"> a total cost of </w:t>
      </w:r>
      <w:r w:rsidR="00CF4303" w:rsidRPr="00CF4303">
        <w:t>$200 million to &lt; $300 million</w:t>
      </w:r>
      <w:r w:rsidR="00CF4303">
        <w:t xml:space="preserve"> </w:t>
      </w:r>
      <w:r w:rsidR="0032686F" w:rsidRPr="000C675E">
        <w:t>over the first 6 years</w:t>
      </w:r>
      <w:r w:rsidR="00D3281E" w:rsidRPr="000C675E">
        <w:t xml:space="preserve"> (effective prices). </w:t>
      </w:r>
      <w:r w:rsidR="0032686F" w:rsidRPr="000C675E">
        <w:t>The resubmission noted</w:t>
      </w:r>
      <w:r w:rsidR="00D3281E" w:rsidRPr="000C675E">
        <w:t xml:space="preserve"> that </w:t>
      </w:r>
      <w:r w:rsidR="0032686F" w:rsidRPr="000C675E">
        <w:t xml:space="preserve">the </w:t>
      </w:r>
      <w:r w:rsidR="00D3281E" w:rsidRPr="000C675E">
        <w:t xml:space="preserve">incremental use of AZA represents a </w:t>
      </w:r>
      <w:r w:rsidR="002819DD" w:rsidRPr="000C675E">
        <w:t xml:space="preserve">substantial </w:t>
      </w:r>
      <w:r w:rsidR="0032686F" w:rsidRPr="000C675E">
        <w:t>proportion of the</w:t>
      </w:r>
      <w:r w:rsidR="00D3281E" w:rsidRPr="000C675E">
        <w:t xml:space="preserve"> additional costs and that this will decrease over time as AZA is subject to price disclosure.</w:t>
      </w:r>
      <w:r w:rsidR="0032686F" w:rsidRPr="000C675E">
        <w:t xml:space="preserve"> </w:t>
      </w:r>
      <w:r w:rsidR="0005764A" w:rsidRPr="000C675E">
        <w:t xml:space="preserve">The pre-PBAC response provided revised estimates using the likely reduced price of AZA from 1 October 2021. </w:t>
      </w:r>
      <w:r w:rsidR="0032686F" w:rsidRPr="000C675E">
        <w:t>The increased cost compared with</w:t>
      </w:r>
      <w:r w:rsidR="00FD0E23" w:rsidRPr="000C675E">
        <w:t xml:space="preserve"> the March </w:t>
      </w:r>
      <w:r w:rsidR="00AB2096" w:rsidRPr="000C675E">
        <w:t>20</w:t>
      </w:r>
      <w:r w:rsidR="00FD0E23" w:rsidRPr="000C675E">
        <w:t>21 submission (</w:t>
      </w:r>
      <w:r w:rsidR="00CF4303">
        <w:t>$100 million to &lt; $2</w:t>
      </w:r>
      <w:r w:rsidR="00CF4303" w:rsidRPr="00CF4303">
        <w:t>00 million</w:t>
      </w:r>
      <w:r w:rsidR="0032686F" w:rsidRPr="000C675E">
        <w:t>over the first 6 years) reflects the additional cost for AZA when used in combination with VTX due to assuming 1.9 vials per infusion rather than 1</w:t>
      </w:r>
      <w:r w:rsidR="00FD0E23" w:rsidRPr="000C675E">
        <w:t xml:space="preserve"> vial</w:t>
      </w:r>
      <w:r w:rsidR="0032686F" w:rsidRPr="000C675E">
        <w:t>.</w:t>
      </w:r>
    </w:p>
    <w:p w:rsidR="0032686F" w:rsidRPr="000C675E" w:rsidRDefault="003A5046" w:rsidP="00CF4303">
      <w:pPr>
        <w:pStyle w:val="3-BodyText"/>
      </w:pPr>
      <w:r w:rsidRPr="000C675E">
        <w:t xml:space="preserve">Table </w:t>
      </w:r>
      <w:r w:rsidRPr="00A12350">
        <w:t>9</w:t>
      </w:r>
      <w:r w:rsidR="00FD0E23" w:rsidRPr="000C675E">
        <w:t xml:space="preserve"> </w:t>
      </w:r>
      <w:r w:rsidR="0032686F" w:rsidRPr="000C675E">
        <w:t>presents the estimated financial impact using the treatment duration</w:t>
      </w:r>
      <w:r w:rsidR="00FD0E23" w:rsidRPr="000C675E">
        <w:t>s</w:t>
      </w:r>
      <w:r w:rsidR="0032686F" w:rsidRPr="000C675E">
        <w:t xml:space="preserve"> from the economic model for the PBAC scenario. The net PBS/RPBS cost is reduced from </w:t>
      </w:r>
      <w:r w:rsidR="00CF4303" w:rsidRPr="00CF4303">
        <w:t>$200 million to &lt; $300 million</w:t>
      </w:r>
      <w:r w:rsidR="004F6A3C" w:rsidRPr="000C675E">
        <w:t>ov</w:t>
      </w:r>
      <w:r w:rsidR="00FD0E23" w:rsidRPr="000C675E">
        <w:t>er 6 years (</w:t>
      </w:r>
      <w:r w:rsidR="00CF4303">
        <w:t>$1</w:t>
      </w:r>
      <w:r w:rsidR="00CF4303" w:rsidRPr="00CF4303">
        <w:t>00 million to &lt; $</w:t>
      </w:r>
      <w:r w:rsidR="00CF4303">
        <w:t>2</w:t>
      </w:r>
      <w:r w:rsidR="00CF4303" w:rsidRPr="00CF4303">
        <w:t>00 million</w:t>
      </w:r>
      <w:r w:rsidR="00035C97" w:rsidRPr="000C675E">
        <w:t xml:space="preserve">for VTX) to </w:t>
      </w:r>
      <w:r w:rsidR="00CF4303" w:rsidRPr="00CF4303">
        <w:t>$200 million to &lt; $300 million</w:t>
      </w:r>
      <w:r w:rsidR="00CF4303" w:rsidRPr="00CF4303" w:rsidDel="00CF4303">
        <w:t xml:space="preserve"> </w:t>
      </w:r>
      <w:r w:rsidR="00035C97" w:rsidRPr="000C675E">
        <w:t>(</w:t>
      </w:r>
      <w:r w:rsidR="00CF4303" w:rsidRPr="00CF4303">
        <w:t>$</w:t>
      </w:r>
      <w:r w:rsidR="00CF4303">
        <w:t>100 million to &lt; $2</w:t>
      </w:r>
      <w:r w:rsidR="00CF4303" w:rsidRPr="00CF4303">
        <w:t>00 million</w:t>
      </w:r>
      <w:r w:rsidR="004F6A3C" w:rsidRPr="000C675E">
        <w:t xml:space="preserve"> for VTX).</w:t>
      </w:r>
      <w:r w:rsidR="0032686F" w:rsidRPr="000C675E">
        <w:t xml:space="preserve"> </w:t>
      </w:r>
    </w:p>
    <w:p w:rsidR="004F6A3C" w:rsidRPr="000C675E" w:rsidRDefault="00FD0E23" w:rsidP="009E7910">
      <w:pPr>
        <w:pStyle w:val="TableFigureHeading"/>
      </w:pPr>
      <w:bookmarkStart w:id="26" w:name="_Ref75287407"/>
      <w:r w:rsidRPr="000C675E">
        <w:t xml:space="preserve">Table </w:t>
      </w:r>
      <w:r w:rsidR="003A5046" w:rsidRPr="00A12350">
        <w:t>9</w:t>
      </w:r>
      <w:bookmarkEnd w:id="26"/>
      <w:r w:rsidRPr="000C675E">
        <w:t>:</w:t>
      </w:r>
      <w:r w:rsidR="004F6A3C" w:rsidRPr="000C675E">
        <w:t xml:space="preserve"> Estimated use and financial implications</w:t>
      </w:r>
      <w:r w:rsidR="004F6A3C" w:rsidRPr="0075328D">
        <w:t>, based on proposed effective price of venetoclax and treatment durations from PBAC economic model scenario</w:t>
      </w:r>
    </w:p>
    <w:tbl>
      <w:tblPr>
        <w:tblStyle w:val="TableGrid"/>
        <w:tblW w:w="5000" w:type="pct"/>
        <w:tblLook w:val="04A0" w:firstRow="1" w:lastRow="0" w:firstColumn="1" w:lastColumn="0" w:noHBand="0" w:noVBand="1"/>
        <w:tblCaption w:val="Table 9: Estimated use and financial implications, based on proposed effective price of venetoclax and treatment durations from PBAC economic model scenario"/>
      </w:tblPr>
      <w:tblGrid>
        <w:gridCol w:w="1546"/>
        <w:gridCol w:w="1279"/>
        <w:gridCol w:w="1217"/>
        <w:gridCol w:w="1217"/>
        <w:gridCol w:w="1247"/>
        <w:gridCol w:w="1263"/>
        <w:gridCol w:w="1247"/>
      </w:tblGrid>
      <w:tr w:rsidR="004F6A3C" w:rsidRPr="000C675E" w:rsidTr="00F57123">
        <w:trPr>
          <w:tblHeader/>
        </w:trPr>
        <w:tc>
          <w:tcPr>
            <w:tcW w:w="1726" w:type="dxa"/>
          </w:tcPr>
          <w:p w:rsidR="004F6A3C" w:rsidRPr="000C675E" w:rsidRDefault="00AA7703" w:rsidP="009E7910">
            <w:pPr>
              <w:pStyle w:val="TableText"/>
            </w:pPr>
            <w:bookmarkStart w:id="27" w:name="_GoBack" w:colFirst="0" w:colLast="7"/>
            <w:r w:rsidRPr="000C675E">
              <w:br w:type="page"/>
            </w:r>
          </w:p>
        </w:tc>
        <w:tc>
          <w:tcPr>
            <w:tcW w:w="1130" w:type="dxa"/>
            <w:shd w:val="clear" w:color="auto" w:fill="auto"/>
            <w:vAlign w:val="center"/>
          </w:tcPr>
          <w:p w:rsidR="004F6A3C" w:rsidRPr="00A12350" w:rsidRDefault="004F6A3C" w:rsidP="009E7910">
            <w:pPr>
              <w:pStyle w:val="In-tableHeading"/>
              <w:rPr>
                <w:lang w:val="en-AU"/>
              </w:rPr>
            </w:pPr>
            <w:r w:rsidRPr="00A12350">
              <w:rPr>
                <w:lang w:val="en-AU"/>
              </w:rPr>
              <w:t>Year 1</w:t>
            </w:r>
          </w:p>
        </w:tc>
        <w:tc>
          <w:tcPr>
            <w:tcW w:w="1232" w:type="dxa"/>
            <w:shd w:val="clear" w:color="auto" w:fill="auto"/>
            <w:vAlign w:val="center"/>
          </w:tcPr>
          <w:p w:rsidR="004F6A3C" w:rsidRPr="00A12350" w:rsidRDefault="004F6A3C" w:rsidP="009E7910">
            <w:pPr>
              <w:pStyle w:val="In-tableHeading"/>
              <w:rPr>
                <w:lang w:val="en-AU"/>
              </w:rPr>
            </w:pPr>
            <w:r w:rsidRPr="00A12350">
              <w:rPr>
                <w:lang w:val="en-AU"/>
              </w:rPr>
              <w:t>Year 2</w:t>
            </w:r>
          </w:p>
        </w:tc>
        <w:tc>
          <w:tcPr>
            <w:tcW w:w="1232" w:type="dxa"/>
            <w:shd w:val="clear" w:color="auto" w:fill="auto"/>
            <w:vAlign w:val="center"/>
          </w:tcPr>
          <w:p w:rsidR="004F6A3C" w:rsidRPr="00A12350" w:rsidRDefault="004F6A3C" w:rsidP="009E7910">
            <w:pPr>
              <w:pStyle w:val="In-tableHeading"/>
              <w:rPr>
                <w:lang w:val="en-AU"/>
              </w:rPr>
            </w:pPr>
            <w:r w:rsidRPr="00A12350">
              <w:rPr>
                <w:lang w:val="en-AU"/>
              </w:rPr>
              <w:t>Year 3</w:t>
            </w:r>
          </w:p>
        </w:tc>
        <w:tc>
          <w:tcPr>
            <w:tcW w:w="1232" w:type="dxa"/>
            <w:shd w:val="clear" w:color="auto" w:fill="auto"/>
            <w:vAlign w:val="center"/>
          </w:tcPr>
          <w:p w:rsidR="004F6A3C" w:rsidRPr="00A12350" w:rsidRDefault="004F6A3C" w:rsidP="009E7910">
            <w:pPr>
              <w:pStyle w:val="In-tableHeading"/>
              <w:rPr>
                <w:lang w:val="en-AU"/>
              </w:rPr>
            </w:pPr>
            <w:r w:rsidRPr="00A12350">
              <w:rPr>
                <w:lang w:val="en-AU"/>
              </w:rPr>
              <w:t>Year 4</w:t>
            </w:r>
          </w:p>
        </w:tc>
        <w:tc>
          <w:tcPr>
            <w:tcW w:w="1232" w:type="dxa"/>
            <w:shd w:val="clear" w:color="auto" w:fill="auto"/>
            <w:vAlign w:val="center"/>
          </w:tcPr>
          <w:p w:rsidR="004F6A3C" w:rsidRPr="00A12350" w:rsidRDefault="004F6A3C" w:rsidP="009E7910">
            <w:pPr>
              <w:pStyle w:val="In-tableHeading"/>
              <w:rPr>
                <w:lang w:val="en-AU"/>
              </w:rPr>
            </w:pPr>
            <w:r w:rsidRPr="00A12350">
              <w:rPr>
                <w:lang w:val="en-AU"/>
              </w:rPr>
              <w:t>Year 5</w:t>
            </w:r>
          </w:p>
        </w:tc>
        <w:tc>
          <w:tcPr>
            <w:tcW w:w="1232" w:type="dxa"/>
          </w:tcPr>
          <w:p w:rsidR="004F6A3C" w:rsidRPr="00A12350" w:rsidRDefault="004F6A3C" w:rsidP="009E7910">
            <w:pPr>
              <w:pStyle w:val="In-tableHeading"/>
              <w:rPr>
                <w:lang w:val="en-AU"/>
              </w:rPr>
            </w:pPr>
            <w:r w:rsidRPr="00A12350">
              <w:rPr>
                <w:lang w:val="en-AU"/>
              </w:rPr>
              <w:t>Year 6</w:t>
            </w:r>
          </w:p>
        </w:tc>
      </w:tr>
      <w:bookmarkEnd w:id="27"/>
      <w:tr w:rsidR="004F6A3C" w:rsidRPr="000C675E" w:rsidTr="00037A57">
        <w:tc>
          <w:tcPr>
            <w:tcW w:w="9016" w:type="dxa"/>
            <w:gridSpan w:val="7"/>
          </w:tcPr>
          <w:p w:rsidR="004F6A3C" w:rsidRPr="00A12350" w:rsidRDefault="004F6A3C" w:rsidP="009E7910">
            <w:pPr>
              <w:pStyle w:val="In-tableHeading"/>
              <w:rPr>
                <w:lang w:val="en-AU"/>
              </w:rPr>
            </w:pPr>
            <w:r w:rsidRPr="00A12350">
              <w:rPr>
                <w:lang w:val="en-AU" w:eastAsia="en-US"/>
              </w:rPr>
              <w:t>Estimated extent of use</w:t>
            </w:r>
          </w:p>
        </w:tc>
      </w:tr>
      <w:tr w:rsidR="004F6A3C" w:rsidRPr="000C675E" w:rsidTr="00035C97">
        <w:tc>
          <w:tcPr>
            <w:tcW w:w="1726" w:type="dxa"/>
            <w:vAlign w:val="center"/>
          </w:tcPr>
          <w:p w:rsidR="004F6A3C" w:rsidRPr="000C675E" w:rsidRDefault="004F6A3C" w:rsidP="009E7910">
            <w:pPr>
              <w:pStyle w:val="TableText"/>
            </w:pPr>
            <w:r w:rsidRPr="000C675E">
              <w:t>Number of initiating patients treated</w:t>
            </w:r>
          </w:p>
        </w:tc>
        <w:tc>
          <w:tcPr>
            <w:tcW w:w="1130" w:type="dxa"/>
            <w:vAlign w:val="center"/>
          </w:tcPr>
          <w:p w:rsidR="004F6A3C" w:rsidRPr="00777702" w:rsidRDefault="00777702" w:rsidP="00A12350">
            <w:pPr>
              <w:pStyle w:val="TableText"/>
              <w:jc w:val="right"/>
              <w:rPr>
                <w:rFonts w:cs="Arial"/>
                <w:color w:val="000000"/>
                <w:szCs w:val="20"/>
              </w:rPr>
            </w:pPr>
            <w:r>
              <w:rPr>
                <w:rFonts w:cs="Arial"/>
                <w:noProof/>
                <w:color w:val="000000"/>
                <w:szCs w:val="20"/>
                <w:highlight w:val="black"/>
              </w:rPr>
              <w:t>'''''''''</w:t>
            </w:r>
            <w:r w:rsidR="00B123A6" w:rsidRPr="00B911EB">
              <w:rPr>
                <w:rFonts w:cs="Arial"/>
                <w:color w:val="000000"/>
                <w:szCs w:val="20"/>
                <w:vertAlign w:val="superscript"/>
              </w:rPr>
              <w:t>1</w:t>
            </w:r>
            <w:r>
              <w:rPr>
                <w:rFonts w:cs="Arial"/>
                <w:noProof/>
                <w:color w:val="000000"/>
                <w:szCs w:val="20"/>
                <w:highlight w:val="black"/>
              </w:rPr>
              <w:t xml:space="preserve"> </w:t>
            </w:r>
          </w:p>
        </w:tc>
        <w:tc>
          <w:tcPr>
            <w:tcW w:w="1232" w:type="dxa"/>
            <w:vAlign w:val="center"/>
          </w:tcPr>
          <w:p w:rsidR="004F6A3C" w:rsidRPr="00777702" w:rsidRDefault="00777702" w:rsidP="00A12350">
            <w:pPr>
              <w:pStyle w:val="TableText"/>
              <w:jc w:val="right"/>
              <w:rPr>
                <w:rFonts w:cs="Arial"/>
                <w:i/>
                <w:color w:val="000000"/>
                <w:szCs w:val="20"/>
              </w:rPr>
            </w:pPr>
            <w:r>
              <w:rPr>
                <w:rFonts w:cs="Arial"/>
                <w:i/>
                <w:noProof/>
                <w:color w:val="000000"/>
                <w:szCs w:val="20"/>
                <w:highlight w:val="black"/>
              </w:rPr>
              <w:t>''''''''''</w:t>
            </w:r>
            <w:r w:rsidR="00B123A6" w:rsidRPr="00734311">
              <w:rPr>
                <w:rFonts w:cs="Arial"/>
                <w:color w:val="000000"/>
                <w:szCs w:val="20"/>
                <w:vertAlign w:val="superscript"/>
              </w:rPr>
              <w:t>1</w:t>
            </w:r>
            <w:r>
              <w:rPr>
                <w:rFonts w:cs="Arial"/>
                <w:i/>
                <w:noProof/>
                <w:color w:val="000000"/>
                <w:szCs w:val="20"/>
                <w:highlight w:val="black"/>
              </w:rPr>
              <w:t xml:space="preserve"> </w:t>
            </w:r>
          </w:p>
        </w:tc>
        <w:tc>
          <w:tcPr>
            <w:tcW w:w="1232" w:type="dxa"/>
            <w:vAlign w:val="center"/>
          </w:tcPr>
          <w:p w:rsidR="004F6A3C" w:rsidRPr="00777702" w:rsidRDefault="00777702" w:rsidP="00A12350">
            <w:pPr>
              <w:pStyle w:val="TableText"/>
              <w:jc w:val="right"/>
              <w:rPr>
                <w:rFonts w:cs="Arial"/>
                <w:i/>
                <w:color w:val="000000"/>
                <w:szCs w:val="20"/>
              </w:rPr>
            </w:pPr>
            <w:r>
              <w:rPr>
                <w:rFonts w:cs="Arial"/>
                <w:i/>
                <w:noProof/>
                <w:color w:val="000000"/>
                <w:szCs w:val="20"/>
                <w:highlight w:val="black"/>
              </w:rPr>
              <w:t>'''''''''</w:t>
            </w:r>
            <w:r w:rsidR="00B123A6" w:rsidRPr="00734311">
              <w:rPr>
                <w:rFonts w:cs="Arial"/>
                <w:color w:val="000000"/>
                <w:szCs w:val="20"/>
                <w:vertAlign w:val="superscript"/>
              </w:rPr>
              <w:t>1</w:t>
            </w:r>
            <w:r>
              <w:rPr>
                <w:rFonts w:cs="Arial"/>
                <w:i/>
                <w:noProof/>
                <w:color w:val="000000"/>
                <w:szCs w:val="20"/>
                <w:highlight w:val="black"/>
              </w:rPr>
              <w:t xml:space="preserve"> </w:t>
            </w:r>
          </w:p>
        </w:tc>
        <w:tc>
          <w:tcPr>
            <w:tcW w:w="1232" w:type="dxa"/>
            <w:vAlign w:val="center"/>
          </w:tcPr>
          <w:p w:rsidR="004F6A3C" w:rsidRPr="00777702" w:rsidRDefault="00777702" w:rsidP="00A12350">
            <w:pPr>
              <w:pStyle w:val="TableText"/>
              <w:jc w:val="right"/>
              <w:rPr>
                <w:rFonts w:cs="Arial"/>
                <w:i/>
                <w:color w:val="000000"/>
                <w:szCs w:val="20"/>
              </w:rPr>
            </w:pPr>
            <w:r>
              <w:rPr>
                <w:rFonts w:cs="Arial"/>
                <w:i/>
                <w:noProof/>
                <w:color w:val="000000"/>
                <w:szCs w:val="20"/>
                <w:highlight w:val="black"/>
              </w:rPr>
              <w:t>''''''''</w:t>
            </w:r>
            <w:r w:rsidR="00B123A6" w:rsidRPr="00734311">
              <w:rPr>
                <w:rFonts w:cs="Arial"/>
                <w:color w:val="000000"/>
                <w:szCs w:val="20"/>
                <w:vertAlign w:val="superscript"/>
              </w:rPr>
              <w:t>1</w:t>
            </w:r>
            <w:r>
              <w:rPr>
                <w:rFonts w:cs="Arial"/>
                <w:i/>
                <w:noProof/>
                <w:color w:val="000000"/>
                <w:szCs w:val="20"/>
                <w:highlight w:val="black"/>
              </w:rPr>
              <w:t xml:space="preserve"> </w:t>
            </w:r>
          </w:p>
        </w:tc>
        <w:tc>
          <w:tcPr>
            <w:tcW w:w="1232" w:type="dxa"/>
            <w:vAlign w:val="center"/>
          </w:tcPr>
          <w:p w:rsidR="004F6A3C" w:rsidRPr="00777702" w:rsidRDefault="00777702" w:rsidP="00A12350">
            <w:pPr>
              <w:pStyle w:val="TableText"/>
              <w:jc w:val="right"/>
              <w:rPr>
                <w:rFonts w:cs="Arial"/>
                <w:i/>
                <w:color w:val="000000"/>
                <w:szCs w:val="20"/>
              </w:rPr>
            </w:pPr>
            <w:r>
              <w:rPr>
                <w:rFonts w:cs="Arial"/>
                <w:i/>
                <w:noProof/>
                <w:color w:val="000000"/>
                <w:szCs w:val="20"/>
                <w:highlight w:val="black"/>
              </w:rPr>
              <w:t>'''''''''</w:t>
            </w:r>
            <w:r w:rsidR="00B123A6" w:rsidRPr="00734311">
              <w:rPr>
                <w:rFonts w:cs="Arial"/>
                <w:color w:val="000000"/>
                <w:szCs w:val="20"/>
                <w:vertAlign w:val="superscript"/>
              </w:rPr>
              <w:t>1</w:t>
            </w:r>
            <w:r>
              <w:rPr>
                <w:rFonts w:cs="Arial"/>
                <w:i/>
                <w:noProof/>
                <w:color w:val="000000"/>
                <w:szCs w:val="20"/>
                <w:highlight w:val="black"/>
              </w:rPr>
              <w:t xml:space="preserve"> </w:t>
            </w:r>
          </w:p>
        </w:tc>
        <w:tc>
          <w:tcPr>
            <w:tcW w:w="1232" w:type="dxa"/>
            <w:vAlign w:val="center"/>
          </w:tcPr>
          <w:p w:rsidR="004F6A3C" w:rsidRPr="00777702" w:rsidRDefault="00777702" w:rsidP="00A12350">
            <w:pPr>
              <w:pStyle w:val="TableText"/>
              <w:jc w:val="right"/>
              <w:rPr>
                <w:rFonts w:cs="Arial"/>
                <w:i/>
                <w:color w:val="000000"/>
                <w:szCs w:val="20"/>
              </w:rPr>
            </w:pPr>
            <w:r>
              <w:rPr>
                <w:rFonts w:cs="Arial"/>
                <w:i/>
                <w:noProof/>
                <w:color w:val="000000"/>
                <w:szCs w:val="20"/>
                <w:highlight w:val="black"/>
              </w:rPr>
              <w:t>''''''''</w:t>
            </w:r>
            <w:r w:rsidR="00B123A6" w:rsidRPr="00734311">
              <w:rPr>
                <w:rFonts w:cs="Arial"/>
                <w:color w:val="000000"/>
                <w:szCs w:val="20"/>
                <w:vertAlign w:val="superscript"/>
              </w:rPr>
              <w:t>1</w:t>
            </w:r>
            <w:r>
              <w:rPr>
                <w:rFonts w:cs="Arial"/>
                <w:i/>
                <w:noProof/>
                <w:color w:val="000000"/>
                <w:szCs w:val="20"/>
                <w:highlight w:val="black"/>
              </w:rPr>
              <w:t xml:space="preserve"> </w:t>
            </w:r>
          </w:p>
        </w:tc>
      </w:tr>
      <w:tr w:rsidR="004F6A3C" w:rsidRPr="000C675E" w:rsidTr="00035C97">
        <w:tc>
          <w:tcPr>
            <w:tcW w:w="1726" w:type="dxa"/>
            <w:vAlign w:val="center"/>
          </w:tcPr>
          <w:p w:rsidR="004F6A3C" w:rsidRPr="000C675E" w:rsidRDefault="004F6A3C" w:rsidP="009E7910">
            <w:pPr>
              <w:pStyle w:val="TableText"/>
            </w:pPr>
            <w:r w:rsidRPr="000C675E">
              <w:t>Number of scripts dispensed</w:t>
            </w:r>
            <w:r w:rsidRPr="000C675E">
              <w:rPr>
                <w:vertAlign w:val="superscript"/>
              </w:rPr>
              <w:t xml:space="preserve"> </w:t>
            </w:r>
            <w:r w:rsidR="000B5894" w:rsidRPr="000C675E">
              <w:t xml:space="preserve">– VTX </w:t>
            </w:r>
          </w:p>
        </w:tc>
        <w:tc>
          <w:tcPr>
            <w:tcW w:w="1130" w:type="dxa"/>
            <w:vAlign w:val="center"/>
          </w:tcPr>
          <w:p w:rsidR="004F6A3C" w:rsidRPr="00777702" w:rsidRDefault="00777702" w:rsidP="00A12350">
            <w:pPr>
              <w:pStyle w:val="TableText"/>
              <w:jc w:val="right"/>
              <w:rPr>
                <w:rFonts w:cs="Arial"/>
                <w:color w:val="000000"/>
                <w:szCs w:val="20"/>
              </w:rPr>
            </w:pPr>
            <w:r>
              <w:rPr>
                <w:rFonts w:cs="Arial"/>
                <w:noProof/>
                <w:color w:val="000000"/>
                <w:szCs w:val="20"/>
                <w:highlight w:val="black"/>
              </w:rPr>
              <w:t>''''''''''''</w:t>
            </w:r>
            <w:r w:rsidR="00B123A6">
              <w:rPr>
                <w:rFonts w:cs="Arial"/>
                <w:color w:val="000000"/>
                <w:szCs w:val="20"/>
                <w:vertAlign w:val="superscript"/>
              </w:rPr>
              <w:t>2</w:t>
            </w:r>
            <w:r>
              <w:rPr>
                <w:rFonts w:cs="Arial"/>
                <w:noProof/>
                <w:color w:val="000000"/>
                <w:szCs w:val="20"/>
                <w:highlight w:val="black"/>
              </w:rPr>
              <w:t xml:space="preserve"> </w:t>
            </w:r>
          </w:p>
        </w:tc>
        <w:tc>
          <w:tcPr>
            <w:tcW w:w="1232" w:type="dxa"/>
            <w:vAlign w:val="center"/>
          </w:tcPr>
          <w:p w:rsidR="004F6A3C" w:rsidRPr="00777702" w:rsidRDefault="00777702" w:rsidP="00A12350">
            <w:pPr>
              <w:pStyle w:val="TableText"/>
              <w:jc w:val="right"/>
              <w:rPr>
                <w:rFonts w:cs="Arial"/>
                <w:i/>
                <w:color w:val="000000"/>
                <w:szCs w:val="20"/>
              </w:rPr>
            </w:pPr>
            <w:r>
              <w:rPr>
                <w:rFonts w:cs="Arial"/>
                <w:i/>
                <w:noProof/>
                <w:color w:val="000000"/>
                <w:szCs w:val="20"/>
                <w:highlight w:val="black"/>
              </w:rPr>
              <w:t>'''''''''''''</w:t>
            </w:r>
            <w:r w:rsidR="00B123A6">
              <w:rPr>
                <w:rFonts w:cs="Arial"/>
                <w:color w:val="000000"/>
                <w:szCs w:val="20"/>
                <w:vertAlign w:val="superscript"/>
              </w:rPr>
              <w:t>2</w:t>
            </w:r>
            <w:r>
              <w:rPr>
                <w:rFonts w:cs="Arial"/>
                <w:i/>
                <w:noProof/>
                <w:color w:val="000000"/>
                <w:szCs w:val="20"/>
                <w:highlight w:val="black"/>
              </w:rPr>
              <w:t xml:space="preserve"> </w:t>
            </w:r>
          </w:p>
        </w:tc>
        <w:tc>
          <w:tcPr>
            <w:tcW w:w="1232" w:type="dxa"/>
            <w:vAlign w:val="center"/>
          </w:tcPr>
          <w:p w:rsidR="004F6A3C" w:rsidRPr="00777702" w:rsidRDefault="00777702" w:rsidP="00A12350">
            <w:pPr>
              <w:pStyle w:val="TableText"/>
              <w:jc w:val="right"/>
              <w:rPr>
                <w:rFonts w:cs="Arial"/>
                <w:i/>
                <w:color w:val="000000"/>
                <w:szCs w:val="20"/>
              </w:rPr>
            </w:pPr>
            <w:r>
              <w:rPr>
                <w:rFonts w:cs="Arial"/>
                <w:i/>
                <w:noProof/>
                <w:color w:val="000000"/>
                <w:szCs w:val="20"/>
                <w:highlight w:val="black"/>
              </w:rPr>
              <w:t>'''''''''''''</w:t>
            </w:r>
            <w:r w:rsidR="00B123A6">
              <w:rPr>
                <w:rFonts w:cs="Arial"/>
                <w:color w:val="000000"/>
                <w:szCs w:val="20"/>
                <w:vertAlign w:val="superscript"/>
              </w:rPr>
              <w:t>2</w:t>
            </w:r>
            <w:r>
              <w:rPr>
                <w:rFonts w:cs="Arial"/>
                <w:i/>
                <w:noProof/>
                <w:color w:val="000000"/>
                <w:szCs w:val="20"/>
                <w:highlight w:val="black"/>
              </w:rPr>
              <w:t xml:space="preserve"> </w:t>
            </w:r>
          </w:p>
        </w:tc>
        <w:tc>
          <w:tcPr>
            <w:tcW w:w="1232" w:type="dxa"/>
            <w:vAlign w:val="center"/>
          </w:tcPr>
          <w:p w:rsidR="004F6A3C" w:rsidRPr="00777702" w:rsidRDefault="00777702" w:rsidP="00A12350">
            <w:pPr>
              <w:pStyle w:val="TableText"/>
              <w:jc w:val="right"/>
              <w:rPr>
                <w:rFonts w:cs="Arial"/>
                <w:i/>
                <w:color w:val="000000"/>
                <w:szCs w:val="20"/>
              </w:rPr>
            </w:pPr>
            <w:r>
              <w:rPr>
                <w:rFonts w:cs="Arial"/>
                <w:i/>
                <w:noProof/>
                <w:color w:val="000000"/>
                <w:szCs w:val="20"/>
                <w:highlight w:val="black"/>
              </w:rPr>
              <w:t>''''''''''''''</w:t>
            </w:r>
            <w:r w:rsidR="00B123A6">
              <w:rPr>
                <w:rFonts w:cs="Arial"/>
                <w:color w:val="000000"/>
                <w:szCs w:val="20"/>
                <w:vertAlign w:val="superscript"/>
              </w:rPr>
              <w:t>2</w:t>
            </w:r>
            <w:r>
              <w:rPr>
                <w:rFonts w:cs="Arial"/>
                <w:i/>
                <w:noProof/>
                <w:color w:val="000000"/>
                <w:szCs w:val="20"/>
                <w:highlight w:val="black"/>
              </w:rPr>
              <w:t xml:space="preserve"> </w:t>
            </w:r>
          </w:p>
        </w:tc>
        <w:tc>
          <w:tcPr>
            <w:tcW w:w="1232" w:type="dxa"/>
            <w:vAlign w:val="center"/>
          </w:tcPr>
          <w:p w:rsidR="004F6A3C" w:rsidRPr="00777702" w:rsidRDefault="00777702" w:rsidP="00A12350">
            <w:pPr>
              <w:pStyle w:val="TableText"/>
              <w:jc w:val="right"/>
              <w:rPr>
                <w:rFonts w:cs="Arial"/>
                <w:i/>
                <w:color w:val="000000"/>
                <w:szCs w:val="20"/>
              </w:rPr>
            </w:pPr>
            <w:r>
              <w:rPr>
                <w:rFonts w:cs="Arial"/>
                <w:i/>
                <w:noProof/>
                <w:color w:val="000000"/>
                <w:szCs w:val="20"/>
                <w:highlight w:val="black"/>
              </w:rPr>
              <w:t>''''''''''''''</w:t>
            </w:r>
            <w:r w:rsidR="00B123A6">
              <w:rPr>
                <w:rFonts w:cs="Arial"/>
                <w:color w:val="000000"/>
                <w:szCs w:val="20"/>
                <w:vertAlign w:val="superscript"/>
              </w:rPr>
              <w:t>2</w:t>
            </w:r>
            <w:r>
              <w:rPr>
                <w:rFonts w:cs="Arial"/>
                <w:i/>
                <w:noProof/>
                <w:color w:val="000000"/>
                <w:szCs w:val="20"/>
                <w:highlight w:val="black"/>
              </w:rPr>
              <w:t xml:space="preserve"> </w:t>
            </w:r>
          </w:p>
        </w:tc>
        <w:tc>
          <w:tcPr>
            <w:tcW w:w="1232" w:type="dxa"/>
            <w:vAlign w:val="center"/>
          </w:tcPr>
          <w:p w:rsidR="004F6A3C" w:rsidRPr="00777702" w:rsidRDefault="00777702" w:rsidP="00A12350">
            <w:pPr>
              <w:pStyle w:val="TableText"/>
              <w:jc w:val="right"/>
              <w:rPr>
                <w:rFonts w:cs="Arial"/>
                <w:i/>
                <w:color w:val="000000"/>
                <w:szCs w:val="20"/>
              </w:rPr>
            </w:pPr>
            <w:r>
              <w:rPr>
                <w:rFonts w:cs="Arial"/>
                <w:i/>
                <w:noProof/>
                <w:color w:val="000000"/>
                <w:szCs w:val="20"/>
                <w:highlight w:val="black"/>
              </w:rPr>
              <w:t>''''''''''''''</w:t>
            </w:r>
            <w:r w:rsidR="00B123A6">
              <w:rPr>
                <w:rFonts w:cs="Arial"/>
                <w:color w:val="000000"/>
                <w:szCs w:val="20"/>
                <w:vertAlign w:val="superscript"/>
              </w:rPr>
              <w:t>3</w:t>
            </w:r>
            <w:r>
              <w:rPr>
                <w:rFonts w:cs="Arial"/>
                <w:i/>
                <w:noProof/>
                <w:color w:val="000000"/>
                <w:szCs w:val="20"/>
                <w:highlight w:val="black"/>
              </w:rPr>
              <w:t xml:space="preserve"> </w:t>
            </w:r>
          </w:p>
        </w:tc>
      </w:tr>
      <w:tr w:rsidR="004F6A3C" w:rsidRPr="000C675E" w:rsidTr="00037A57">
        <w:tc>
          <w:tcPr>
            <w:tcW w:w="9016" w:type="dxa"/>
            <w:gridSpan w:val="7"/>
          </w:tcPr>
          <w:p w:rsidR="004F6A3C" w:rsidRPr="00A12350" w:rsidRDefault="004F6A3C" w:rsidP="009E7910">
            <w:pPr>
              <w:pStyle w:val="In-tableHeading"/>
              <w:rPr>
                <w:lang w:val="en-AU"/>
              </w:rPr>
            </w:pPr>
            <w:r w:rsidRPr="00A12350">
              <w:rPr>
                <w:lang w:val="en-AU"/>
              </w:rPr>
              <w:t>Estimated financial implications</w:t>
            </w:r>
          </w:p>
        </w:tc>
      </w:tr>
      <w:tr w:rsidR="004F6A3C" w:rsidRPr="000C675E" w:rsidTr="00035C97">
        <w:tc>
          <w:tcPr>
            <w:tcW w:w="1726" w:type="dxa"/>
            <w:vAlign w:val="center"/>
          </w:tcPr>
          <w:p w:rsidR="004F6A3C" w:rsidRPr="000C675E" w:rsidRDefault="004F6A3C" w:rsidP="009E7910">
            <w:pPr>
              <w:pStyle w:val="TableText"/>
            </w:pPr>
            <w:r w:rsidRPr="000C675E">
              <w:t>Net cost to PBS/RPBS – VTX</w:t>
            </w:r>
          </w:p>
        </w:tc>
        <w:tc>
          <w:tcPr>
            <w:tcW w:w="1130" w:type="dxa"/>
            <w:tcBorders>
              <w:top w:val="single" w:sz="4" w:space="0" w:color="auto"/>
              <w:left w:val="nil"/>
              <w:bottom w:val="single" w:sz="4" w:space="0" w:color="auto"/>
              <w:right w:val="nil"/>
            </w:tcBorders>
            <w:shd w:val="clear" w:color="auto" w:fill="auto"/>
            <w:vAlign w:val="center"/>
          </w:tcPr>
          <w:p w:rsidR="004F6A3C" w:rsidRPr="000C675E" w:rsidRDefault="004F6A3C" w:rsidP="00A12350">
            <w:pPr>
              <w:pStyle w:val="TableText"/>
              <w:jc w:val="right"/>
              <w:rPr>
                <w:rFonts w:cs="Arial"/>
                <w:i/>
                <w:color w:val="000000"/>
                <w:szCs w:val="20"/>
              </w:rPr>
            </w:pPr>
            <w:r w:rsidRPr="000C675E">
              <w:rPr>
                <w:rFonts w:cs="Arial"/>
                <w:i/>
                <w:color w:val="000000"/>
                <w:szCs w:val="20"/>
              </w:rPr>
              <w:t>$</w:t>
            </w:r>
            <w:r w:rsidR="00777702">
              <w:rPr>
                <w:rFonts w:cs="Arial"/>
                <w:i/>
                <w:noProof/>
                <w:color w:val="000000"/>
                <w:szCs w:val="20"/>
                <w:highlight w:val="black"/>
              </w:rPr>
              <w:t>''''''''''''''''''''''''''</w:t>
            </w:r>
            <w:r w:rsidR="00B123A6">
              <w:rPr>
                <w:rFonts w:cs="Arial"/>
                <w:color w:val="000000"/>
                <w:szCs w:val="20"/>
                <w:vertAlign w:val="superscript"/>
              </w:rPr>
              <w:t>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4F6A3C" w:rsidRPr="000C675E" w:rsidRDefault="004F6A3C" w:rsidP="00A12350">
            <w:pPr>
              <w:pStyle w:val="TableText"/>
              <w:jc w:val="right"/>
              <w:rPr>
                <w:rFonts w:cs="Arial"/>
                <w:i/>
                <w:color w:val="000000"/>
                <w:szCs w:val="20"/>
              </w:rPr>
            </w:pPr>
            <w:r w:rsidRPr="000C675E">
              <w:rPr>
                <w:rFonts w:cs="Arial"/>
                <w:i/>
                <w:color w:val="000000"/>
                <w:szCs w:val="20"/>
              </w:rPr>
              <w:t>$</w:t>
            </w:r>
            <w:r w:rsidR="00777702">
              <w:rPr>
                <w:rFonts w:cs="Arial"/>
                <w:i/>
                <w:noProof/>
                <w:color w:val="000000"/>
                <w:szCs w:val="20"/>
                <w:highlight w:val="black"/>
              </w:rPr>
              <w:t>''''''''''''''''''''''''''</w:t>
            </w:r>
            <w:r w:rsidR="00B123A6">
              <w:rPr>
                <w:rFonts w:cs="Arial"/>
                <w:color w:val="000000"/>
                <w:szCs w:val="20"/>
                <w:vertAlign w:val="superscript"/>
              </w:rPr>
              <w:t>4</w:t>
            </w:r>
          </w:p>
        </w:tc>
        <w:tc>
          <w:tcPr>
            <w:tcW w:w="1232" w:type="dxa"/>
            <w:tcBorders>
              <w:top w:val="single" w:sz="4" w:space="0" w:color="auto"/>
              <w:left w:val="nil"/>
              <w:bottom w:val="single" w:sz="4" w:space="0" w:color="auto"/>
              <w:right w:val="nil"/>
            </w:tcBorders>
            <w:shd w:val="clear" w:color="auto" w:fill="auto"/>
            <w:vAlign w:val="center"/>
          </w:tcPr>
          <w:p w:rsidR="004F6A3C" w:rsidRPr="000C675E" w:rsidRDefault="004F6A3C" w:rsidP="00A12350">
            <w:pPr>
              <w:pStyle w:val="TableText"/>
              <w:jc w:val="right"/>
              <w:rPr>
                <w:rFonts w:cs="Arial"/>
                <w:i/>
                <w:color w:val="000000"/>
                <w:szCs w:val="20"/>
              </w:rPr>
            </w:pPr>
            <w:r w:rsidRPr="000C675E">
              <w:rPr>
                <w:rFonts w:cs="Arial"/>
                <w:i/>
                <w:color w:val="000000"/>
                <w:szCs w:val="20"/>
              </w:rPr>
              <w:t>$</w:t>
            </w:r>
            <w:r w:rsidR="00777702">
              <w:rPr>
                <w:rFonts w:cs="Arial"/>
                <w:i/>
                <w:noProof/>
                <w:color w:val="000000"/>
                <w:szCs w:val="20"/>
                <w:highlight w:val="black"/>
              </w:rPr>
              <w:t>''''''''''''''''''''''''</w:t>
            </w:r>
            <w:r w:rsidR="00B123A6">
              <w:rPr>
                <w:rFonts w:cs="Arial"/>
                <w:color w:val="000000"/>
                <w:szCs w:val="20"/>
                <w:vertAlign w:val="superscript"/>
              </w:rPr>
              <w:t>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4F6A3C" w:rsidRPr="000C675E" w:rsidRDefault="004F6A3C" w:rsidP="00A12350">
            <w:pPr>
              <w:pStyle w:val="TableText"/>
              <w:jc w:val="right"/>
              <w:rPr>
                <w:rFonts w:cs="Arial"/>
                <w:i/>
                <w:color w:val="000000"/>
                <w:szCs w:val="20"/>
              </w:rPr>
            </w:pPr>
            <w:r w:rsidRPr="000C675E">
              <w:rPr>
                <w:rFonts w:cs="Arial"/>
                <w:i/>
                <w:color w:val="000000"/>
                <w:szCs w:val="20"/>
              </w:rPr>
              <w:t>$</w:t>
            </w:r>
            <w:r w:rsidR="00777702">
              <w:rPr>
                <w:rFonts w:cs="Arial"/>
                <w:i/>
                <w:noProof/>
                <w:color w:val="000000"/>
                <w:szCs w:val="20"/>
                <w:highlight w:val="black"/>
              </w:rPr>
              <w:t>''''''''''''''''''''''''''''</w:t>
            </w:r>
            <w:r w:rsidR="00B123A6">
              <w:rPr>
                <w:rFonts w:cs="Arial"/>
                <w:color w:val="000000"/>
                <w:szCs w:val="20"/>
                <w:vertAlign w:val="superscript"/>
              </w:rPr>
              <w:t>4</w:t>
            </w:r>
          </w:p>
        </w:tc>
        <w:tc>
          <w:tcPr>
            <w:tcW w:w="1232" w:type="dxa"/>
            <w:tcBorders>
              <w:top w:val="single" w:sz="4" w:space="0" w:color="auto"/>
              <w:left w:val="nil"/>
              <w:bottom w:val="single" w:sz="4" w:space="0" w:color="auto"/>
              <w:right w:val="nil"/>
            </w:tcBorders>
            <w:shd w:val="clear" w:color="auto" w:fill="auto"/>
            <w:vAlign w:val="center"/>
          </w:tcPr>
          <w:p w:rsidR="004F6A3C" w:rsidRPr="000C675E" w:rsidRDefault="004F6A3C" w:rsidP="00A12350">
            <w:pPr>
              <w:pStyle w:val="TableText"/>
              <w:jc w:val="right"/>
              <w:rPr>
                <w:rFonts w:cs="Arial"/>
                <w:i/>
                <w:color w:val="000000"/>
                <w:szCs w:val="20"/>
              </w:rPr>
            </w:pPr>
            <w:r w:rsidRPr="000C675E">
              <w:rPr>
                <w:rFonts w:cs="Arial"/>
                <w:i/>
                <w:color w:val="000000"/>
                <w:szCs w:val="20"/>
              </w:rPr>
              <w:t>$</w:t>
            </w:r>
            <w:r w:rsidR="00777702">
              <w:rPr>
                <w:rFonts w:cs="Arial"/>
                <w:i/>
                <w:noProof/>
                <w:color w:val="000000"/>
                <w:szCs w:val="20"/>
                <w:highlight w:val="black"/>
              </w:rPr>
              <w:t>''''''''''''''''''''''''''</w:t>
            </w:r>
            <w:r w:rsidR="00B123A6">
              <w:rPr>
                <w:rFonts w:cs="Arial"/>
                <w:color w:val="000000"/>
                <w:szCs w:val="20"/>
                <w:vertAlign w:val="superscript"/>
              </w:rPr>
              <w:t>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4F6A3C" w:rsidRPr="000C675E" w:rsidRDefault="004F6A3C" w:rsidP="00A12350">
            <w:pPr>
              <w:pStyle w:val="TableText"/>
              <w:jc w:val="right"/>
              <w:rPr>
                <w:rFonts w:cs="Arial"/>
                <w:i/>
                <w:color w:val="000000"/>
                <w:szCs w:val="20"/>
              </w:rPr>
            </w:pPr>
            <w:r w:rsidRPr="000C675E">
              <w:rPr>
                <w:rFonts w:cs="Arial"/>
                <w:i/>
                <w:color w:val="000000"/>
                <w:szCs w:val="20"/>
              </w:rPr>
              <w:t>$</w:t>
            </w:r>
            <w:r w:rsidR="00777702">
              <w:rPr>
                <w:rFonts w:cs="Arial"/>
                <w:i/>
                <w:noProof/>
                <w:color w:val="000000"/>
                <w:szCs w:val="20"/>
                <w:highlight w:val="black"/>
              </w:rPr>
              <w:t>''''''''''''''''''''''''''</w:t>
            </w:r>
            <w:r w:rsidR="00B123A6">
              <w:rPr>
                <w:rFonts w:cs="Arial"/>
                <w:color w:val="000000"/>
                <w:szCs w:val="20"/>
                <w:vertAlign w:val="superscript"/>
              </w:rPr>
              <w:t>4</w:t>
            </w:r>
          </w:p>
        </w:tc>
      </w:tr>
      <w:tr w:rsidR="004F6A3C" w:rsidRPr="000C675E" w:rsidTr="00035C97">
        <w:tc>
          <w:tcPr>
            <w:tcW w:w="1726" w:type="dxa"/>
            <w:vAlign w:val="center"/>
          </w:tcPr>
          <w:p w:rsidR="004F6A3C" w:rsidRPr="000C675E" w:rsidRDefault="004F6A3C" w:rsidP="009E7910">
            <w:pPr>
              <w:pStyle w:val="TableText"/>
            </w:pPr>
            <w:r w:rsidRPr="000C675E">
              <w:t>Net cost to PBS/RPBS – AZA for use with VTX, AZA monotherapy offset, LoDAC offset</w:t>
            </w:r>
          </w:p>
        </w:tc>
        <w:tc>
          <w:tcPr>
            <w:tcW w:w="1130" w:type="dxa"/>
            <w:tcBorders>
              <w:top w:val="single" w:sz="4" w:space="0" w:color="auto"/>
              <w:left w:val="nil"/>
              <w:bottom w:val="single" w:sz="4" w:space="0" w:color="auto"/>
              <w:right w:val="nil"/>
            </w:tcBorders>
            <w:shd w:val="clear" w:color="auto" w:fill="auto"/>
            <w:vAlign w:val="center"/>
          </w:tcPr>
          <w:p w:rsidR="004F6A3C" w:rsidRPr="000C675E" w:rsidRDefault="004F6A3C" w:rsidP="00A12350">
            <w:pPr>
              <w:pStyle w:val="TableText"/>
              <w:jc w:val="right"/>
              <w:rPr>
                <w:rFonts w:cs="Arial"/>
                <w:i/>
                <w:color w:val="000000"/>
                <w:szCs w:val="20"/>
              </w:rPr>
            </w:pPr>
            <w:r w:rsidRPr="000C675E">
              <w:rPr>
                <w:rFonts w:cs="Arial"/>
                <w:i/>
                <w:color w:val="000000"/>
                <w:szCs w:val="20"/>
              </w:rPr>
              <w:t>$</w:t>
            </w:r>
            <w:r w:rsidR="00777702">
              <w:rPr>
                <w:rFonts w:cs="Arial"/>
                <w:i/>
                <w:noProof/>
                <w:color w:val="000000"/>
                <w:szCs w:val="20"/>
                <w:highlight w:val="black"/>
              </w:rPr>
              <w:t>'''''''''''''''''''''''''''''</w:t>
            </w:r>
            <w:r w:rsidR="00B123A6">
              <w:rPr>
                <w:rFonts w:cs="Arial"/>
                <w:color w:val="000000"/>
                <w:szCs w:val="20"/>
                <w:vertAlign w:val="superscript"/>
              </w:rPr>
              <w:t>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4F6A3C" w:rsidRPr="000C675E" w:rsidRDefault="004F6A3C" w:rsidP="00A12350">
            <w:pPr>
              <w:pStyle w:val="TableText"/>
              <w:jc w:val="right"/>
              <w:rPr>
                <w:rFonts w:cs="Arial"/>
                <w:i/>
                <w:color w:val="000000"/>
                <w:szCs w:val="20"/>
              </w:rPr>
            </w:pPr>
            <w:r w:rsidRPr="000C675E">
              <w:rPr>
                <w:rFonts w:cs="Arial"/>
                <w:i/>
                <w:color w:val="000000"/>
                <w:szCs w:val="20"/>
              </w:rPr>
              <w:t>$</w:t>
            </w:r>
            <w:r w:rsidR="00777702">
              <w:rPr>
                <w:rFonts w:cs="Arial"/>
                <w:i/>
                <w:noProof/>
                <w:color w:val="000000"/>
                <w:szCs w:val="20"/>
                <w:highlight w:val="black"/>
              </w:rPr>
              <w:t>''''''''''''''''''''''''''</w:t>
            </w:r>
            <w:r w:rsidR="00B123A6">
              <w:rPr>
                <w:rFonts w:cs="Arial"/>
                <w:color w:val="000000"/>
                <w:szCs w:val="20"/>
                <w:vertAlign w:val="superscript"/>
              </w:rPr>
              <w:t>5</w:t>
            </w:r>
          </w:p>
        </w:tc>
        <w:tc>
          <w:tcPr>
            <w:tcW w:w="1232" w:type="dxa"/>
            <w:tcBorders>
              <w:top w:val="single" w:sz="4" w:space="0" w:color="auto"/>
              <w:left w:val="nil"/>
              <w:bottom w:val="single" w:sz="4" w:space="0" w:color="auto"/>
              <w:right w:val="nil"/>
            </w:tcBorders>
            <w:shd w:val="clear" w:color="auto" w:fill="auto"/>
            <w:vAlign w:val="center"/>
          </w:tcPr>
          <w:p w:rsidR="004F6A3C" w:rsidRPr="000C675E" w:rsidRDefault="004F6A3C" w:rsidP="00A12350">
            <w:pPr>
              <w:pStyle w:val="TableText"/>
              <w:jc w:val="right"/>
              <w:rPr>
                <w:rFonts w:cs="Arial"/>
                <w:i/>
                <w:color w:val="000000"/>
                <w:szCs w:val="20"/>
              </w:rPr>
            </w:pPr>
            <w:r w:rsidRPr="000C675E">
              <w:rPr>
                <w:rFonts w:cs="Arial"/>
                <w:i/>
                <w:color w:val="000000"/>
                <w:szCs w:val="20"/>
              </w:rPr>
              <w:t>$</w:t>
            </w:r>
            <w:r w:rsidR="00777702">
              <w:rPr>
                <w:rFonts w:cs="Arial"/>
                <w:i/>
                <w:noProof/>
                <w:color w:val="000000"/>
                <w:szCs w:val="20"/>
                <w:highlight w:val="black"/>
              </w:rPr>
              <w:t>''''''''''''''''''''''''</w:t>
            </w:r>
            <w:r w:rsidR="00B123A6">
              <w:rPr>
                <w:rFonts w:cs="Arial"/>
                <w:color w:val="000000"/>
                <w:szCs w:val="20"/>
                <w:vertAlign w:val="superscript"/>
              </w:rPr>
              <w:t>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4F6A3C" w:rsidRPr="000C675E" w:rsidRDefault="004F6A3C" w:rsidP="00A12350">
            <w:pPr>
              <w:pStyle w:val="TableText"/>
              <w:jc w:val="right"/>
              <w:rPr>
                <w:rFonts w:cs="Arial"/>
                <w:i/>
                <w:color w:val="000000"/>
                <w:szCs w:val="20"/>
              </w:rPr>
            </w:pPr>
            <w:r w:rsidRPr="000C675E">
              <w:rPr>
                <w:rFonts w:cs="Arial"/>
                <w:i/>
                <w:color w:val="000000"/>
                <w:szCs w:val="20"/>
              </w:rPr>
              <w:t>$</w:t>
            </w:r>
            <w:r w:rsidR="00777702">
              <w:rPr>
                <w:rFonts w:cs="Arial"/>
                <w:i/>
                <w:noProof/>
                <w:color w:val="000000"/>
                <w:szCs w:val="20"/>
                <w:highlight w:val="black"/>
              </w:rPr>
              <w:t>'''''''''''''''''''''''''''</w:t>
            </w:r>
            <w:r w:rsidR="00B123A6">
              <w:rPr>
                <w:rFonts w:cs="Arial"/>
                <w:color w:val="000000"/>
                <w:szCs w:val="20"/>
                <w:vertAlign w:val="superscript"/>
              </w:rPr>
              <w:t>5</w:t>
            </w:r>
          </w:p>
        </w:tc>
        <w:tc>
          <w:tcPr>
            <w:tcW w:w="1232" w:type="dxa"/>
            <w:tcBorders>
              <w:top w:val="single" w:sz="4" w:space="0" w:color="auto"/>
              <w:left w:val="nil"/>
              <w:bottom w:val="single" w:sz="4" w:space="0" w:color="auto"/>
              <w:right w:val="nil"/>
            </w:tcBorders>
            <w:shd w:val="clear" w:color="auto" w:fill="auto"/>
            <w:vAlign w:val="center"/>
          </w:tcPr>
          <w:p w:rsidR="004F6A3C" w:rsidRPr="000C675E" w:rsidRDefault="004F6A3C" w:rsidP="00A12350">
            <w:pPr>
              <w:pStyle w:val="TableText"/>
              <w:jc w:val="right"/>
              <w:rPr>
                <w:rFonts w:cs="Arial"/>
                <w:i/>
                <w:color w:val="000000"/>
                <w:szCs w:val="20"/>
              </w:rPr>
            </w:pPr>
            <w:r w:rsidRPr="000C675E">
              <w:rPr>
                <w:rFonts w:cs="Arial"/>
                <w:i/>
                <w:color w:val="000000"/>
                <w:szCs w:val="20"/>
              </w:rPr>
              <w:t>$</w:t>
            </w:r>
            <w:r w:rsidR="00777702">
              <w:rPr>
                <w:rFonts w:cs="Arial"/>
                <w:i/>
                <w:noProof/>
                <w:color w:val="000000"/>
                <w:szCs w:val="20"/>
                <w:highlight w:val="black"/>
              </w:rPr>
              <w:t>''''''''''''''''''''''''''</w:t>
            </w:r>
            <w:r w:rsidR="00B123A6">
              <w:rPr>
                <w:rFonts w:cs="Arial"/>
                <w:color w:val="000000"/>
                <w:szCs w:val="20"/>
                <w:vertAlign w:val="superscript"/>
              </w:rPr>
              <w:t>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4F6A3C" w:rsidRPr="000C675E" w:rsidRDefault="004F6A3C" w:rsidP="00A12350">
            <w:pPr>
              <w:pStyle w:val="TableText"/>
              <w:jc w:val="right"/>
              <w:rPr>
                <w:rFonts w:cs="Arial"/>
                <w:i/>
                <w:color w:val="000000"/>
                <w:szCs w:val="20"/>
              </w:rPr>
            </w:pPr>
            <w:r w:rsidRPr="000C675E">
              <w:rPr>
                <w:rFonts w:cs="Arial"/>
                <w:i/>
                <w:color w:val="000000"/>
                <w:szCs w:val="20"/>
              </w:rPr>
              <w:t>$</w:t>
            </w:r>
            <w:r w:rsidR="00777702">
              <w:rPr>
                <w:rFonts w:cs="Arial"/>
                <w:i/>
                <w:noProof/>
                <w:color w:val="000000"/>
                <w:szCs w:val="20"/>
                <w:highlight w:val="black"/>
              </w:rPr>
              <w:t>''''''''''''''''''''''''''''</w:t>
            </w:r>
            <w:r w:rsidR="00B123A6">
              <w:rPr>
                <w:rFonts w:cs="Arial"/>
                <w:color w:val="000000"/>
                <w:szCs w:val="20"/>
                <w:vertAlign w:val="superscript"/>
              </w:rPr>
              <w:t>5</w:t>
            </w:r>
          </w:p>
        </w:tc>
      </w:tr>
      <w:tr w:rsidR="004F6A3C" w:rsidRPr="000C675E" w:rsidTr="00035C97">
        <w:tc>
          <w:tcPr>
            <w:tcW w:w="1726" w:type="dxa"/>
            <w:vAlign w:val="center"/>
          </w:tcPr>
          <w:p w:rsidR="004F6A3C" w:rsidRPr="000C675E" w:rsidRDefault="004F6A3C" w:rsidP="009E7910">
            <w:pPr>
              <w:pStyle w:val="TableText"/>
              <w:rPr>
                <w:b/>
              </w:rPr>
            </w:pPr>
            <w:r w:rsidRPr="000C675E">
              <w:rPr>
                <w:b/>
              </w:rPr>
              <w:t xml:space="preserve">Net cost to PBS/RPBS </w:t>
            </w:r>
            <w:r w:rsidR="000B5894" w:rsidRPr="000C675E">
              <w:rPr>
                <w:b/>
              </w:rPr>
              <w:t>–</w:t>
            </w:r>
            <w:r w:rsidRPr="000C675E">
              <w:rPr>
                <w:b/>
              </w:rPr>
              <w:t xml:space="preserve"> total</w:t>
            </w:r>
            <w:r w:rsidR="000B5894" w:rsidRPr="000C675E">
              <w:rPr>
                <w:b/>
              </w:rPr>
              <w:t xml:space="preserve"> </w:t>
            </w:r>
          </w:p>
        </w:tc>
        <w:tc>
          <w:tcPr>
            <w:tcW w:w="1130" w:type="dxa"/>
            <w:tcBorders>
              <w:top w:val="single" w:sz="4" w:space="0" w:color="auto"/>
              <w:left w:val="nil"/>
              <w:bottom w:val="single" w:sz="4" w:space="0" w:color="auto"/>
              <w:right w:val="nil"/>
            </w:tcBorders>
            <w:shd w:val="clear" w:color="auto" w:fill="auto"/>
            <w:vAlign w:val="center"/>
          </w:tcPr>
          <w:p w:rsidR="004F6A3C" w:rsidRPr="000C675E" w:rsidRDefault="004F6A3C" w:rsidP="00A12350">
            <w:pPr>
              <w:pStyle w:val="TableText"/>
              <w:jc w:val="right"/>
              <w:rPr>
                <w:rFonts w:cs="Arial"/>
                <w:b/>
                <w:i/>
                <w:color w:val="000000"/>
                <w:szCs w:val="20"/>
              </w:rPr>
            </w:pPr>
            <w:r w:rsidRPr="000C675E">
              <w:rPr>
                <w:rFonts w:cs="Arial"/>
                <w:b/>
                <w:i/>
                <w:color w:val="000000"/>
                <w:szCs w:val="20"/>
              </w:rPr>
              <w:t>$</w:t>
            </w:r>
            <w:r w:rsidR="00777702">
              <w:rPr>
                <w:rFonts w:cs="Arial"/>
                <w:b/>
                <w:i/>
                <w:noProof/>
                <w:color w:val="000000"/>
                <w:szCs w:val="20"/>
                <w:highlight w:val="black"/>
              </w:rPr>
              <w:t>''''''''''''''''''''''</w:t>
            </w:r>
            <w:r w:rsidR="00B123A6">
              <w:rPr>
                <w:rFonts w:cs="Arial"/>
                <w:color w:val="000000"/>
                <w:szCs w:val="20"/>
                <w:vertAlign w:val="superscript"/>
              </w:rPr>
              <w:t>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4F6A3C" w:rsidRPr="000C675E" w:rsidRDefault="004F6A3C" w:rsidP="00A12350">
            <w:pPr>
              <w:pStyle w:val="TableText"/>
              <w:jc w:val="right"/>
              <w:rPr>
                <w:rFonts w:cs="Arial"/>
                <w:b/>
                <w:i/>
                <w:color w:val="000000"/>
                <w:szCs w:val="20"/>
              </w:rPr>
            </w:pPr>
            <w:r w:rsidRPr="000C675E">
              <w:rPr>
                <w:rFonts w:cs="Arial"/>
                <w:b/>
                <w:i/>
                <w:color w:val="000000"/>
                <w:szCs w:val="20"/>
              </w:rPr>
              <w:t>$</w:t>
            </w:r>
            <w:r w:rsidR="00777702">
              <w:rPr>
                <w:rFonts w:cs="Arial"/>
                <w:b/>
                <w:i/>
                <w:noProof/>
                <w:color w:val="000000"/>
                <w:szCs w:val="20"/>
                <w:highlight w:val="black"/>
              </w:rPr>
              <w:t>'''''''''''''''''''''</w:t>
            </w:r>
            <w:r w:rsidR="00B123A6">
              <w:rPr>
                <w:rFonts w:cs="Arial"/>
                <w:color w:val="000000"/>
                <w:szCs w:val="20"/>
                <w:vertAlign w:val="superscript"/>
              </w:rPr>
              <w:t>6</w:t>
            </w:r>
          </w:p>
        </w:tc>
        <w:tc>
          <w:tcPr>
            <w:tcW w:w="1232" w:type="dxa"/>
            <w:tcBorders>
              <w:top w:val="single" w:sz="4" w:space="0" w:color="auto"/>
              <w:left w:val="nil"/>
              <w:bottom w:val="single" w:sz="4" w:space="0" w:color="auto"/>
              <w:right w:val="nil"/>
            </w:tcBorders>
            <w:shd w:val="clear" w:color="auto" w:fill="auto"/>
            <w:vAlign w:val="center"/>
          </w:tcPr>
          <w:p w:rsidR="004F6A3C" w:rsidRPr="000C675E" w:rsidRDefault="004F6A3C" w:rsidP="00A12350">
            <w:pPr>
              <w:pStyle w:val="TableText"/>
              <w:jc w:val="right"/>
              <w:rPr>
                <w:rFonts w:cs="Arial"/>
                <w:b/>
                <w:i/>
                <w:color w:val="000000"/>
                <w:szCs w:val="20"/>
              </w:rPr>
            </w:pPr>
            <w:r w:rsidRPr="000C675E">
              <w:rPr>
                <w:rFonts w:cs="Arial"/>
                <w:b/>
                <w:i/>
                <w:color w:val="000000"/>
                <w:szCs w:val="20"/>
              </w:rPr>
              <w:t>$</w:t>
            </w:r>
            <w:r w:rsidR="00777702">
              <w:rPr>
                <w:rFonts w:cs="Arial"/>
                <w:b/>
                <w:i/>
                <w:noProof/>
                <w:color w:val="000000"/>
                <w:szCs w:val="20"/>
                <w:highlight w:val="black"/>
              </w:rPr>
              <w:t>'''''''''''''''''''''</w:t>
            </w:r>
            <w:r w:rsidR="00B123A6">
              <w:rPr>
                <w:rFonts w:cs="Arial"/>
                <w:color w:val="000000"/>
                <w:szCs w:val="20"/>
                <w:vertAlign w:val="superscript"/>
              </w:rPr>
              <w:t>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4F6A3C" w:rsidRPr="000C675E" w:rsidRDefault="004F6A3C" w:rsidP="00A12350">
            <w:pPr>
              <w:pStyle w:val="TableText"/>
              <w:jc w:val="right"/>
              <w:rPr>
                <w:rFonts w:cs="Arial"/>
                <w:b/>
                <w:i/>
                <w:color w:val="000000"/>
                <w:szCs w:val="20"/>
              </w:rPr>
            </w:pPr>
            <w:r w:rsidRPr="000C675E">
              <w:rPr>
                <w:rFonts w:cs="Arial"/>
                <w:b/>
                <w:i/>
                <w:color w:val="000000"/>
                <w:szCs w:val="20"/>
              </w:rPr>
              <w:t>$</w:t>
            </w:r>
            <w:r w:rsidR="00777702">
              <w:rPr>
                <w:rFonts w:cs="Arial"/>
                <w:b/>
                <w:i/>
                <w:noProof/>
                <w:color w:val="000000"/>
                <w:szCs w:val="20"/>
                <w:highlight w:val="black"/>
              </w:rPr>
              <w:t>''''''''''''''''''''</w:t>
            </w:r>
            <w:r w:rsidR="00B123A6">
              <w:rPr>
                <w:rFonts w:cs="Arial"/>
                <w:color w:val="000000"/>
                <w:szCs w:val="20"/>
                <w:vertAlign w:val="superscript"/>
              </w:rPr>
              <w:t>7</w:t>
            </w:r>
          </w:p>
        </w:tc>
        <w:tc>
          <w:tcPr>
            <w:tcW w:w="1232" w:type="dxa"/>
            <w:tcBorders>
              <w:top w:val="single" w:sz="4" w:space="0" w:color="auto"/>
              <w:left w:val="nil"/>
              <w:bottom w:val="single" w:sz="4" w:space="0" w:color="auto"/>
              <w:right w:val="nil"/>
            </w:tcBorders>
            <w:shd w:val="clear" w:color="auto" w:fill="auto"/>
            <w:vAlign w:val="center"/>
          </w:tcPr>
          <w:p w:rsidR="004F6A3C" w:rsidRPr="000C675E" w:rsidRDefault="004F6A3C" w:rsidP="00A12350">
            <w:pPr>
              <w:pStyle w:val="TableText"/>
              <w:jc w:val="right"/>
              <w:rPr>
                <w:rFonts w:cs="Arial"/>
                <w:b/>
                <w:i/>
                <w:color w:val="000000"/>
                <w:szCs w:val="20"/>
              </w:rPr>
            </w:pPr>
            <w:r w:rsidRPr="000C675E">
              <w:rPr>
                <w:rFonts w:cs="Arial"/>
                <w:b/>
                <w:i/>
                <w:color w:val="000000"/>
                <w:szCs w:val="20"/>
              </w:rPr>
              <w:t>$</w:t>
            </w:r>
            <w:r w:rsidR="00777702">
              <w:rPr>
                <w:rFonts w:cs="Arial"/>
                <w:b/>
                <w:i/>
                <w:noProof/>
                <w:color w:val="000000"/>
                <w:szCs w:val="20"/>
                <w:highlight w:val="black"/>
              </w:rPr>
              <w:t>'''''''''''''''''''''''</w:t>
            </w:r>
            <w:r w:rsidR="00B123A6">
              <w:rPr>
                <w:rFonts w:cs="Arial"/>
                <w:color w:val="000000"/>
                <w:szCs w:val="20"/>
                <w:vertAlign w:val="superscript"/>
              </w:rPr>
              <w:t>7</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4F6A3C" w:rsidRPr="000C675E" w:rsidRDefault="004F6A3C" w:rsidP="00A12350">
            <w:pPr>
              <w:pStyle w:val="TableText"/>
              <w:jc w:val="right"/>
              <w:rPr>
                <w:rFonts w:cs="Arial"/>
                <w:b/>
                <w:i/>
                <w:color w:val="000000"/>
                <w:szCs w:val="20"/>
              </w:rPr>
            </w:pPr>
            <w:r w:rsidRPr="000C675E">
              <w:rPr>
                <w:rFonts w:cs="Arial"/>
                <w:b/>
                <w:i/>
                <w:color w:val="000000"/>
                <w:szCs w:val="20"/>
              </w:rPr>
              <w:t>$</w:t>
            </w:r>
            <w:r w:rsidR="00777702">
              <w:rPr>
                <w:rFonts w:cs="Arial"/>
                <w:b/>
                <w:i/>
                <w:noProof/>
                <w:color w:val="000000"/>
                <w:szCs w:val="20"/>
                <w:highlight w:val="black"/>
              </w:rPr>
              <w:t>'''''''''''''''''''''</w:t>
            </w:r>
            <w:r w:rsidR="00B123A6">
              <w:rPr>
                <w:rFonts w:cs="Arial"/>
                <w:color w:val="000000"/>
                <w:szCs w:val="20"/>
                <w:vertAlign w:val="superscript"/>
              </w:rPr>
              <w:t>7</w:t>
            </w:r>
          </w:p>
        </w:tc>
      </w:tr>
    </w:tbl>
    <w:p w:rsidR="00AA7703" w:rsidRPr="000C675E" w:rsidRDefault="00035C97" w:rsidP="009E7910">
      <w:pPr>
        <w:pStyle w:val="TableFigureFooter"/>
        <w:spacing w:after="0"/>
      </w:pPr>
      <w:r w:rsidRPr="000C675E">
        <w:t>Source: ‘VTX PBAC BIA April 2021’ spreadsheet provided with the July 2021 resubmission.</w:t>
      </w:r>
    </w:p>
    <w:p w:rsidR="00117465" w:rsidRPr="000C675E" w:rsidRDefault="00117465" w:rsidP="00117465">
      <w:pPr>
        <w:pStyle w:val="TableFigureFooter"/>
        <w:spacing w:after="240"/>
        <w:rPr>
          <w:i/>
        </w:rPr>
      </w:pPr>
      <w:r w:rsidRPr="000C675E">
        <w:rPr>
          <w:i/>
        </w:rPr>
        <w:t xml:space="preserve">Figures in italics were calculated by the PBAC Secretariat for the overview presented to the PBAC. </w:t>
      </w:r>
    </w:p>
    <w:p w:rsidR="00AB2096" w:rsidRDefault="00AB2096" w:rsidP="00B911EB">
      <w:pPr>
        <w:pStyle w:val="TableFigureFooter"/>
        <w:spacing w:after="0"/>
        <w:contextualSpacing w:val="0"/>
      </w:pPr>
      <w:r w:rsidRPr="000C675E">
        <w:rPr>
          <w:iCs/>
        </w:rPr>
        <w:t>AZA = azacitidine, LoDAC = low-dose cytarabine, VTX = venetoclax.</w:t>
      </w:r>
      <w:r w:rsidRPr="000C675E">
        <w:t xml:space="preserve"> </w:t>
      </w:r>
    </w:p>
    <w:p w:rsidR="00B123A6" w:rsidRPr="009A6D58" w:rsidRDefault="00B123A6" w:rsidP="00B123A6">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rsidR="00B123A6" w:rsidRPr="009A6D58" w:rsidRDefault="00B123A6" w:rsidP="00B123A6">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AA6B6D">
        <w:rPr>
          <w:rFonts w:ascii="Arial Narrow" w:hAnsi="Arial Narrow" w:cs="Arial"/>
          <w:i/>
          <w:sz w:val="18"/>
          <w:szCs w:val="18"/>
        </w:rPr>
        <w:t>&lt; 500</w:t>
      </w:r>
    </w:p>
    <w:p w:rsidR="00B123A6" w:rsidRPr="009A6D58" w:rsidRDefault="00B123A6" w:rsidP="00B123A6">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AA6B6D">
        <w:rPr>
          <w:rFonts w:ascii="Arial Narrow" w:hAnsi="Arial Narrow" w:cs="Arial"/>
          <w:i/>
          <w:sz w:val="18"/>
          <w:szCs w:val="18"/>
        </w:rPr>
        <w:t>500 to &lt; 5,000</w:t>
      </w:r>
    </w:p>
    <w:p w:rsidR="00B123A6" w:rsidRPr="00AA6B6D" w:rsidRDefault="00B123A6" w:rsidP="00B123A6">
      <w:pPr>
        <w:rPr>
          <w:rFonts w:ascii="Arial Narrow" w:hAnsi="Arial Narrow" w:cs="Arial"/>
          <w:i/>
          <w:sz w:val="18"/>
          <w:szCs w:val="18"/>
        </w:rPr>
      </w:pPr>
      <w:r>
        <w:rPr>
          <w:rFonts w:ascii="Arial Narrow" w:hAnsi="Arial Narrow" w:cs="Arial"/>
          <w:i/>
          <w:sz w:val="18"/>
          <w:szCs w:val="18"/>
          <w:vertAlign w:val="superscript"/>
        </w:rPr>
        <w:t>3</w:t>
      </w:r>
      <w:r>
        <w:rPr>
          <w:rFonts w:ascii="Arial Narrow" w:hAnsi="Arial Narrow" w:cs="Arial"/>
          <w:i/>
          <w:sz w:val="18"/>
          <w:szCs w:val="18"/>
        </w:rPr>
        <w:t xml:space="preserve"> </w:t>
      </w:r>
      <w:r w:rsidRPr="00AA6B6D">
        <w:rPr>
          <w:rFonts w:ascii="Arial Narrow" w:hAnsi="Arial Narrow" w:cs="Arial"/>
          <w:i/>
          <w:sz w:val="18"/>
          <w:szCs w:val="18"/>
        </w:rPr>
        <w:t>5,000 to &lt; 10,000</w:t>
      </w:r>
    </w:p>
    <w:p w:rsidR="00B123A6" w:rsidRPr="00A71D24" w:rsidRDefault="00B123A6" w:rsidP="00B123A6">
      <w:pPr>
        <w:rPr>
          <w:rFonts w:ascii="Arial Narrow" w:hAnsi="Arial Narrow" w:cs="Arial"/>
          <w:i/>
          <w:sz w:val="18"/>
          <w:szCs w:val="18"/>
        </w:rPr>
      </w:pPr>
      <w:r w:rsidRPr="00734311">
        <w:rPr>
          <w:rFonts w:ascii="Arial Narrow" w:hAnsi="Arial Narrow" w:cs="Arial"/>
          <w:i/>
          <w:sz w:val="18"/>
          <w:szCs w:val="18"/>
          <w:vertAlign w:val="superscript"/>
        </w:rPr>
        <w:t>4</w:t>
      </w:r>
      <w:r>
        <w:rPr>
          <w:rFonts w:ascii="Arial Narrow" w:hAnsi="Arial Narrow" w:cs="Arial"/>
          <w:i/>
          <w:sz w:val="18"/>
          <w:szCs w:val="18"/>
          <w:vertAlign w:val="superscript"/>
        </w:rPr>
        <w:t xml:space="preserve"> </w:t>
      </w:r>
      <w:r w:rsidRPr="00734311">
        <w:rPr>
          <w:rFonts w:ascii="Arial Narrow" w:hAnsi="Arial Narrow" w:cs="Arial"/>
          <w:i/>
          <w:sz w:val="18"/>
          <w:szCs w:val="18"/>
        </w:rPr>
        <w:t>$10 million to &lt; $20 million</w:t>
      </w:r>
    </w:p>
    <w:p w:rsidR="00B123A6" w:rsidRPr="009A6D58" w:rsidRDefault="00B123A6" w:rsidP="00B123A6">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Pr="00734311">
        <w:rPr>
          <w:rFonts w:ascii="Arial Narrow" w:hAnsi="Arial Narrow" w:cs="Arial"/>
          <w:i/>
          <w:sz w:val="18"/>
          <w:szCs w:val="18"/>
        </w:rPr>
        <w:t>$</w:t>
      </w:r>
      <w:r>
        <w:rPr>
          <w:rFonts w:ascii="Arial Narrow" w:hAnsi="Arial Narrow" w:cs="Arial"/>
          <w:i/>
          <w:sz w:val="18"/>
          <w:szCs w:val="18"/>
        </w:rPr>
        <w:t>20 million to &lt; $3</w:t>
      </w:r>
      <w:r w:rsidRPr="00734311">
        <w:rPr>
          <w:rFonts w:ascii="Arial Narrow" w:hAnsi="Arial Narrow" w:cs="Arial"/>
          <w:i/>
          <w:sz w:val="18"/>
          <w:szCs w:val="18"/>
        </w:rPr>
        <w:t>0 million</w:t>
      </w:r>
    </w:p>
    <w:p w:rsidR="00B123A6" w:rsidRPr="00AA6B6D" w:rsidRDefault="00B123A6" w:rsidP="00B123A6">
      <w:pPr>
        <w:rPr>
          <w:rFonts w:ascii="Arial Narrow" w:hAnsi="Arial Narrow" w:cs="Arial"/>
          <w:i/>
          <w:sz w:val="18"/>
          <w:szCs w:val="18"/>
        </w:rPr>
      </w:pPr>
      <w:r>
        <w:rPr>
          <w:rFonts w:ascii="Arial Narrow" w:hAnsi="Arial Narrow" w:cs="Arial"/>
          <w:i/>
          <w:sz w:val="18"/>
          <w:szCs w:val="18"/>
          <w:vertAlign w:val="superscript"/>
        </w:rPr>
        <w:t>6</w:t>
      </w:r>
      <w:r>
        <w:rPr>
          <w:rFonts w:ascii="Arial Narrow" w:hAnsi="Arial Narrow" w:cs="Arial"/>
          <w:i/>
          <w:sz w:val="18"/>
          <w:szCs w:val="18"/>
        </w:rPr>
        <w:t xml:space="preserve"> </w:t>
      </w:r>
      <w:r w:rsidRPr="00734311">
        <w:rPr>
          <w:rFonts w:ascii="Arial Narrow" w:hAnsi="Arial Narrow" w:cs="Arial"/>
          <w:i/>
          <w:sz w:val="18"/>
          <w:szCs w:val="18"/>
        </w:rPr>
        <w:t>$</w:t>
      </w:r>
      <w:r>
        <w:rPr>
          <w:rFonts w:ascii="Arial Narrow" w:hAnsi="Arial Narrow" w:cs="Arial"/>
          <w:i/>
          <w:sz w:val="18"/>
          <w:szCs w:val="18"/>
        </w:rPr>
        <w:t>30 million to &lt; $4</w:t>
      </w:r>
      <w:r w:rsidRPr="00734311">
        <w:rPr>
          <w:rFonts w:ascii="Arial Narrow" w:hAnsi="Arial Narrow" w:cs="Arial"/>
          <w:i/>
          <w:sz w:val="18"/>
          <w:szCs w:val="18"/>
        </w:rPr>
        <w:t>0 million</w:t>
      </w:r>
    </w:p>
    <w:p w:rsidR="00B123A6" w:rsidRPr="00734311" w:rsidRDefault="00B123A6" w:rsidP="00B123A6">
      <w:pPr>
        <w:rPr>
          <w:rFonts w:ascii="Arial Narrow" w:hAnsi="Arial Narrow" w:cs="Arial"/>
          <w:i/>
          <w:sz w:val="18"/>
          <w:szCs w:val="18"/>
        </w:rPr>
      </w:pPr>
      <w:r>
        <w:rPr>
          <w:rFonts w:ascii="Arial Narrow" w:hAnsi="Arial Narrow" w:cs="Arial"/>
          <w:i/>
          <w:sz w:val="18"/>
          <w:szCs w:val="18"/>
          <w:vertAlign w:val="superscript"/>
        </w:rPr>
        <w:t xml:space="preserve">7 </w:t>
      </w:r>
      <w:r w:rsidRPr="00734311">
        <w:rPr>
          <w:rFonts w:ascii="Arial Narrow" w:hAnsi="Arial Narrow" w:cs="Arial"/>
          <w:i/>
          <w:sz w:val="18"/>
          <w:szCs w:val="18"/>
        </w:rPr>
        <w:t>$</w:t>
      </w:r>
      <w:r>
        <w:rPr>
          <w:rFonts w:ascii="Arial Narrow" w:hAnsi="Arial Narrow" w:cs="Arial"/>
          <w:i/>
          <w:sz w:val="18"/>
          <w:szCs w:val="18"/>
        </w:rPr>
        <w:t>4</w:t>
      </w:r>
      <w:r w:rsidRPr="00734311">
        <w:rPr>
          <w:rFonts w:ascii="Arial Narrow" w:hAnsi="Arial Narrow" w:cs="Arial"/>
          <w:i/>
          <w:sz w:val="18"/>
          <w:szCs w:val="18"/>
        </w:rPr>
        <w:t>0 million to &lt; $</w:t>
      </w:r>
      <w:r>
        <w:rPr>
          <w:rFonts w:ascii="Arial Narrow" w:hAnsi="Arial Narrow" w:cs="Arial"/>
          <w:i/>
          <w:sz w:val="18"/>
          <w:szCs w:val="18"/>
        </w:rPr>
        <w:t>5</w:t>
      </w:r>
      <w:r w:rsidRPr="00734311">
        <w:rPr>
          <w:rFonts w:ascii="Arial Narrow" w:hAnsi="Arial Narrow" w:cs="Arial"/>
          <w:i/>
          <w:sz w:val="18"/>
          <w:szCs w:val="18"/>
        </w:rPr>
        <w:t>0 million</w:t>
      </w:r>
    </w:p>
    <w:p w:rsidR="005224A0" w:rsidRPr="000C675E" w:rsidRDefault="005224A0" w:rsidP="009E7910">
      <w:pPr>
        <w:pStyle w:val="4-SubsectionHeading"/>
      </w:pPr>
      <w:bookmarkStart w:id="28" w:name="_Toc62040073"/>
      <w:r w:rsidRPr="000C675E">
        <w:t>Financial Management – Risk Sharing Arrangements</w:t>
      </w:r>
      <w:bookmarkEnd w:id="28"/>
    </w:p>
    <w:p w:rsidR="0005764A" w:rsidRPr="000C675E" w:rsidRDefault="0096383F" w:rsidP="00025724">
      <w:pPr>
        <w:pStyle w:val="3-BodyText"/>
      </w:pPr>
      <w:r w:rsidRPr="000C675E">
        <w:t xml:space="preserve">The PBAC advised in March </w:t>
      </w:r>
      <w:r w:rsidR="00AB2096" w:rsidRPr="000C675E">
        <w:t>20</w:t>
      </w:r>
      <w:r w:rsidRPr="000C675E">
        <w:t>21 that a resubmission should o</w:t>
      </w:r>
      <w:r w:rsidR="005224A0" w:rsidRPr="000C675E">
        <w:t xml:space="preserve">utline a </w:t>
      </w:r>
      <w:r w:rsidR="000C675E">
        <w:t>R</w:t>
      </w:r>
      <w:r w:rsidR="000C675E" w:rsidRPr="000C675E">
        <w:t>isk</w:t>
      </w:r>
      <w:r w:rsidR="00AB2096" w:rsidRPr="000C675E">
        <w:t>-</w:t>
      </w:r>
      <w:r w:rsidR="000C675E">
        <w:t>S</w:t>
      </w:r>
      <w:r w:rsidR="000C675E" w:rsidRPr="000C675E">
        <w:t xml:space="preserve">haring </w:t>
      </w:r>
      <w:r w:rsidR="000C675E">
        <w:t>A</w:t>
      </w:r>
      <w:r w:rsidR="000C675E" w:rsidRPr="000C675E">
        <w:t xml:space="preserve">rrangement </w:t>
      </w:r>
      <w:r w:rsidR="00AB2096" w:rsidRPr="000C675E">
        <w:t>(</w:t>
      </w:r>
      <w:r w:rsidR="005224A0" w:rsidRPr="000C675E">
        <w:t>RSA</w:t>
      </w:r>
      <w:r w:rsidR="00AB2096" w:rsidRPr="000C675E">
        <w:t>)</w:t>
      </w:r>
      <w:r w:rsidR="005224A0" w:rsidRPr="000C675E">
        <w:t xml:space="preserve"> to manage </w:t>
      </w:r>
      <w:r w:rsidR="000C675E">
        <w:t xml:space="preserve">the </w:t>
      </w:r>
      <w:r w:rsidR="005224A0" w:rsidRPr="000C675E">
        <w:t>risk of use in patients previously considered fit for standard intensive remission reduction regimens</w:t>
      </w:r>
      <w:r w:rsidRPr="000C675E">
        <w:t xml:space="preserve"> (</w:t>
      </w:r>
      <w:r w:rsidR="00AB2096" w:rsidRPr="0075328D">
        <w:t xml:space="preserve">paragraph 7.13, VTX, PSD, </w:t>
      </w:r>
      <w:r w:rsidRPr="000C675E">
        <w:t xml:space="preserve">PBAC </w:t>
      </w:r>
      <w:r w:rsidR="00025724">
        <w:t>PSD</w:t>
      </w:r>
      <w:r w:rsidR="00AB2096" w:rsidRPr="000C675E">
        <w:t>, March 2021 PBAC meeting</w:t>
      </w:r>
      <w:r w:rsidRPr="000C675E">
        <w:t>)</w:t>
      </w:r>
      <w:r w:rsidR="005224A0" w:rsidRPr="000C675E">
        <w:t>.</w:t>
      </w:r>
      <w:r w:rsidRPr="000C675E">
        <w:t xml:space="preserve"> </w:t>
      </w:r>
      <w:r w:rsidR="000B5894" w:rsidRPr="000C675E">
        <w:t>The resubmission proposed an</w:t>
      </w:r>
      <w:r w:rsidRPr="000C675E">
        <w:t xml:space="preserve"> </w:t>
      </w:r>
      <w:r w:rsidR="000B5894" w:rsidRPr="000C675E">
        <w:t>RSA</w:t>
      </w:r>
      <w:r w:rsidRPr="000C675E">
        <w:t xml:space="preserve"> with expenditure caps based on the net PBS/RPBS cost for VTX as outlined in </w:t>
      </w:r>
      <w:r w:rsidR="003A5046" w:rsidRPr="000C675E">
        <w:t xml:space="preserve">Table </w:t>
      </w:r>
      <w:r w:rsidR="003A5046" w:rsidRPr="00A12350">
        <w:t>8</w:t>
      </w:r>
      <w:r w:rsidRPr="000C675E">
        <w:t xml:space="preserve"> (</w:t>
      </w:r>
      <w:r w:rsidR="00025724" w:rsidRPr="00025724">
        <w:t>$10 million to &lt; $20 million</w:t>
      </w:r>
      <w:r w:rsidRPr="000C675E">
        <w:t xml:space="preserve"> in year 1 increasing to </w:t>
      </w:r>
      <w:r w:rsidR="00025724">
        <w:t>$20 million to &lt; $3</w:t>
      </w:r>
      <w:r w:rsidR="00025724" w:rsidRPr="00025724">
        <w:t>0 million</w:t>
      </w:r>
      <w:r w:rsidRPr="000C675E">
        <w:t xml:space="preserve">in year 6) with a rebate of </w:t>
      </w:r>
      <w:r w:rsidR="00777702">
        <w:rPr>
          <w:noProof/>
          <w:color w:val="000000"/>
          <w:highlight w:val="black"/>
        </w:rPr>
        <w:t>'''''</w:t>
      </w:r>
      <w:r w:rsidRPr="000C675E">
        <w:t>% applied to use beyond the annual cap</w:t>
      </w:r>
      <w:r w:rsidR="000B5894" w:rsidRPr="000C675E">
        <w:t>.</w:t>
      </w:r>
      <w:bookmarkStart w:id="29" w:name="_Hlk76381249"/>
    </w:p>
    <w:p w:rsidR="00736154" w:rsidRPr="0075328D" w:rsidRDefault="00736154" w:rsidP="0005764A">
      <w:pPr>
        <w:pStyle w:val="2-SectionHeading"/>
      </w:pPr>
      <w:r w:rsidRPr="0075328D">
        <w:t>PBAC Outcome</w:t>
      </w:r>
    </w:p>
    <w:p w:rsidR="008B1110" w:rsidRPr="00A12350" w:rsidRDefault="00C04202" w:rsidP="00B64E9F">
      <w:pPr>
        <w:pStyle w:val="3-BodyText"/>
        <w:rPr>
          <w:rFonts w:cs="Arial"/>
          <w:snapToGrid w:val="0"/>
          <w:lang w:eastAsia="en-US"/>
        </w:rPr>
      </w:pPr>
      <w:r w:rsidRPr="00A12350">
        <w:rPr>
          <w:rFonts w:cs="Arial"/>
          <w:snapToGrid w:val="0"/>
          <w:lang w:eastAsia="en-US"/>
        </w:rPr>
        <w:t>The PBAC recommended the listing of venetoclax</w:t>
      </w:r>
      <w:r w:rsidR="00211201" w:rsidRPr="00A12350">
        <w:rPr>
          <w:rFonts w:cs="Arial"/>
          <w:snapToGrid w:val="0"/>
          <w:lang w:eastAsia="en-US"/>
        </w:rPr>
        <w:t xml:space="preserve"> (VTX)</w:t>
      </w:r>
      <w:r w:rsidRPr="00A12350">
        <w:rPr>
          <w:rFonts w:cs="Arial"/>
          <w:snapToGrid w:val="0"/>
          <w:lang w:eastAsia="en-US"/>
        </w:rPr>
        <w:t xml:space="preserve"> in combination with azacitidine</w:t>
      </w:r>
      <w:r w:rsidR="00211201" w:rsidRPr="00A12350">
        <w:rPr>
          <w:rFonts w:cs="Arial"/>
          <w:snapToGrid w:val="0"/>
          <w:lang w:eastAsia="en-US"/>
        </w:rPr>
        <w:t xml:space="preserve"> (AZA)</w:t>
      </w:r>
      <w:r w:rsidRPr="00A12350">
        <w:rPr>
          <w:rFonts w:cs="Arial"/>
          <w:snapToGrid w:val="0"/>
          <w:lang w:eastAsia="en-US"/>
        </w:rPr>
        <w:t>,</w:t>
      </w:r>
      <w:r w:rsidR="007A7257" w:rsidRPr="00A12350">
        <w:rPr>
          <w:rFonts w:cs="Arial"/>
          <w:snapToGrid w:val="0"/>
          <w:lang w:eastAsia="en-US"/>
        </w:rPr>
        <w:t xml:space="preserve"> for the treatment of patients with newly diagnosed acute myeloid leukaemia, who are ineligible for standard intensive remission induction chemotherapy. </w:t>
      </w:r>
      <w:r w:rsidRPr="00A12350">
        <w:rPr>
          <w:rFonts w:cs="Arial"/>
          <w:snapToGrid w:val="0"/>
          <w:lang w:eastAsia="en-US"/>
        </w:rPr>
        <w:t xml:space="preserve">The PBAC is satisfied that venetoclax in combination with azacitidine provides, for some patients, a significant improvement in efficacy over </w:t>
      </w:r>
      <w:r w:rsidR="007A7257" w:rsidRPr="00A12350">
        <w:rPr>
          <w:rFonts w:cs="Arial"/>
          <w:snapToGrid w:val="0"/>
          <w:lang w:eastAsia="en-US"/>
        </w:rPr>
        <w:t>low-intensity azacitidine or low-dose cytarabine.</w:t>
      </w:r>
      <w:r w:rsidR="00B64E9F">
        <w:rPr>
          <w:rFonts w:cs="Arial"/>
          <w:snapToGrid w:val="0"/>
          <w:lang w:eastAsia="en-US"/>
        </w:rPr>
        <w:t xml:space="preserve"> </w:t>
      </w:r>
      <w:r w:rsidR="00B64E9F" w:rsidRPr="003F32CB">
        <w:rPr>
          <w:rFonts w:cs="Arial"/>
          <w:snapToGrid w:val="0"/>
          <w:lang w:eastAsia="en-US"/>
        </w:rPr>
        <w:t xml:space="preserve">The PBAC recommended that AZA should remain available only under special arrangements </w:t>
      </w:r>
      <w:r w:rsidR="00B00157">
        <w:rPr>
          <w:rFonts w:cs="Arial"/>
          <w:snapToGrid w:val="0"/>
          <w:lang w:eastAsia="en-US"/>
        </w:rPr>
        <w:t>under</w:t>
      </w:r>
      <w:r w:rsidR="00B00157" w:rsidRPr="003F32CB">
        <w:rPr>
          <w:rFonts w:cs="Arial"/>
          <w:snapToGrid w:val="0"/>
          <w:lang w:eastAsia="en-US"/>
        </w:rPr>
        <w:t xml:space="preserve"> </w:t>
      </w:r>
      <w:r w:rsidR="00B64E9F" w:rsidRPr="003F32CB">
        <w:rPr>
          <w:rFonts w:cs="Arial"/>
          <w:snapToGrid w:val="0"/>
          <w:lang w:eastAsia="en-US"/>
        </w:rPr>
        <w:t xml:space="preserve">the Section 100 Highly Specialised Drugs Program, while the VTX listing should remain available </w:t>
      </w:r>
      <w:r w:rsidR="008C7276">
        <w:rPr>
          <w:rFonts w:cs="Arial"/>
          <w:snapToGrid w:val="0"/>
          <w:lang w:eastAsia="en-US"/>
        </w:rPr>
        <w:t xml:space="preserve">through </w:t>
      </w:r>
      <w:r w:rsidR="00B64E9F" w:rsidRPr="003F32CB">
        <w:rPr>
          <w:rFonts w:cs="Arial"/>
          <w:snapToGrid w:val="0"/>
          <w:lang w:eastAsia="en-US"/>
        </w:rPr>
        <w:t>the General Schedule.</w:t>
      </w:r>
    </w:p>
    <w:p w:rsidR="008B1110" w:rsidRPr="00A12350" w:rsidRDefault="00C04202" w:rsidP="008B1110">
      <w:pPr>
        <w:pStyle w:val="3-BodyText"/>
        <w:rPr>
          <w:rFonts w:cs="Arial"/>
          <w:snapToGrid w:val="0"/>
          <w:lang w:eastAsia="en-US"/>
        </w:rPr>
      </w:pPr>
      <w:r w:rsidRPr="00A12350">
        <w:rPr>
          <w:rFonts w:cs="Arial"/>
          <w:snapToGrid w:val="0"/>
          <w:lang w:eastAsia="en-US"/>
        </w:rPr>
        <w:t>The PBAC’s recommendation for listing was based on, among other matters, its assessment</w:t>
      </w:r>
      <w:r w:rsidR="007F67ED" w:rsidRPr="00A12350">
        <w:rPr>
          <w:rFonts w:cs="Arial"/>
          <w:snapToGrid w:val="0"/>
          <w:lang w:eastAsia="en-US"/>
        </w:rPr>
        <w:t xml:space="preserve"> </w:t>
      </w:r>
      <w:r w:rsidRPr="00A12350">
        <w:rPr>
          <w:rFonts w:cs="Arial"/>
          <w:snapToGrid w:val="0"/>
          <w:lang w:eastAsia="en-US"/>
        </w:rPr>
        <w:t>that the cost</w:t>
      </w:r>
      <w:r w:rsidR="003371BB" w:rsidRPr="00A12350">
        <w:rPr>
          <w:rFonts w:cs="Arial"/>
          <w:snapToGrid w:val="0"/>
          <w:lang w:eastAsia="en-US"/>
        </w:rPr>
        <w:t xml:space="preserve"> </w:t>
      </w:r>
      <w:r w:rsidRPr="00A12350">
        <w:rPr>
          <w:rFonts w:cs="Arial"/>
          <w:snapToGrid w:val="0"/>
          <w:lang w:eastAsia="en-US"/>
        </w:rPr>
        <w:t xml:space="preserve">effectiveness of </w:t>
      </w:r>
      <w:r w:rsidR="00EF3451" w:rsidRPr="00A12350">
        <w:rPr>
          <w:rFonts w:cs="Arial"/>
          <w:snapToGrid w:val="0"/>
          <w:lang w:eastAsia="en-US"/>
        </w:rPr>
        <w:t>VTX</w:t>
      </w:r>
      <w:r w:rsidRPr="00A12350">
        <w:rPr>
          <w:rFonts w:cs="Arial"/>
          <w:snapToGrid w:val="0"/>
          <w:lang w:eastAsia="en-US"/>
        </w:rPr>
        <w:t xml:space="preserve"> would be acceptable </w:t>
      </w:r>
      <w:r w:rsidR="008127B3">
        <w:rPr>
          <w:rFonts w:cs="Arial"/>
          <w:snapToGrid w:val="0"/>
          <w:lang w:eastAsia="en-US"/>
        </w:rPr>
        <w:t xml:space="preserve">at an </w:t>
      </w:r>
      <w:r w:rsidR="008A1791" w:rsidRPr="00A12350">
        <w:rPr>
          <w:rFonts w:cs="Arial"/>
          <w:snapToGrid w:val="0"/>
          <w:lang w:eastAsia="en-US"/>
        </w:rPr>
        <w:t xml:space="preserve">ICER </w:t>
      </w:r>
      <w:r w:rsidR="008127B3">
        <w:rPr>
          <w:rFonts w:cs="Arial"/>
          <w:snapToGrid w:val="0"/>
          <w:lang w:eastAsia="en-US"/>
        </w:rPr>
        <w:t xml:space="preserve">of $82,664 per QALY or lower, </w:t>
      </w:r>
      <w:r w:rsidR="008A1791" w:rsidRPr="00A12350">
        <w:rPr>
          <w:rFonts w:cs="Arial"/>
          <w:snapToGrid w:val="0"/>
          <w:lang w:eastAsia="en-US"/>
        </w:rPr>
        <w:t>for the PBAC model scenario. The PBAC noted that this ICER was presented in the pre-PBAC response and relied on inclusion of the expected 38.61% price reduction for AZA on 1 October 2021 (</w:t>
      </w:r>
      <w:r w:rsidR="008A1791" w:rsidRPr="000C675E">
        <w:t xml:space="preserve">Table </w:t>
      </w:r>
      <w:r w:rsidR="008A1791" w:rsidRPr="00A12350">
        <w:t>5</w:t>
      </w:r>
      <w:r w:rsidR="008A1791" w:rsidRPr="00A12350">
        <w:rPr>
          <w:rFonts w:cs="Arial"/>
          <w:snapToGrid w:val="0"/>
          <w:lang w:eastAsia="en-US"/>
        </w:rPr>
        <w:t>).</w:t>
      </w:r>
      <w:r w:rsidR="00B00157">
        <w:rPr>
          <w:rFonts w:cs="Arial"/>
          <w:snapToGrid w:val="0"/>
          <w:lang w:eastAsia="en-US"/>
        </w:rPr>
        <w:t xml:space="preserve"> The PBAC noted that implementation of the listings could only proceed based on </w:t>
      </w:r>
      <w:r w:rsidR="008857BA">
        <w:rPr>
          <w:rFonts w:cs="Arial"/>
          <w:snapToGrid w:val="0"/>
          <w:lang w:eastAsia="en-US"/>
        </w:rPr>
        <w:t xml:space="preserve">actual </w:t>
      </w:r>
      <w:r w:rsidR="00B00157">
        <w:rPr>
          <w:rFonts w:cs="Arial"/>
          <w:snapToGrid w:val="0"/>
          <w:lang w:eastAsia="en-US"/>
        </w:rPr>
        <w:t xml:space="preserve">prices. </w:t>
      </w:r>
    </w:p>
    <w:p w:rsidR="008B2D85" w:rsidRPr="000C675E" w:rsidRDefault="003371BB" w:rsidP="008B2D85">
      <w:pPr>
        <w:pStyle w:val="3-BodyText"/>
        <w:rPr>
          <w:rFonts w:ascii="Times New Roman" w:hAnsi="Times New Roman"/>
          <w:lang w:eastAsia="en-US"/>
        </w:rPr>
      </w:pPr>
      <w:r w:rsidRPr="000C675E">
        <w:rPr>
          <w:rFonts w:cs="Arial"/>
          <w:snapToGrid w:val="0"/>
          <w:lang w:eastAsia="en-US"/>
        </w:rPr>
        <w:t xml:space="preserve">The PBAC </w:t>
      </w:r>
      <w:r w:rsidR="008B2D85" w:rsidRPr="000C675E">
        <w:rPr>
          <w:rFonts w:cs="Arial"/>
          <w:snapToGrid w:val="0"/>
          <w:lang w:eastAsia="en-US"/>
        </w:rPr>
        <w:t xml:space="preserve">recalled that the March 2021 submission had </w:t>
      </w:r>
      <w:r w:rsidRPr="000C675E">
        <w:rPr>
          <w:rFonts w:cs="Arial"/>
          <w:snapToGrid w:val="0"/>
          <w:lang w:eastAsia="en-US"/>
        </w:rPr>
        <w:t xml:space="preserve">nominated </w:t>
      </w:r>
      <w:r w:rsidR="00EF3451" w:rsidRPr="000C675E">
        <w:rPr>
          <w:rFonts w:cs="Arial"/>
          <w:snapToGrid w:val="0"/>
          <w:lang w:eastAsia="en-US"/>
        </w:rPr>
        <w:t>AZA</w:t>
      </w:r>
      <w:r w:rsidRPr="0075328D">
        <w:rPr>
          <w:rFonts w:cs="Arial"/>
          <w:snapToGrid w:val="0"/>
          <w:lang w:eastAsia="en-US"/>
        </w:rPr>
        <w:t xml:space="preserve"> monotherapy as the main comparator, and </w:t>
      </w:r>
      <w:r w:rsidR="00EF3451" w:rsidRPr="000C675E">
        <w:rPr>
          <w:rFonts w:cs="Arial"/>
          <w:snapToGrid w:val="0"/>
          <w:lang w:eastAsia="en-US"/>
        </w:rPr>
        <w:t>LoDAC</w:t>
      </w:r>
      <w:r w:rsidRPr="000C675E">
        <w:rPr>
          <w:rFonts w:cs="Arial"/>
          <w:snapToGrid w:val="0"/>
          <w:lang w:eastAsia="en-US"/>
        </w:rPr>
        <w:t xml:space="preserve"> as a secondary comparator. </w:t>
      </w:r>
      <w:r w:rsidR="00430C89" w:rsidRPr="000C675E">
        <w:rPr>
          <w:rFonts w:cs="Arial"/>
          <w:snapToGrid w:val="0"/>
          <w:lang w:eastAsia="en-US"/>
        </w:rPr>
        <w:t>The PBAC</w:t>
      </w:r>
      <w:r w:rsidR="008B2D85" w:rsidRPr="000C675E">
        <w:rPr>
          <w:rFonts w:cs="Arial"/>
          <w:snapToGrid w:val="0"/>
          <w:lang w:eastAsia="en-US"/>
        </w:rPr>
        <w:t xml:space="preserve"> </w:t>
      </w:r>
      <w:r w:rsidR="00DD0F9C" w:rsidRPr="000C675E">
        <w:rPr>
          <w:rFonts w:cs="Arial"/>
          <w:snapToGrid w:val="0"/>
          <w:lang w:eastAsia="en-US"/>
        </w:rPr>
        <w:t xml:space="preserve">recalled that it </w:t>
      </w:r>
      <w:r w:rsidR="008B2D85" w:rsidRPr="000C675E">
        <w:rPr>
          <w:rFonts w:cs="Arial"/>
          <w:snapToGrid w:val="0"/>
          <w:lang w:eastAsia="en-US"/>
        </w:rPr>
        <w:t xml:space="preserve">had </w:t>
      </w:r>
      <w:r w:rsidRPr="000C675E">
        <w:rPr>
          <w:rFonts w:cs="Arial"/>
          <w:snapToGrid w:val="0"/>
          <w:lang w:eastAsia="en-US"/>
        </w:rPr>
        <w:t xml:space="preserve">considered that the combination of </w:t>
      </w:r>
      <w:r w:rsidR="00EF3451" w:rsidRPr="000C675E">
        <w:rPr>
          <w:rFonts w:cs="Arial"/>
          <w:snapToGrid w:val="0"/>
          <w:lang w:eastAsia="en-US"/>
        </w:rPr>
        <w:t>VTX</w:t>
      </w:r>
      <w:r w:rsidRPr="000C675E">
        <w:rPr>
          <w:rFonts w:cs="Arial"/>
          <w:snapToGrid w:val="0"/>
          <w:lang w:eastAsia="en-US"/>
        </w:rPr>
        <w:t xml:space="preserve"> with </w:t>
      </w:r>
      <w:r w:rsidR="00EF3451" w:rsidRPr="000C675E">
        <w:rPr>
          <w:rFonts w:cs="Arial"/>
          <w:snapToGrid w:val="0"/>
          <w:lang w:eastAsia="en-US"/>
        </w:rPr>
        <w:t>AZA</w:t>
      </w:r>
      <w:r w:rsidRPr="000C675E">
        <w:rPr>
          <w:rFonts w:cs="Arial"/>
          <w:snapToGrid w:val="0"/>
          <w:lang w:eastAsia="en-US"/>
        </w:rPr>
        <w:t xml:space="preserve"> offered a meaningful clinical improvement</w:t>
      </w:r>
      <w:r w:rsidR="008B2D85" w:rsidRPr="000C675E">
        <w:rPr>
          <w:rFonts w:cs="Arial"/>
          <w:snapToGrid w:val="0"/>
          <w:lang w:eastAsia="en-US"/>
        </w:rPr>
        <w:t xml:space="preserve"> for the proposed </w:t>
      </w:r>
      <w:r w:rsidR="00EF3451" w:rsidRPr="000C675E">
        <w:rPr>
          <w:rFonts w:cs="Arial"/>
          <w:snapToGrid w:val="0"/>
          <w:lang w:eastAsia="en-US"/>
        </w:rPr>
        <w:t xml:space="preserve">PBS </w:t>
      </w:r>
      <w:r w:rsidR="008B2D85" w:rsidRPr="000C675E">
        <w:rPr>
          <w:rFonts w:cs="Arial"/>
          <w:snapToGrid w:val="0"/>
          <w:lang w:eastAsia="en-US"/>
        </w:rPr>
        <w:t>patient population</w:t>
      </w:r>
      <w:r w:rsidRPr="000C675E">
        <w:rPr>
          <w:rFonts w:cs="Arial"/>
          <w:snapToGrid w:val="0"/>
          <w:lang w:eastAsia="en-US"/>
        </w:rPr>
        <w:t xml:space="preserve">, but that the </w:t>
      </w:r>
      <w:r w:rsidR="00EF3451" w:rsidRPr="000C675E">
        <w:rPr>
          <w:rFonts w:cs="Arial"/>
          <w:snapToGrid w:val="0"/>
          <w:lang w:eastAsia="en-US"/>
        </w:rPr>
        <w:t>ICER</w:t>
      </w:r>
      <w:r w:rsidRPr="000C675E">
        <w:rPr>
          <w:rFonts w:cs="Arial"/>
          <w:snapToGrid w:val="0"/>
          <w:lang w:eastAsia="en-US"/>
        </w:rPr>
        <w:t xml:space="preserve"> was high, and for the comparison with </w:t>
      </w:r>
      <w:r w:rsidR="00EF3451" w:rsidRPr="000C675E">
        <w:rPr>
          <w:rFonts w:cs="Arial"/>
          <w:snapToGrid w:val="0"/>
          <w:lang w:eastAsia="en-US"/>
        </w:rPr>
        <w:t>LoDAC</w:t>
      </w:r>
      <w:r w:rsidRPr="000C675E">
        <w:rPr>
          <w:rFonts w:cs="Arial"/>
          <w:snapToGrid w:val="0"/>
          <w:lang w:eastAsia="en-US"/>
        </w:rPr>
        <w:t xml:space="preserve"> uncertain, and that a price reduction would be needed to achieve a cost-effective listing. In addition, the PBAC </w:t>
      </w:r>
      <w:r w:rsidR="008B2D85" w:rsidRPr="000C675E">
        <w:rPr>
          <w:rFonts w:cs="Arial"/>
          <w:snapToGrid w:val="0"/>
          <w:lang w:eastAsia="en-US"/>
        </w:rPr>
        <w:t xml:space="preserve">recalled that it had </w:t>
      </w:r>
      <w:r w:rsidRPr="000C675E">
        <w:rPr>
          <w:rFonts w:cs="Arial"/>
          <w:snapToGrid w:val="0"/>
          <w:lang w:eastAsia="en-US"/>
        </w:rPr>
        <w:t xml:space="preserve">considered that patients </w:t>
      </w:r>
      <w:bookmarkStart w:id="30" w:name="_Hlk78296674"/>
      <w:r w:rsidRPr="000C675E">
        <w:rPr>
          <w:rFonts w:cs="Arial"/>
          <w:snapToGrid w:val="0"/>
          <w:lang w:eastAsia="en-US"/>
        </w:rPr>
        <w:t xml:space="preserve">whose eligibility for a standard intensive remission induction chemotherapy regimen was currently “borderline” </w:t>
      </w:r>
      <w:bookmarkEnd w:id="30"/>
      <w:r w:rsidRPr="000C675E">
        <w:rPr>
          <w:rFonts w:cs="Arial"/>
          <w:snapToGrid w:val="0"/>
          <w:lang w:eastAsia="en-US"/>
        </w:rPr>
        <w:t xml:space="preserve">would likely seek treatment with </w:t>
      </w:r>
      <w:r w:rsidR="00EF3451" w:rsidRPr="000C675E">
        <w:rPr>
          <w:rFonts w:cs="Arial"/>
          <w:snapToGrid w:val="0"/>
          <w:lang w:eastAsia="en-US"/>
        </w:rPr>
        <w:t>VTX</w:t>
      </w:r>
      <w:r w:rsidRPr="000C675E">
        <w:rPr>
          <w:rFonts w:cs="Arial"/>
          <w:snapToGrid w:val="0"/>
          <w:lang w:eastAsia="en-US"/>
        </w:rPr>
        <w:t xml:space="preserve"> once listed on the PBS</w:t>
      </w:r>
      <w:r w:rsidR="00EF3451" w:rsidRPr="000C675E">
        <w:rPr>
          <w:rFonts w:cs="Arial"/>
          <w:snapToGrid w:val="0"/>
          <w:lang w:eastAsia="en-US"/>
        </w:rPr>
        <w:t xml:space="preserve"> and so an RSA</w:t>
      </w:r>
      <w:r w:rsidRPr="000C675E">
        <w:rPr>
          <w:rFonts w:cs="Arial"/>
          <w:snapToGrid w:val="0"/>
          <w:lang w:eastAsia="en-US"/>
        </w:rPr>
        <w:t xml:space="preserve"> would be necessary to manage the risk of uptake in these patients </w:t>
      </w:r>
      <w:r w:rsidR="007D68C6" w:rsidRPr="000C675E">
        <w:rPr>
          <w:rFonts w:cs="Arial"/>
          <w:snapToGrid w:val="0"/>
          <w:lang w:eastAsia="en-US"/>
        </w:rPr>
        <w:t>where</w:t>
      </w:r>
      <w:r w:rsidRPr="000C675E">
        <w:rPr>
          <w:rFonts w:cs="Arial"/>
          <w:snapToGrid w:val="0"/>
          <w:lang w:eastAsia="en-US"/>
        </w:rPr>
        <w:t xml:space="preserve"> cost-effectiveness ha</w:t>
      </w:r>
      <w:r w:rsidR="00452E56" w:rsidRPr="000C675E">
        <w:rPr>
          <w:rFonts w:cs="Arial"/>
          <w:snapToGrid w:val="0"/>
          <w:lang w:eastAsia="en-US"/>
        </w:rPr>
        <w:t>d</w:t>
      </w:r>
      <w:r w:rsidRPr="000C675E">
        <w:rPr>
          <w:rFonts w:cs="Arial"/>
          <w:snapToGrid w:val="0"/>
          <w:lang w:eastAsia="en-US"/>
        </w:rPr>
        <w:t xml:space="preserve"> not been established.</w:t>
      </w:r>
      <w:r w:rsidR="008B2D85" w:rsidRPr="000C675E">
        <w:rPr>
          <w:rFonts w:cs="Arial"/>
          <w:snapToGrid w:val="0"/>
          <w:lang w:eastAsia="en-US"/>
        </w:rPr>
        <w:t xml:space="preserve"> </w:t>
      </w:r>
      <w:r w:rsidR="00EF3451" w:rsidRPr="000C675E">
        <w:rPr>
          <w:rFonts w:cs="Arial"/>
          <w:snapToGrid w:val="0"/>
          <w:lang w:eastAsia="en-US"/>
        </w:rPr>
        <w:t>T</w:t>
      </w:r>
      <w:r w:rsidR="008B2D85" w:rsidRPr="000C675E">
        <w:rPr>
          <w:rFonts w:cs="Arial"/>
          <w:snapToGrid w:val="0"/>
          <w:lang w:eastAsia="en-US"/>
        </w:rPr>
        <w:t xml:space="preserve">he PBAC </w:t>
      </w:r>
      <w:r w:rsidR="0069475E" w:rsidRPr="000C675E">
        <w:rPr>
          <w:rFonts w:cs="Arial"/>
          <w:snapToGrid w:val="0"/>
          <w:lang w:eastAsia="en-US"/>
        </w:rPr>
        <w:t xml:space="preserve">recalled it </w:t>
      </w:r>
      <w:r w:rsidR="00EF3451" w:rsidRPr="000C675E">
        <w:rPr>
          <w:rFonts w:cs="Arial"/>
          <w:snapToGrid w:val="0"/>
          <w:lang w:eastAsia="en-US"/>
        </w:rPr>
        <w:t>ha</w:t>
      </w:r>
      <w:r w:rsidR="00C91DD8" w:rsidRPr="000C675E">
        <w:rPr>
          <w:rFonts w:cs="Arial"/>
          <w:snapToGrid w:val="0"/>
          <w:lang w:eastAsia="en-US"/>
        </w:rPr>
        <w:t xml:space="preserve">d </w:t>
      </w:r>
      <w:r w:rsidR="008B2D85" w:rsidRPr="000C675E">
        <w:rPr>
          <w:rFonts w:cs="Arial"/>
          <w:snapToGrid w:val="0"/>
          <w:lang w:eastAsia="en-US"/>
        </w:rPr>
        <w:t>considered</w:t>
      </w:r>
      <w:r w:rsidR="00C91DD8" w:rsidRPr="000C675E">
        <w:rPr>
          <w:rFonts w:cs="Arial"/>
          <w:snapToGrid w:val="0"/>
          <w:lang w:eastAsia="en-US"/>
        </w:rPr>
        <w:t xml:space="preserve"> that</w:t>
      </w:r>
      <w:r w:rsidR="008B2D85" w:rsidRPr="000C675E">
        <w:rPr>
          <w:rFonts w:cs="Arial"/>
          <w:snapToGrid w:val="0"/>
          <w:lang w:eastAsia="en-US"/>
        </w:rPr>
        <w:t xml:space="preserve"> the</w:t>
      </w:r>
      <w:r w:rsidR="00452E56" w:rsidRPr="000C675E">
        <w:rPr>
          <w:rFonts w:cs="Arial"/>
          <w:snapToGrid w:val="0"/>
          <w:lang w:eastAsia="en-US"/>
        </w:rPr>
        <w:t>se</w:t>
      </w:r>
      <w:r w:rsidR="008B2D85" w:rsidRPr="000C675E">
        <w:rPr>
          <w:rFonts w:cs="Arial"/>
          <w:snapToGrid w:val="0"/>
          <w:lang w:eastAsia="en-US"/>
        </w:rPr>
        <w:t xml:space="preserve"> outstanding issues </w:t>
      </w:r>
      <w:r w:rsidR="00EF3451" w:rsidRPr="000C675E">
        <w:rPr>
          <w:rFonts w:cs="Arial"/>
          <w:snapToGrid w:val="0"/>
          <w:lang w:eastAsia="en-US"/>
        </w:rPr>
        <w:t>could b</w:t>
      </w:r>
      <w:r w:rsidR="008B2D85" w:rsidRPr="000C675E">
        <w:rPr>
          <w:rFonts w:cs="Arial"/>
          <w:snapToGrid w:val="0"/>
          <w:lang w:eastAsia="en-US"/>
        </w:rPr>
        <w:t xml:space="preserve">e addressed in a simple resubmission if </w:t>
      </w:r>
      <w:r w:rsidR="00C91DD8" w:rsidRPr="000C675E">
        <w:rPr>
          <w:rFonts w:cs="Arial"/>
          <w:snapToGrid w:val="0"/>
          <w:lang w:eastAsia="en-US"/>
        </w:rPr>
        <w:t xml:space="preserve">the changes outlined in paragraph 7.13 of the previous </w:t>
      </w:r>
      <w:r w:rsidR="00672346">
        <w:rPr>
          <w:rFonts w:cs="Arial"/>
          <w:snapToGrid w:val="0"/>
          <w:lang w:eastAsia="en-US"/>
        </w:rPr>
        <w:t>PSD</w:t>
      </w:r>
      <w:r w:rsidR="00672346" w:rsidRPr="000C675E">
        <w:rPr>
          <w:rFonts w:cs="Arial"/>
          <w:snapToGrid w:val="0"/>
          <w:lang w:eastAsia="en-US"/>
        </w:rPr>
        <w:t xml:space="preserve"> </w:t>
      </w:r>
      <w:r w:rsidR="00C91DD8" w:rsidRPr="000C675E">
        <w:rPr>
          <w:rFonts w:cs="Arial"/>
          <w:snapToGrid w:val="0"/>
          <w:lang w:eastAsia="en-US"/>
        </w:rPr>
        <w:t>were mad</w:t>
      </w:r>
      <w:r w:rsidR="007D68C6" w:rsidRPr="000C675E">
        <w:rPr>
          <w:rFonts w:cs="Arial"/>
          <w:snapToGrid w:val="0"/>
          <w:lang w:eastAsia="en-US"/>
        </w:rPr>
        <w:t>e</w:t>
      </w:r>
      <w:r w:rsidR="008B2D85" w:rsidRPr="000C675E">
        <w:rPr>
          <w:rFonts w:cs="Arial"/>
          <w:snapToGrid w:val="0"/>
          <w:lang w:eastAsia="en-US"/>
        </w:rPr>
        <w:t>, without any additional amendments to the economic evaluation or financial implications</w:t>
      </w:r>
      <w:r w:rsidR="007D68C6" w:rsidRPr="000C675E">
        <w:rPr>
          <w:rFonts w:cs="Arial"/>
          <w:snapToGrid w:val="0"/>
          <w:lang w:eastAsia="en-US"/>
        </w:rPr>
        <w:t xml:space="preserve"> (see </w:t>
      </w:r>
      <w:r w:rsidR="003A5046" w:rsidRPr="000C675E">
        <w:t xml:space="preserve">Table </w:t>
      </w:r>
      <w:r w:rsidR="003A5046" w:rsidRPr="00A12350">
        <w:t>1</w:t>
      </w:r>
      <w:r w:rsidR="007D68C6" w:rsidRPr="000C675E">
        <w:rPr>
          <w:rFonts w:cs="Arial"/>
          <w:snapToGrid w:val="0"/>
          <w:lang w:eastAsia="en-US"/>
        </w:rPr>
        <w:t xml:space="preserve"> for details)</w:t>
      </w:r>
      <w:r w:rsidR="00C91DD8" w:rsidRPr="000C675E">
        <w:rPr>
          <w:rFonts w:cs="Arial"/>
          <w:snapToGrid w:val="0"/>
          <w:lang w:eastAsia="en-US"/>
        </w:rPr>
        <w:t>.</w:t>
      </w:r>
    </w:p>
    <w:p w:rsidR="00C91DD8" w:rsidRPr="000C675E" w:rsidRDefault="008F392F" w:rsidP="008B2D85">
      <w:pPr>
        <w:pStyle w:val="3-BodyText"/>
        <w:rPr>
          <w:rFonts w:cstheme="minorHAnsi"/>
          <w:lang w:eastAsia="en-US"/>
        </w:rPr>
      </w:pPr>
      <w:r w:rsidRPr="0075328D">
        <w:rPr>
          <w:rFonts w:cstheme="minorHAnsi"/>
          <w:lang w:eastAsia="en-US"/>
        </w:rPr>
        <w:t>However, t</w:t>
      </w:r>
      <w:r w:rsidR="00C91DD8" w:rsidRPr="0075328D">
        <w:rPr>
          <w:rFonts w:cstheme="minorHAnsi"/>
          <w:lang w:eastAsia="en-US"/>
        </w:rPr>
        <w:t xml:space="preserve">he PBAC </w:t>
      </w:r>
      <w:r w:rsidR="0069475E" w:rsidRPr="000C675E">
        <w:rPr>
          <w:rFonts w:cstheme="minorHAnsi"/>
          <w:lang w:eastAsia="en-US"/>
        </w:rPr>
        <w:t xml:space="preserve">noted that the resubmission had not made all changes outlined in the previous </w:t>
      </w:r>
      <w:r w:rsidR="00672346">
        <w:rPr>
          <w:rFonts w:cstheme="minorHAnsi"/>
          <w:lang w:eastAsia="en-US"/>
        </w:rPr>
        <w:t>PSD</w:t>
      </w:r>
      <w:r w:rsidR="0069475E" w:rsidRPr="000C675E">
        <w:rPr>
          <w:rFonts w:cstheme="minorHAnsi"/>
          <w:lang w:eastAsia="en-US"/>
        </w:rPr>
        <w:t xml:space="preserve">, </w:t>
      </w:r>
      <w:r w:rsidR="007D68C6" w:rsidRPr="000C675E">
        <w:rPr>
          <w:rFonts w:cstheme="minorHAnsi"/>
          <w:lang w:eastAsia="en-US"/>
        </w:rPr>
        <w:t>and</w:t>
      </w:r>
      <w:r w:rsidR="0069475E" w:rsidRPr="000C675E">
        <w:rPr>
          <w:rFonts w:cstheme="minorHAnsi"/>
          <w:lang w:eastAsia="en-US"/>
        </w:rPr>
        <w:t xml:space="preserve"> </w:t>
      </w:r>
      <w:r w:rsidR="002A1F8D">
        <w:rPr>
          <w:rFonts w:cstheme="minorHAnsi"/>
          <w:lang w:eastAsia="en-US"/>
        </w:rPr>
        <w:t xml:space="preserve">instead </w:t>
      </w:r>
      <w:r w:rsidR="0069475E" w:rsidRPr="000C675E">
        <w:rPr>
          <w:rFonts w:cstheme="minorHAnsi"/>
          <w:lang w:eastAsia="en-US"/>
        </w:rPr>
        <w:t>had made additional amendments:</w:t>
      </w:r>
      <w:r w:rsidR="00ED6A85" w:rsidRPr="000C675E">
        <w:rPr>
          <w:rFonts w:cstheme="minorHAnsi"/>
          <w:lang w:eastAsia="en-US"/>
        </w:rPr>
        <w:t xml:space="preserve"> </w:t>
      </w:r>
    </w:p>
    <w:p w:rsidR="004F5EC5" w:rsidRPr="000C675E" w:rsidRDefault="008F392F" w:rsidP="00B12387">
      <w:pPr>
        <w:pStyle w:val="3-BodyText"/>
        <w:numPr>
          <w:ilvl w:val="0"/>
          <w:numId w:val="3"/>
        </w:numPr>
        <w:rPr>
          <w:rFonts w:cstheme="minorHAnsi"/>
          <w:i/>
          <w:iCs/>
          <w:lang w:eastAsia="en-US"/>
        </w:rPr>
      </w:pPr>
      <w:r w:rsidRPr="000C675E">
        <w:rPr>
          <w:rFonts w:cstheme="minorHAnsi"/>
          <w:lang w:eastAsia="en-US"/>
        </w:rPr>
        <w:t xml:space="preserve">Although the resubmission offered a price reduction to achieve an ICER of less than </w:t>
      </w:r>
      <w:r w:rsidR="00B12387" w:rsidRPr="00B12387">
        <w:rPr>
          <w:rFonts w:cstheme="minorHAnsi"/>
          <w:lang w:eastAsia="en-US"/>
        </w:rPr>
        <w:t>$75,000 to &lt; $95,000</w:t>
      </w:r>
      <w:r w:rsidR="00B12387">
        <w:rPr>
          <w:rFonts w:cstheme="minorHAnsi"/>
          <w:lang w:eastAsia="en-US"/>
        </w:rPr>
        <w:t xml:space="preserve"> </w:t>
      </w:r>
      <w:r w:rsidRPr="000C675E">
        <w:rPr>
          <w:rFonts w:cstheme="minorHAnsi"/>
          <w:lang w:eastAsia="en-US"/>
        </w:rPr>
        <w:t xml:space="preserve">per QALY </w:t>
      </w:r>
      <w:r w:rsidR="00C674BD" w:rsidRPr="000C675E">
        <w:rPr>
          <w:rFonts w:cstheme="minorHAnsi"/>
          <w:lang w:eastAsia="en-US"/>
        </w:rPr>
        <w:t>for</w:t>
      </w:r>
      <w:r w:rsidRPr="000C675E">
        <w:rPr>
          <w:rFonts w:cstheme="minorHAnsi"/>
          <w:lang w:eastAsia="en-US"/>
        </w:rPr>
        <w:t xml:space="preserve"> a scenario with an average of 1.9 AZA vials per infusion</w:t>
      </w:r>
      <w:r w:rsidR="00CB0ECE" w:rsidRPr="000C675E">
        <w:rPr>
          <w:rFonts w:cstheme="minorHAnsi"/>
          <w:lang w:eastAsia="en-US"/>
        </w:rPr>
        <w:t xml:space="preserve"> </w:t>
      </w:r>
      <w:r w:rsidR="00257555" w:rsidRPr="000C675E">
        <w:rPr>
          <w:rFonts w:cstheme="minorHAnsi"/>
          <w:lang w:eastAsia="en-US"/>
        </w:rPr>
        <w:t>and a 10-year time horizon, the resubmission did not apply the extrapolations requested by the PBAC and did not weight the ICER towards the LoDAC comparison.</w:t>
      </w:r>
      <w:r w:rsidR="00FC4EE0" w:rsidRPr="000C675E">
        <w:rPr>
          <w:rFonts w:cstheme="minorHAnsi"/>
          <w:lang w:eastAsia="en-US"/>
        </w:rPr>
        <w:t xml:space="preserve"> </w:t>
      </w:r>
    </w:p>
    <w:p w:rsidR="005146CC" w:rsidRPr="000C675E" w:rsidRDefault="005146CC" w:rsidP="001255EC">
      <w:pPr>
        <w:pStyle w:val="3-BodyText"/>
        <w:numPr>
          <w:ilvl w:val="0"/>
          <w:numId w:val="3"/>
        </w:numPr>
        <w:rPr>
          <w:rFonts w:cstheme="minorHAnsi"/>
          <w:i/>
          <w:iCs/>
          <w:lang w:eastAsia="en-US"/>
        </w:rPr>
      </w:pPr>
      <w:r w:rsidRPr="000C675E">
        <w:rPr>
          <w:rFonts w:cstheme="minorHAnsi"/>
          <w:lang w:eastAsia="en-US"/>
        </w:rPr>
        <w:t xml:space="preserve">While the resubmission had applied the lower price to the financial estimates, and amended the dose intensity of AZA when used in combination with VTX to reflect the trial evidence, the resubmission did not </w:t>
      </w:r>
      <w:r w:rsidR="00430C89" w:rsidRPr="000C675E">
        <w:rPr>
          <w:rFonts w:cstheme="minorHAnsi"/>
          <w:lang w:eastAsia="en-US"/>
        </w:rPr>
        <w:t>reduce</w:t>
      </w:r>
      <w:r w:rsidRPr="000C675E">
        <w:rPr>
          <w:rFonts w:cstheme="minorHAnsi"/>
          <w:lang w:eastAsia="en-US"/>
        </w:rPr>
        <w:t xml:space="preserve"> the proportion of patients unfit for intensive regimen</w:t>
      </w:r>
      <w:r w:rsidR="007D68C6" w:rsidRPr="000C675E">
        <w:rPr>
          <w:rFonts w:cstheme="minorHAnsi"/>
          <w:lang w:eastAsia="en-US"/>
        </w:rPr>
        <w:t>s who will receive treatment</w:t>
      </w:r>
      <w:r w:rsidRPr="000C675E">
        <w:rPr>
          <w:rFonts w:cstheme="minorHAnsi"/>
          <w:lang w:eastAsia="en-US"/>
        </w:rPr>
        <w:t xml:space="preserve">. Additionally, the time on treatment for VTX+AZA, AZA monotherapy and LoDAC was revised in the resubmission to be consistent with the durations in the </w:t>
      </w:r>
      <w:r w:rsidR="007D68C6" w:rsidRPr="000C675E">
        <w:rPr>
          <w:rFonts w:cstheme="minorHAnsi"/>
          <w:lang w:eastAsia="en-US"/>
        </w:rPr>
        <w:t xml:space="preserve">revised </w:t>
      </w:r>
      <w:r w:rsidRPr="000C675E">
        <w:rPr>
          <w:rFonts w:cstheme="minorHAnsi"/>
          <w:lang w:eastAsia="en-US"/>
        </w:rPr>
        <w:t>economic model</w:t>
      </w:r>
      <w:r w:rsidR="00430C89" w:rsidRPr="000C675E">
        <w:rPr>
          <w:rFonts w:cstheme="minorHAnsi"/>
          <w:lang w:eastAsia="en-US"/>
        </w:rPr>
        <w:t>, which</w:t>
      </w:r>
      <w:r w:rsidR="001A31D6" w:rsidRPr="000C675E">
        <w:rPr>
          <w:rFonts w:cstheme="minorHAnsi"/>
          <w:lang w:eastAsia="en-US"/>
        </w:rPr>
        <w:t>, as noted above,</w:t>
      </w:r>
      <w:r w:rsidR="00430C89" w:rsidRPr="000C675E">
        <w:rPr>
          <w:rFonts w:cstheme="minorHAnsi"/>
          <w:lang w:eastAsia="en-US"/>
        </w:rPr>
        <w:t xml:space="preserve"> </w:t>
      </w:r>
      <w:r w:rsidR="007D68C6" w:rsidRPr="000C675E">
        <w:rPr>
          <w:rFonts w:cstheme="minorHAnsi"/>
          <w:lang w:eastAsia="en-US"/>
        </w:rPr>
        <w:t xml:space="preserve">were not based on </w:t>
      </w:r>
      <w:r w:rsidR="00430C89" w:rsidRPr="000C675E">
        <w:rPr>
          <w:rFonts w:cstheme="minorHAnsi"/>
          <w:lang w:eastAsia="en-US"/>
        </w:rPr>
        <w:t>extrapolations requested by the PBAC</w:t>
      </w:r>
      <w:r w:rsidRPr="000C675E">
        <w:rPr>
          <w:rFonts w:cstheme="minorHAnsi"/>
          <w:lang w:eastAsia="en-US"/>
        </w:rPr>
        <w:t>.</w:t>
      </w:r>
    </w:p>
    <w:p w:rsidR="00396322" w:rsidRPr="000C675E" w:rsidRDefault="00166144" w:rsidP="004D3BEC">
      <w:pPr>
        <w:pStyle w:val="3-BodyText"/>
        <w:rPr>
          <w:rFonts w:cstheme="minorHAnsi"/>
          <w:lang w:eastAsia="en-US"/>
        </w:rPr>
      </w:pPr>
      <w:r w:rsidRPr="000C675E">
        <w:rPr>
          <w:lang w:eastAsia="en-US"/>
        </w:rPr>
        <w:t xml:space="preserve">In terms of the economic model, the PBAC </w:t>
      </w:r>
      <w:r w:rsidR="00C674BD" w:rsidRPr="000C675E">
        <w:rPr>
          <w:lang w:eastAsia="en-US"/>
        </w:rPr>
        <w:t>disagreed with</w:t>
      </w:r>
      <w:r w:rsidRPr="000C675E">
        <w:rPr>
          <w:lang w:eastAsia="en-US"/>
        </w:rPr>
        <w:t xml:space="preserve"> the resubmission’s </w:t>
      </w:r>
      <w:r w:rsidR="00C50888" w:rsidRPr="000C675E">
        <w:rPr>
          <w:lang w:eastAsia="en-US"/>
        </w:rPr>
        <w:t>claim</w:t>
      </w:r>
      <w:r w:rsidRPr="000C675E">
        <w:rPr>
          <w:lang w:eastAsia="en-US"/>
        </w:rPr>
        <w:t xml:space="preserve"> </w:t>
      </w:r>
      <w:r w:rsidR="00C674BD" w:rsidRPr="000C675E">
        <w:rPr>
          <w:lang w:eastAsia="en-US"/>
        </w:rPr>
        <w:t>that the requirement to use both a 10-year time horizon and more conservative extrapolations double counted the correction in the long-term mortality rate</w:t>
      </w:r>
      <w:r w:rsidR="00430C89" w:rsidRPr="000C675E">
        <w:rPr>
          <w:lang w:eastAsia="en-US"/>
        </w:rPr>
        <w:t xml:space="preserve">. The PBAC noted </w:t>
      </w:r>
      <w:r w:rsidR="00C50888" w:rsidRPr="000C675E">
        <w:rPr>
          <w:lang w:eastAsia="en-US"/>
        </w:rPr>
        <w:t xml:space="preserve">that with the use of the Weibull function, as </w:t>
      </w:r>
      <w:r w:rsidR="002A1F8D">
        <w:rPr>
          <w:lang w:eastAsia="en-US"/>
        </w:rPr>
        <w:t>it had previously advised</w:t>
      </w:r>
      <w:r w:rsidR="00C50888" w:rsidRPr="000C675E">
        <w:rPr>
          <w:lang w:eastAsia="en-US"/>
        </w:rPr>
        <w:t xml:space="preserve">, the </w:t>
      </w:r>
      <w:r w:rsidR="00250D8A" w:rsidRPr="000C675E">
        <w:rPr>
          <w:lang w:eastAsia="en-US"/>
        </w:rPr>
        <w:t>long</w:t>
      </w:r>
      <w:r w:rsidR="008A1791" w:rsidRPr="000C675E">
        <w:rPr>
          <w:lang w:eastAsia="en-US"/>
        </w:rPr>
        <w:t>-</w:t>
      </w:r>
      <w:r w:rsidR="00250D8A" w:rsidRPr="000C675E">
        <w:rPr>
          <w:lang w:eastAsia="en-US"/>
        </w:rPr>
        <w:t xml:space="preserve">term </w:t>
      </w:r>
      <w:r w:rsidR="00C50888" w:rsidRPr="000C675E">
        <w:rPr>
          <w:lang w:eastAsia="en-US"/>
        </w:rPr>
        <w:t>mortality rate</w:t>
      </w:r>
      <w:r w:rsidR="00250D8A" w:rsidRPr="000C675E">
        <w:rPr>
          <w:lang w:eastAsia="en-US"/>
        </w:rPr>
        <w:t xml:space="preserve"> was more clinically plausible than that estimated using the lognormal function</w:t>
      </w:r>
      <w:r w:rsidR="00430C89" w:rsidRPr="000C675E">
        <w:rPr>
          <w:lang w:eastAsia="en-US"/>
        </w:rPr>
        <w:t>.</w:t>
      </w:r>
      <w:r w:rsidR="00C50888" w:rsidRPr="000C675E">
        <w:rPr>
          <w:lang w:eastAsia="en-US"/>
        </w:rPr>
        <w:t xml:space="preserve"> In addition, the PBAC recalled that it had considered a conservative approach was necessary in the context of the inherent uncertainty associated with the ITC for LoDAC and other unaddressed issues with the model (i.e. costings and utilities).</w:t>
      </w:r>
      <w:r w:rsidR="00430C89" w:rsidRPr="000C675E">
        <w:rPr>
          <w:lang w:eastAsia="en-US"/>
        </w:rPr>
        <w:t xml:space="preserve"> Thus, it remained of the view that both a 10-year time horizon and more conservative extrapolations were appropriate. </w:t>
      </w:r>
      <w:r w:rsidR="00430C89" w:rsidRPr="000C675E">
        <w:rPr>
          <w:rFonts w:cstheme="minorHAnsi"/>
          <w:lang w:eastAsia="en-US"/>
        </w:rPr>
        <w:t xml:space="preserve">The PBAC </w:t>
      </w:r>
      <w:r w:rsidR="00062DD2" w:rsidRPr="000C675E">
        <w:rPr>
          <w:rFonts w:cstheme="minorHAnsi"/>
          <w:lang w:eastAsia="en-US"/>
        </w:rPr>
        <w:t>also did not accept that AZA was the appropriate main comparator</w:t>
      </w:r>
      <w:r w:rsidR="001A31D6" w:rsidRPr="000C675E">
        <w:rPr>
          <w:rFonts w:cstheme="minorHAnsi"/>
          <w:lang w:eastAsia="en-US"/>
        </w:rPr>
        <w:t xml:space="preserve"> for the weighted ICER</w:t>
      </w:r>
      <w:r w:rsidR="00062DD2" w:rsidRPr="000C675E">
        <w:rPr>
          <w:rFonts w:cstheme="minorHAnsi"/>
          <w:lang w:eastAsia="en-US"/>
        </w:rPr>
        <w:t xml:space="preserve">. However, it </w:t>
      </w:r>
      <w:r w:rsidR="00F43397" w:rsidRPr="000C675E">
        <w:rPr>
          <w:rFonts w:cstheme="minorHAnsi"/>
          <w:lang w:eastAsia="en-US"/>
        </w:rPr>
        <w:t xml:space="preserve">noted </w:t>
      </w:r>
      <w:r w:rsidR="001A31D6" w:rsidRPr="000C675E">
        <w:rPr>
          <w:rFonts w:cstheme="minorHAnsi"/>
          <w:lang w:eastAsia="en-US"/>
        </w:rPr>
        <w:t xml:space="preserve">that with a likely price reduction for </w:t>
      </w:r>
      <w:r w:rsidR="00C51891" w:rsidRPr="000C675E">
        <w:rPr>
          <w:rFonts w:cstheme="minorHAnsi"/>
          <w:lang w:eastAsia="en-US"/>
        </w:rPr>
        <w:t xml:space="preserve">AZA </w:t>
      </w:r>
      <w:r w:rsidR="001A31D6" w:rsidRPr="000C675E">
        <w:rPr>
          <w:rFonts w:cstheme="minorHAnsi"/>
          <w:lang w:eastAsia="en-US"/>
        </w:rPr>
        <w:t xml:space="preserve">from 1 October 2021, </w:t>
      </w:r>
      <w:r w:rsidR="002A1F8D">
        <w:rPr>
          <w:rFonts w:cstheme="minorHAnsi"/>
          <w:lang w:eastAsia="en-US"/>
        </w:rPr>
        <w:t xml:space="preserve">that even </w:t>
      </w:r>
      <w:r w:rsidR="007D637F" w:rsidRPr="000C675E">
        <w:rPr>
          <w:rFonts w:cstheme="minorHAnsi"/>
          <w:lang w:eastAsia="en-US"/>
        </w:rPr>
        <w:t xml:space="preserve">a 100% weighting towards the LoDAC comparison had only a </w:t>
      </w:r>
      <w:r w:rsidR="00F43397" w:rsidRPr="000C675E">
        <w:rPr>
          <w:rFonts w:cstheme="minorHAnsi"/>
          <w:lang w:eastAsia="en-US"/>
        </w:rPr>
        <w:t>modest impact on the ICER (</w:t>
      </w:r>
      <w:r w:rsidR="001A31D6" w:rsidRPr="000C675E">
        <w:rPr>
          <w:rFonts w:cstheme="minorHAnsi"/>
          <w:lang w:eastAsia="en-US"/>
        </w:rPr>
        <w:t>~5</w:t>
      </w:r>
      <w:r w:rsidR="00F43397" w:rsidRPr="000C675E">
        <w:rPr>
          <w:rFonts w:cstheme="minorHAnsi"/>
          <w:lang w:eastAsia="en-US"/>
        </w:rPr>
        <w:t xml:space="preserve">% increase </w:t>
      </w:r>
      <w:r w:rsidR="001A31D6" w:rsidRPr="000C675E">
        <w:rPr>
          <w:rFonts w:cstheme="minorHAnsi"/>
          <w:lang w:eastAsia="en-US"/>
        </w:rPr>
        <w:t xml:space="preserve">from </w:t>
      </w:r>
      <w:r w:rsidR="004D3BEC" w:rsidRPr="004D3BEC">
        <w:rPr>
          <w:rFonts w:cstheme="minorHAnsi"/>
          <w:lang w:eastAsia="en-US"/>
        </w:rPr>
        <w:t>$75,000 to &lt; $95,000</w:t>
      </w:r>
      <w:r w:rsidR="00F43397" w:rsidRPr="000C675E">
        <w:rPr>
          <w:rFonts w:cstheme="minorHAnsi"/>
          <w:lang w:eastAsia="en-US"/>
        </w:rPr>
        <w:t xml:space="preserve">to </w:t>
      </w:r>
      <w:r w:rsidR="004D3BEC" w:rsidRPr="004D3BEC">
        <w:rPr>
          <w:rFonts w:cstheme="minorHAnsi"/>
          <w:lang w:eastAsia="en-US"/>
        </w:rPr>
        <w:t>$75,000 to &lt; $95,000</w:t>
      </w:r>
      <w:r w:rsidR="00F43397" w:rsidRPr="000C675E">
        <w:rPr>
          <w:rFonts w:cstheme="minorHAnsi"/>
          <w:lang w:eastAsia="en-US"/>
        </w:rPr>
        <w:t>per QALY</w:t>
      </w:r>
      <w:r w:rsidR="001A31D6" w:rsidRPr="000C675E">
        <w:rPr>
          <w:rFonts w:cstheme="minorHAnsi"/>
          <w:lang w:eastAsia="en-US"/>
        </w:rPr>
        <w:t>)</w:t>
      </w:r>
      <w:r w:rsidR="00F43397" w:rsidRPr="000C675E">
        <w:rPr>
          <w:rFonts w:cstheme="minorHAnsi"/>
          <w:lang w:eastAsia="en-US"/>
        </w:rPr>
        <w:t>.</w:t>
      </w:r>
      <w:r w:rsidR="007D637F" w:rsidRPr="000C675E">
        <w:rPr>
          <w:rFonts w:cstheme="minorHAnsi"/>
          <w:lang w:eastAsia="en-US"/>
        </w:rPr>
        <w:t xml:space="preserve"> In view of this, the </w:t>
      </w:r>
      <w:r w:rsidR="00F43397" w:rsidRPr="000C675E">
        <w:rPr>
          <w:rFonts w:cstheme="minorHAnsi"/>
          <w:lang w:eastAsia="en-US"/>
        </w:rPr>
        <w:t xml:space="preserve">PBAC considered that the combination regimen would </w:t>
      </w:r>
      <w:r w:rsidR="0065644C" w:rsidRPr="000C675E">
        <w:rPr>
          <w:rFonts w:cstheme="minorHAnsi"/>
          <w:lang w:eastAsia="en-US"/>
        </w:rPr>
        <w:t xml:space="preserve">be cost effective </w:t>
      </w:r>
      <w:r w:rsidR="007D637F" w:rsidRPr="000C675E">
        <w:rPr>
          <w:rFonts w:cstheme="minorHAnsi"/>
          <w:lang w:eastAsia="en-US"/>
        </w:rPr>
        <w:t xml:space="preserve">even </w:t>
      </w:r>
      <w:r w:rsidR="0065644C" w:rsidRPr="000C675E">
        <w:rPr>
          <w:rFonts w:cstheme="minorHAnsi"/>
          <w:lang w:eastAsia="en-US"/>
        </w:rPr>
        <w:t xml:space="preserve">with the comparator weighting </w:t>
      </w:r>
      <w:r w:rsidR="007D637F" w:rsidRPr="000C675E">
        <w:rPr>
          <w:rFonts w:cstheme="minorHAnsi"/>
          <w:lang w:eastAsia="en-US"/>
        </w:rPr>
        <w:t xml:space="preserve">as </w:t>
      </w:r>
      <w:r w:rsidR="0065644C" w:rsidRPr="000C675E">
        <w:rPr>
          <w:rFonts w:cstheme="minorHAnsi"/>
          <w:lang w:eastAsia="en-US"/>
        </w:rPr>
        <w:t>proposed in the resubmission.</w:t>
      </w:r>
    </w:p>
    <w:p w:rsidR="002819DD" w:rsidRPr="000C675E" w:rsidRDefault="002819DD" w:rsidP="004D3BEC">
      <w:pPr>
        <w:pStyle w:val="3-BodyText"/>
        <w:rPr>
          <w:rFonts w:cstheme="minorHAnsi"/>
          <w:lang w:eastAsia="en-US"/>
        </w:rPr>
      </w:pPr>
      <w:r w:rsidRPr="000C675E">
        <w:rPr>
          <w:lang w:eastAsia="en-US"/>
        </w:rPr>
        <w:t xml:space="preserve">Consistent with its </w:t>
      </w:r>
      <w:r w:rsidR="002A1F8D">
        <w:rPr>
          <w:lang w:eastAsia="en-US"/>
        </w:rPr>
        <w:t xml:space="preserve">previous </w:t>
      </w:r>
      <w:r w:rsidRPr="000C675E">
        <w:rPr>
          <w:lang w:eastAsia="en-US"/>
        </w:rPr>
        <w:t>recommendations about the economic model, t</w:t>
      </w:r>
      <w:r w:rsidR="00A7025A" w:rsidRPr="000C675E">
        <w:rPr>
          <w:lang w:eastAsia="en-US"/>
        </w:rPr>
        <w:t>he PBAC considered that PBAC</w:t>
      </w:r>
      <w:r w:rsidR="007D637F" w:rsidRPr="000C675E">
        <w:rPr>
          <w:lang w:eastAsia="en-US"/>
        </w:rPr>
        <w:t xml:space="preserve"> model</w:t>
      </w:r>
      <w:r w:rsidR="00A7025A" w:rsidRPr="000C675E">
        <w:rPr>
          <w:lang w:eastAsia="en-US"/>
        </w:rPr>
        <w:t xml:space="preserve"> scenario</w:t>
      </w:r>
      <w:r w:rsidR="007D637F" w:rsidRPr="000C675E">
        <w:rPr>
          <w:lang w:eastAsia="en-US"/>
        </w:rPr>
        <w:t xml:space="preserve"> </w:t>
      </w:r>
      <w:r w:rsidRPr="000C675E">
        <w:rPr>
          <w:lang w:eastAsia="en-US"/>
        </w:rPr>
        <w:t xml:space="preserve">treatment durations shown in </w:t>
      </w:r>
      <w:r w:rsidR="003A5046" w:rsidRPr="000C675E">
        <w:t xml:space="preserve">Table </w:t>
      </w:r>
      <w:r w:rsidR="003A5046" w:rsidRPr="00A12350">
        <w:t>7</w:t>
      </w:r>
      <w:r w:rsidR="00A7025A" w:rsidRPr="000C675E">
        <w:rPr>
          <w:lang w:eastAsia="en-US"/>
        </w:rPr>
        <w:t xml:space="preserve"> should be used to inform </w:t>
      </w:r>
      <w:r w:rsidRPr="000C675E">
        <w:rPr>
          <w:lang w:eastAsia="en-US"/>
        </w:rPr>
        <w:t xml:space="preserve">the </w:t>
      </w:r>
      <w:r w:rsidR="00A7025A" w:rsidRPr="0075328D">
        <w:rPr>
          <w:lang w:eastAsia="en-US"/>
        </w:rPr>
        <w:t xml:space="preserve">treatment durations </w:t>
      </w:r>
      <w:r w:rsidRPr="0075328D">
        <w:rPr>
          <w:lang w:eastAsia="en-US"/>
        </w:rPr>
        <w:t>applied in the financial estim</w:t>
      </w:r>
      <w:r w:rsidRPr="000C675E">
        <w:rPr>
          <w:lang w:eastAsia="en-US"/>
        </w:rPr>
        <w:t xml:space="preserve">ates. The PBAC noted that this would reduce the net impact to </w:t>
      </w:r>
      <w:r w:rsidR="004D3BEC" w:rsidRPr="004D3BEC">
        <w:rPr>
          <w:lang w:eastAsia="en-US"/>
        </w:rPr>
        <w:t>$30 million to &lt; $40 million</w:t>
      </w:r>
      <w:r w:rsidR="004D3BEC">
        <w:rPr>
          <w:lang w:eastAsia="en-US"/>
        </w:rPr>
        <w:t xml:space="preserve"> </w:t>
      </w:r>
      <w:r w:rsidRPr="000C675E">
        <w:rPr>
          <w:lang w:eastAsia="en-US"/>
        </w:rPr>
        <w:t>in year</w:t>
      </w:r>
      <w:r w:rsidR="001B2102" w:rsidRPr="000C675E">
        <w:rPr>
          <w:lang w:eastAsia="en-US"/>
        </w:rPr>
        <w:t xml:space="preserve"> 1</w:t>
      </w:r>
      <w:r w:rsidRPr="000C675E">
        <w:rPr>
          <w:lang w:eastAsia="en-US"/>
        </w:rPr>
        <w:t xml:space="preserve"> increasing to </w:t>
      </w:r>
      <w:r w:rsidR="004D3BEC" w:rsidRPr="004D3BEC">
        <w:rPr>
          <w:lang w:eastAsia="en-US"/>
        </w:rPr>
        <w:t>$</w:t>
      </w:r>
      <w:r w:rsidR="004D3BEC">
        <w:rPr>
          <w:lang w:eastAsia="en-US"/>
        </w:rPr>
        <w:t>40 million to &lt; $5</w:t>
      </w:r>
      <w:r w:rsidR="004D3BEC" w:rsidRPr="004D3BEC">
        <w:rPr>
          <w:lang w:eastAsia="en-US"/>
        </w:rPr>
        <w:t>0 million</w:t>
      </w:r>
      <w:r w:rsidR="004D3BEC">
        <w:rPr>
          <w:lang w:eastAsia="en-US"/>
        </w:rPr>
        <w:t xml:space="preserve"> </w:t>
      </w:r>
      <w:r w:rsidRPr="000C675E">
        <w:rPr>
          <w:lang w:eastAsia="en-US"/>
        </w:rPr>
        <w:t>in year 6</w:t>
      </w:r>
      <w:r w:rsidR="00D57460" w:rsidRPr="000C675E">
        <w:rPr>
          <w:lang w:eastAsia="en-US"/>
        </w:rPr>
        <w:t xml:space="preserve"> (not accounting for the expected price reduction of AZA from 1 October 2021)</w:t>
      </w:r>
      <w:r w:rsidRPr="000C675E">
        <w:rPr>
          <w:lang w:eastAsia="en-US"/>
        </w:rPr>
        <w:t xml:space="preserve">. </w:t>
      </w:r>
      <w:r w:rsidR="001B2102" w:rsidRPr="000C675E">
        <w:rPr>
          <w:lang w:eastAsia="en-US"/>
        </w:rPr>
        <w:t>Moreover</w:t>
      </w:r>
      <w:r w:rsidRPr="000C675E">
        <w:rPr>
          <w:lang w:eastAsia="en-US"/>
        </w:rPr>
        <w:t xml:space="preserve">, </w:t>
      </w:r>
      <w:r w:rsidR="0025609E" w:rsidRPr="000C675E">
        <w:rPr>
          <w:lang w:eastAsia="en-US"/>
        </w:rPr>
        <w:t xml:space="preserve">the PBAC also considered that </w:t>
      </w:r>
      <w:r w:rsidR="00AC4B3D" w:rsidRPr="000C675E">
        <w:rPr>
          <w:lang w:eastAsia="en-US"/>
        </w:rPr>
        <w:t xml:space="preserve">the </w:t>
      </w:r>
      <w:r w:rsidR="0025609E" w:rsidRPr="000C675E">
        <w:rPr>
          <w:lang w:eastAsia="en-US"/>
        </w:rPr>
        <w:t xml:space="preserve">resubmission had still overestimated the proportion of patients unfit for standard intensive remission induction chemotherapy who </w:t>
      </w:r>
      <w:r w:rsidR="00620F43" w:rsidRPr="000C675E">
        <w:rPr>
          <w:lang w:eastAsia="en-US"/>
        </w:rPr>
        <w:t xml:space="preserve">will </w:t>
      </w:r>
      <w:r w:rsidR="0025609E" w:rsidRPr="000C675E">
        <w:rPr>
          <w:lang w:eastAsia="en-US"/>
        </w:rPr>
        <w:t xml:space="preserve">receive treatment (80%, inconsistent with Australian data provided in the submission that suggested a much lower proportion of patients going on to treatment (54%, CURRENT study)). </w:t>
      </w:r>
      <w:r w:rsidR="00620F43" w:rsidRPr="000C675E">
        <w:rPr>
          <w:lang w:eastAsia="en-US"/>
        </w:rPr>
        <w:t xml:space="preserve">The PBAC agreed that some patients may be receiving BSC due to limited access to AZA or alternative effective </w:t>
      </w:r>
      <w:r w:rsidR="0075328D" w:rsidRPr="000C675E">
        <w:rPr>
          <w:lang w:eastAsia="en-US"/>
        </w:rPr>
        <w:t>therapies but</w:t>
      </w:r>
      <w:r w:rsidR="00620F43" w:rsidRPr="000C675E">
        <w:rPr>
          <w:lang w:eastAsia="en-US"/>
        </w:rPr>
        <w:t xml:space="preserve"> considered that no evidence was presented to support the 80% assumption. At the same time, the 54% in the CURRENT study </w:t>
      </w:r>
      <w:r w:rsidR="002A1F8D">
        <w:rPr>
          <w:lang w:eastAsia="en-US"/>
        </w:rPr>
        <w:t>may</w:t>
      </w:r>
      <w:r w:rsidR="002A1F8D" w:rsidRPr="000C675E">
        <w:rPr>
          <w:lang w:eastAsia="en-US"/>
        </w:rPr>
        <w:t xml:space="preserve"> </w:t>
      </w:r>
      <w:r w:rsidR="00620F43" w:rsidRPr="000C675E">
        <w:rPr>
          <w:lang w:eastAsia="en-US"/>
        </w:rPr>
        <w:t xml:space="preserve">not necessarily </w:t>
      </w:r>
      <w:r w:rsidR="002A1F8D">
        <w:rPr>
          <w:lang w:eastAsia="en-US"/>
        </w:rPr>
        <w:t xml:space="preserve">be </w:t>
      </w:r>
      <w:r w:rsidR="00620F43" w:rsidRPr="000C675E">
        <w:rPr>
          <w:lang w:eastAsia="en-US"/>
        </w:rPr>
        <w:t>reflective of Australian practice, and so the PBAC made a pragmatic recommendation that an assumption of 65</w:t>
      </w:r>
      <w:r w:rsidR="001B2102" w:rsidRPr="000C675E">
        <w:rPr>
          <w:lang w:eastAsia="en-US"/>
        </w:rPr>
        <w:t>%</w:t>
      </w:r>
      <w:r w:rsidR="00620F43" w:rsidRPr="000C675E">
        <w:rPr>
          <w:lang w:eastAsia="en-US"/>
        </w:rPr>
        <w:t xml:space="preserve"> should be used to inform the financial estimates.</w:t>
      </w:r>
      <w:r w:rsidR="00667061" w:rsidRPr="000C675E">
        <w:rPr>
          <w:lang w:eastAsia="en-US"/>
        </w:rPr>
        <w:t xml:space="preserve"> </w:t>
      </w:r>
      <w:r w:rsidR="00A43B90" w:rsidRPr="00A12350">
        <w:rPr>
          <w:rFonts w:cs="Arial"/>
          <w:snapToGrid w:val="0"/>
          <w:lang w:eastAsia="en-US"/>
        </w:rPr>
        <w:t xml:space="preserve">The PBAC also noted that fewer than </w:t>
      </w:r>
      <w:r w:rsidR="004D3BEC">
        <w:rPr>
          <w:rFonts w:cs="Arial"/>
          <w:snapToGrid w:val="0"/>
          <w:lang w:eastAsia="en-US"/>
        </w:rPr>
        <w:t>&lt; 500</w:t>
      </w:r>
      <w:r w:rsidR="004D3BEC" w:rsidRPr="00A12350">
        <w:rPr>
          <w:rFonts w:cs="Arial"/>
          <w:snapToGrid w:val="0"/>
          <w:lang w:eastAsia="en-US"/>
        </w:rPr>
        <w:t xml:space="preserve"> </w:t>
      </w:r>
      <w:r w:rsidR="00A43B90" w:rsidRPr="00A12350">
        <w:rPr>
          <w:rFonts w:cs="Arial"/>
          <w:snapToGrid w:val="0"/>
          <w:lang w:eastAsia="en-US"/>
        </w:rPr>
        <w:t xml:space="preserve">“grandfathered” patients were expected and that although no reliable patient number estimates could be provided, these patients would need to be incorporated into the financial estimates. </w:t>
      </w:r>
    </w:p>
    <w:p w:rsidR="00002EFD" w:rsidRPr="008B7CC1" w:rsidRDefault="001B2102" w:rsidP="0065644C">
      <w:pPr>
        <w:pStyle w:val="3-BodyText"/>
        <w:rPr>
          <w:rFonts w:cstheme="minorHAnsi"/>
          <w:snapToGrid w:val="0"/>
          <w:lang w:eastAsia="en-US"/>
        </w:rPr>
      </w:pPr>
      <w:r w:rsidRPr="000C675E">
        <w:rPr>
          <w:rFonts w:cstheme="minorHAnsi"/>
          <w:lang w:eastAsia="en-US"/>
        </w:rPr>
        <w:t>To manage the risk of uptake in patients whose eligibility for a standard intensive remission induction chemotherapy regimen was currently “borderline”, t</w:t>
      </w:r>
      <w:r w:rsidR="004F5EC5" w:rsidRPr="000C675E">
        <w:rPr>
          <w:rFonts w:cstheme="minorHAnsi"/>
          <w:lang w:eastAsia="en-US"/>
        </w:rPr>
        <w:t xml:space="preserve">he resubmission proposed an RSA based on the revised financials with a rebate of </w:t>
      </w:r>
      <w:r w:rsidR="00777702">
        <w:rPr>
          <w:rFonts w:cstheme="minorHAnsi"/>
          <w:noProof/>
          <w:color w:val="000000"/>
          <w:highlight w:val="black"/>
          <w:lang w:eastAsia="en-US"/>
        </w:rPr>
        <w:t>'''''</w:t>
      </w:r>
      <w:r w:rsidR="004F5EC5" w:rsidRPr="000C675E">
        <w:rPr>
          <w:rFonts w:cstheme="minorHAnsi"/>
          <w:lang w:eastAsia="en-US"/>
        </w:rPr>
        <w:t>% above the cap</w:t>
      </w:r>
      <w:r w:rsidR="00620F43" w:rsidRPr="000C675E">
        <w:rPr>
          <w:rFonts w:cstheme="minorHAnsi"/>
          <w:lang w:eastAsia="en-US"/>
        </w:rPr>
        <w:t xml:space="preserve"> (noting that </w:t>
      </w:r>
      <w:r w:rsidRPr="000C675E">
        <w:rPr>
          <w:rFonts w:cstheme="minorHAnsi"/>
          <w:lang w:eastAsia="en-US"/>
        </w:rPr>
        <w:t>these “borderline”</w:t>
      </w:r>
      <w:r w:rsidR="00620F43" w:rsidRPr="000C675E">
        <w:rPr>
          <w:rFonts w:cstheme="minorHAnsi"/>
          <w:lang w:eastAsia="en-US"/>
        </w:rPr>
        <w:t xml:space="preserve"> patients </w:t>
      </w:r>
      <w:r w:rsidRPr="000C675E">
        <w:rPr>
          <w:rFonts w:cstheme="minorHAnsi"/>
          <w:lang w:eastAsia="en-US"/>
        </w:rPr>
        <w:t>would</w:t>
      </w:r>
      <w:r w:rsidR="00620F43" w:rsidRPr="000C675E">
        <w:rPr>
          <w:rFonts w:cstheme="minorHAnsi"/>
          <w:lang w:eastAsia="en-US"/>
        </w:rPr>
        <w:t xml:space="preserve"> experience some therapeutic </w:t>
      </w:r>
      <w:r w:rsidR="00620F43" w:rsidRPr="008B7CC1">
        <w:rPr>
          <w:rFonts w:cstheme="minorHAnsi"/>
          <w:lang w:eastAsia="en-US"/>
        </w:rPr>
        <w:t xml:space="preserve">benefit with </w:t>
      </w:r>
      <w:r w:rsidR="008052F0" w:rsidRPr="008B7CC1">
        <w:rPr>
          <w:rFonts w:cstheme="minorHAnsi"/>
          <w:lang w:eastAsia="en-US"/>
        </w:rPr>
        <w:t>VTX</w:t>
      </w:r>
      <w:r w:rsidR="00620F43" w:rsidRPr="008B7CC1">
        <w:rPr>
          <w:rFonts w:cstheme="minorHAnsi"/>
          <w:lang w:eastAsia="en-US"/>
        </w:rPr>
        <w:t xml:space="preserve">). The PBAC </w:t>
      </w:r>
      <w:r w:rsidR="008B1A82" w:rsidRPr="008B7CC1">
        <w:rPr>
          <w:rFonts w:cstheme="minorHAnsi"/>
          <w:lang w:eastAsia="en-US"/>
        </w:rPr>
        <w:t>acknowledged</w:t>
      </w:r>
      <w:r w:rsidR="008052F0" w:rsidRPr="008B7CC1">
        <w:rPr>
          <w:rFonts w:cstheme="minorHAnsi"/>
          <w:lang w:eastAsia="en-US"/>
        </w:rPr>
        <w:t xml:space="preserve"> that some benefit </w:t>
      </w:r>
      <w:r w:rsidR="008B1A82" w:rsidRPr="008B7CC1">
        <w:rPr>
          <w:rFonts w:cstheme="minorHAnsi"/>
          <w:lang w:eastAsia="en-US"/>
        </w:rPr>
        <w:t xml:space="preserve">may </w:t>
      </w:r>
      <w:r w:rsidR="008052F0" w:rsidRPr="008B7CC1">
        <w:rPr>
          <w:rFonts w:cstheme="minorHAnsi"/>
          <w:lang w:eastAsia="en-US"/>
        </w:rPr>
        <w:t xml:space="preserve">be realised </w:t>
      </w:r>
      <w:r w:rsidR="008B1A82" w:rsidRPr="008B7CC1">
        <w:rPr>
          <w:rFonts w:cstheme="minorHAnsi"/>
          <w:lang w:eastAsia="en-US"/>
        </w:rPr>
        <w:t xml:space="preserve">in these patients, </w:t>
      </w:r>
      <w:r w:rsidR="00A42310" w:rsidRPr="008B7CC1">
        <w:rPr>
          <w:rFonts w:cstheme="minorHAnsi"/>
        </w:rPr>
        <w:t xml:space="preserve">but considered that the RSA should have a rebate </w:t>
      </w:r>
      <w:r w:rsidR="008B1A82" w:rsidRPr="008B7CC1">
        <w:rPr>
          <w:rFonts w:cstheme="minorHAnsi"/>
        </w:rPr>
        <w:t>of at least</w:t>
      </w:r>
      <w:r w:rsidR="00A42310" w:rsidRPr="008B7CC1">
        <w:rPr>
          <w:rFonts w:cstheme="minorHAnsi"/>
        </w:rPr>
        <w:t xml:space="preserve"> </w:t>
      </w:r>
      <w:r w:rsidR="00002EFD" w:rsidRPr="004D3BEC">
        <w:rPr>
          <w:rFonts w:cstheme="minorHAnsi"/>
          <w:snapToGrid w:val="0"/>
          <w:lang w:eastAsia="en-US"/>
        </w:rPr>
        <w:t>75</w:t>
      </w:r>
      <w:r w:rsidR="00002EFD" w:rsidRPr="008B7CC1">
        <w:rPr>
          <w:rFonts w:cstheme="minorHAnsi"/>
          <w:snapToGrid w:val="0"/>
          <w:lang w:eastAsia="en-US"/>
        </w:rPr>
        <w:t xml:space="preserve">% </w:t>
      </w:r>
      <w:r w:rsidR="008B1A82" w:rsidRPr="008B7CC1">
        <w:rPr>
          <w:rFonts w:cstheme="minorHAnsi"/>
          <w:snapToGrid w:val="0"/>
          <w:lang w:eastAsia="en-US"/>
        </w:rPr>
        <w:t xml:space="preserve">for expenditure </w:t>
      </w:r>
      <w:r w:rsidR="00002EFD" w:rsidRPr="008B7CC1">
        <w:rPr>
          <w:rFonts w:cstheme="minorHAnsi"/>
          <w:snapToGrid w:val="0"/>
          <w:lang w:eastAsia="en-US"/>
        </w:rPr>
        <w:t>above the cap</w:t>
      </w:r>
      <w:r w:rsidR="00A42310" w:rsidRPr="008B7CC1">
        <w:rPr>
          <w:rFonts w:cstheme="minorHAnsi"/>
          <w:snapToGrid w:val="0"/>
          <w:lang w:eastAsia="en-US"/>
        </w:rPr>
        <w:t>.</w:t>
      </w:r>
    </w:p>
    <w:p w:rsidR="00234559" w:rsidRPr="00237393" w:rsidRDefault="00234559" w:rsidP="00755017">
      <w:pPr>
        <w:pStyle w:val="3-BodyText"/>
        <w:rPr>
          <w:rFonts w:cs="Arial"/>
          <w:snapToGrid w:val="0"/>
          <w:lang w:eastAsia="en-US"/>
        </w:rPr>
      </w:pPr>
      <w:r w:rsidRPr="008B7CC1">
        <w:rPr>
          <w:rFonts w:cs="Arial"/>
          <w:snapToGrid w:val="0"/>
          <w:lang w:eastAsia="en-US"/>
        </w:rPr>
        <w:t xml:space="preserve">The PBAC recommended the listing of the 50 mg strength, which would be used by patients requiring a reduced dose, due to the increased risk for </w:t>
      </w:r>
      <w:r w:rsidR="00442DD4" w:rsidRPr="008B7CC1">
        <w:rPr>
          <w:rFonts w:cs="Arial"/>
          <w:snapToGrid w:val="0"/>
          <w:lang w:eastAsia="en-US"/>
        </w:rPr>
        <w:t>T</w:t>
      </w:r>
      <w:r w:rsidRPr="008B7CC1">
        <w:rPr>
          <w:rFonts w:cs="Arial"/>
          <w:snapToGrid w:val="0"/>
          <w:lang w:eastAsia="en-US"/>
        </w:rPr>
        <w:t xml:space="preserve">LS at initiation and ramp-up when taking concomitant VTX and strong or moderate CYP3A inhibitors. The PBAC noted that the 50 mg strength was not accounted for in the economic model or financial estimates, but </w:t>
      </w:r>
      <w:r w:rsidR="00C75F5C" w:rsidRPr="008B7CC1">
        <w:rPr>
          <w:rFonts w:cs="Arial"/>
          <w:snapToGrid w:val="0"/>
          <w:lang w:eastAsia="en-US"/>
        </w:rPr>
        <w:t>considered</w:t>
      </w:r>
      <w:r w:rsidRPr="008B7CC1">
        <w:rPr>
          <w:rFonts w:cs="Arial"/>
          <w:snapToGrid w:val="0"/>
          <w:lang w:eastAsia="en-US"/>
        </w:rPr>
        <w:t xml:space="preserve"> that use of the 50 mg strength would </w:t>
      </w:r>
      <w:r w:rsidR="00C75F5C" w:rsidRPr="008B7CC1">
        <w:rPr>
          <w:rFonts w:cs="Arial"/>
          <w:snapToGrid w:val="0"/>
          <w:lang w:eastAsia="en-US"/>
        </w:rPr>
        <w:t xml:space="preserve">have minimal impact on </w:t>
      </w:r>
      <w:r w:rsidRPr="008B7CC1">
        <w:rPr>
          <w:rFonts w:cs="Arial"/>
          <w:snapToGrid w:val="0"/>
          <w:lang w:eastAsia="en-US"/>
        </w:rPr>
        <w:t xml:space="preserve">cost effectiveness and reduce the budget impact. </w:t>
      </w:r>
      <w:r w:rsidR="00237393" w:rsidRPr="00237393">
        <w:rPr>
          <w:rFonts w:cs="Arial"/>
          <w:snapToGrid w:val="0"/>
          <w:lang w:eastAsia="en-US"/>
        </w:rPr>
        <w:t>The PBAC noted the proportions of patients receiving anti-infective prophylaxis in M15-656 (82.5% in VTX + AZA arm) and M16-043 (67.1% in VTX + LoDAC arm). It considered that between 67.1%-82.5% would be a reasonable approximation of the proportion of patients expected to use the 50 mg tablets. It also considered that the 50 mg strength would generally not be used beyond 3 months.</w:t>
      </w:r>
    </w:p>
    <w:p w:rsidR="00234559" w:rsidRPr="008B7CC1" w:rsidRDefault="00755017" w:rsidP="00755017">
      <w:pPr>
        <w:pStyle w:val="3-BodyText"/>
        <w:rPr>
          <w:rFonts w:cs="Arial"/>
          <w:snapToGrid w:val="0"/>
          <w:color w:val="0070C0"/>
          <w:lang w:eastAsia="en-US"/>
        </w:rPr>
      </w:pPr>
      <w:r w:rsidRPr="008B7CC1">
        <w:rPr>
          <w:rFonts w:cs="Arial"/>
          <w:snapToGrid w:val="0"/>
          <w:lang w:eastAsia="en-US"/>
        </w:rPr>
        <w:t>T</w:t>
      </w:r>
      <w:r w:rsidR="001B2102" w:rsidRPr="008B7CC1">
        <w:rPr>
          <w:rFonts w:cs="Arial"/>
          <w:snapToGrid w:val="0"/>
          <w:lang w:eastAsia="en-US"/>
        </w:rPr>
        <w:t>he PBAC recommended</w:t>
      </w:r>
      <w:r w:rsidRPr="008B7CC1">
        <w:rPr>
          <w:rFonts w:cs="Arial"/>
          <w:snapToGrid w:val="0"/>
          <w:lang w:eastAsia="en-US"/>
        </w:rPr>
        <w:t xml:space="preserve"> Authority Required</w:t>
      </w:r>
      <w:r w:rsidR="00F872C3" w:rsidRPr="008B7CC1">
        <w:rPr>
          <w:rFonts w:cs="Arial"/>
          <w:snapToGrid w:val="0"/>
          <w:lang w:eastAsia="en-US"/>
        </w:rPr>
        <w:t xml:space="preserve"> Telephone/Online</w:t>
      </w:r>
      <w:r w:rsidRPr="008B7CC1">
        <w:rPr>
          <w:rFonts w:cs="Arial"/>
          <w:snapToGrid w:val="0"/>
          <w:lang w:eastAsia="en-US"/>
        </w:rPr>
        <w:t xml:space="preserve"> (immediate/real-time assessment) listings for both </w:t>
      </w:r>
      <w:r w:rsidR="00363EEF" w:rsidRPr="008B7CC1">
        <w:rPr>
          <w:rFonts w:cs="Arial"/>
          <w:snapToGrid w:val="0"/>
          <w:lang w:eastAsia="en-US"/>
        </w:rPr>
        <w:t>VTX</w:t>
      </w:r>
      <w:r w:rsidRPr="008B7CC1">
        <w:rPr>
          <w:rFonts w:cs="Arial"/>
          <w:snapToGrid w:val="0"/>
          <w:lang w:eastAsia="en-US"/>
        </w:rPr>
        <w:t xml:space="preserve"> and </w:t>
      </w:r>
      <w:r w:rsidR="00363EEF" w:rsidRPr="008B7CC1">
        <w:rPr>
          <w:rFonts w:cs="Arial"/>
          <w:snapToGrid w:val="0"/>
          <w:lang w:eastAsia="en-US"/>
        </w:rPr>
        <w:t>AZA</w:t>
      </w:r>
      <w:r w:rsidR="00C75F5C" w:rsidRPr="008B7CC1">
        <w:rPr>
          <w:rFonts w:cs="Arial"/>
          <w:snapToGrid w:val="0"/>
          <w:lang w:eastAsia="en-US"/>
        </w:rPr>
        <w:t xml:space="preserve"> with the following parameters</w:t>
      </w:r>
      <w:r w:rsidR="00234559" w:rsidRPr="008B7CC1">
        <w:rPr>
          <w:rFonts w:cs="Arial"/>
          <w:snapToGrid w:val="0"/>
          <w:lang w:eastAsia="en-US"/>
        </w:rPr>
        <w:t>:</w:t>
      </w:r>
    </w:p>
    <w:p w:rsidR="00234559" w:rsidRPr="008B7CC1" w:rsidRDefault="00755017" w:rsidP="00234559">
      <w:pPr>
        <w:pStyle w:val="3-BodyText"/>
        <w:numPr>
          <w:ilvl w:val="0"/>
          <w:numId w:val="3"/>
        </w:numPr>
        <w:rPr>
          <w:rFonts w:cs="Arial"/>
          <w:snapToGrid w:val="0"/>
          <w:lang w:eastAsia="en-US"/>
        </w:rPr>
      </w:pPr>
      <w:r w:rsidRPr="008B7CC1">
        <w:rPr>
          <w:rFonts w:cs="Arial"/>
          <w:snapToGrid w:val="0"/>
          <w:lang w:eastAsia="en-US"/>
        </w:rPr>
        <w:t xml:space="preserve">For </w:t>
      </w:r>
      <w:r w:rsidR="00363EEF" w:rsidRPr="008B7CC1">
        <w:rPr>
          <w:rFonts w:cs="Arial"/>
          <w:snapToGrid w:val="0"/>
          <w:lang w:eastAsia="en-US"/>
        </w:rPr>
        <w:t>VTX</w:t>
      </w:r>
      <w:r w:rsidRPr="008B7CC1">
        <w:rPr>
          <w:rFonts w:cs="Arial"/>
          <w:snapToGrid w:val="0"/>
          <w:lang w:eastAsia="en-US"/>
        </w:rPr>
        <w:t xml:space="preserve">, a maximum quantity of one pack with two repeats, consistent with its previous advice that two repeats would provide for </w:t>
      </w:r>
      <w:r w:rsidR="007B1786" w:rsidRPr="008B7CC1">
        <w:rPr>
          <w:rFonts w:cs="Arial"/>
          <w:snapToGrid w:val="0"/>
          <w:lang w:eastAsia="en-US"/>
        </w:rPr>
        <w:t xml:space="preserve">approximately </w:t>
      </w:r>
      <w:r w:rsidRPr="008B7CC1">
        <w:rPr>
          <w:rFonts w:cs="Arial"/>
          <w:snapToGrid w:val="0"/>
          <w:lang w:eastAsia="en-US"/>
        </w:rPr>
        <w:t xml:space="preserve">three months’ supply, which was in line with the timeframe in which patients should be reviewed. </w:t>
      </w:r>
    </w:p>
    <w:p w:rsidR="00755017" w:rsidRPr="008B7CC1" w:rsidRDefault="00C75F5C" w:rsidP="00234559">
      <w:pPr>
        <w:pStyle w:val="3-BodyText"/>
        <w:numPr>
          <w:ilvl w:val="0"/>
          <w:numId w:val="3"/>
        </w:numPr>
        <w:rPr>
          <w:rFonts w:cs="Arial"/>
          <w:snapToGrid w:val="0"/>
          <w:lang w:eastAsia="en-US"/>
        </w:rPr>
      </w:pPr>
      <w:r w:rsidRPr="008B7CC1">
        <w:rPr>
          <w:rFonts w:cs="Arial"/>
          <w:snapToGrid w:val="0"/>
          <w:lang w:eastAsia="en-US"/>
        </w:rPr>
        <w:t>T</w:t>
      </w:r>
      <w:r w:rsidR="00755017" w:rsidRPr="008B7CC1">
        <w:rPr>
          <w:rFonts w:cs="Arial"/>
          <w:snapToGrid w:val="0"/>
          <w:lang w:eastAsia="en-US"/>
        </w:rPr>
        <w:t xml:space="preserve">he listing of the </w:t>
      </w:r>
      <w:r w:rsidR="00363EEF" w:rsidRPr="008B7CC1">
        <w:rPr>
          <w:rFonts w:cs="Arial"/>
          <w:snapToGrid w:val="0"/>
          <w:lang w:eastAsia="en-US"/>
        </w:rPr>
        <w:t>VTX</w:t>
      </w:r>
      <w:r w:rsidR="00234559" w:rsidRPr="008B7CC1">
        <w:rPr>
          <w:rFonts w:cs="Arial"/>
          <w:snapToGrid w:val="0"/>
          <w:lang w:eastAsia="en-US"/>
        </w:rPr>
        <w:t xml:space="preserve"> </w:t>
      </w:r>
      <w:r w:rsidR="00B04077" w:rsidRPr="008B7CC1">
        <w:rPr>
          <w:rFonts w:cs="Arial"/>
          <w:snapToGrid w:val="0"/>
          <w:lang w:eastAsia="en-US"/>
        </w:rPr>
        <w:t>50 mg tablet</w:t>
      </w:r>
      <w:r w:rsidR="00B64E9F" w:rsidRPr="008B7CC1">
        <w:rPr>
          <w:rFonts w:cs="Arial"/>
          <w:snapToGrid w:val="0"/>
          <w:lang w:eastAsia="en-US"/>
        </w:rPr>
        <w:t xml:space="preserve">, priced at the same price per milligram as the 100 mg strength, </w:t>
      </w:r>
      <w:r w:rsidR="00234559" w:rsidRPr="008B7CC1">
        <w:rPr>
          <w:rFonts w:cs="Arial"/>
          <w:snapToGrid w:val="0"/>
          <w:lang w:eastAsia="en-US"/>
        </w:rPr>
        <w:t xml:space="preserve">and a maximum quantity of </w:t>
      </w:r>
      <w:r w:rsidR="00103392" w:rsidRPr="008B7CC1">
        <w:rPr>
          <w:rFonts w:cs="Arial"/>
          <w:snapToGrid w:val="0"/>
          <w:lang w:eastAsia="en-US"/>
        </w:rPr>
        <w:t>4</w:t>
      </w:r>
      <w:r w:rsidR="00234559" w:rsidRPr="008B7CC1">
        <w:rPr>
          <w:rFonts w:cs="Arial"/>
          <w:snapToGrid w:val="0"/>
          <w:lang w:eastAsia="en-US"/>
        </w:rPr>
        <w:t xml:space="preserve"> pack</w:t>
      </w:r>
      <w:r w:rsidR="00103392" w:rsidRPr="008B7CC1">
        <w:rPr>
          <w:rFonts w:cs="Arial"/>
          <w:snapToGrid w:val="0"/>
          <w:lang w:eastAsia="en-US"/>
        </w:rPr>
        <w:t>s (28 tablets)</w:t>
      </w:r>
      <w:r w:rsidR="00234559" w:rsidRPr="008B7CC1">
        <w:rPr>
          <w:rFonts w:cs="Arial"/>
          <w:snapToGrid w:val="0"/>
          <w:lang w:eastAsia="en-US"/>
        </w:rPr>
        <w:t xml:space="preserve"> and </w:t>
      </w:r>
      <w:r w:rsidR="00E92079" w:rsidRPr="008B7CC1">
        <w:rPr>
          <w:rFonts w:cs="Arial"/>
          <w:snapToGrid w:val="0"/>
          <w:lang w:eastAsia="en-US"/>
        </w:rPr>
        <w:t>2</w:t>
      </w:r>
      <w:r w:rsidR="00234559" w:rsidRPr="008B7CC1">
        <w:rPr>
          <w:rFonts w:cs="Arial"/>
          <w:snapToGrid w:val="0"/>
          <w:lang w:eastAsia="en-US"/>
        </w:rPr>
        <w:t xml:space="preserve"> repeat</w:t>
      </w:r>
      <w:r w:rsidR="00E92079" w:rsidRPr="008B7CC1">
        <w:rPr>
          <w:rFonts w:cs="Arial"/>
          <w:snapToGrid w:val="0"/>
          <w:lang w:eastAsia="en-US"/>
        </w:rPr>
        <w:t>s</w:t>
      </w:r>
      <w:r w:rsidR="00234559" w:rsidRPr="008B7CC1">
        <w:rPr>
          <w:rFonts w:cs="Arial"/>
          <w:snapToGrid w:val="0"/>
          <w:lang w:eastAsia="en-US"/>
        </w:rPr>
        <w:t>.</w:t>
      </w:r>
    </w:p>
    <w:p w:rsidR="00B37DCB" w:rsidRPr="00A12350" w:rsidRDefault="00234559" w:rsidP="00B37DCB">
      <w:pPr>
        <w:pStyle w:val="3-BodyText"/>
        <w:numPr>
          <w:ilvl w:val="0"/>
          <w:numId w:val="3"/>
        </w:numPr>
        <w:rPr>
          <w:rFonts w:cs="Arial"/>
          <w:bCs/>
          <w:snapToGrid w:val="0"/>
          <w:lang w:eastAsia="en-US"/>
        </w:rPr>
      </w:pPr>
      <w:r w:rsidRPr="008B7CC1">
        <w:rPr>
          <w:rFonts w:cs="Arial"/>
          <w:snapToGrid w:val="0"/>
          <w:lang w:eastAsia="en-US"/>
        </w:rPr>
        <w:t xml:space="preserve">For </w:t>
      </w:r>
      <w:r w:rsidR="00363EEF" w:rsidRPr="008B7CC1">
        <w:rPr>
          <w:rFonts w:cs="Arial"/>
          <w:snapToGrid w:val="0"/>
          <w:lang w:eastAsia="en-US"/>
        </w:rPr>
        <w:t>AZA</w:t>
      </w:r>
      <w:r w:rsidRPr="008B7CC1">
        <w:rPr>
          <w:rFonts w:cs="Arial"/>
          <w:snapToGrid w:val="0"/>
          <w:lang w:eastAsia="en-US"/>
        </w:rPr>
        <w:t xml:space="preserve">, a </w:t>
      </w:r>
      <w:r w:rsidR="00B04077" w:rsidRPr="008B7CC1">
        <w:rPr>
          <w:rFonts w:cs="Arial"/>
          <w:snapToGrid w:val="0"/>
          <w:lang w:eastAsia="en-US"/>
        </w:rPr>
        <w:t xml:space="preserve">new separate </w:t>
      </w:r>
      <w:r w:rsidR="00581419" w:rsidRPr="008B7CC1">
        <w:rPr>
          <w:rFonts w:cs="Arial"/>
          <w:snapToGrid w:val="0"/>
          <w:lang w:eastAsia="en-US"/>
        </w:rPr>
        <w:t>restriction for</w:t>
      </w:r>
      <w:r w:rsidRPr="008B7CC1">
        <w:rPr>
          <w:rFonts w:cs="Arial"/>
          <w:snapToGrid w:val="0"/>
          <w:lang w:eastAsia="en-US"/>
        </w:rPr>
        <w:t xml:space="preserve"> the 100 mg</w:t>
      </w:r>
      <w:r w:rsidR="00B04077" w:rsidRPr="008B7CC1">
        <w:rPr>
          <w:rFonts w:cs="Arial"/>
          <w:snapToGrid w:val="0"/>
          <w:lang w:eastAsia="en-US"/>
        </w:rPr>
        <w:t xml:space="preserve"> powder for injection,</w:t>
      </w:r>
      <w:r w:rsidRPr="008B7CC1">
        <w:rPr>
          <w:rFonts w:cs="Arial"/>
          <w:snapToGrid w:val="0"/>
          <w:lang w:eastAsia="en-US"/>
        </w:rPr>
        <w:t xml:space="preserve"> with</w:t>
      </w:r>
      <w:r w:rsidRPr="00A12350">
        <w:rPr>
          <w:rFonts w:cs="Arial"/>
          <w:snapToGrid w:val="0"/>
          <w:lang w:eastAsia="en-US"/>
        </w:rPr>
        <w:t xml:space="preserve"> a maximum </w:t>
      </w:r>
      <w:r w:rsidRPr="00B762BB">
        <w:rPr>
          <w:rFonts w:cs="Arial"/>
          <w:snapToGrid w:val="0"/>
          <w:lang w:eastAsia="en-US"/>
        </w:rPr>
        <w:t>quantity of</w:t>
      </w:r>
      <w:r w:rsidR="000C11F6" w:rsidRPr="00B762BB">
        <w:rPr>
          <w:rFonts w:cs="Arial"/>
          <w:snapToGrid w:val="0"/>
          <w:lang w:eastAsia="en-US"/>
        </w:rPr>
        <w:t xml:space="preserve"> 14 packs and 2 repeats (to approximately align with 3 months’ supply)</w:t>
      </w:r>
      <w:r w:rsidR="00B04077" w:rsidRPr="00B762BB">
        <w:rPr>
          <w:rFonts w:cs="Arial"/>
          <w:snapToGrid w:val="0"/>
          <w:lang w:eastAsia="en-US"/>
        </w:rPr>
        <w:t xml:space="preserve">. </w:t>
      </w:r>
      <w:r w:rsidR="00B04077" w:rsidRPr="00A12350">
        <w:rPr>
          <w:rFonts w:cs="Arial"/>
          <w:snapToGrid w:val="0"/>
          <w:lang w:eastAsia="en-US"/>
        </w:rPr>
        <w:t xml:space="preserve">The PBAC considered the immediate/real-time assessment Authority level was appropriate, as this was in line with its previous recommendation that existing Written Authority levels for initiating </w:t>
      </w:r>
      <w:r w:rsidR="00DB3473">
        <w:rPr>
          <w:rFonts w:cs="Arial"/>
          <w:snapToGrid w:val="0"/>
          <w:lang w:eastAsia="en-US"/>
        </w:rPr>
        <w:t>AZA</w:t>
      </w:r>
      <w:r w:rsidR="00B04077" w:rsidRPr="00A12350">
        <w:rPr>
          <w:rFonts w:cs="Arial"/>
          <w:snapToGrid w:val="0"/>
          <w:lang w:eastAsia="en-US"/>
        </w:rPr>
        <w:t xml:space="preserve"> be amended</w:t>
      </w:r>
      <w:r w:rsidR="00363EEF" w:rsidRPr="00A12350">
        <w:rPr>
          <w:rFonts w:cs="Arial"/>
          <w:snapToGrid w:val="0"/>
          <w:lang w:eastAsia="en-US"/>
        </w:rPr>
        <w:t xml:space="preserve"> to Telephone/</w:t>
      </w:r>
      <w:r w:rsidR="00F872C3">
        <w:rPr>
          <w:rFonts w:cs="Arial"/>
          <w:snapToGrid w:val="0"/>
          <w:lang w:eastAsia="en-US"/>
        </w:rPr>
        <w:t>Online</w:t>
      </w:r>
      <w:r w:rsidR="00363EEF" w:rsidRPr="00A12350">
        <w:rPr>
          <w:rFonts w:cs="Arial"/>
          <w:snapToGrid w:val="0"/>
          <w:lang w:eastAsia="en-US"/>
        </w:rPr>
        <w:t xml:space="preserve"> (immediate/real-time assessment)</w:t>
      </w:r>
      <w:r w:rsidR="00B04077" w:rsidRPr="00A12350">
        <w:rPr>
          <w:rFonts w:cs="Arial"/>
          <w:snapToGrid w:val="0"/>
          <w:lang w:eastAsia="en-US"/>
        </w:rPr>
        <w:t xml:space="preserve"> (see </w:t>
      </w:r>
      <w:r w:rsidR="006B343F" w:rsidRPr="00A12350">
        <w:rPr>
          <w:rFonts w:cs="Arial"/>
          <w:snapToGrid w:val="0"/>
          <w:lang w:eastAsia="en-US"/>
        </w:rPr>
        <w:t xml:space="preserve">paragraph </w:t>
      </w:r>
      <w:r w:rsidR="003A5046" w:rsidRPr="00A12350">
        <w:rPr>
          <w:rFonts w:cs="Arial"/>
          <w:snapToGrid w:val="0"/>
          <w:lang w:eastAsia="en-US"/>
        </w:rPr>
        <w:t>3.2</w:t>
      </w:r>
      <w:r w:rsidR="006B343F" w:rsidRPr="00A12350">
        <w:rPr>
          <w:rFonts w:cs="Arial"/>
          <w:snapToGrid w:val="0"/>
          <w:lang w:eastAsia="en-US"/>
        </w:rPr>
        <w:t xml:space="preserve">). </w:t>
      </w:r>
      <w:r w:rsidR="00B37DCB" w:rsidRPr="00A12350">
        <w:rPr>
          <w:rFonts w:cs="Arial"/>
          <w:bCs/>
          <w:snapToGrid w:val="0"/>
          <w:lang w:eastAsia="en-US"/>
        </w:rPr>
        <w:t xml:space="preserve">The PBAC noted that </w:t>
      </w:r>
      <w:r w:rsidR="001F5F68" w:rsidRPr="00A12350">
        <w:rPr>
          <w:rFonts w:cs="Arial"/>
          <w:bCs/>
          <w:snapToGrid w:val="0"/>
          <w:lang w:eastAsia="en-US"/>
        </w:rPr>
        <w:t>AZA</w:t>
      </w:r>
      <w:r w:rsidR="00B37DCB" w:rsidRPr="00A12350">
        <w:rPr>
          <w:rFonts w:cs="Arial"/>
          <w:bCs/>
          <w:snapToGrid w:val="0"/>
          <w:lang w:eastAsia="en-US"/>
        </w:rPr>
        <w:t xml:space="preserve"> sponsors would be consulted on the </w:t>
      </w:r>
      <w:r w:rsidR="001F5F68" w:rsidRPr="00A12350">
        <w:rPr>
          <w:rFonts w:cs="Arial"/>
          <w:bCs/>
          <w:snapToGrid w:val="0"/>
          <w:lang w:eastAsia="en-US"/>
        </w:rPr>
        <w:t>AZA</w:t>
      </w:r>
      <w:r w:rsidR="00B37DCB" w:rsidRPr="00A12350">
        <w:rPr>
          <w:rFonts w:cs="Arial"/>
          <w:bCs/>
          <w:snapToGrid w:val="0"/>
          <w:lang w:eastAsia="en-US"/>
        </w:rPr>
        <w:t xml:space="preserve"> listing prior to implementation. </w:t>
      </w:r>
    </w:p>
    <w:p w:rsidR="009550E8" w:rsidRPr="00A12350" w:rsidRDefault="003F740A" w:rsidP="00234559">
      <w:pPr>
        <w:pStyle w:val="3-BodyText"/>
        <w:numPr>
          <w:ilvl w:val="0"/>
          <w:numId w:val="3"/>
        </w:numPr>
        <w:rPr>
          <w:rFonts w:cs="Arial"/>
          <w:snapToGrid w:val="0"/>
          <w:lang w:eastAsia="en-US"/>
        </w:rPr>
      </w:pPr>
      <w:r w:rsidRPr="00A12350">
        <w:rPr>
          <w:rFonts w:cs="Arial"/>
          <w:snapToGrid w:val="0"/>
          <w:lang w:eastAsia="en-US"/>
        </w:rPr>
        <w:t>G</w:t>
      </w:r>
      <w:r w:rsidR="00155F73" w:rsidRPr="00A12350">
        <w:rPr>
          <w:rFonts w:cs="Arial"/>
          <w:snapToGrid w:val="0"/>
          <w:lang w:eastAsia="en-US"/>
        </w:rPr>
        <w:t xml:space="preserve">randfathering provisions for patients receiving non-PBS subsidised VTX prior to PBS listing, who would have been eligible under the PBS criteria at the time of initiation. The PBAC considered that these patients would </w:t>
      </w:r>
      <w:r w:rsidR="002975BD" w:rsidRPr="00A12350">
        <w:rPr>
          <w:rFonts w:cs="Arial"/>
          <w:snapToGrid w:val="0"/>
          <w:lang w:eastAsia="en-US"/>
        </w:rPr>
        <w:t>likely be</w:t>
      </w:r>
      <w:r w:rsidR="00155F73" w:rsidRPr="00A12350">
        <w:rPr>
          <w:rFonts w:cs="Arial"/>
          <w:snapToGrid w:val="0"/>
          <w:lang w:eastAsia="en-US"/>
        </w:rPr>
        <w:t xml:space="preserve"> able to initiate therapy via the recommended listing and a separate </w:t>
      </w:r>
      <w:r w:rsidR="002975BD" w:rsidRPr="00A12350">
        <w:rPr>
          <w:rFonts w:cs="Arial"/>
          <w:snapToGrid w:val="0"/>
          <w:lang w:eastAsia="en-US"/>
        </w:rPr>
        <w:t xml:space="preserve">“grandfathering” </w:t>
      </w:r>
      <w:r w:rsidR="00155F73" w:rsidRPr="00A12350">
        <w:rPr>
          <w:rFonts w:cs="Arial"/>
          <w:snapToGrid w:val="0"/>
          <w:lang w:eastAsia="en-US"/>
        </w:rPr>
        <w:t>restriction was unlikely to be necessary.</w:t>
      </w:r>
    </w:p>
    <w:p w:rsidR="00736154" w:rsidRPr="00A12350" w:rsidRDefault="00736154" w:rsidP="00623D02">
      <w:pPr>
        <w:pStyle w:val="3-BodyText"/>
        <w:rPr>
          <w:rFonts w:cstheme="minorHAnsi"/>
          <w:b/>
          <w:lang w:eastAsia="en-US"/>
        </w:rPr>
      </w:pPr>
      <w:r w:rsidRPr="00A12350">
        <w:rPr>
          <w:rFonts w:cstheme="minorHAnsi"/>
          <w:lang w:eastAsia="en-US"/>
        </w:rPr>
        <w:t xml:space="preserve">The PBAC found that the criteria prescribed by the </w:t>
      </w:r>
      <w:r w:rsidRPr="00A12350">
        <w:rPr>
          <w:rFonts w:cstheme="minorHAnsi"/>
          <w:i/>
          <w:lang w:eastAsia="en-US"/>
        </w:rPr>
        <w:t>National Health (Pharmaceuticals and Vaccines – Cost Recovery) Regulations 2009</w:t>
      </w:r>
      <w:r w:rsidRPr="00A12350">
        <w:rPr>
          <w:rFonts w:cstheme="minorHAnsi"/>
          <w:lang w:eastAsia="en-US"/>
        </w:rPr>
        <w:t xml:space="preserve"> for Pricing Pathway A were </w:t>
      </w:r>
      <w:r w:rsidR="00623D02" w:rsidRPr="00A12350">
        <w:rPr>
          <w:rFonts w:cstheme="minorHAnsi"/>
          <w:lang w:eastAsia="en-US"/>
        </w:rPr>
        <w:t>not</w:t>
      </w:r>
      <w:r w:rsidRPr="00A12350">
        <w:rPr>
          <w:rFonts w:cstheme="minorHAnsi"/>
          <w:lang w:eastAsia="en-US"/>
        </w:rPr>
        <w:t xml:space="preserve"> met.</w:t>
      </w:r>
      <w:r w:rsidR="00F4082C" w:rsidRPr="00A12350">
        <w:rPr>
          <w:rFonts w:cstheme="minorHAnsi"/>
          <w:lang w:eastAsia="en-US"/>
        </w:rPr>
        <w:t xml:space="preserve"> </w:t>
      </w:r>
      <w:r w:rsidRPr="00A12350">
        <w:rPr>
          <w:rFonts w:cstheme="minorHAnsi"/>
          <w:lang w:eastAsia="en-US"/>
        </w:rPr>
        <w:t>Specifically</w:t>
      </w:r>
      <w:r w:rsidR="00F4082C" w:rsidRPr="00A12350">
        <w:rPr>
          <w:rFonts w:cstheme="minorHAnsi"/>
          <w:lang w:eastAsia="en-US"/>
        </w:rPr>
        <w:t>,</w:t>
      </w:r>
      <w:r w:rsidRPr="00A12350">
        <w:rPr>
          <w:rFonts w:cstheme="minorHAnsi"/>
          <w:lang w:eastAsia="en-US"/>
        </w:rPr>
        <w:t xml:space="preserve"> the PBAC found that in the circumstances of its recommendation for </w:t>
      </w:r>
      <w:r w:rsidR="00463886" w:rsidRPr="00A12350">
        <w:rPr>
          <w:rFonts w:cstheme="minorHAnsi"/>
          <w:lang w:eastAsia="en-US"/>
        </w:rPr>
        <w:t>VTX</w:t>
      </w:r>
      <w:r w:rsidR="00623D02" w:rsidRPr="00A12350">
        <w:rPr>
          <w:rFonts w:cstheme="minorHAnsi"/>
          <w:lang w:eastAsia="en-US"/>
        </w:rPr>
        <w:t xml:space="preserve"> in combination with </w:t>
      </w:r>
      <w:r w:rsidR="00463886" w:rsidRPr="00A12350">
        <w:rPr>
          <w:rFonts w:cstheme="minorHAnsi"/>
          <w:lang w:eastAsia="en-US"/>
        </w:rPr>
        <w:t>AZA</w:t>
      </w:r>
      <w:r w:rsidR="00623D02" w:rsidRPr="00A12350">
        <w:rPr>
          <w:rFonts w:cstheme="minorHAnsi"/>
          <w:lang w:eastAsia="en-US"/>
        </w:rPr>
        <w:t>:</w:t>
      </w:r>
    </w:p>
    <w:p w:rsidR="00736154" w:rsidRPr="00A12350" w:rsidRDefault="00736154" w:rsidP="001255EC">
      <w:pPr>
        <w:widowControl w:val="0"/>
        <w:numPr>
          <w:ilvl w:val="1"/>
          <w:numId w:val="7"/>
        </w:numPr>
        <w:spacing w:after="120"/>
        <w:rPr>
          <w:rFonts w:asciiTheme="minorHAnsi" w:hAnsiTheme="minorHAnsi" w:cstheme="minorHAnsi"/>
          <w:color w:val="0070C0"/>
          <w:lang w:eastAsia="en-US"/>
        </w:rPr>
      </w:pPr>
      <w:r w:rsidRPr="00A12350">
        <w:rPr>
          <w:rFonts w:asciiTheme="minorHAnsi" w:hAnsiTheme="minorHAnsi" w:cstheme="minorHAnsi"/>
          <w:lang w:eastAsia="en-US"/>
        </w:rPr>
        <w:t xml:space="preserve">The treatment is expected to provide a substantial and clinically relevant improvement in </w:t>
      </w:r>
      <w:r w:rsidR="001E18B8" w:rsidRPr="00A12350">
        <w:rPr>
          <w:rFonts w:asciiTheme="minorHAnsi" w:hAnsiTheme="minorHAnsi" w:cstheme="minorHAnsi"/>
          <w:lang w:eastAsia="en-US"/>
        </w:rPr>
        <w:t>overall survival</w:t>
      </w:r>
      <w:r w:rsidR="00463886" w:rsidRPr="00A12350">
        <w:rPr>
          <w:rFonts w:asciiTheme="minorHAnsi" w:hAnsiTheme="minorHAnsi" w:cstheme="minorHAnsi"/>
          <w:lang w:eastAsia="en-US"/>
        </w:rPr>
        <w:t xml:space="preserve"> when compared with low-intensity AZA. (An improvement is also expected when compared with LoDAC, although the magnitude of benefit is uncertain)</w:t>
      </w:r>
      <w:r w:rsidRPr="00A12350">
        <w:rPr>
          <w:rFonts w:asciiTheme="minorHAnsi" w:hAnsiTheme="minorHAnsi" w:cstheme="minorHAnsi"/>
          <w:lang w:eastAsia="en-US"/>
        </w:rPr>
        <w:t xml:space="preserve">; </w:t>
      </w:r>
    </w:p>
    <w:p w:rsidR="00736154" w:rsidRPr="00A12350" w:rsidRDefault="00736154" w:rsidP="001255EC">
      <w:pPr>
        <w:widowControl w:val="0"/>
        <w:numPr>
          <w:ilvl w:val="1"/>
          <w:numId w:val="7"/>
        </w:numPr>
        <w:spacing w:after="120"/>
        <w:rPr>
          <w:rFonts w:asciiTheme="minorHAnsi" w:hAnsiTheme="minorHAnsi" w:cstheme="minorHAnsi"/>
          <w:lang w:eastAsia="en-US"/>
        </w:rPr>
      </w:pPr>
      <w:r w:rsidRPr="00A12350">
        <w:rPr>
          <w:rFonts w:asciiTheme="minorHAnsi" w:hAnsiTheme="minorHAnsi" w:cstheme="minorHAnsi"/>
          <w:lang w:eastAsia="en-US"/>
        </w:rPr>
        <w:t xml:space="preserve">The treatment is not expected to address a high and urgent unmet clinical need due to </w:t>
      </w:r>
      <w:r w:rsidR="00811F14" w:rsidRPr="00A12350">
        <w:rPr>
          <w:rFonts w:asciiTheme="minorHAnsi" w:hAnsiTheme="minorHAnsi" w:cstheme="minorHAnsi"/>
          <w:lang w:eastAsia="en-US"/>
        </w:rPr>
        <w:t>the availability of alternative therapies via the PBS</w:t>
      </w:r>
      <w:r w:rsidRPr="00A12350">
        <w:rPr>
          <w:rFonts w:asciiTheme="minorHAnsi" w:hAnsiTheme="minorHAnsi" w:cstheme="minorHAnsi"/>
          <w:lang w:eastAsia="en-US"/>
        </w:rPr>
        <w:t>;</w:t>
      </w:r>
    </w:p>
    <w:p w:rsidR="00736154" w:rsidRPr="000C675E" w:rsidRDefault="00736154" w:rsidP="001255EC">
      <w:pPr>
        <w:widowControl w:val="0"/>
        <w:numPr>
          <w:ilvl w:val="1"/>
          <w:numId w:val="7"/>
        </w:numPr>
        <w:spacing w:after="120"/>
        <w:contextualSpacing/>
        <w:rPr>
          <w:rFonts w:asciiTheme="minorHAnsi" w:hAnsiTheme="minorHAnsi" w:cstheme="minorHAnsi"/>
        </w:rPr>
      </w:pPr>
      <w:r w:rsidRPr="00A12350">
        <w:rPr>
          <w:rFonts w:asciiTheme="minorHAnsi" w:hAnsiTheme="minorHAnsi" w:cstheme="minorHAnsi"/>
          <w:lang w:eastAsia="en-US"/>
        </w:rPr>
        <w:t>It was not necessary to make a finding in relation to whether it would be in the public interest for the subsequent pricing application to be progressed under Pricing Pathway A because one or more of the preceding tests had failed</w:t>
      </w:r>
      <w:r w:rsidR="00623D02" w:rsidRPr="00A12350">
        <w:rPr>
          <w:rFonts w:asciiTheme="minorHAnsi" w:hAnsiTheme="minorHAnsi" w:cstheme="minorHAnsi"/>
          <w:lang w:eastAsia="en-US"/>
        </w:rPr>
        <w:t xml:space="preserve">. </w:t>
      </w:r>
    </w:p>
    <w:p w:rsidR="00736154" w:rsidRPr="00A12350" w:rsidRDefault="00736154" w:rsidP="001607B3">
      <w:pPr>
        <w:pStyle w:val="3-BodyText"/>
        <w:rPr>
          <w:rFonts w:cs="Arial"/>
          <w:bCs/>
          <w:snapToGrid w:val="0"/>
          <w:lang w:eastAsia="en-US"/>
        </w:rPr>
      </w:pPr>
      <w:r w:rsidRPr="00A12350">
        <w:rPr>
          <w:rFonts w:cs="Arial"/>
          <w:bCs/>
          <w:snapToGrid w:val="0"/>
          <w:lang w:eastAsia="en-US"/>
        </w:rPr>
        <w:t>The PBAC noted that this submission is not eligible for an Independent Review</w:t>
      </w:r>
      <w:r w:rsidR="00623D02" w:rsidRPr="00A12350">
        <w:rPr>
          <w:rFonts w:cs="Arial"/>
          <w:bCs/>
          <w:snapToGrid w:val="0"/>
          <w:lang w:eastAsia="en-US"/>
        </w:rPr>
        <w:t xml:space="preserve"> as it received a positive recommendation</w:t>
      </w:r>
      <w:r w:rsidRPr="00A12350">
        <w:rPr>
          <w:rFonts w:cs="Arial"/>
          <w:bCs/>
          <w:snapToGrid w:val="0"/>
          <w:lang w:eastAsia="en-US"/>
        </w:rPr>
        <w:t>.</w:t>
      </w:r>
    </w:p>
    <w:p w:rsidR="00736154" w:rsidRPr="00A12350" w:rsidRDefault="00736154" w:rsidP="00736154">
      <w:pPr>
        <w:spacing w:before="240"/>
        <w:rPr>
          <w:rFonts w:asciiTheme="minorHAnsi" w:hAnsiTheme="minorHAnsi" w:cs="Arial"/>
          <w:b/>
          <w:bCs/>
          <w:snapToGrid w:val="0"/>
          <w:lang w:eastAsia="en-US"/>
        </w:rPr>
      </w:pPr>
      <w:r w:rsidRPr="00A12350">
        <w:rPr>
          <w:rFonts w:asciiTheme="minorHAnsi" w:hAnsiTheme="minorHAnsi" w:cs="Arial"/>
          <w:b/>
          <w:bCs/>
          <w:snapToGrid w:val="0"/>
          <w:lang w:eastAsia="en-US"/>
        </w:rPr>
        <w:t>Outcome:</w:t>
      </w:r>
    </w:p>
    <w:p w:rsidR="00736154" w:rsidRPr="00A12350" w:rsidRDefault="00736154" w:rsidP="00736154">
      <w:pPr>
        <w:spacing w:after="120"/>
        <w:rPr>
          <w:rFonts w:asciiTheme="minorHAnsi" w:hAnsiTheme="minorHAnsi" w:cs="Arial"/>
          <w:bCs/>
          <w:snapToGrid w:val="0"/>
          <w:lang w:eastAsia="en-US"/>
        </w:rPr>
      </w:pPr>
      <w:r w:rsidRPr="00A12350">
        <w:rPr>
          <w:rFonts w:asciiTheme="minorHAnsi" w:hAnsiTheme="minorHAnsi" w:cs="Arial"/>
          <w:bCs/>
          <w:snapToGrid w:val="0"/>
          <w:lang w:eastAsia="en-US"/>
        </w:rPr>
        <w:t>Recommended</w:t>
      </w:r>
    </w:p>
    <w:bookmarkEnd w:id="29"/>
    <w:p w:rsidR="00736154" w:rsidRPr="00A12350" w:rsidRDefault="00736154" w:rsidP="003F1923">
      <w:pPr>
        <w:pStyle w:val="2-SectionHeading"/>
        <w:rPr>
          <w:bCs/>
          <w:iCs/>
        </w:rPr>
      </w:pPr>
      <w:r w:rsidRPr="00A12350">
        <w:rPr>
          <w:bCs/>
        </w:rPr>
        <w:t>Recommended listing</w:t>
      </w:r>
    </w:p>
    <w:p w:rsidR="00736154" w:rsidRPr="000C675E" w:rsidRDefault="00736154" w:rsidP="00B562B1">
      <w:pPr>
        <w:pStyle w:val="3-BodyText"/>
        <w:rPr>
          <w:rFonts w:cs="Arial"/>
          <w:b/>
          <w:bCs/>
          <w:snapToGrid w:val="0"/>
          <w:lang w:eastAsia="en-US"/>
        </w:rPr>
      </w:pPr>
      <w:r w:rsidRPr="000C675E">
        <w:rPr>
          <w:rFonts w:cs="Arial"/>
          <w:bCs/>
          <w:snapToGrid w:val="0"/>
          <w:lang w:eastAsia="en-US"/>
        </w:rPr>
        <w:t>Add new item:</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1721"/>
        <w:gridCol w:w="1417"/>
        <w:gridCol w:w="992"/>
        <w:gridCol w:w="1010"/>
        <w:gridCol w:w="1150"/>
        <w:gridCol w:w="1753"/>
      </w:tblGrid>
      <w:tr w:rsidR="00B562B1" w:rsidRPr="00441B28" w:rsidTr="007B15C1">
        <w:trPr>
          <w:trHeight w:val="57"/>
        </w:trPr>
        <w:tc>
          <w:tcPr>
            <w:tcW w:w="2694" w:type="dxa"/>
            <w:gridSpan w:val="2"/>
          </w:tcPr>
          <w:p w:rsidR="00B562B1" w:rsidRPr="00441B28" w:rsidRDefault="00B562B1" w:rsidP="00AC4B3D">
            <w:pPr>
              <w:keepNext/>
              <w:ind w:left="-57"/>
              <w:rPr>
                <w:rFonts w:ascii="Arial Narrow" w:hAnsi="Arial Narrow" w:cs="Arial"/>
                <w:b/>
                <w:bCs/>
                <w:sz w:val="20"/>
                <w:szCs w:val="20"/>
              </w:rPr>
            </w:pPr>
            <w:r w:rsidRPr="00441B28">
              <w:rPr>
                <w:rFonts w:ascii="Arial Narrow" w:hAnsi="Arial Narrow" w:cs="Arial"/>
                <w:b/>
                <w:bCs/>
                <w:sz w:val="20"/>
                <w:szCs w:val="20"/>
              </w:rPr>
              <w:t>MEDICINAL PRODUCT</w:t>
            </w:r>
          </w:p>
          <w:p w:rsidR="00B562B1" w:rsidRPr="00441B28" w:rsidRDefault="00B562B1" w:rsidP="00AC4B3D">
            <w:pPr>
              <w:keepNext/>
              <w:ind w:left="-57"/>
              <w:rPr>
                <w:rFonts w:ascii="Arial Narrow" w:hAnsi="Arial Narrow" w:cs="Arial"/>
                <w:b/>
                <w:sz w:val="20"/>
                <w:szCs w:val="20"/>
              </w:rPr>
            </w:pPr>
            <w:r w:rsidRPr="00441B28">
              <w:rPr>
                <w:rFonts w:ascii="Arial Narrow" w:hAnsi="Arial Narrow" w:cs="Arial"/>
                <w:b/>
                <w:bCs/>
                <w:sz w:val="20"/>
                <w:szCs w:val="20"/>
              </w:rPr>
              <w:t>medicinal product pack</w:t>
            </w:r>
          </w:p>
        </w:tc>
        <w:tc>
          <w:tcPr>
            <w:tcW w:w="1417" w:type="dxa"/>
          </w:tcPr>
          <w:p w:rsidR="00B562B1" w:rsidRPr="00441B28" w:rsidRDefault="00B562B1" w:rsidP="00B562B1">
            <w:pPr>
              <w:keepNext/>
              <w:jc w:val="center"/>
              <w:rPr>
                <w:rFonts w:ascii="Arial Narrow" w:hAnsi="Arial Narrow" w:cs="Arial"/>
                <w:b/>
                <w:sz w:val="20"/>
                <w:szCs w:val="20"/>
              </w:rPr>
            </w:pPr>
            <w:r w:rsidRPr="00441B28">
              <w:rPr>
                <w:rFonts w:ascii="Arial Narrow" w:hAnsi="Arial Narrow" w:cs="Arial"/>
                <w:b/>
                <w:sz w:val="20"/>
                <w:szCs w:val="20"/>
              </w:rPr>
              <w:t>PBS item code</w:t>
            </w:r>
          </w:p>
        </w:tc>
        <w:tc>
          <w:tcPr>
            <w:tcW w:w="992" w:type="dxa"/>
          </w:tcPr>
          <w:p w:rsidR="00B562B1" w:rsidRPr="00441B28" w:rsidRDefault="00B562B1" w:rsidP="00B562B1">
            <w:pPr>
              <w:keepNext/>
              <w:jc w:val="center"/>
              <w:rPr>
                <w:rFonts w:ascii="Arial Narrow" w:hAnsi="Arial Narrow" w:cs="Arial"/>
                <w:b/>
                <w:sz w:val="20"/>
                <w:szCs w:val="20"/>
              </w:rPr>
            </w:pPr>
            <w:r w:rsidRPr="00441B28">
              <w:rPr>
                <w:rFonts w:ascii="Arial Narrow" w:hAnsi="Arial Narrow" w:cs="Arial"/>
                <w:b/>
                <w:sz w:val="20"/>
                <w:szCs w:val="20"/>
              </w:rPr>
              <w:t>Max. qty packs</w:t>
            </w:r>
          </w:p>
        </w:tc>
        <w:tc>
          <w:tcPr>
            <w:tcW w:w="1010" w:type="dxa"/>
          </w:tcPr>
          <w:p w:rsidR="00B562B1" w:rsidRPr="00441B28" w:rsidRDefault="00B562B1" w:rsidP="00B562B1">
            <w:pPr>
              <w:keepNext/>
              <w:jc w:val="center"/>
              <w:rPr>
                <w:rFonts w:ascii="Arial Narrow" w:hAnsi="Arial Narrow" w:cs="Arial"/>
                <w:b/>
                <w:sz w:val="20"/>
                <w:szCs w:val="20"/>
              </w:rPr>
            </w:pPr>
            <w:r w:rsidRPr="00441B28">
              <w:rPr>
                <w:rFonts w:ascii="Arial Narrow" w:hAnsi="Arial Narrow" w:cs="Arial"/>
                <w:b/>
                <w:sz w:val="20"/>
                <w:szCs w:val="20"/>
              </w:rPr>
              <w:t>Max. qty units</w:t>
            </w:r>
          </w:p>
        </w:tc>
        <w:tc>
          <w:tcPr>
            <w:tcW w:w="1150" w:type="dxa"/>
          </w:tcPr>
          <w:p w:rsidR="00B562B1" w:rsidRPr="00441B28" w:rsidRDefault="00B562B1" w:rsidP="00B562B1">
            <w:pPr>
              <w:keepNext/>
              <w:jc w:val="center"/>
              <w:rPr>
                <w:rFonts w:ascii="Arial Narrow" w:hAnsi="Arial Narrow" w:cs="Arial"/>
                <w:b/>
                <w:sz w:val="20"/>
                <w:szCs w:val="20"/>
              </w:rPr>
            </w:pPr>
            <w:r w:rsidRPr="00441B28">
              <w:rPr>
                <w:rFonts w:ascii="Arial Narrow" w:hAnsi="Arial Narrow" w:cs="Arial"/>
                <w:b/>
                <w:sz w:val="20"/>
                <w:szCs w:val="20"/>
              </w:rPr>
              <w:t>№.of</w:t>
            </w:r>
          </w:p>
          <w:p w:rsidR="00B562B1" w:rsidRPr="00441B28" w:rsidRDefault="00B562B1" w:rsidP="00B562B1">
            <w:pPr>
              <w:keepNext/>
              <w:jc w:val="center"/>
              <w:rPr>
                <w:rFonts w:ascii="Arial Narrow" w:hAnsi="Arial Narrow" w:cs="Arial"/>
                <w:b/>
                <w:sz w:val="20"/>
                <w:szCs w:val="20"/>
              </w:rPr>
            </w:pPr>
            <w:r w:rsidRPr="00441B28">
              <w:rPr>
                <w:rFonts w:ascii="Arial Narrow" w:hAnsi="Arial Narrow" w:cs="Arial"/>
                <w:b/>
                <w:sz w:val="20"/>
                <w:szCs w:val="20"/>
              </w:rPr>
              <w:t>Rpts</w:t>
            </w:r>
          </w:p>
        </w:tc>
        <w:tc>
          <w:tcPr>
            <w:tcW w:w="1753" w:type="dxa"/>
          </w:tcPr>
          <w:p w:rsidR="00B562B1" w:rsidRPr="00441B28" w:rsidRDefault="00B562B1" w:rsidP="00B562B1">
            <w:pPr>
              <w:keepNext/>
              <w:rPr>
                <w:rFonts w:ascii="Arial Narrow" w:hAnsi="Arial Narrow" w:cs="Arial"/>
                <w:b/>
                <w:sz w:val="20"/>
                <w:szCs w:val="20"/>
              </w:rPr>
            </w:pPr>
            <w:r w:rsidRPr="00441B28">
              <w:rPr>
                <w:rFonts w:ascii="Arial Narrow" w:hAnsi="Arial Narrow" w:cs="Arial"/>
                <w:b/>
                <w:sz w:val="20"/>
                <w:szCs w:val="20"/>
              </w:rPr>
              <w:t>Available brands</w:t>
            </w:r>
          </w:p>
        </w:tc>
      </w:tr>
      <w:tr w:rsidR="00B562B1" w:rsidRPr="00441B28" w:rsidTr="007B15C1">
        <w:trPr>
          <w:trHeight w:val="57"/>
        </w:trPr>
        <w:tc>
          <w:tcPr>
            <w:tcW w:w="9016" w:type="dxa"/>
            <w:gridSpan w:val="7"/>
          </w:tcPr>
          <w:p w:rsidR="00B562B1" w:rsidRPr="00441B28" w:rsidRDefault="00B562B1" w:rsidP="00AC4B3D">
            <w:pPr>
              <w:keepNext/>
              <w:ind w:left="-57"/>
              <w:rPr>
                <w:rFonts w:ascii="Arial Narrow" w:hAnsi="Arial Narrow" w:cs="Arial"/>
                <w:sz w:val="20"/>
                <w:szCs w:val="20"/>
              </w:rPr>
            </w:pPr>
            <w:r w:rsidRPr="00441B28">
              <w:rPr>
                <w:rFonts w:ascii="Arial Narrow" w:hAnsi="Arial Narrow" w:cs="Arial"/>
                <w:sz w:val="20"/>
                <w:szCs w:val="20"/>
              </w:rPr>
              <w:t xml:space="preserve">VENETOCLAX </w:t>
            </w:r>
          </w:p>
        </w:tc>
      </w:tr>
      <w:tr w:rsidR="005B5A6F" w:rsidRPr="00441B28" w:rsidTr="007B15C1">
        <w:trPr>
          <w:trHeight w:val="57"/>
        </w:trPr>
        <w:tc>
          <w:tcPr>
            <w:tcW w:w="2694" w:type="dxa"/>
            <w:gridSpan w:val="2"/>
          </w:tcPr>
          <w:p w:rsidR="005B5A6F" w:rsidRPr="00441B28" w:rsidRDefault="005B5A6F" w:rsidP="00AC4B3D">
            <w:pPr>
              <w:keepNext/>
              <w:ind w:left="-57"/>
              <w:rPr>
                <w:rFonts w:ascii="Arial Narrow" w:hAnsi="Arial Narrow" w:cs="Arial"/>
                <w:sz w:val="20"/>
                <w:szCs w:val="20"/>
              </w:rPr>
            </w:pPr>
            <w:r w:rsidRPr="00441B28">
              <w:rPr>
                <w:rFonts w:ascii="Arial Narrow" w:hAnsi="Arial Narrow" w:cs="Arial"/>
                <w:sz w:val="20"/>
                <w:szCs w:val="20"/>
              </w:rPr>
              <w:t>venetoclax 100 mg tablet, 120</w:t>
            </w:r>
          </w:p>
        </w:tc>
        <w:tc>
          <w:tcPr>
            <w:tcW w:w="1417" w:type="dxa"/>
          </w:tcPr>
          <w:p w:rsidR="005B5A6F" w:rsidRPr="00441B28" w:rsidRDefault="005B5A6F" w:rsidP="00AC4B3D">
            <w:pPr>
              <w:keepNext/>
              <w:jc w:val="center"/>
              <w:rPr>
                <w:rFonts w:ascii="Arial Narrow" w:hAnsi="Arial Narrow" w:cs="Arial"/>
                <w:sz w:val="20"/>
                <w:szCs w:val="20"/>
              </w:rPr>
            </w:pPr>
            <w:r w:rsidRPr="00441B28">
              <w:rPr>
                <w:rFonts w:ascii="Arial Narrow" w:hAnsi="Arial Narrow" w:cs="Arial"/>
                <w:sz w:val="20"/>
                <w:szCs w:val="20"/>
              </w:rPr>
              <w:t>NEW</w:t>
            </w:r>
          </w:p>
        </w:tc>
        <w:tc>
          <w:tcPr>
            <w:tcW w:w="992" w:type="dxa"/>
          </w:tcPr>
          <w:p w:rsidR="005B5A6F" w:rsidRPr="00441B28" w:rsidRDefault="005B5A6F" w:rsidP="00AC4B3D">
            <w:pPr>
              <w:keepNext/>
              <w:jc w:val="center"/>
              <w:rPr>
                <w:rFonts w:ascii="Arial Narrow" w:hAnsi="Arial Narrow" w:cs="Arial"/>
                <w:sz w:val="20"/>
                <w:szCs w:val="20"/>
              </w:rPr>
            </w:pPr>
            <w:r w:rsidRPr="00441B28">
              <w:rPr>
                <w:rFonts w:ascii="Arial Narrow" w:hAnsi="Arial Narrow" w:cs="Arial"/>
                <w:sz w:val="20"/>
                <w:szCs w:val="20"/>
              </w:rPr>
              <w:t>1</w:t>
            </w:r>
          </w:p>
        </w:tc>
        <w:tc>
          <w:tcPr>
            <w:tcW w:w="1010" w:type="dxa"/>
          </w:tcPr>
          <w:p w:rsidR="005B5A6F" w:rsidRPr="00441B28" w:rsidRDefault="005B5A6F" w:rsidP="00AC4B3D">
            <w:pPr>
              <w:keepNext/>
              <w:jc w:val="center"/>
              <w:rPr>
                <w:rFonts w:ascii="Arial Narrow" w:hAnsi="Arial Narrow" w:cs="Arial"/>
                <w:sz w:val="20"/>
                <w:szCs w:val="20"/>
              </w:rPr>
            </w:pPr>
            <w:r w:rsidRPr="00441B28">
              <w:rPr>
                <w:rFonts w:ascii="Arial Narrow" w:hAnsi="Arial Narrow" w:cs="Arial"/>
                <w:sz w:val="20"/>
                <w:szCs w:val="20"/>
              </w:rPr>
              <w:t>120</w:t>
            </w:r>
          </w:p>
        </w:tc>
        <w:tc>
          <w:tcPr>
            <w:tcW w:w="1150" w:type="dxa"/>
          </w:tcPr>
          <w:p w:rsidR="005B5A6F" w:rsidRPr="00441B28" w:rsidRDefault="005B5A6F" w:rsidP="00AC4B3D">
            <w:pPr>
              <w:keepNext/>
              <w:jc w:val="center"/>
              <w:rPr>
                <w:rFonts w:ascii="Arial Narrow" w:hAnsi="Arial Narrow" w:cs="Arial"/>
                <w:sz w:val="20"/>
                <w:szCs w:val="20"/>
              </w:rPr>
            </w:pPr>
            <w:r w:rsidRPr="00441B28">
              <w:rPr>
                <w:rFonts w:ascii="Arial Narrow" w:hAnsi="Arial Narrow" w:cs="Arial"/>
                <w:sz w:val="20"/>
                <w:szCs w:val="20"/>
              </w:rPr>
              <w:t>2</w:t>
            </w:r>
          </w:p>
        </w:tc>
        <w:tc>
          <w:tcPr>
            <w:tcW w:w="1753" w:type="dxa"/>
            <w:vMerge w:val="restart"/>
            <w:vAlign w:val="center"/>
          </w:tcPr>
          <w:p w:rsidR="005B5A6F" w:rsidRPr="00441B28" w:rsidRDefault="005B5A6F" w:rsidP="005B5A6F">
            <w:pPr>
              <w:keepNext/>
              <w:jc w:val="left"/>
              <w:rPr>
                <w:rFonts w:ascii="Arial Narrow" w:hAnsi="Arial Narrow" w:cs="Arial"/>
                <w:sz w:val="20"/>
                <w:szCs w:val="20"/>
              </w:rPr>
            </w:pPr>
            <w:r w:rsidRPr="00441B28">
              <w:rPr>
                <w:rFonts w:ascii="Arial Narrow" w:hAnsi="Arial Narrow" w:cs="Arial"/>
                <w:sz w:val="20"/>
                <w:szCs w:val="20"/>
              </w:rPr>
              <w:t>Venclexta</w:t>
            </w:r>
          </w:p>
        </w:tc>
      </w:tr>
      <w:tr w:rsidR="005B5A6F" w:rsidRPr="00441B28" w:rsidTr="007B15C1">
        <w:trPr>
          <w:trHeight w:val="57"/>
        </w:trPr>
        <w:tc>
          <w:tcPr>
            <w:tcW w:w="2694" w:type="dxa"/>
            <w:gridSpan w:val="2"/>
          </w:tcPr>
          <w:p w:rsidR="005B5A6F" w:rsidRPr="00441B28" w:rsidRDefault="005B5A6F" w:rsidP="005B5A6F">
            <w:pPr>
              <w:keepNext/>
              <w:ind w:left="-57"/>
              <w:rPr>
                <w:rFonts w:ascii="Arial Narrow" w:hAnsi="Arial Narrow" w:cs="Arial"/>
                <w:sz w:val="20"/>
                <w:szCs w:val="20"/>
              </w:rPr>
            </w:pPr>
            <w:r w:rsidRPr="00441B28">
              <w:rPr>
                <w:rFonts w:ascii="Arial Narrow" w:hAnsi="Arial Narrow" w:cs="Arial"/>
                <w:sz w:val="20"/>
                <w:szCs w:val="20"/>
              </w:rPr>
              <w:t>venetoclax 50 mg tablet, 7</w:t>
            </w:r>
          </w:p>
        </w:tc>
        <w:tc>
          <w:tcPr>
            <w:tcW w:w="1417" w:type="dxa"/>
          </w:tcPr>
          <w:p w:rsidR="005B5A6F" w:rsidRPr="00441B28" w:rsidRDefault="005B5A6F" w:rsidP="005B5A6F">
            <w:pPr>
              <w:keepNext/>
              <w:jc w:val="center"/>
              <w:rPr>
                <w:rFonts w:ascii="Arial Narrow" w:hAnsi="Arial Narrow" w:cs="Arial"/>
                <w:sz w:val="20"/>
                <w:szCs w:val="20"/>
              </w:rPr>
            </w:pPr>
            <w:r w:rsidRPr="00441B28">
              <w:rPr>
                <w:rFonts w:ascii="Arial Narrow" w:hAnsi="Arial Narrow" w:cs="Arial"/>
                <w:sz w:val="20"/>
                <w:szCs w:val="20"/>
              </w:rPr>
              <w:t>NEW</w:t>
            </w:r>
          </w:p>
        </w:tc>
        <w:tc>
          <w:tcPr>
            <w:tcW w:w="992" w:type="dxa"/>
          </w:tcPr>
          <w:p w:rsidR="005B5A6F" w:rsidRPr="00441B28" w:rsidRDefault="005B5A6F" w:rsidP="005B5A6F">
            <w:pPr>
              <w:keepNext/>
              <w:jc w:val="center"/>
              <w:rPr>
                <w:rFonts w:ascii="Arial Narrow" w:hAnsi="Arial Narrow" w:cs="Arial"/>
                <w:sz w:val="20"/>
                <w:szCs w:val="20"/>
              </w:rPr>
            </w:pPr>
            <w:r w:rsidRPr="00441B28">
              <w:rPr>
                <w:rFonts w:ascii="Arial Narrow" w:hAnsi="Arial Narrow" w:cs="Arial"/>
                <w:sz w:val="20"/>
                <w:szCs w:val="20"/>
              </w:rPr>
              <w:t>4</w:t>
            </w:r>
          </w:p>
        </w:tc>
        <w:tc>
          <w:tcPr>
            <w:tcW w:w="1010" w:type="dxa"/>
          </w:tcPr>
          <w:p w:rsidR="005B5A6F" w:rsidRPr="00441B28" w:rsidRDefault="005B5A6F" w:rsidP="005B5A6F">
            <w:pPr>
              <w:keepNext/>
              <w:jc w:val="center"/>
              <w:rPr>
                <w:rFonts w:ascii="Arial Narrow" w:hAnsi="Arial Narrow" w:cs="Arial"/>
                <w:sz w:val="20"/>
                <w:szCs w:val="20"/>
              </w:rPr>
            </w:pPr>
            <w:r w:rsidRPr="00441B28">
              <w:rPr>
                <w:rFonts w:ascii="Arial Narrow" w:hAnsi="Arial Narrow" w:cs="Arial"/>
                <w:sz w:val="20"/>
                <w:szCs w:val="20"/>
              </w:rPr>
              <w:t>28</w:t>
            </w:r>
          </w:p>
        </w:tc>
        <w:tc>
          <w:tcPr>
            <w:tcW w:w="1150" w:type="dxa"/>
          </w:tcPr>
          <w:p w:rsidR="005B5A6F" w:rsidRPr="00441B28" w:rsidRDefault="00E92079" w:rsidP="005B5A6F">
            <w:pPr>
              <w:keepNext/>
              <w:jc w:val="center"/>
              <w:rPr>
                <w:rFonts w:ascii="Arial Narrow" w:hAnsi="Arial Narrow" w:cs="Arial"/>
                <w:sz w:val="20"/>
                <w:szCs w:val="20"/>
              </w:rPr>
            </w:pPr>
            <w:r w:rsidRPr="00441B28">
              <w:rPr>
                <w:rFonts w:ascii="Arial Narrow" w:hAnsi="Arial Narrow" w:cs="Arial"/>
                <w:sz w:val="20"/>
                <w:szCs w:val="20"/>
              </w:rPr>
              <w:t>2</w:t>
            </w:r>
          </w:p>
        </w:tc>
        <w:tc>
          <w:tcPr>
            <w:tcW w:w="1753" w:type="dxa"/>
            <w:vMerge/>
          </w:tcPr>
          <w:p w:rsidR="005B5A6F" w:rsidRPr="00441B28" w:rsidRDefault="005B5A6F" w:rsidP="005B5A6F">
            <w:pPr>
              <w:keepNext/>
              <w:rPr>
                <w:rFonts w:ascii="Arial Narrow" w:hAnsi="Arial Narrow" w:cs="Arial"/>
                <w:sz w:val="20"/>
                <w:szCs w:val="20"/>
              </w:rPr>
            </w:pPr>
          </w:p>
        </w:tc>
      </w:tr>
      <w:tr w:rsidR="005B5A6F" w:rsidRPr="00441B28" w:rsidTr="007B15C1">
        <w:tblPrEx>
          <w:tblCellMar>
            <w:top w:w="15" w:type="dxa"/>
            <w:left w:w="15" w:type="dxa"/>
            <w:bottom w:w="15" w:type="dxa"/>
            <w:right w:w="15" w:type="dxa"/>
          </w:tblCellMar>
          <w:tblLook w:val="04A0" w:firstRow="1" w:lastRow="0" w:firstColumn="1" w:lastColumn="0" w:noHBand="0" w:noVBand="1"/>
        </w:tblPrEx>
        <w:trPr>
          <w:trHeight w:val="57"/>
        </w:trPr>
        <w:tc>
          <w:tcPr>
            <w:tcW w:w="9016" w:type="dxa"/>
            <w:gridSpan w:val="7"/>
            <w:tcBorders>
              <w:top w:val="single" w:sz="4" w:space="0" w:color="auto"/>
              <w:left w:val="single" w:sz="4" w:space="0" w:color="auto"/>
              <w:right w:val="single" w:sz="4" w:space="0" w:color="auto"/>
            </w:tcBorders>
          </w:tcPr>
          <w:p w:rsidR="005B5A6F" w:rsidRPr="00441B28" w:rsidRDefault="005B5A6F" w:rsidP="005B5A6F">
            <w:pPr>
              <w:rPr>
                <w:rFonts w:ascii="Arial Narrow" w:hAnsi="Arial Narrow" w:cs="Arial"/>
                <w:b/>
                <w:sz w:val="20"/>
                <w:szCs w:val="20"/>
              </w:rPr>
            </w:pPr>
            <w:r w:rsidRPr="00441B28">
              <w:rPr>
                <w:rFonts w:ascii="Arial Narrow" w:hAnsi="Arial Narrow"/>
                <w:b/>
                <w:sz w:val="20"/>
                <w:szCs w:val="20"/>
              </w:rPr>
              <w:t xml:space="preserve">Restriction Summary [new] / Treatment of Concept [new] </w:t>
            </w:r>
          </w:p>
        </w:tc>
      </w:tr>
      <w:tr w:rsidR="005B5A6F" w:rsidRPr="00441B28" w:rsidTr="007B15C1">
        <w:tblPrEx>
          <w:tblCellMar>
            <w:top w:w="15" w:type="dxa"/>
            <w:left w:w="15" w:type="dxa"/>
            <w:bottom w:w="15" w:type="dxa"/>
            <w:right w:w="15" w:type="dxa"/>
          </w:tblCellMar>
          <w:tblLook w:val="04A0" w:firstRow="1" w:lastRow="0" w:firstColumn="1" w:lastColumn="0" w:noHBand="0" w:noVBand="1"/>
        </w:tblPrEx>
        <w:trPr>
          <w:trHeight w:val="57"/>
        </w:trPr>
        <w:tc>
          <w:tcPr>
            <w:tcW w:w="973" w:type="dxa"/>
            <w:vMerge w:val="restart"/>
            <w:tcBorders>
              <w:top w:val="single" w:sz="4" w:space="0" w:color="auto"/>
              <w:left w:val="single" w:sz="4" w:space="0" w:color="auto"/>
              <w:right w:val="single" w:sz="4" w:space="0" w:color="auto"/>
            </w:tcBorders>
          </w:tcPr>
          <w:p w:rsidR="005B5A6F" w:rsidRPr="00441B28" w:rsidRDefault="005B5A6F" w:rsidP="005B5A6F">
            <w:pPr>
              <w:jc w:val="center"/>
              <w:rPr>
                <w:rFonts w:ascii="Arial Narrow" w:hAnsi="Arial Narrow" w:cs="Arial"/>
                <w:sz w:val="20"/>
                <w:szCs w:val="20"/>
              </w:rPr>
            </w:pPr>
          </w:p>
        </w:tc>
        <w:tc>
          <w:tcPr>
            <w:tcW w:w="8043" w:type="dxa"/>
            <w:gridSpan w:val="6"/>
            <w:tcBorders>
              <w:top w:val="single" w:sz="4" w:space="0" w:color="auto"/>
              <w:left w:val="single" w:sz="4" w:space="0" w:color="auto"/>
              <w:bottom w:val="single" w:sz="4" w:space="0" w:color="auto"/>
              <w:right w:val="single" w:sz="4" w:space="0" w:color="auto"/>
            </w:tcBorders>
          </w:tcPr>
          <w:p w:rsidR="005B5A6F" w:rsidRPr="00441B28" w:rsidRDefault="005B5A6F" w:rsidP="005B5A6F">
            <w:pPr>
              <w:rPr>
                <w:rFonts w:ascii="Arial Narrow" w:hAnsi="Arial Narrow" w:cs="Arial"/>
                <w:sz w:val="20"/>
                <w:szCs w:val="20"/>
              </w:rPr>
            </w:pPr>
            <w:r w:rsidRPr="00441B28">
              <w:rPr>
                <w:rFonts w:ascii="Arial Narrow" w:hAnsi="Arial Narrow" w:cs="Arial"/>
                <w:b/>
                <w:sz w:val="20"/>
                <w:szCs w:val="20"/>
              </w:rPr>
              <w:t xml:space="preserve">Category / Program: </w:t>
            </w:r>
            <w:r w:rsidRPr="00441B28">
              <w:rPr>
                <w:rFonts w:ascii="Arial Narrow" w:hAnsi="Arial Narrow" w:cs="Arial"/>
                <w:sz w:val="20"/>
                <w:szCs w:val="20"/>
              </w:rPr>
              <w:t>GENERAL – General Schedule (Code GE)</w:t>
            </w:r>
          </w:p>
        </w:tc>
      </w:tr>
      <w:tr w:rsidR="005B5A6F" w:rsidRPr="00441B28" w:rsidTr="007B15C1">
        <w:tblPrEx>
          <w:tblCellMar>
            <w:top w:w="15" w:type="dxa"/>
            <w:left w:w="15" w:type="dxa"/>
            <w:bottom w:w="15" w:type="dxa"/>
            <w:right w:w="15" w:type="dxa"/>
          </w:tblCellMar>
          <w:tblLook w:val="04A0" w:firstRow="1" w:lastRow="0" w:firstColumn="1" w:lastColumn="0" w:noHBand="0" w:noVBand="1"/>
        </w:tblPrEx>
        <w:trPr>
          <w:trHeight w:val="57"/>
        </w:trPr>
        <w:tc>
          <w:tcPr>
            <w:tcW w:w="973" w:type="dxa"/>
            <w:vMerge/>
            <w:tcBorders>
              <w:left w:val="single" w:sz="4" w:space="0" w:color="auto"/>
              <w:right w:val="single" w:sz="4" w:space="0" w:color="auto"/>
            </w:tcBorders>
          </w:tcPr>
          <w:p w:rsidR="005B5A6F" w:rsidRPr="00441B28" w:rsidRDefault="005B5A6F" w:rsidP="005B5A6F">
            <w:pPr>
              <w:rPr>
                <w:rFonts w:ascii="Arial Narrow" w:hAnsi="Arial Narrow" w:cs="Arial"/>
                <w:sz w:val="20"/>
                <w:szCs w:val="20"/>
              </w:rPr>
            </w:pPr>
          </w:p>
        </w:tc>
        <w:tc>
          <w:tcPr>
            <w:tcW w:w="8043" w:type="dxa"/>
            <w:gridSpan w:val="6"/>
            <w:tcBorders>
              <w:top w:val="single" w:sz="4" w:space="0" w:color="auto"/>
              <w:left w:val="single" w:sz="4" w:space="0" w:color="auto"/>
              <w:bottom w:val="single" w:sz="4" w:space="0" w:color="auto"/>
              <w:right w:val="single" w:sz="4" w:space="0" w:color="auto"/>
            </w:tcBorders>
          </w:tcPr>
          <w:p w:rsidR="005B5A6F" w:rsidRPr="00441B28" w:rsidRDefault="005B5A6F" w:rsidP="005B5A6F">
            <w:pPr>
              <w:rPr>
                <w:rFonts w:ascii="Arial Narrow" w:hAnsi="Arial Narrow" w:cs="Arial"/>
                <w:b/>
                <w:sz w:val="20"/>
                <w:szCs w:val="20"/>
              </w:rPr>
            </w:pPr>
            <w:r w:rsidRPr="00441B28">
              <w:rPr>
                <w:rFonts w:ascii="Arial Narrow" w:hAnsi="Arial Narrow" w:cs="Arial"/>
                <w:b/>
                <w:sz w:val="20"/>
                <w:szCs w:val="20"/>
              </w:rPr>
              <w:t>Prescriber type:</w:t>
            </w:r>
            <w:r w:rsidRPr="00441B28">
              <w:rPr>
                <w:rFonts w:ascii="Arial Narrow" w:hAnsi="Arial Narrow" w:cs="Arial"/>
                <w:sz w:val="20"/>
                <w:szCs w:val="20"/>
              </w:rPr>
              <w:t xml:space="preserve"> </w:t>
            </w:r>
            <w:r w:rsidRPr="00441B28">
              <w:rPr>
                <w:rFonts w:ascii="Arial Narrow" w:hAnsi="Arial Narrow" w:cs="Arial"/>
                <w:sz w:val="20"/>
                <w:szCs w:val="20"/>
              </w:rPr>
              <w:fldChar w:fldCharType="begin">
                <w:ffData>
                  <w:name w:val=""/>
                  <w:enabled/>
                  <w:calcOnExit w:val="0"/>
                  <w:checkBox>
                    <w:sizeAuto/>
                    <w:default w:val="1"/>
                  </w:checkBox>
                </w:ffData>
              </w:fldChar>
            </w:r>
            <w:r w:rsidRPr="00441B28">
              <w:rPr>
                <w:rFonts w:ascii="Arial Narrow" w:hAnsi="Arial Narrow" w:cs="Arial"/>
                <w:sz w:val="20"/>
                <w:szCs w:val="20"/>
              </w:rPr>
              <w:instrText xml:space="preserve"> FORMCHECKBOX </w:instrText>
            </w:r>
            <w:r w:rsidR="00F57123">
              <w:rPr>
                <w:rFonts w:ascii="Arial Narrow" w:hAnsi="Arial Narrow" w:cs="Arial"/>
                <w:sz w:val="20"/>
                <w:szCs w:val="20"/>
              </w:rPr>
            </w:r>
            <w:r w:rsidR="00F57123">
              <w:rPr>
                <w:rFonts w:ascii="Arial Narrow" w:hAnsi="Arial Narrow" w:cs="Arial"/>
                <w:sz w:val="20"/>
                <w:szCs w:val="20"/>
              </w:rPr>
              <w:fldChar w:fldCharType="separate"/>
            </w:r>
            <w:r w:rsidRPr="00441B28">
              <w:rPr>
                <w:rFonts w:ascii="Arial Narrow" w:hAnsi="Arial Narrow" w:cs="Arial"/>
                <w:sz w:val="20"/>
                <w:szCs w:val="20"/>
              </w:rPr>
              <w:fldChar w:fldCharType="end"/>
            </w:r>
            <w:r w:rsidRPr="00441B28">
              <w:rPr>
                <w:rFonts w:ascii="Arial Narrow" w:hAnsi="Arial Narrow" w:cs="Arial"/>
                <w:sz w:val="20"/>
                <w:szCs w:val="20"/>
              </w:rPr>
              <w:t>Medical Practitioners</w:t>
            </w:r>
          </w:p>
        </w:tc>
      </w:tr>
      <w:tr w:rsidR="005B5A6F" w:rsidRPr="00441B28" w:rsidTr="007B15C1">
        <w:tblPrEx>
          <w:tblCellMar>
            <w:top w:w="15" w:type="dxa"/>
            <w:left w:w="15" w:type="dxa"/>
            <w:bottom w:w="15" w:type="dxa"/>
            <w:right w:w="15" w:type="dxa"/>
          </w:tblCellMar>
          <w:tblLook w:val="04A0" w:firstRow="1" w:lastRow="0" w:firstColumn="1" w:lastColumn="0" w:noHBand="0" w:noVBand="1"/>
        </w:tblPrEx>
        <w:trPr>
          <w:trHeight w:val="57"/>
        </w:trPr>
        <w:tc>
          <w:tcPr>
            <w:tcW w:w="973" w:type="dxa"/>
            <w:vMerge/>
            <w:tcBorders>
              <w:left w:val="single" w:sz="4" w:space="0" w:color="auto"/>
              <w:bottom w:val="single" w:sz="4" w:space="0" w:color="auto"/>
              <w:right w:val="single" w:sz="4" w:space="0" w:color="auto"/>
            </w:tcBorders>
          </w:tcPr>
          <w:p w:rsidR="005B5A6F" w:rsidRPr="00441B28" w:rsidRDefault="005B5A6F" w:rsidP="005B5A6F">
            <w:pPr>
              <w:rPr>
                <w:rFonts w:ascii="Arial Narrow" w:hAnsi="Arial Narrow" w:cs="Arial"/>
                <w:sz w:val="20"/>
                <w:szCs w:val="20"/>
              </w:rPr>
            </w:pPr>
          </w:p>
        </w:tc>
        <w:tc>
          <w:tcPr>
            <w:tcW w:w="8043" w:type="dxa"/>
            <w:gridSpan w:val="6"/>
            <w:tcBorders>
              <w:top w:val="single" w:sz="4" w:space="0" w:color="auto"/>
              <w:left w:val="single" w:sz="4" w:space="0" w:color="auto"/>
              <w:bottom w:val="single" w:sz="4" w:space="0" w:color="auto"/>
              <w:right w:val="single" w:sz="4" w:space="0" w:color="auto"/>
            </w:tcBorders>
          </w:tcPr>
          <w:p w:rsidR="005B5A6F" w:rsidRPr="00441B28" w:rsidRDefault="005B5A6F" w:rsidP="005B5A6F">
            <w:pPr>
              <w:rPr>
                <w:rFonts w:ascii="Arial Narrow" w:hAnsi="Arial Narrow" w:cs="Arial"/>
                <w:b/>
                <w:sz w:val="20"/>
                <w:szCs w:val="20"/>
              </w:rPr>
            </w:pPr>
            <w:r w:rsidRPr="00441B28">
              <w:rPr>
                <w:rFonts w:ascii="Arial Narrow" w:hAnsi="Arial Narrow" w:cs="Arial"/>
                <w:b/>
                <w:sz w:val="20"/>
                <w:szCs w:val="20"/>
              </w:rPr>
              <w:t xml:space="preserve">Restriction type: </w:t>
            </w:r>
            <w:r w:rsidRPr="00441B28">
              <w:rPr>
                <w:rFonts w:ascii="Arial Narrow" w:eastAsia="Calibri" w:hAnsi="Arial Narrow" w:cs="Arial"/>
                <w:sz w:val="20"/>
                <w:szCs w:val="20"/>
              </w:rPr>
              <w:fldChar w:fldCharType="begin">
                <w:ffData>
                  <w:name w:val="Check3"/>
                  <w:enabled/>
                  <w:calcOnExit w:val="0"/>
                  <w:checkBox>
                    <w:sizeAuto/>
                    <w:default w:val="1"/>
                  </w:checkBox>
                </w:ffData>
              </w:fldChar>
            </w:r>
            <w:bookmarkStart w:id="31" w:name="Check3"/>
            <w:r w:rsidRPr="00441B28">
              <w:rPr>
                <w:rFonts w:ascii="Arial Narrow" w:eastAsia="Calibri" w:hAnsi="Arial Narrow" w:cs="Arial"/>
                <w:sz w:val="20"/>
                <w:szCs w:val="20"/>
              </w:rPr>
              <w:instrText xml:space="preserve"> FORMCHECKBOX </w:instrText>
            </w:r>
            <w:r w:rsidR="00F57123">
              <w:rPr>
                <w:rFonts w:ascii="Arial Narrow" w:eastAsia="Calibri" w:hAnsi="Arial Narrow" w:cs="Arial"/>
                <w:sz w:val="20"/>
                <w:szCs w:val="20"/>
              </w:rPr>
            </w:r>
            <w:r w:rsidR="00F57123">
              <w:rPr>
                <w:rFonts w:ascii="Arial Narrow" w:eastAsia="Calibri" w:hAnsi="Arial Narrow" w:cs="Arial"/>
                <w:sz w:val="20"/>
                <w:szCs w:val="20"/>
              </w:rPr>
              <w:fldChar w:fldCharType="separate"/>
            </w:r>
            <w:r w:rsidRPr="00441B28">
              <w:rPr>
                <w:rFonts w:ascii="Arial Narrow" w:eastAsia="Calibri" w:hAnsi="Arial Narrow" w:cs="Arial"/>
                <w:sz w:val="20"/>
                <w:szCs w:val="20"/>
              </w:rPr>
              <w:fldChar w:fldCharType="end"/>
            </w:r>
            <w:bookmarkEnd w:id="31"/>
            <w:r w:rsidRPr="00441B28">
              <w:rPr>
                <w:rFonts w:ascii="Arial Narrow" w:eastAsia="Calibri" w:hAnsi="Arial Narrow" w:cs="Arial"/>
                <w:sz w:val="20"/>
                <w:szCs w:val="20"/>
              </w:rPr>
              <w:t xml:space="preserve">Authority Required – Telephone/Online PBS Authorities immediate assessment </w:t>
            </w:r>
          </w:p>
        </w:tc>
      </w:tr>
      <w:tr w:rsidR="005B5A6F" w:rsidRPr="00441B28" w:rsidTr="00B911EB">
        <w:tblPrEx>
          <w:tblCellMar>
            <w:top w:w="15" w:type="dxa"/>
            <w:left w:w="15" w:type="dxa"/>
            <w:bottom w:w="15" w:type="dxa"/>
            <w:right w:w="15" w:type="dxa"/>
          </w:tblCellMar>
        </w:tblPrEx>
        <w:trPr>
          <w:trHeight w:val="57"/>
        </w:trPr>
        <w:tc>
          <w:tcPr>
            <w:tcW w:w="973" w:type="dxa"/>
            <w:vAlign w:val="center"/>
          </w:tcPr>
          <w:p w:rsidR="005B5A6F" w:rsidRPr="00441B28" w:rsidRDefault="005B5A6F" w:rsidP="005B5A6F">
            <w:pPr>
              <w:jc w:val="center"/>
              <w:rPr>
                <w:rFonts w:ascii="Arial Narrow" w:hAnsi="Arial Narrow"/>
                <w:color w:val="333333"/>
                <w:sz w:val="20"/>
                <w:szCs w:val="20"/>
              </w:rPr>
            </w:pPr>
          </w:p>
        </w:tc>
        <w:tc>
          <w:tcPr>
            <w:tcW w:w="8043" w:type="dxa"/>
            <w:gridSpan w:val="6"/>
            <w:vAlign w:val="center"/>
            <w:hideMark/>
          </w:tcPr>
          <w:p w:rsidR="005B5A6F" w:rsidRPr="00441B28" w:rsidRDefault="005B5A6F" w:rsidP="005B5A6F">
            <w:pPr>
              <w:rPr>
                <w:rFonts w:ascii="Arial Narrow" w:hAnsi="Arial Narrow"/>
                <w:color w:val="333333"/>
                <w:sz w:val="20"/>
                <w:szCs w:val="20"/>
              </w:rPr>
            </w:pPr>
            <w:r w:rsidRPr="00441B28">
              <w:rPr>
                <w:rFonts w:ascii="Arial Narrow" w:hAnsi="Arial Narrow"/>
                <w:b/>
                <w:bCs/>
                <w:color w:val="333333"/>
                <w:sz w:val="20"/>
                <w:szCs w:val="20"/>
              </w:rPr>
              <w:t>Indication:</w:t>
            </w:r>
            <w:r w:rsidRPr="00441B28">
              <w:rPr>
                <w:rFonts w:ascii="Arial Narrow" w:hAnsi="Arial Narrow"/>
                <w:color w:val="333333"/>
                <w:sz w:val="20"/>
                <w:szCs w:val="20"/>
              </w:rPr>
              <w:t xml:space="preserve"> Acute myeloid leukaemia (AML)</w:t>
            </w:r>
          </w:p>
        </w:tc>
      </w:tr>
      <w:tr w:rsidR="005B5A6F" w:rsidRPr="00441B28" w:rsidTr="007B15C1">
        <w:tblPrEx>
          <w:tblCellMar>
            <w:top w:w="15" w:type="dxa"/>
            <w:left w:w="15" w:type="dxa"/>
            <w:bottom w:w="15" w:type="dxa"/>
            <w:right w:w="15" w:type="dxa"/>
          </w:tblCellMar>
          <w:tblLook w:val="04A0" w:firstRow="1" w:lastRow="0" w:firstColumn="1" w:lastColumn="0" w:noHBand="0" w:noVBand="1"/>
        </w:tblPrEx>
        <w:trPr>
          <w:trHeight w:val="57"/>
        </w:trPr>
        <w:tc>
          <w:tcPr>
            <w:tcW w:w="973" w:type="dxa"/>
            <w:vAlign w:val="center"/>
          </w:tcPr>
          <w:p w:rsidR="005B5A6F" w:rsidRPr="00441B28" w:rsidRDefault="005B5A6F" w:rsidP="005B5A6F">
            <w:pPr>
              <w:jc w:val="center"/>
              <w:rPr>
                <w:rFonts w:ascii="Arial Narrow" w:hAnsi="Arial Narrow"/>
                <w:color w:val="333333"/>
                <w:sz w:val="20"/>
                <w:szCs w:val="20"/>
              </w:rPr>
            </w:pPr>
          </w:p>
        </w:tc>
        <w:tc>
          <w:tcPr>
            <w:tcW w:w="8043" w:type="dxa"/>
            <w:gridSpan w:val="6"/>
            <w:vAlign w:val="center"/>
            <w:hideMark/>
          </w:tcPr>
          <w:p w:rsidR="005B5A6F" w:rsidRPr="00441B28" w:rsidRDefault="005B5A6F" w:rsidP="005B5A6F">
            <w:pPr>
              <w:rPr>
                <w:rFonts w:ascii="Arial Narrow" w:hAnsi="Arial Narrow"/>
                <w:color w:val="FF00FF"/>
                <w:sz w:val="20"/>
                <w:szCs w:val="20"/>
              </w:rPr>
            </w:pPr>
            <w:r w:rsidRPr="00441B28">
              <w:rPr>
                <w:rFonts w:ascii="Arial Narrow" w:hAnsi="Arial Narrow"/>
                <w:b/>
                <w:bCs/>
                <w:color w:val="333333"/>
                <w:sz w:val="20"/>
                <w:szCs w:val="20"/>
              </w:rPr>
              <w:t xml:space="preserve">Clinical criteria: </w:t>
            </w:r>
          </w:p>
        </w:tc>
      </w:tr>
      <w:tr w:rsidR="005B5A6F" w:rsidRPr="00441B28" w:rsidTr="007B15C1">
        <w:tblPrEx>
          <w:tblCellMar>
            <w:top w:w="15" w:type="dxa"/>
            <w:left w:w="15" w:type="dxa"/>
            <w:bottom w:w="15" w:type="dxa"/>
            <w:right w:w="15" w:type="dxa"/>
          </w:tblCellMar>
          <w:tblLook w:val="04A0" w:firstRow="1" w:lastRow="0" w:firstColumn="1" w:lastColumn="0" w:noHBand="0" w:noVBand="1"/>
        </w:tblPrEx>
        <w:trPr>
          <w:trHeight w:val="57"/>
        </w:trPr>
        <w:tc>
          <w:tcPr>
            <w:tcW w:w="973" w:type="dxa"/>
            <w:vAlign w:val="center"/>
          </w:tcPr>
          <w:p w:rsidR="005B5A6F" w:rsidRPr="00441B28" w:rsidRDefault="005B5A6F" w:rsidP="005B5A6F">
            <w:pPr>
              <w:jc w:val="center"/>
              <w:rPr>
                <w:rFonts w:ascii="Arial Narrow" w:hAnsi="Arial Narrow"/>
                <w:color w:val="333333"/>
                <w:sz w:val="20"/>
                <w:szCs w:val="20"/>
              </w:rPr>
            </w:pPr>
          </w:p>
        </w:tc>
        <w:tc>
          <w:tcPr>
            <w:tcW w:w="8043" w:type="dxa"/>
            <w:gridSpan w:val="6"/>
            <w:vAlign w:val="center"/>
            <w:hideMark/>
          </w:tcPr>
          <w:p w:rsidR="005B5A6F" w:rsidRPr="00441B28" w:rsidRDefault="005B5A6F" w:rsidP="005B5A6F">
            <w:pPr>
              <w:jc w:val="left"/>
              <w:rPr>
                <w:rFonts w:ascii="Arial Narrow" w:hAnsi="Arial Narrow"/>
                <w:sz w:val="20"/>
                <w:szCs w:val="20"/>
              </w:rPr>
            </w:pPr>
            <w:r w:rsidRPr="00441B28">
              <w:rPr>
                <w:rFonts w:ascii="Arial Narrow" w:hAnsi="Arial Narrow"/>
                <w:sz w:val="20"/>
                <w:szCs w:val="20"/>
              </w:rPr>
              <w:t>The condition must be previously untreated at the time of initiation with this drug (except for essential treatment with hydroxyurea or leukapheresis),</w:t>
            </w:r>
          </w:p>
          <w:p w:rsidR="005B5A6F" w:rsidRPr="00441B28" w:rsidRDefault="005B5A6F" w:rsidP="005B5A6F">
            <w:pPr>
              <w:rPr>
                <w:rFonts w:ascii="Arial Narrow" w:hAnsi="Arial Narrow"/>
                <w:color w:val="333333"/>
                <w:sz w:val="20"/>
                <w:szCs w:val="20"/>
              </w:rPr>
            </w:pPr>
          </w:p>
        </w:tc>
      </w:tr>
      <w:tr w:rsidR="005B5A6F" w:rsidRPr="00441B28" w:rsidTr="00B911EB">
        <w:tblPrEx>
          <w:tblCellMar>
            <w:top w:w="15" w:type="dxa"/>
            <w:left w:w="15" w:type="dxa"/>
            <w:bottom w:w="15" w:type="dxa"/>
            <w:right w:w="15" w:type="dxa"/>
          </w:tblCellMar>
        </w:tblPrEx>
        <w:trPr>
          <w:trHeight w:val="57"/>
        </w:trPr>
        <w:tc>
          <w:tcPr>
            <w:tcW w:w="973" w:type="dxa"/>
            <w:vAlign w:val="center"/>
          </w:tcPr>
          <w:p w:rsidR="005B5A6F" w:rsidRPr="00441B28" w:rsidRDefault="005B5A6F" w:rsidP="005B5A6F">
            <w:pPr>
              <w:jc w:val="center"/>
              <w:rPr>
                <w:rFonts w:ascii="Arial Narrow" w:hAnsi="Arial Narrow"/>
                <w:color w:val="333333"/>
                <w:sz w:val="20"/>
                <w:szCs w:val="20"/>
              </w:rPr>
            </w:pPr>
          </w:p>
        </w:tc>
        <w:tc>
          <w:tcPr>
            <w:tcW w:w="8043" w:type="dxa"/>
            <w:gridSpan w:val="6"/>
            <w:vAlign w:val="center"/>
            <w:hideMark/>
          </w:tcPr>
          <w:p w:rsidR="005B5A6F" w:rsidRPr="00441B28" w:rsidRDefault="005B5A6F" w:rsidP="005B5A6F">
            <w:pPr>
              <w:rPr>
                <w:rFonts w:ascii="Arial Narrow" w:hAnsi="Arial Narrow"/>
                <w:color w:val="333333"/>
                <w:sz w:val="20"/>
                <w:szCs w:val="20"/>
              </w:rPr>
            </w:pPr>
            <w:r w:rsidRPr="00441B28">
              <w:rPr>
                <w:rFonts w:ascii="Arial Narrow" w:hAnsi="Arial Narrow"/>
                <w:b/>
                <w:bCs/>
                <w:color w:val="333333"/>
                <w:sz w:val="20"/>
                <w:szCs w:val="20"/>
              </w:rPr>
              <w:t>AND</w:t>
            </w:r>
          </w:p>
        </w:tc>
      </w:tr>
      <w:tr w:rsidR="005B5A6F" w:rsidRPr="00441B28" w:rsidTr="007B15C1">
        <w:tblPrEx>
          <w:tblCellMar>
            <w:top w:w="15" w:type="dxa"/>
            <w:left w:w="15" w:type="dxa"/>
            <w:bottom w:w="15" w:type="dxa"/>
            <w:right w:w="15" w:type="dxa"/>
          </w:tblCellMar>
          <w:tblLook w:val="04A0" w:firstRow="1" w:lastRow="0" w:firstColumn="1" w:lastColumn="0" w:noHBand="0" w:noVBand="1"/>
        </w:tblPrEx>
        <w:trPr>
          <w:trHeight w:val="57"/>
        </w:trPr>
        <w:tc>
          <w:tcPr>
            <w:tcW w:w="973" w:type="dxa"/>
            <w:vAlign w:val="center"/>
          </w:tcPr>
          <w:p w:rsidR="005B5A6F" w:rsidRPr="00441B28" w:rsidRDefault="005B5A6F" w:rsidP="005B5A6F">
            <w:pPr>
              <w:jc w:val="center"/>
              <w:rPr>
                <w:rFonts w:ascii="Arial Narrow" w:hAnsi="Arial Narrow"/>
                <w:color w:val="333333"/>
                <w:sz w:val="20"/>
                <w:szCs w:val="20"/>
              </w:rPr>
            </w:pPr>
          </w:p>
        </w:tc>
        <w:tc>
          <w:tcPr>
            <w:tcW w:w="8043" w:type="dxa"/>
            <w:gridSpan w:val="6"/>
            <w:vAlign w:val="center"/>
            <w:hideMark/>
          </w:tcPr>
          <w:p w:rsidR="005B5A6F" w:rsidRPr="00441B28" w:rsidRDefault="005B5A6F" w:rsidP="005B5A6F">
            <w:pPr>
              <w:rPr>
                <w:rFonts w:ascii="Arial Narrow" w:hAnsi="Arial Narrow"/>
                <w:color w:val="333333"/>
                <w:sz w:val="20"/>
                <w:szCs w:val="20"/>
              </w:rPr>
            </w:pPr>
            <w:r w:rsidRPr="00441B28">
              <w:rPr>
                <w:rFonts w:ascii="Arial Narrow" w:hAnsi="Arial Narrow"/>
                <w:b/>
                <w:bCs/>
                <w:color w:val="333333"/>
                <w:sz w:val="20"/>
                <w:szCs w:val="20"/>
              </w:rPr>
              <w:t>Clinical criteria:</w:t>
            </w:r>
          </w:p>
        </w:tc>
      </w:tr>
      <w:tr w:rsidR="005B5A6F" w:rsidRPr="00441B28" w:rsidTr="007B15C1">
        <w:tblPrEx>
          <w:tblCellMar>
            <w:top w:w="15" w:type="dxa"/>
            <w:left w:w="15" w:type="dxa"/>
            <w:bottom w:w="15" w:type="dxa"/>
            <w:right w:w="15" w:type="dxa"/>
          </w:tblCellMar>
          <w:tblLook w:val="04A0" w:firstRow="1" w:lastRow="0" w:firstColumn="1" w:lastColumn="0" w:noHBand="0" w:noVBand="1"/>
        </w:tblPrEx>
        <w:trPr>
          <w:trHeight w:val="57"/>
        </w:trPr>
        <w:tc>
          <w:tcPr>
            <w:tcW w:w="973" w:type="dxa"/>
            <w:vAlign w:val="center"/>
          </w:tcPr>
          <w:p w:rsidR="005B5A6F" w:rsidRPr="00441B28" w:rsidRDefault="005B5A6F" w:rsidP="005B5A6F">
            <w:pPr>
              <w:jc w:val="center"/>
              <w:rPr>
                <w:rFonts w:ascii="Arial Narrow" w:hAnsi="Arial Narrow"/>
                <w:color w:val="333333"/>
                <w:sz w:val="20"/>
                <w:szCs w:val="20"/>
              </w:rPr>
            </w:pPr>
          </w:p>
        </w:tc>
        <w:tc>
          <w:tcPr>
            <w:tcW w:w="8043" w:type="dxa"/>
            <w:gridSpan w:val="6"/>
            <w:vAlign w:val="center"/>
            <w:hideMark/>
          </w:tcPr>
          <w:p w:rsidR="005B5A6F" w:rsidRPr="00441B28" w:rsidRDefault="005B5A6F" w:rsidP="005B5A6F">
            <w:pPr>
              <w:rPr>
                <w:rFonts w:ascii="Arial Narrow" w:hAnsi="Arial Narrow"/>
                <w:color w:val="FF0000"/>
                <w:sz w:val="20"/>
                <w:szCs w:val="20"/>
              </w:rPr>
            </w:pPr>
            <w:r w:rsidRPr="00441B28">
              <w:rPr>
                <w:rFonts w:ascii="Arial Narrow" w:hAnsi="Arial Narrow"/>
                <w:sz w:val="20"/>
                <w:szCs w:val="20"/>
                <w:lang w:eastAsia="en-US"/>
              </w:rPr>
              <w:t>Patient must not be considered eligible for standard intensive remission induction chemotherapy at the time of initiation with this drug,</w:t>
            </w:r>
          </w:p>
        </w:tc>
      </w:tr>
      <w:tr w:rsidR="005B5A6F" w:rsidRPr="00441B28" w:rsidTr="007B15C1">
        <w:tblPrEx>
          <w:tblCellMar>
            <w:top w:w="15" w:type="dxa"/>
            <w:left w:w="15" w:type="dxa"/>
            <w:bottom w:w="15" w:type="dxa"/>
            <w:right w:w="15" w:type="dxa"/>
          </w:tblCellMar>
          <w:tblLook w:val="04A0" w:firstRow="1" w:lastRow="0" w:firstColumn="1" w:lastColumn="0" w:noHBand="0" w:noVBand="1"/>
        </w:tblPrEx>
        <w:trPr>
          <w:trHeight w:val="57"/>
        </w:trPr>
        <w:tc>
          <w:tcPr>
            <w:tcW w:w="973" w:type="dxa"/>
            <w:vAlign w:val="center"/>
          </w:tcPr>
          <w:p w:rsidR="005B5A6F" w:rsidRPr="00441B28" w:rsidRDefault="005B5A6F" w:rsidP="005B5A6F">
            <w:pPr>
              <w:jc w:val="center"/>
              <w:rPr>
                <w:rFonts w:ascii="Arial Narrow" w:hAnsi="Arial Narrow"/>
                <w:color w:val="333333"/>
                <w:sz w:val="20"/>
                <w:szCs w:val="20"/>
              </w:rPr>
            </w:pPr>
          </w:p>
        </w:tc>
        <w:tc>
          <w:tcPr>
            <w:tcW w:w="8043" w:type="dxa"/>
            <w:gridSpan w:val="6"/>
            <w:vAlign w:val="center"/>
            <w:hideMark/>
          </w:tcPr>
          <w:p w:rsidR="005B5A6F" w:rsidRPr="00441B28" w:rsidRDefault="005B5A6F" w:rsidP="005B5A6F">
            <w:pPr>
              <w:rPr>
                <w:rFonts w:ascii="Arial Narrow" w:hAnsi="Arial Narrow"/>
                <w:color w:val="333333"/>
                <w:sz w:val="20"/>
                <w:szCs w:val="20"/>
              </w:rPr>
            </w:pPr>
            <w:r w:rsidRPr="00441B28">
              <w:rPr>
                <w:rFonts w:ascii="Arial Narrow" w:hAnsi="Arial Narrow"/>
                <w:b/>
                <w:bCs/>
                <w:color w:val="333333"/>
                <w:sz w:val="20"/>
                <w:szCs w:val="20"/>
              </w:rPr>
              <w:t>AND</w:t>
            </w:r>
          </w:p>
        </w:tc>
      </w:tr>
      <w:tr w:rsidR="005B5A6F" w:rsidRPr="00441B28" w:rsidTr="007B15C1">
        <w:tblPrEx>
          <w:tblCellMar>
            <w:top w:w="15" w:type="dxa"/>
            <w:left w:w="15" w:type="dxa"/>
            <w:bottom w:w="15" w:type="dxa"/>
            <w:right w:w="15" w:type="dxa"/>
          </w:tblCellMar>
          <w:tblLook w:val="04A0" w:firstRow="1" w:lastRow="0" w:firstColumn="1" w:lastColumn="0" w:noHBand="0" w:noVBand="1"/>
        </w:tblPrEx>
        <w:trPr>
          <w:trHeight w:val="57"/>
        </w:trPr>
        <w:tc>
          <w:tcPr>
            <w:tcW w:w="973" w:type="dxa"/>
            <w:vAlign w:val="center"/>
          </w:tcPr>
          <w:p w:rsidR="005B5A6F" w:rsidRPr="00441B28" w:rsidRDefault="005B5A6F" w:rsidP="005B5A6F">
            <w:pPr>
              <w:jc w:val="center"/>
              <w:rPr>
                <w:rFonts w:ascii="Arial Narrow" w:hAnsi="Arial Narrow"/>
                <w:color w:val="333333"/>
                <w:sz w:val="20"/>
                <w:szCs w:val="20"/>
              </w:rPr>
            </w:pPr>
          </w:p>
        </w:tc>
        <w:tc>
          <w:tcPr>
            <w:tcW w:w="8043" w:type="dxa"/>
            <w:gridSpan w:val="6"/>
            <w:vAlign w:val="center"/>
            <w:hideMark/>
          </w:tcPr>
          <w:p w:rsidR="005B5A6F" w:rsidRPr="00441B28" w:rsidRDefault="005B5A6F" w:rsidP="005B5A6F">
            <w:pPr>
              <w:rPr>
                <w:rFonts w:ascii="Arial Narrow" w:hAnsi="Arial Narrow"/>
                <w:color w:val="333333"/>
                <w:sz w:val="20"/>
                <w:szCs w:val="20"/>
              </w:rPr>
            </w:pPr>
            <w:r w:rsidRPr="00441B28">
              <w:rPr>
                <w:rFonts w:ascii="Arial Narrow" w:hAnsi="Arial Narrow"/>
                <w:b/>
                <w:bCs/>
                <w:color w:val="333333"/>
                <w:sz w:val="20"/>
                <w:szCs w:val="20"/>
              </w:rPr>
              <w:t>Clinical criteria:</w:t>
            </w:r>
          </w:p>
        </w:tc>
      </w:tr>
      <w:tr w:rsidR="005B5A6F" w:rsidRPr="00441B28" w:rsidTr="007B15C1">
        <w:tblPrEx>
          <w:tblCellMar>
            <w:top w:w="15" w:type="dxa"/>
            <w:left w:w="15" w:type="dxa"/>
            <w:bottom w:w="15" w:type="dxa"/>
            <w:right w:w="15" w:type="dxa"/>
          </w:tblCellMar>
          <w:tblLook w:val="04A0" w:firstRow="1" w:lastRow="0" w:firstColumn="1" w:lastColumn="0" w:noHBand="0" w:noVBand="1"/>
        </w:tblPrEx>
        <w:trPr>
          <w:trHeight w:val="57"/>
        </w:trPr>
        <w:tc>
          <w:tcPr>
            <w:tcW w:w="973" w:type="dxa"/>
            <w:vAlign w:val="center"/>
          </w:tcPr>
          <w:p w:rsidR="005B5A6F" w:rsidRPr="00441B28" w:rsidRDefault="005B5A6F" w:rsidP="005B5A6F">
            <w:pPr>
              <w:jc w:val="center"/>
              <w:rPr>
                <w:rFonts w:ascii="Arial Narrow" w:hAnsi="Arial Narrow"/>
                <w:color w:val="333333"/>
                <w:sz w:val="20"/>
                <w:szCs w:val="20"/>
              </w:rPr>
            </w:pPr>
          </w:p>
        </w:tc>
        <w:tc>
          <w:tcPr>
            <w:tcW w:w="8043" w:type="dxa"/>
            <w:gridSpan w:val="6"/>
            <w:vAlign w:val="center"/>
            <w:hideMark/>
          </w:tcPr>
          <w:p w:rsidR="005B5A6F" w:rsidRPr="00441B28" w:rsidRDefault="005B5A6F" w:rsidP="005B5A6F">
            <w:pPr>
              <w:rPr>
                <w:rFonts w:ascii="Arial Narrow" w:hAnsi="Arial Narrow"/>
                <w:color w:val="333333"/>
                <w:sz w:val="20"/>
                <w:szCs w:val="20"/>
              </w:rPr>
            </w:pPr>
            <w:r w:rsidRPr="00441B28">
              <w:rPr>
                <w:rFonts w:ascii="Arial Narrow" w:hAnsi="Arial Narrow"/>
                <w:bCs/>
                <w:sz w:val="20"/>
                <w:szCs w:val="20"/>
                <w:lang w:eastAsia="en-US"/>
              </w:rPr>
              <w:t>The treatment must be used in combination with azacitidine (refer to Product Information for timing of azacitidine and venetoclax doses),</w:t>
            </w:r>
          </w:p>
        </w:tc>
      </w:tr>
      <w:tr w:rsidR="005B5A6F" w:rsidRPr="00441B28" w:rsidTr="007B15C1">
        <w:tblPrEx>
          <w:tblCellMar>
            <w:top w:w="15" w:type="dxa"/>
            <w:left w:w="15" w:type="dxa"/>
            <w:bottom w:w="15" w:type="dxa"/>
            <w:right w:w="15" w:type="dxa"/>
          </w:tblCellMar>
          <w:tblLook w:val="04A0" w:firstRow="1" w:lastRow="0" w:firstColumn="1" w:lastColumn="0" w:noHBand="0" w:noVBand="1"/>
        </w:tblPrEx>
        <w:trPr>
          <w:trHeight w:val="57"/>
        </w:trPr>
        <w:tc>
          <w:tcPr>
            <w:tcW w:w="973" w:type="dxa"/>
            <w:vAlign w:val="center"/>
          </w:tcPr>
          <w:p w:rsidR="005B5A6F" w:rsidRPr="00441B28" w:rsidRDefault="005B5A6F" w:rsidP="005B5A6F">
            <w:pPr>
              <w:jc w:val="center"/>
              <w:rPr>
                <w:rFonts w:ascii="Arial Narrow" w:hAnsi="Arial Narrow"/>
                <w:color w:val="333333"/>
                <w:sz w:val="20"/>
                <w:szCs w:val="20"/>
              </w:rPr>
            </w:pPr>
          </w:p>
        </w:tc>
        <w:tc>
          <w:tcPr>
            <w:tcW w:w="8043" w:type="dxa"/>
            <w:gridSpan w:val="6"/>
            <w:vAlign w:val="center"/>
          </w:tcPr>
          <w:p w:rsidR="005B5A6F" w:rsidRPr="00441B28" w:rsidRDefault="005B5A6F" w:rsidP="005B5A6F">
            <w:pPr>
              <w:rPr>
                <w:rFonts w:ascii="Arial Narrow" w:hAnsi="Arial Narrow"/>
                <w:color w:val="333333"/>
                <w:sz w:val="20"/>
                <w:szCs w:val="20"/>
              </w:rPr>
            </w:pPr>
            <w:r w:rsidRPr="00441B28">
              <w:rPr>
                <w:rFonts w:ascii="Arial Narrow" w:hAnsi="Arial Narrow"/>
                <w:b/>
                <w:bCs/>
                <w:color w:val="333333"/>
                <w:sz w:val="20"/>
                <w:szCs w:val="20"/>
              </w:rPr>
              <w:t>AND</w:t>
            </w:r>
          </w:p>
        </w:tc>
      </w:tr>
      <w:tr w:rsidR="005B5A6F" w:rsidRPr="00441B28" w:rsidTr="007B15C1">
        <w:tblPrEx>
          <w:tblCellMar>
            <w:top w:w="15" w:type="dxa"/>
            <w:left w:w="15" w:type="dxa"/>
            <w:bottom w:w="15" w:type="dxa"/>
            <w:right w:w="15" w:type="dxa"/>
          </w:tblCellMar>
          <w:tblLook w:val="04A0" w:firstRow="1" w:lastRow="0" w:firstColumn="1" w:lastColumn="0" w:noHBand="0" w:noVBand="1"/>
        </w:tblPrEx>
        <w:trPr>
          <w:trHeight w:val="57"/>
        </w:trPr>
        <w:tc>
          <w:tcPr>
            <w:tcW w:w="973" w:type="dxa"/>
            <w:vAlign w:val="center"/>
          </w:tcPr>
          <w:p w:rsidR="005B5A6F" w:rsidRPr="00441B28" w:rsidRDefault="005B5A6F" w:rsidP="005B5A6F">
            <w:pPr>
              <w:jc w:val="center"/>
              <w:rPr>
                <w:rFonts w:ascii="Arial Narrow" w:hAnsi="Arial Narrow"/>
                <w:color w:val="333333"/>
                <w:sz w:val="20"/>
                <w:szCs w:val="20"/>
              </w:rPr>
            </w:pPr>
          </w:p>
        </w:tc>
        <w:tc>
          <w:tcPr>
            <w:tcW w:w="8043" w:type="dxa"/>
            <w:gridSpan w:val="6"/>
            <w:vAlign w:val="center"/>
          </w:tcPr>
          <w:p w:rsidR="005B5A6F" w:rsidRPr="00441B28" w:rsidRDefault="005B5A6F" w:rsidP="005B5A6F">
            <w:pPr>
              <w:rPr>
                <w:rFonts w:ascii="Arial Narrow" w:hAnsi="Arial Narrow"/>
                <w:color w:val="333333"/>
                <w:sz w:val="20"/>
                <w:szCs w:val="20"/>
              </w:rPr>
            </w:pPr>
            <w:r w:rsidRPr="00441B28">
              <w:rPr>
                <w:rFonts w:ascii="Arial Narrow" w:hAnsi="Arial Narrow"/>
                <w:b/>
                <w:bCs/>
                <w:color w:val="333333"/>
                <w:sz w:val="20"/>
                <w:szCs w:val="20"/>
              </w:rPr>
              <w:t>Clinical criteria:</w:t>
            </w:r>
          </w:p>
        </w:tc>
      </w:tr>
      <w:tr w:rsidR="005B5A6F" w:rsidRPr="00441B28" w:rsidTr="007B15C1">
        <w:tblPrEx>
          <w:tblCellMar>
            <w:top w:w="15" w:type="dxa"/>
            <w:left w:w="15" w:type="dxa"/>
            <w:bottom w:w="15" w:type="dxa"/>
            <w:right w:w="15" w:type="dxa"/>
          </w:tblCellMar>
          <w:tblLook w:val="04A0" w:firstRow="1" w:lastRow="0" w:firstColumn="1" w:lastColumn="0" w:noHBand="0" w:noVBand="1"/>
        </w:tblPrEx>
        <w:trPr>
          <w:trHeight w:val="57"/>
        </w:trPr>
        <w:tc>
          <w:tcPr>
            <w:tcW w:w="973" w:type="dxa"/>
            <w:vAlign w:val="center"/>
          </w:tcPr>
          <w:p w:rsidR="005B5A6F" w:rsidRPr="00441B28" w:rsidRDefault="005B5A6F" w:rsidP="005B5A6F">
            <w:pPr>
              <w:jc w:val="center"/>
              <w:rPr>
                <w:rFonts w:ascii="Arial Narrow" w:hAnsi="Arial Narrow"/>
                <w:color w:val="333333"/>
                <w:sz w:val="20"/>
                <w:szCs w:val="20"/>
              </w:rPr>
            </w:pPr>
          </w:p>
        </w:tc>
        <w:tc>
          <w:tcPr>
            <w:tcW w:w="8043" w:type="dxa"/>
            <w:gridSpan w:val="6"/>
            <w:vAlign w:val="center"/>
          </w:tcPr>
          <w:p w:rsidR="005B5A6F" w:rsidRPr="00441B28" w:rsidRDefault="005B5A6F" w:rsidP="005B5A6F">
            <w:pPr>
              <w:rPr>
                <w:rFonts w:ascii="Arial Narrow" w:hAnsi="Arial Narrow"/>
                <w:iCs/>
                <w:color w:val="333333"/>
                <w:sz w:val="20"/>
                <w:szCs w:val="20"/>
              </w:rPr>
            </w:pPr>
            <w:r w:rsidRPr="00441B28">
              <w:rPr>
                <w:rFonts w:ascii="Arial Narrow" w:hAnsi="Arial Narrow"/>
                <w:bCs/>
                <w:iCs/>
                <w:sz w:val="20"/>
                <w:szCs w:val="20"/>
                <w:lang w:eastAsia="en-US"/>
              </w:rPr>
              <w:t>Patient must not have progressive disease while receiving PBS-subsidised treatment with this drug for this condition,</w:t>
            </w:r>
          </w:p>
        </w:tc>
      </w:tr>
      <w:tr w:rsidR="005B5A6F" w:rsidRPr="00441B28" w:rsidTr="007B15C1">
        <w:tblPrEx>
          <w:tblCellMar>
            <w:top w:w="15" w:type="dxa"/>
            <w:left w:w="15" w:type="dxa"/>
            <w:bottom w:w="15" w:type="dxa"/>
            <w:right w:w="15" w:type="dxa"/>
          </w:tblCellMar>
          <w:tblLook w:val="04A0" w:firstRow="1" w:lastRow="0" w:firstColumn="1" w:lastColumn="0" w:noHBand="0" w:noVBand="1"/>
        </w:tblPrEx>
        <w:trPr>
          <w:trHeight w:val="57"/>
        </w:trPr>
        <w:tc>
          <w:tcPr>
            <w:tcW w:w="973" w:type="dxa"/>
            <w:vAlign w:val="center"/>
          </w:tcPr>
          <w:p w:rsidR="005B5A6F" w:rsidRPr="00441B28" w:rsidRDefault="005B5A6F" w:rsidP="005B5A6F">
            <w:pPr>
              <w:jc w:val="center"/>
              <w:rPr>
                <w:rFonts w:ascii="Arial Narrow" w:hAnsi="Arial Narrow"/>
                <w:color w:val="333333"/>
                <w:sz w:val="20"/>
                <w:szCs w:val="20"/>
              </w:rPr>
            </w:pPr>
          </w:p>
        </w:tc>
        <w:tc>
          <w:tcPr>
            <w:tcW w:w="8043" w:type="dxa"/>
            <w:gridSpan w:val="6"/>
            <w:vAlign w:val="center"/>
          </w:tcPr>
          <w:p w:rsidR="005B5A6F" w:rsidRPr="00441B28" w:rsidRDefault="005B5A6F" w:rsidP="005B5A6F">
            <w:pPr>
              <w:rPr>
                <w:rFonts w:ascii="Arial Narrow" w:hAnsi="Arial Narrow"/>
                <w:color w:val="333333"/>
                <w:sz w:val="20"/>
                <w:szCs w:val="20"/>
              </w:rPr>
            </w:pPr>
            <w:r w:rsidRPr="00441B28">
              <w:rPr>
                <w:rFonts w:ascii="Arial Narrow" w:hAnsi="Arial Narrow"/>
                <w:b/>
                <w:bCs/>
                <w:color w:val="333333"/>
                <w:sz w:val="20"/>
                <w:szCs w:val="20"/>
              </w:rPr>
              <w:t>AND</w:t>
            </w:r>
          </w:p>
        </w:tc>
      </w:tr>
      <w:tr w:rsidR="005B5A6F" w:rsidRPr="00441B28" w:rsidTr="007B15C1">
        <w:tblPrEx>
          <w:tblCellMar>
            <w:top w:w="15" w:type="dxa"/>
            <w:left w:w="15" w:type="dxa"/>
            <w:bottom w:w="15" w:type="dxa"/>
            <w:right w:w="15" w:type="dxa"/>
          </w:tblCellMar>
          <w:tblLook w:val="04A0" w:firstRow="1" w:lastRow="0" w:firstColumn="1" w:lastColumn="0" w:noHBand="0" w:noVBand="1"/>
        </w:tblPrEx>
        <w:trPr>
          <w:trHeight w:val="57"/>
        </w:trPr>
        <w:tc>
          <w:tcPr>
            <w:tcW w:w="973" w:type="dxa"/>
            <w:vAlign w:val="center"/>
          </w:tcPr>
          <w:p w:rsidR="005B5A6F" w:rsidRPr="00441B28" w:rsidRDefault="005B5A6F" w:rsidP="005B5A6F">
            <w:pPr>
              <w:jc w:val="center"/>
              <w:rPr>
                <w:rFonts w:ascii="Arial Narrow" w:hAnsi="Arial Narrow"/>
                <w:color w:val="333333"/>
                <w:sz w:val="20"/>
                <w:szCs w:val="20"/>
              </w:rPr>
            </w:pPr>
          </w:p>
        </w:tc>
        <w:tc>
          <w:tcPr>
            <w:tcW w:w="8043" w:type="dxa"/>
            <w:gridSpan w:val="6"/>
            <w:vAlign w:val="center"/>
          </w:tcPr>
          <w:p w:rsidR="005B5A6F" w:rsidRPr="00441B28" w:rsidRDefault="005B5A6F" w:rsidP="005B5A6F">
            <w:pPr>
              <w:rPr>
                <w:rFonts w:ascii="Arial Narrow" w:hAnsi="Arial Narrow"/>
                <w:color w:val="333333"/>
                <w:sz w:val="20"/>
                <w:szCs w:val="20"/>
              </w:rPr>
            </w:pPr>
            <w:r w:rsidRPr="00441B28">
              <w:rPr>
                <w:rFonts w:ascii="Arial Narrow" w:hAnsi="Arial Narrow"/>
                <w:b/>
                <w:bCs/>
                <w:color w:val="333333"/>
                <w:sz w:val="20"/>
                <w:szCs w:val="20"/>
              </w:rPr>
              <w:t>Clinical criteria:</w:t>
            </w:r>
          </w:p>
        </w:tc>
      </w:tr>
      <w:tr w:rsidR="005B5A6F" w:rsidRPr="00441B28" w:rsidTr="007B15C1">
        <w:tblPrEx>
          <w:tblCellMar>
            <w:top w:w="15" w:type="dxa"/>
            <w:left w:w="15" w:type="dxa"/>
            <w:bottom w:w="15" w:type="dxa"/>
            <w:right w:w="15" w:type="dxa"/>
          </w:tblCellMar>
          <w:tblLook w:val="04A0" w:firstRow="1" w:lastRow="0" w:firstColumn="1" w:lastColumn="0" w:noHBand="0" w:noVBand="1"/>
        </w:tblPrEx>
        <w:trPr>
          <w:trHeight w:val="57"/>
        </w:trPr>
        <w:tc>
          <w:tcPr>
            <w:tcW w:w="973" w:type="dxa"/>
            <w:vAlign w:val="center"/>
          </w:tcPr>
          <w:p w:rsidR="005B5A6F" w:rsidRPr="00441B28" w:rsidRDefault="005B5A6F" w:rsidP="005B5A6F">
            <w:pPr>
              <w:jc w:val="center"/>
              <w:rPr>
                <w:rFonts w:ascii="Arial Narrow" w:hAnsi="Arial Narrow"/>
                <w:color w:val="333333"/>
                <w:sz w:val="20"/>
                <w:szCs w:val="20"/>
              </w:rPr>
            </w:pPr>
          </w:p>
        </w:tc>
        <w:tc>
          <w:tcPr>
            <w:tcW w:w="8043" w:type="dxa"/>
            <w:gridSpan w:val="6"/>
            <w:vAlign w:val="center"/>
          </w:tcPr>
          <w:p w:rsidR="005B5A6F" w:rsidRPr="00441B28" w:rsidRDefault="005B5A6F" w:rsidP="005B5A6F">
            <w:pPr>
              <w:rPr>
                <w:rFonts w:ascii="Arial Narrow" w:hAnsi="Arial Narrow"/>
                <w:iCs/>
                <w:color w:val="333333"/>
                <w:sz w:val="20"/>
                <w:szCs w:val="20"/>
              </w:rPr>
            </w:pPr>
            <w:r w:rsidRPr="00441B28">
              <w:rPr>
                <w:rFonts w:ascii="Arial Narrow" w:hAnsi="Arial Narrow"/>
                <w:bCs/>
                <w:iCs/>
                <w:sz w:val="20"/>
                <w:szCs w:val="20"/>
                <w:lang w:eastAsia="en-US"/>
              </w:rPr>
              <w:t>The condition must not be acute promyelocytic leukaemia.</w:t>
            </w:r>
          </w:p>
        </w:tc>
      </w:tr>
      <w:tr w:rsidR="005B5A6F" w:rsidRPr="00441B28" w:rsidTr="00B911EB">
        <w:tblPrEx>
          <w:tblCellMar>
            <w:top w:w="15" w:type="dxa"/>
            <w:left w:w="15" w:type="dxa"/>
            <w:bottom w:w="15" w:type="dxa"/>
            <w:right w:w="15" w:type="dxa"/>
          </w:tblCellMar>
        </w:tblPrEx>
        <w:trPr>
          <w:trHeight w:val="57"/>
        </w:trPr>
        <w:tc>
          <w:tcPr>
            <w:tcW w:w="973" w:type="dxa"/>
            <w:vAlign w:val="center"/>
          </w:tcPr>
          <w:p w:rsidR="005B5A6F" w:rsidRPr="00441B28" w:rsidRDefault="005B5A6F" w:rsidP="005B5A6F">
            <w:pPr>
              <w:jc w:val="center"/>
              <w:rPr>
                <w:rFonts w:ascii="Arial Narrow" w:hAnsi="Arial Narrow"/>
                <w:color w:val="333333"/>
                <w:sz w:val="20"/>
                <w:szCs w:val="20"/>
              </w:rPr>
            </w:pPr>
          </w:p>
        </w:tc>
        <w:tc>
          <w:tcPr>
            <w:tcW w:w="8043" w:type="dxa"/>
            <w:gridSpan w:val="6"/>
            <w:vAlign w:val="center"/>
            <w:hideMark/>
          </w:tcPr>
          <w:p w:rsidR="005B5A6F" w:rsidRPr="00441B28" w:rsidRDefault="005B5A6F" w:rsidP="005B5A6F">
            <w:pPr>
              <w:jc w:val="left"/>
              <w:rPr>
                <w:rFonts w:ascii="Arial Narrow" w:hAnsi="Arial Narrow"/>
                <w:b/>
                <w:bCs/>
                <w:color w:val="333333"/>
                <w:sz w:val="20"/>
                <w:szCs w:val="20"/>
              </w:rPr>
            </w:pPr>
            <w:r w:rsidRPr="00441B28">
              <w:rPr>
                <w:rFonts w:ascii="Arial Narrow" w:hAnsi="Arial Narrow"/>
                <w:b/>
                <w:bCs/>
                <w:color w:val="333333"/>
                <w:sz w:val="20"/>
                <w:szCs w:val="20"/>
              </w:rPr>
              <w:t xml:space="preserve">Prescribing Instructions: </w:t>
            </w:r>
          </w:p>
          <w:p w:rsidR="005B5A6F" w:rsidRPr="00441B28" w:rsidRDefault="005B5A6F" w:rsidP="005B5A6F">
            <w:pPr>
              <w:jc w:val="left"/>
              <w:rPr>
                <w:rFonts w:ascii="Arial Narrow" w:hAnsi="Arial Narrow"/>
                <w:sz w:val="20"/>
                <w:szCs w:val="20"/>
              </w:rPr>
            </w:pPr>
            <w:r w:rsidRPr="00441B28">
              <w:rPr>
                <w:rFonts w:ascii="Arial Narrow" w:hAnsi="Arial Narrow"/>
                <w:sz w:val="20"/>
                <w:szCs w:val="20"/>
              </w:rPr>
              <w:t>Progressive disease monitoring via a complete blood count must be taken at the end of each cycle.</w:t>
            </w:r>
          </w:p>
          <w:p w:rsidR="005B5A6F" w:rsidRPr="00441B28" w:rsidRDefault="005B5A6F" w:rsidP="005B5A6F">
            <w:pPr>
              <w:jc w:val="left"/>
              <w:rPr>
                <w:rFonts w:ascii="Arial Narrow" w:hAnsi="Arial Narrow"/>
                <w:sz w:val="20"/>
                <w:szCs w:val="20"/>
              </w:rPr>
            </w:pPr>
            <w:r w:rsidRPr="00441B28">
              <w:rPr>
                <w:rFonts w:ascii="Arial Narrow" w:hAnsi="Arial Narrow"/>
                <w:sz w:val="20"/>
                <w:szCs w:val="20"/>
              </w:rPr>
              <w:t>If abnormal blood counts suggest the potential for relapsed AML, a bone marrow biopsy must be performed to confirm the absence of progressive disease for the patient to be eligible for further cycles.</w:t>
            </w:r>
          </w:p>
        </w:tc>
      </w:tr>
      <w:tr w:rsidR="005B5A6F" w:rsidRPr="00441B28" w:rsidTr="00B911EB">
        <w:tblPrEx>
          <w:tblCellMar>
            <w:top w:w="15" w:type="dxa"/>
            <w:left w:w="15" w:type="dxa"/>
            <w:bottom w:w="15" w:type="dxa"/>
            <w:right w:w="15" w:type="dxa"/>
          </w:tblCellMar>
        </w:tblPrEx>
        <w:trPr>
          <w:trHeight w:val="57"/>
        </w:trPr>
        <w:tc>
          <w:tcPr>
            <w:tcW w:w="973" w:type="dxa"/>
          </w:tcPr>
          <w:p w:rsidR="005B5A6F" w:rsidRPr="00441B28" w:rsidRDefault="005B5A6F" w:rsidP="005B5A6F">
            <w:pPr>
              <w:jc w:val="center"/>
              <w:rPr>
                <w:rFonts w:ascii="Arial Narrow" w:hAnsi="Arial Narrow"/>
                <w:color w:val="333333"/>
                <w:sz w:val="20"/>
                <w:szCs w:val="20"/>
              </w:rPr>
            </w:pPr>
          </w:p>
        </w:tc>
        <w:tc>
          <w:tcPr>
            <w:tcW w:w="8043" w:type="dxa"/>
            <w:gridSpan w:val="6"/>
            <w:hideMark/>
          </w:tcPr>
          <w:p w:rsidR="005B5A6F" w:rsidRPr="00441B28" w:rsidRDefault="005B5A6F" w:rsidP="005B5A6F">
            <w:pPr>
              <w:rPr>
                <w:rFonts w:ascii="Arial Narrow" w:hAnsi="Arial Narrow"/>
                <w:color w:val="333333"/>
                <w:sz w:val="20"/>
                <w:szCs w:val="20"/>
              </w:rPr>
            </w:pPr>
            <w:r w:rsidRPr="00441B28">
              <w:rPr>
                <w:rFonts w:ascii="Arial Narrow" w:hAnsi="Arial Narrow"/>
                <w:b/>
                <w:bCs/>
                <w:sz w:val="20"/>
                <w:szCs w:val="20"/>
              </w:rPr>
              <w:t xml:space="preserve">Administrative advice: </w:t>
            </w:r>
            <w:r w:rsidRPr="00441B28">
              <w:rPr>
                <w:rFonts w:ascii="Arial Narrow" w:hAnsi="Arial Narrow"/>
                <w:bCs/>
                <w:sz w:val="20"/>
                <w:szCs w:val="20"/>
              </w:rPr>
              <w:t>No increase in the maximum quantity or number of units may be authorised.</w:t>
            </w:r>
          </w:p>
        </w:tc>
      </w:tr>
      <w:tr w:rsidR="005B5A6F" w:rsidRPr="00441B28" w:rsidTr="00B911EB">
        <w:tblPrEx>
          <w:tblCellMar>
            <w:top w:w="15" w:type="dxa"/>
            <w:left w:w="15" w:type="dxa"/>
            <w:bottom w:w="15" w:type="dxa"/>
            <w:right w:w="15" w:type="dxa"/>
          </w:tblCellMar>
        </w:tblPrEx>
        <w:trPr>
          <w:trHeight w:val="57"/>
        </w:trPr>
        <w:tc>
          <w:tcPr>
            <w:tcW w:w="973" w:type="dxa"/>
          </w:tcPr>
          <w:p w:rsidR="005B5A6F" w:rsidRPr="00441B28" w:rsidRDefault="005B5A6F" w:rsidP="005B5A6F">
            <w:pPr>
              <w:jc w:val="center"/>
              <w:rPr>
                <w:rFonts w:ascii="Arial Narrow" w:hAnsi="Arial Narrow"/>
                <w:color w:val="333333"/>
                <w:sz w:val="20"/>
                <w:szCs w:val="20"/>
              </w:rPr>
            </w:pPr>
          </w:p>
        </w:tc>
        <w:tc>
          <w:tcPr>
            <w:tcW w:w="8043" w:type="dxa"/>
            <w:gridSpan w:val="6"/>
            <w:hideMark/>
          </w:tcPr>
          <w:p w:rsidR="005B5A6F" w:rsidRPr="00441B28" w:rsidRDefault="005B5A6F" w:rsidP="005B5A6F">
            <w:pPr>
              <w:rPr>
                <w:rFonts w:ascii="Arial Narrow" w:hAnsi="Arial Narrow"/>
                <w:color w:val="333333"/>
                <w:sz w:val="20"/>
                <w:szCs w:val="20"/>
              </w:rPr>
            </w:pPr>
            <w:r w:rsidRPr="00441B28">
              <w:rPr>
                <w:rFonts w:ascii="Arial Narrow" w:hAnsi="Arial Narrow"/>
                <w:b/>
                <w:bCs/>
                <w:sz w:val="20"/>
                <w:szCs w:val="20"/>
              </w:rPr>
              <w:t xml:space="preserve">Administrative advice: </w:t>
            </w:r>
            <w:r w:rsidRPr="00441B28">
              <w:rPr>
                <w:rFonts w:ascii="Arial Narrow" w:hAnsi="Arial Narrow"/>
                <w:bCs/>
                <w:sz w:val="20"/>
                <w:szCs w:val="20"/>
              </w:rPr>
              <w:t>No increase in the maximum number of repeats may be authorised.</w:t>
            </w:r>
          </w:p>
        </w:tc>
      </w:tr>
      <w:tr w:rsidR="005B5A6F" w:rsidRPr="00441B28" w:rsidTr="00B911EB">
        <w:tblPrEx>
          <w:tblCellMar>
            <w:top w:w="15" w:type="dxa"/>
            <w:left w:w="15" w:type="dxa"/>
            <w:bottom w:w="15" w:type="dxa"/>
            <w:right w:w="15" w:type="dxa"/>
          </w:tblCellMar>
        </w:tblPrEx>
        <w:trPr>
          <w:trHeight w:val="57"/>
        </w:trPr>
        <w:tc>
          <w:tcPr>
            <w:tcW w:w="973" w:type="dxa"/>
            <w:tcBorders>
              <w:top w:val="single" w:sz="4" w:space="0" w:color="auto"/>
              <w:left w:val="single" w:sz="4" w:space="0" w:color="auto"/>
              <w:bottom w:val="single" w:sz="4" w:space="0" w:color="auto"/>
              <w:right w:val="single" w:sz="4" w:space="0" w:color="auto"/>
            </w:tcBorders>
          </w:tcPr>
          <w:p w:rsidR="005B5A6F" w:rsidRPr="00441B28" w:rsidRDefault="005B5A6F" w:rsidP="005B5A6F">
            <w:pPr>
              <w:jc w:val="center"/>
              <w:rPr>
                <w:rFonts w:ascii="Arial Narrow" w:hAnsi="Arial Narrow"/>
                <w:bCs/>
                <w:sz w:val="20"/>
                <w:szCs w:val="20"/>
              </w:rPr>
            </w:pPr>
          </w:p>
        </w:tc>
        <w:tc>
          <w:tcPr>
            <w:tcW w:w="8043" w:type="dxa"/>
            <w:gridSpan w:val="6"/>
            <w:tcBorders>
              <w:top w:val="single" w:sz="4" w:space="0" w:color="auto"/>
              <w:left w:val="single" w:sz="4" w:space="0" w:color="auto"/>
              <w:bottom w:val="single" w:sz="4" w:space="0" w:color="auto"/>
              <w:right w:val="single" w:sz="4" w:space="0" w:color="auto"/>
            </w:tcBorders>
            <w:hideMark/>
          </w:tcPr>
          <w:p w:rsidR="005B5A6F" w:rsidRPr="00441B28" w:rsidRDefault="005B5A6F" w:rsidP="005B5A6F">
            <w:pPr>
              <w:rPr>
                <w:rFonts w:ascii="Arial Narrow" w:hAnsi="Arial Narrow"/>
                <w:b/>
                <w:bCs/>
                <w:sz w:val="20"/>
                <w:szCs w:val="20"/>
              </w:rPr>
            </w:pPr>
            <w:r w:rsidRPr="00441B28">
              <w:rPr>
                <w:rFonts w:ascii="Arial Narrow" w:hAnsi="Arial Narrow"/>
                <w:b/>
                <w:bCs/>
                <w:sz w:val="20"/>
                <w:szCs w:val="20"/>
              </w:rPr>
              <w:t xml:space="preserve">Administrative advice: </w:t>
            </w:r>
            <w:r w:rsidRPr="00441B28">
              <w:rPr>
                <w:rFonts w:ascii="Arial Narrow" w:hAnsi="Arial Narrow"/>
                <w:sz w:val="20"/>
                <w:szCs w:val="20"/>
              </w:rPr>
              <w:t>Special Pricing Arrangements apply.</w:t>
            </w:r>
          </w:p>
        </w:tc>
      </w:tr>
      <w:tr w:rsidR="005B5A6F" w:rsidRPr="00441B28" w:rsidTr="007B15C1">
        <w:tblPrEx>
          <w:tblCellMar>
            <w:top w:w="15" w:type="dxa"/>
            <w:left w:w="15" w:type="dxa"/>
            <w:bottom w:w="15" w:type="dxa"/>
            <w:right w:w="15" w:type="dxa"/>
          </w:tblCellMar>
          <w:tblLook w:val="04A0" w:firstRow="1" w:lastRow="0" w:firstColumn="1" w:lastColumn="0" w:noHBand="0" w:noVBand="1"/>
        </w:tblPrEx>
        <w:trPr>
          <w:trHeight w:val="57"/>
        </w:trPr>
        <w:tc>
          <w:tcPr>
            <w:tcW w:w="973" w:type="dxa"/>
            <w:vAlign w:val="center"/>
          </w:tcPr>
          <w:p w:rsidR="005B5A6F" w:rsidRPr="00441B28" w:rsidRDefault="005B5A6F" w:rsidP="005B5A6F">
            <w:pPr>
              <w:jc w:val="center"/>
              <w:rPr>
                <w:rFonts w:ascii="Arial Narrow" w:hAnsi="Arial Narrow"/>
                <w:color w:val="333333"/>
                <w:sz w:val="20"/>
                <w:szCs w:val="20"/>
              </w:rPr>
            </w:pPr>
          </w:p>
        </w:tc>
        <w:tc>
          <w:tcPr>
            <w:tcW w:w="8043" w:type="dxa"/>
            <w:gridSpan w:val="6"/>
            <w:vAlign w:val="center"/>
          </w:tcPr>
          <w:p w:rsidR="005B5A6F" w:rsidRPr="00441B28" w:rsidRDefault="005B5A6F" w:rsidP="005B5A6F">
            <w:pPr>
              <w:rPr>
                <w:rFonts w:ascii="Arial Narrow" w:hAnsi="Arial Narrow"/>
                <w:bCs/>
                <w:color w:val="333333"/>
                <w:sz w:val="20"/>
                <w:szCs w:val="20"/>
              </w:rPr>
            </w:pPr>
            <w:r w:rsidRPr="00441B28">
              <w:rPr>
                <w:rFonts w:ascii="Arial Narrow" w:hAnsi="Arial Narrow"/>
                <w:b/>
                <w:bCs/>
                <w:color w:val="333333"/>
                <w:sz w:val="20"/>
                <w:szCs w:val="20"/>
              </w:rPr>
              <w:t xml:space="preserve">Administrative Advice: </w:t>
            </w:r>
            <w:r w:rsidRPr="00441B28">
              <w:rPr>
                <w:rFonts w:ascii="Arial Narrow" w:hAnsi="Arial Narrow"/>
                <w:bC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bl>
    <w:p w:rsidR="00B562B1" w:rsidRPr="000C675E" w:rsidRDefault="00B562B1"/>
    <w:p w:rsidR="00921471" w:rsidRPr="000C675E" w:rsidRDefault="00BF02E1" w:rsidP="00921471">
      <w:pPr>
        <w:pStyle w:val="3-BodyText"/>
        <w:rPr>
          <w:rFonts w:cs="Arial"/>
          <w:bCs/>
          <w:snapToGrid w:val="0"/>
          <w:lang w:eastAsia="en-US"/>
        </w:rPr>
      </w:pPr>
      <w:r>
        <w:rPr>
          <w:rFonts w:cs="Arial"/>
          <w:bCs/>
          <w:snapToGrid w:val="0"/>
          <w:lang w:eastAsia="en-US"/>
        </w:rPr>
        <w:t>Add new item</w:t>
      </w:r>
      <w:r w:rsidR="00921471" w:rsidRPr="000C675E">
        <w:rPr>
          <w:rFonts w:cs="Arial"/>
          <w:bCs/>
          <w:snapToGrid w:val="0"/>
          <w:lang w:eastAsia="en-US"/>
        </w:rPr>
        <w:t>:</w:t>
      </w: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
        <w:gridCol w:w="1996"/>
        <w:gridCol w:w="1559"/>
        <w:gridCol w:w="993"/>
        <w:gridCol w:w="985"/>
        <w:gridCol w:w="712"/>
        <w:gridCol w:w="1846"/>
      </w:tblGrid>
      <w:tr w:rsidR="00AE555F" w:rsidRPr="00441B28" w:rsidTr="007B15C1">
        <w:trPr>
          <w:cantSplit/>
          <w:trHeight w:val="57"/>
        </w:trPr>
        <w:tc>
          <w:tcPr>
            <w:tcW w:w="2977" w:type="dxa"/>
            <w:gridSpan w:val="2"/>
          </w:tcPr>
          <w:p w:rsidR="00AE555F" w:rsidRPr="00441B28" w:rsidRDefault="00AE555F" w:rsidP="00AC4B3D">
            <w:pPr>
              <w:keepNext/>
              <w:ind w:left="-57"/>
              <w:rPr>
                <w:rFonts w:ascii="Arial Narrow" w:hAnsi="Arial Narrow" w:cs="Arial"/>
                <w:b/>
                <w:bCs/>
                <w:sz w:val="20"/>
                <w:szCs w:val="20"/>
              </w:rPr>
            </w:pPr>
            <w:r w:rsidRPr="00441B28">
              <w:rPr>
                <w:rFonts w:ascii="Arial Narrow" w:hAnsi="Arial Narrow" w:cs="Arial"/>
                <w:b/>
                <w:bCs/>
                <w:sz w:val="20"/>
                <w:szCs w:val="20"/>
              </w:rPr>
              <w:t>MEDICINAL PRODUCT</w:t>
            </w:r>
          </w:p>
          <w:p w:rsidR="00AE555F" w:rsidRPr="00441B28" w:rsidRDefault="00AE555F" w:rsidP="00AC4B3D">
            <w:pPr>
              <w:keepNext/>
              <w:ind w:left="-57"/>
              <w:rPr>
                <w:rFonts w:ascii="Arial Narrow" w:hAnsi="Arial Narrow" w:cs="Arial"/>
                <w:b/>
                <w:sz w:val="20"/>
                <w:szCs w:val="20"/>
              </w:rPr>
            </w:pPr>
            <w:r w:rsidRPr="00441B28">
              <w:rPr>
                <w:rFonts w:ascii="Arial Narrow" w:hAnsi="Arial Narrow" w:cs="Arial"/>
                <w:b/>
                <w:bCs/>
                <w:sz w:val="20"/>
                <w:szCs w:val="20"/>
              </w:rPr>
              <w:t>medicinal product pack</w:t>
            </w:r>
          </w:p>
        </w:tc>
        <w:tc>
          <w:tcPr>
            <w:tcW w:w="1559" w:type="dxa"/>
          </w:tcPr>
          <w:p w:rsidR="00AE555F" w:rsidRPr="00441B28" w:rsidRDefault="00AE555F" w:rsidP="00AC4B3D">
            <w:pPr>
              <w:keepNext/>
              <w:jc w:val="center"/>
              <w:rPr>
                <w:rFonts w:ascii="Arial Narrow" w:hAnsi="Arial Narrow" w:cs="Arial"/>
                <w:b/>
                <w:sz w:val="20"/>
                <w:szCs w:val="20"/>
              </w:rPr>
            </w:pPr>
            <w:r w:rsidRPr="00441B28">
              <w:rPr>
                <w:rFonts w:ascii="Arial Narrow" w:hAnsi="Arial Narrow" w:cs="Arial"/>
                <w:b/>
                <w:sz w:val="20"/>
                <w:szCs w:val="20"/>
              </w:rPr>
              <w:t>PBS item code</w:t>
            </w:r>
          </w:p>
        </w:tc>
        <w:tc>
          <w:tcPr>
            <w:tcW w:w="993" w:type="dxa"/>
          </w:tcPr>
          <w:p w:rsidR="00AE555F" w:rsidRPr="00441B28" w:rsidRDefault="00AE555F" w:rsidP="00AC4B3D">
            <w:pPr>
              <w:keepNext/>
              <w:jc w:val="center"/>
              <w:rPr>
                <w:rFonts w:ascii="Arial Narrow" w:hAnsi="Arial Narrow" w:cs="Arial"/>
                <w:b/>
                <w:sz w:val="20"/>
                <w:szCs w:val="20"/>
              </w:rPr>
            </w:pPr>
            <w:r w:rsidRPr="00441B28">
              <w:rPr>
                <w:rFonts w:ascii="Arial Narrow" w:hAnsi="Arial Narrow" w:cs="Arial"/>
                <w:b/>
                <w:sz w:val="20"/>
                <w:szCs w:val="20"/>
              </w:rPr>
              <w:t>Max. qty packs</w:t>
            </w:r>
          </w:p>
        </w:tc>
        <w:tc>
          <w:tcPr>
            <w:tcW w:w="985" w:type="dxa"/>
          </w:tcPr>
          <w:p w:rsidR="00AE555F" w:rsidRPr="00441B28" w:rsidRDefault="00AE555F" w:rsidP="00AC4B3D">
            <w:pPr>
              <w:keepNext/>
              <w:jc w:val="center"/>
              <w:rPr>
                <w:rFonts w:ascii="Arial Narrow" w:hAnsi="Arial Narrow" w:cs="Arial"/>
                <w:b/>
                <w:sz w:val="20"/>
                <w:szCs w:val="20"/>
              </w:rPr>
            </w:pPr>
            <w:r w:rsidRPr="00441B28">
              <w:rPr>
                <w:rFonts w:ascii="Arial Narrow" w:hAnsi="Arial Narrow" w:cs="Arial"/>
                <w:b/>
                <w:sz w:val="20"/>
                <w:szCs w:val="20"/>
              </w:rPr>
              <w:t>Max. qty units</w:t>
            </w:r>
          </w:p>
        </w:tc>
        <w:tc>
          <w:tcPr>
            <w:tcW w:w="712" w:type="dxa"/>
          </w:tcPr>
          <w:p w:rsidR="00AE555F" w:rsidRPr="00441B28" w:rsidRDefault="00AE555F" w:rsidP="00AC4B3D">
            <w:pPr>
              <w:keepNext/>
              <w:jc w:val="center"/>
              <w:rPr>
                <w:rFonts w:ascii="Arial Narrow" w:hAnsi="Arial Narrow" w:cs="Arial"/>
                <w:b/>
                <w:sz w:val="20"/>
                <w:szCs w:val="20"/>
              </w:rPr>
            </w:pPr>
            <w:r w:rsidRPr="00441B28">
              <w:rPr>
                <w:rFonts w:ascii="Arial Narrow" w:hAnsi="Arial Narrow" w:cs="Arial"/>
                <w:b/>
                <w:sz w:val="20"/>
                <w:szCs w:val="20"/>
              </w:rPr>
              <w:t>№.of</w:t>
            </w:r>
          </w:p>
          <w:p w:rsidR="00AE555F" w:rsidRPr="00441B28" w:rsidRDefault="00AE555F" w:rsidP="00AC4B3D">
            <w:pPr>
              <w:keepNext/>
              <w:jc w:val="center"/>
              <w:rPr>
                <w:rFonts w:ascii="Arial Narrow" w:hAnsi="Arial Narrow" w:cs="Arial"/>
                <w:b/>
                <w:sz w:val="20"/>
                <w:szCs w:val="20"/>
              </w:rPr>
            </w:pPr>
            <w:r w:rsidRPr="00441B28">
              <w:rPr>
                <w:rFonts w:ascii="Arial Narrow" w:hAnsi="Arial Narrow" w:cs="Arial"/>
                <w:b/>
                <w:sz w:val="20"/>
                <w:szCs w:val="20"/>
              </w:rPr>
              <w:t>Rpts</w:t>
            </w:r>
          </w:p>
        </w:tc>
        <w:tc>
          <w:tcPr>
            <w:tcW w:w="1846" w:type="dxa"/>
          </w:tcPr>
          <w:p w:rsidR="00AE555F" w:rsidRPr="00441B28" w:rsidRDefault="00AE555F" w:rsidP="00AC4B3D">
            <w:pPr>
              <w:keepNext/>
              <w:rPr>
                <w:rFonts w:ascii="Arial Narrow" w:hAnsi="Arial Narrow" w:cs="Arial"/>
                <w:b/>
                <w:sz w:val="20"/>
                <w:szCs w:val="20"/>
              </w:rPr>
            </w:pPr>
            <w:r w:rsidRPr="00441B28">
              <w:rPr>
                <w:rFonts w:ascii="Arial Narrow" w:hAnsi="Arial Narrow" w:cs="Arial"/>
                <w:b/>
                <w:sz w:val="20"/>
                <w:szCs w:val="20"/>
              </w:rPr>
              <w:t>Available brands</w:t>
            </w:r>
          </w:p>
        </w:tc>
      </w:tr>
      <w:tr w:rsidR="00AE555F" w:rsidRPr="00441B28" w:rsidTr="00B15593">
        <w:trPr>
          <w:cantSplit/>
          <w:trHeight w:val="57"/>
        </w:trPr>
        <w:tc>
          <w:tcPr>
            <w:tcW w:w="9072" w:type="dxa"/>
            <w:gridSpan w:val="7"/>
          </w:tcPr>
          <w:p w:rsidR="00AE555F" w:rsidRPr="00441B28" w:rsidRDefault="00AE555F" w:rsidP="00AC4B3D">
            <w:pPr>
              <w:keepNext/>
              <w:ind w:left="-57"/>
              <w:rPr>
                <w:rFonts w:ascii="Arial Narrow" w:hAnsi="Arial Narrow" w:cs="Arial"/>
                <w:sz w:val="20"/>
                <w:szCs w:val="20"/>
              </w:rPr>
            </w:pPr>
            <w:r w:rsidRPr="00441B28">
              <w:rPr>
                <w:rFonts w:ascii="Arial Narrow" w:hAnsi="Arial Narrow" w:cs="Arial"/>
                <w:sz w:val="20"/>
                <w:szCs w:val="20"/>
              </w:rPr>
              <w:t xml:space="preserve">AZACITIDINE </w:t>
            </w:r>
          </w:p>
        </w:tc>
      </w:tr>
      <w:tr w:rsidR="00AE555F" w:rsidRPr="00441B28" w:rsidTr="007B15C1">
        <w:trPr>
          <w:cantSplit/>
          <w:trHeight w:val="57"/>
        </w:trPr>
        <w:tc>
          <w:tcPr>
            <w:tcW w:w="2977" w:type="dxa"/>
            <w:gridSpan w:val="2"/>
          </w:tcPr>
          <w:p w:rsidR="00AE555F" w:rsidRPr="00441B28" w:rsidRDefault="00AE555F" w:rsidP="00AC4B3D">
            <w:pPr>
              <w:keepNext/>
              <w:ind w:left="-57"/>
              <w:rPr>
                <w:rFonts w:ascii="Arial Narrow" w:hAnsi="Arial Narrow" w:cs="Arial"/>
                <w:sz w:val="20"/>
                <w:szCs w:val="20"/>
              </w:rPr>
            </w:pPr>
            <w:r w:rsidRPr="00441B28">
              <w:rPr>
                <w:rFonts w:ascii="Arial Narrow" w:hAnsi="Arial Narrow" w:cs="Arial"/>
                <w:sz w:val="20"/>
                <w:szCs w:val="20"/>
              </w:rPr>
              <w:t>azacitidine 100 mg injection, 1 vial</w:t>
            </w:r>
          </w:p>
        </w:tc>
        <w:tc>
          <w:tcPr>
            <w:tcW w:w="1559" w:type="dxa"/>
          </w:tcPr>
          <w:p w:rsidR="00F872C3" w:rsidRPr="00441B28" w:rsidRDefault="00F872C3" w:rsidP="00AC4B3D">
            <w:pPr>
              <w:keepNext/>
              <w:jc w:val="center"/>
              <w:rPr>
                <w:rFonts w:ascii="Arial Narrow" w:hAnsi="Arial Narrow" w:cs="Arial"/>
                <w:sz w:val="20"/>
                <w:szCs w:val="20"/>
              </w:rPr>
            </w:pPr>
            <w:r w:rsidRPr="00441B28">
              <w:rPr>
                <w:rFonts w:ascii="Arial Narrow" w:hAnsi="Arial Narrow" w:cs="Arial"/>
                <w:sz w:val="20"/>
                <w:szCs w:val="20"/>
              </w:rPr>
              <w:t>NEW</w:t>
            </w:r>
          </w:p>
        </w:tc>
        <w:tc>
          <w:tcPr>
            <w:tcW w:w="993" w:type="dxa"/>
          </w:tcPr>
          <w:p w:rsidR="00AE555F" w:rsidRPr="00441B28" w:rsidRDefault="00581419" w:rsidP="00AC4B3D">
            <w:pPr>
              <w:keepNext/>
              <w:jc w:val="center"/>
              <w:rPr>
                <w:rFonts w:ascii="Arial Narrow" w:hAnsi="Arial Narrow" w:cs="Arial"/>
                <w:sz w:val="20"/>
                <w:szCs w:val="20"/>
              </w:rPr>
            </w:pPr>
            <w:r w:rsidRPr="00441B28">
              <w:rPr>
                <w:rFonts w:ascii="Arial Narrow" w:hAnsi="Arial Narrow" w:cs="Arial"/>
                <w:sz w:val="20"/>
                <w:szCs w:val="20"/>
              </w:rPr>
              <w:t>14</w:t>
            </w:r>
          </w:p>
        </w:tc>
        <w:tc>
          <w:tcPr>
            <w:tcW w:w="985" w:type="dxa"/>
          </w:tcPr>
          <w:p w:rsidR="00AE555F" w:rsidRPr="00441B28" w:rsidRDefault="00581419" w:rsidP="00AC4B3D">
            <w:pPr>
              <w:keepNext/>
              <w:jc w:val="center"/>
              <w:rPr>
                <w:rFonts w:ascii="Arial Narrow" w:hAnsi="Arial Narrow" w:cs="Arial"/>
                <w:sz w:val="20"/>
                <w:szCs w:val="20"/>
              </w:rPr>
            </w:pPr>
            <w:r w:rsidRPr="00441B28">
              <w:rPr>
                <w:rFonts w:ascii="Arial Narrow" w:hAnsi="Arial Narrow" w:cs="Arial"/>
                <w:sz w:val="20"/>
                <w:szCs w:val="20"/>
              </w:rPr>
              <w:t>14</w:t>
            </w:r>
          </w:p>
        </w:tc>
        <w:tc>
          <w:tcPr>
            <w:tcW w:w="712" w:type="dxa"/>
          </w:tcPr>
          <w:p w:rsidR="00AE555F" w:rsidRPr="00441B28" w:rsidRDefault="00581419" w:rsidP="00AC4B3D">
            <w:pPr>
              <w:keepNext/>
              <w:jc w:val="center"/>
              <w:rPr>
                <w:rFonts w:ascii="Arial Narrow" w:hAnsi="Arial Narrow" w:cs="Arial"/>
                <w:sz w:val="20"/>
                <w:szCs w:val="20"/>
              </w:rPr>
            </w:pPr>
            <w:r w:rsidRPr="00441B28">
              <w:rPr>
                <w:rFonts w:ascii="Arial Narrow" w:hAnsi="Arial Narrow" w:cs="Arial"/>
                <w:sz w:val="20"/>
                <w:szCs w:val="20"/>
              </w:rPr>
              <w:t>2</w:t>
            </w:r>
          </w:p>
        </w:tc>
        <w:tc>
          <w:tcPr>
            <w:tcW w:w="1846" w:type="dxa"/>
          </w:tcPr>
          <w:p w:rsidR="00AE555F" w:rsidRPr="00441B28" w:rsidRDefault="00AE555F" w:rsidP="00AC4B3D">
            <w:pPr>
              <w:keepNext/>
              <w:rPr>
                <w:rFonts w:ascii="Arial Narrow" w:hAnsi="Arial Narrow" w:cs="Arial"/>
                <w:sz w:val="20"/>
                <w:szCs w:val="20"/>
              </w:rPr>
            </w:pPr>
            <w:r w:rsidRPr="00441B28">
              <w:rPr>
                <w:rFonts w:ascii="Arial Narrow" w:hAnsi="Arial Narrow" w:cs="Arial"/>
                <w:sz w:val="20"/>
                <w:szCs w:val="20"/>
              </w:rPr>
              <w:t>AZACITIDINE DR.REDDY’S</w:t>
            </w:r>
          </w:p>
          <w:p w:rsidR="00AE555F" w:rsidRPr="00441B28" w:rsidRDefault="00AE555F" w:rsidP="00AC4B3D">
            <w:pPr>
              <w:keepNext/>
              <w:rPr>
                <w:rFonts w:ascii="Arial Narrow" w:hAnsi="Arial Narrow" w:cs="Arial"/>
                <w:sz w:val="20"/>
                <w:szCs w:val="20"/>
              </w:rPr>
            </w:pPr>
            <w:r w:rsidRPr="00441B28">
              <w:rPr>
                <w:rFonts w:ascii="Arial Narrow" w:hAnsi="Arial Narrow" w:cs="Arial"/>
                <w:sz w:val="20"/>
                <w:szCs w:val="20"/>
              </w:rPr>
              <w:t>Azacitidine Accord</w:t>
            </w:r>
          </w:p>
          <w:p w:rsidR="00AE555F" w:rsidRPr="00441B28" w:rsidRDefault="00AE555F" w:rsidP="00AC4B3D">
            <w:pPr>
              <w:keepNext/>
              <w:rPr>
                <w:rFonts w:ascii="Arial Narrow" w:hAnsi="Arial Narrow" w:cs="Arial"/>
                <w:sz w:val="20"/>
                <w:szCs w:val="20"/>
              </w:rPr>
            </w:pPr>
            <w:r w:rsidRPr="00441B28">
              <w:rPr>
                <w:rFonts w:ascii="Arial Narrow" w:hAnsi="Arial Narrow" w:cs="Arial"/>
                <w:sz w:val="20"/>
                <w:szCs w:val="20"/>
              </w:rPr>
              <w:t>Azacitidine June</w:t>
            </w:r>
          </w:p>
          <w:p w:rsidR="00AE555F" w:rsidRPr="00441B28" w:rsidRDefault="00AE555F" w:rsidP="00AC4B3D">
            <w:pPr>
              <w:keepNext/>
              <w:rPr>
                <w:rFonts w:ascii="Arial Narrow" w:hAnsi="Arial Narrow" w:cs="Arial"/>
                <w:sz w:val="20"/>
                <w:szCs w:val="20"/>
              </w:rPr>
            </w:pPr>
            <w:r w:rsidRPr="00441B28">
              <w:rPr>
                <w:rFonts w:ascii="Arial Narrow" w:hAnsi="Arial Narrow" w:cs="Arial"/>
                <w:sz w:val="20"/>
                <w:szCs w:val="20"/>
              </w:rPr>
              <w:t>Azacitidine-Teva</w:t>
            </w:r>
          </w:p>
          <w:p w:rsidR="00AE555F" w:rsidRPr="00441B28" w:rsidRDefault="00AE555F" w:rsidP="00AC4B3D">
            <w:pPr>
              <w:keepNext/>
              <w:rPr>
                <w:rFonts w:ascii="Arial Narrow" w:hAnsi="Arial Narrow" w:cs="Arial"/>
                <w:sz w:val="20"/>
                <w:szCs w:val="20"/>
              </w:rPr>
            </w:pPr>
            <w:r w:rsidRPr="00441B28">
              <w:rPr>
                <w:rFonts w:ascii="Arial Narrow" w:hAnsi="Arial Narrow" w:cs="Arial"/>
                <w:sz w:val="20"/>
                <w:szCs w:val="20"/>
              </w:rPr>
              <w:t>Azadine</w:t>
            </w:r>
          </w:p>
          <w:p w:rsidR="00AE555F" w:rsidRPr="00441B28" w:rsidRDefault="00AE555F" w:rsidP="00AC4B3D">
            <w:pPr>
              <w:keepNext/>
              <w:rPr>
                <w:rFonts w:ascii="Arial Narrow" w:hAnsi="Arial Narrow" w:cs="Arial"/>
                <w:sz w:val="20"/>
                <w:szCs w:val="20"/>
              </w:rPr>
            </w:pPr>
            <w:r w:rsidRPr="00441B28">
              <w:rPr>
                <w:rFonts w:ascii="Arial Narrow" w:hAnsi="Arial Narrow" w:cs="Arial"/>
                <w:sz w:val="20"/>
                <w:szCs w:val="20"/>
              </w:rPr>
              <w:t>Celazadine</w:t>
            </w:r>
          </w:p>
          <w:p w:rsidR="00AE555F" w:rsidRPr="00441B28" w:rsidRDefault="00AE555F" w:rsidP="00AC4B3D">
            <w:pPr>
              <w:keepNext/>
              <w:rPr>
                <w:rFonts w:ascii="Arial Narrow" w:hAnsi="Arial Narrow" w:cs="Arial"/>
                <w:sz w:val="20"/>
                <w:szCs w:val="20"/>
              </w:rPr>
            </w:pPr>
            <w:r w:rsidRPr="00441B28">
              <w:rPr>
                <w:rFonts w:ascii="Arial Narrow" w:hAnsi="Arial Narrow" w:cs="Arial"/>
                <w:sz w:val="20"/>
                <w:szCs w:val="20"/>
              </w:rPr>
              <w:t>Vidaza</w:t>
            </w:r>
          </w:p>
        </w:tc>
      </w:tr>
      <w:tr w:rsidR="00AE555F" w:rsidRPr="00441B28" w:rsidTr="00B15593">
        <w:tblPrEx>
          <w:tblCellMar>
            <w:top w:w="15" w:type="dxa"/>
            <w:left w:w="15" w:type="dxa"/>
            <w:bottom w:w="15" w:type="dxa"/>
            <w:right w:w="15" w:type="dxa"/>
          </w:tblCellMar>
          <w:tblLook w:val="04A0" w:firstRow="1" w:lastRow="0" w:firstColumn="1" w:lastColumn="0" w:noHBand="0" w:noVBand="1"/>
        </w:tblPrEx>
        <w:trPr>
          <w:trHeight w:val="57"/>
        </w:trPr>
        <w:tc>
          <w:tcPr>
            <w:tcW w:w="9072" w:type="dxa"/>
            <w:gridSpan w:val="7"/>
            <w:tcBorders>
              <w:top w:val="single" w:sz="4" w:space="0" w:color="auto"/>
              <w:left w:val="single" w:sz="4" w:space="0" w:color="auto"/>
              <w:right w:val="single" w:sz="4" w:space="0" w:color="auto"/>
            </w:tcBorders>
          </w:tcPr>
          <w:p w:rsidR="00AE555F" w:rsidRPr="00441B28" w:rsidRDefault="00AE555F" w:rsidP="00AC4B3D">
            <w:pPr>
              <w:rPr>
                <w:rFonts w:ascii="Arial Narrow" w:hAnsi="Arial Narrow" w:cs="Arial"/>
                <w:b/>
                <w:sz w:val="20"/>
                <w:szCs w:val="20"/>
              </w:rPr>
            </w:pPr>
            <w:r w:rsidRPr="00441B28">
              <w:rPr>
                <w:rFonts w:ascii="Arial Narrow" w:hAnsi="Arial Narrow"/>
                <w:b/>
                <w:sz w:val="20"/>
                <w:szCs w:val="20"/>
              </w:rPr>
              <w:t xml:space="preserve">Restriction Summary [new] / Treatment of Concept [new] </w:t>
            </w:r>
          </w:p>
        </w:tc>
      </w:tr>
      <w:tr w:rsidR="00AE555F" w:rsidRPr="00441B28" w:rsidTr="00B15593">
        <w:tblPrEx>
          <w:tblCellMar>
            <w:top w:w="15" w:type="dxa"/>
            <w:left w:w="15" w:type="dxa"/>
            <w:bottom w:w="15" w:type="dxa"/>
            <w:right w:w="15" w:type="dxa"/>
          </w:tblCellMar>
          <w:tblLook w:val="04A0" w:firstRow="1" w:lastRow="0" w:firstColumn="1" w:lastColumn="0" w:noHBand="0" w:noVBand="1"/>
        </w:tblPrEx>
        <w:trPr>
          <w:trHeight w:val="57"/>
        </w:trPr>
        <w:tc>
          <w:tcPr>
            <w:tcW w:w="981" w:type="dxa"/>
            <w:vMerge w:val="restart"/>
            <w:tcBorders>
              <w:top w:val="single" w:sz="4" w:space="0" w:color="auto"/>
              <w:left w:val="single" w:sz="4" w:space="0" w:color="auto"/>
              <w:right w:val="single" w:sz="4" w:space="0" w:color="auto"/>
            </w:tcBorders>
          </w:tcPr>
          <w:p w:rsidR="00AE555F" w:rsidRPr="00441B28" w:rsidRDefault="00AE555F" w:rsidP="00AC4B3D">
            <w:pPr>
              <w:jc w:val="center"/>
              <w:rPr>
                <w:rFonts w:ascii="Arial Narrow" w:hAnsi="Arial Narrow" w:cs="Arial"/>
                <w:sz w:val="20"/>
                <w:szCs w:val="20"/>
              </w:rPr>
            </w:pPr>
          </w:p>
        </w:tc>
        <w:tc>
          <w:tcPr>
            <w:tcW w:w="8091" w:type="dxa"/>
            <w:gridSpan w:val="6"/>
            <w:tcBorders>
              <w:top w:val="single" w:sz="4" w:space="0" w:color="auto"/>
              <w:left w:val="single" w:sz="4" w:space="0" w:color="auto"/>
              <w:bottom w:val="single" w:sz="4" w:space="0" w:color="auto"/>
              <w:right w:val="single" w:sz="4" w:space="0" w:color="auto"/>
            </w:tcBorders>
          </w:tcPr>
          <w:p w:rsidR="00AE555F" w:rsidRPr="00441B28" w:rsidRDefault="00AE555F" w:rsidP="00AC4B3D">
            <w:pPr>
              <w:rPr>
                <w:rFonts w:ascii="Arial Narrow" w:hAnsi="Arial Narrow" w:cs="Arial"/>
                <w:sz w:val="20"/>
                <w:szCs w:val="20"/>
              </w:rPr>
            </w:pPr>
            <w:r w:rsidRPr="00441B28">
              <w:rPr>
                <w:rFonts w:ascii="Arial Narrow" w:hAnsi="Arial Narrow" w:cs="Arial"/>
                <w:b/>
                <w:sz w:val="20"/>
                <w:szCs w:val="20"/>
              </w:rPr>
              <w:t xml:space="preserve">Category / Program: </w:t>
            </w:r>
            <w:r w:rsidRPr="00441B28">
              <w:rPr>
                <w:rFonts w:ascii="Arial Narrow" w:hAnsi="Arial Narrow" w:cs="Arial"/>
                <w:sz w:val="20"/>
                <w:szCs w:val="20"/>
              </w:rPr>
              <w:t>Section 100 – Highly Specialised Drugs Program</w:t>
            </w:r>
          </w:p>
        </w:tc>
      </w:tr>
      <w:tr w:rsidR="00AE555F" w:rsidRPr="00441B28" w:rsidTr="00B15593">
        <w:tblPrEx>
          <w:tblCellMar>
            <w:top w:w="15" w:type="dxa"/>
            <w:left w:w="15" w:type="dxa"/>
            <w:bottom w:w="15" w:type="dxa"/>
            <w:right w:w="15" w:type="dxa"/>
          </w:tblCellMar>
          <w:tblLook w:val="04A0" w:firstRow="1" w:lastRow="0" w:firstColumn="1" w:lastColumn="0" w:noHBand="0" w:noVBand="1"/>
        </w:tblPrEx>
        <w:trPr>
          <w:trHeight w:val="57"/>
        </w:trPr>
        <w:tc>
          <w:tcPr>
            <w:tcW w:w="981" w:type="dxa"/>
            <w:vMerge/>
            <w:tcBorders>
              <w:left w:val="single" w:sz="4" w:space="0" w:color="auto"/>
              <w:right w:val="single" w:sz="4" w:space="0" w:color="auto"/>
            </w:tcBorders>
          </w:tcPr>
          <w:p w:rsidR="00AE555F" w:rsidRPr="00441B28" w:rsidRDefault="00AE555F" w:rsidP="00AC4B3D">
            <w:pPr>
              <w:rPr>
                <w:rFonts w:ascii="Arial Narrow" w:hAnsi="Arial Narrow" w:cs="Arial"/>
                <w:sz w:val="20"/>
                <w:szCs w:val="20"/>
              </w:rPr>
            </w:pPr>
          </w:p>
        </w:tc>
        <w:tc>
          <w:tcPr>
            <w:tcW w:w="8091" w:type="dxa"/>
            <w:gridSpan w:val="6"/>
            <w:tcBorders>
              <w:top w:val="single" w:sz="4" w:space="0" w:color="auto"/>
              <w:left w:val="single" w:sz="4" w:space="0" w:color="auto"/>
              <w:bottom w:val="single" w:sz="4" w:space="0" w:color="auto"/>
              <w:right w:val="single" w:sz="4" w:space="0" w:color="auto"/>
            </w:tcBorders>
          </w:tcPr>
          <w:p w:rsidR="00AE555F" w:rsidRPr="00441B28" w:rsidRDefault="00AE555F" w:rsidP="00AC4B3D">
            <w:pPr>
              <w:rPr>
                <w:rFonts w:ascii="Arial Narrow" w:hAnsi="Arial Narrow" w:cs="Arial"/>
                <w:b/>
                <w:sz w:val="20"/>
                <w:szCs w:val="20"/>
              </w:rPr>
            </w:pPr>
            <w:r w:rsidRPr="00441B28">
              <w:rPr>
                <w:rFonts w:ascii="Arial Narrow" w:hAnsi="Arial Narrow" w:cs="Arial"/>
                <w:b/>
                <w:sz w:val="20"/>
                <w:szCs w:val="20"/>
              </w:rPr>
              <w:t>Prescriber type:</w:t>
            </w:r>
            <w:r w:rsidRPr="00441B28">
              <w:rPr>
                <w:rFonts w:ascii="Arial Narrow" w:hAnsi="Arial Narrow" w:cs="Arial"/>
                <w:sz w:val="20"/>
                <w:szCs w:val="20"/>
              </w:rPr>
              <w:t xml:space="preserve"> </w:t>
            </w:r>
            <w:r w:rsidRPr="00441B28">
              <w:rPr>
                <w:rFonts w:ascii="Arial Narrow" w:hAnsi="Arial Narrow" w:cs="Arial"/>
                <w:sz w:val="20"/>
                <w:szCs w:val="20"/>
              </w:rPr>
              <w:fldChar w:fldCharType="begin">
                <w:ffData>
                  <w:name w:val=""/>
                  <w:enabled/>
                  <w:calcOnExit w:val="0"/>
                  <w:checkBox>
                    <w:sizeAuto/>
                    <w:default w:val="1"/>
                  </w:checkBox>
                </w:ffData>
              </w:fldChar>
            </w:r>
            <w:r w:rsidRPr="00441B28">
              <w:rPr>
                <w:rFonts w:ascii="Arial Narrow" w:hAnsi="Arial Narrow" w:cs="Arial"/>
                <w:sz w:val="20"/>
                <w:szCs w:val="20"/>
              </w:rPr>
              <w:instrText xml:space="preserve"> FORMCHECKBOX </w:instrText>
            </w:r>
            <w:r w:rsidR="00F57123">
              <w:rPr>
                <w:rFonts w:ascii="Arial Narrow" w:hAnsi="Arial Narrow" w:cs="Arial"/>
                <w:sz w:val="20"/>
                <w:szCs w:val="20"/>
              </w:rPr>
            </w:r>
            <w:r w:rsidR="00F57123">
              <w:rPr>
                <w:rFonts w:ascii="Arial Narrow" w:hAnsi="Arial Narrow" w:cs="Arial"/>
                <w:sz w:val="20"/>
                <w:szCs w:val="20"/>
              </w:rPr>
              <w:fldChar w:fldCharType="separate"/>
            </w:r>
            <w:r w:rsidRPr="00441B28">
              <w:rPr>
                <w:rFonts w:ascii="Arial Narrow" w:hAnsi="Arial Narrow" w:cs="Arial"/>
                <w:sz w:val="20"/>
                <w:szCs w:val="20"/>
              </w:rPr>
              <w:fldChar w:fldCharType="end"/>
            </w:r>
            <w:r w:rsidRPr="00441B28">
              <w:rPr>
                <w:rFonts w:ascii="Arial Narrow" w:hAnsi="Arial Narrow" w:cs="Arial"/>
                <w:sz w:val="20"/>
                <w:szCs w:val="20"/>
              </w:rPr>
              <w:t>Medical Practitioners</w:t>
            </w:r>
          </w:p>
        </w:tc>
      </w:tr>
      <w:tr w:rsidR="00AE555F" w:rsidRPr="00441B28" w:rsidTr="00B15593">
        <w:tblPrEx>
          <w:tblCellMar>
            <w:top w:w="15" w:type="dxa"/>
            <w:left w:w="15" w:type="dxa"/>
            <w:bottom w:w="15" w:type="dxa"/>
            <w:right w:w="15" w:type="dxa"/>
          </w:tblCellMar>
          <w:tblLook w:val="04A0" w:firstRow="1" w:lastRow="0" w:firstColumn="1" w:lastColumn="0" w:noHBand="0" w:noVBand="1"/>
        </w:tblPrEx>
        <w:trPr>
          <w:trHeight w:val="57"/>
        </w:trPr>
        <w:tc>
          <w:tcPr>
            <w:tcW w:w="981" w:type="dxa"/>
            <w:vMerge/>
            <w:tcBorders>
              <w:left w:val="single" w:sz="4" w:space="0" w:color="auto"/>
              <w:bottom w:val="single" w:sz="4" w:space="0" w:color="auto"/>
              <w:right w:val="single" w:sz="4" w:space="0" w:color="auto"/>
            </w:tcBorders>
          </w:tcPr>
          <w:p w:rsidR="00AE555F" w:rsidRPr="00441B28" w:rsidRDefault="00AE555F" w:rsidP="00AC4B3D">
            <w:pPr>
              <w:rPr>
                <w:rFonts w:ascii="Arial Narrow" w:hAnsi="Arial Narrow" w:cs="Arial"/>
                <w:sz w:val="20"/>
                <w:szCs w:val="20"/>
              </w:rPr>
            </w:pPr>
          </w:p>
        </w:tc>
        <w:tc>
          <w:tcPr>
            <w:tcW w:w="8091" w:type="dxa"/>
            <w:gridSpan w:val="6"/>
            <w:tcBorders>
              <w:top w:val="single" w:sz="4" w:space="0" w:color="auto"/>
              <w:left w:val="single" w:sz="4" w:space="0" w:color="auto"/>
              <w:bottom w:val="single" w:sz="4" w:space="0" w:color="auto"/>
              <w:right w:val="single" w:sz="4" w:space="0" w:color="auto"/>
            </w:tcBorders>
          </w:tcPr>
          <w:p w:rsidR="00AE555F" w:rsidRPr="00441B28" w:rsidRDefault="00AE555F" w:rsidP="00AC4B3D">
            <w:pPr>
              <w:rPr>
                <w:rFonts w:ascii="Arial Narrow" w:hAnsi="Arial Narrow" w:cs="Arial"/>
                <w:b/>
                <w:sz w:val="20"/>
                <w:szCs w:val="20"/>
              </w:rPr>
            </w:pPr>
            <w:r w:rsidRPr="00441B28">
              <w:rPr>
                <w:rFonts w:ascii="Arial Narrow" w:hAnsi="Arial Narrow" w:cs="Arial"/>
                <w:b/>
                <w:sz w:val="20"/>
                <w:szCs w:val="20"/>
              </w:rPr>
              <w:t xml:space="preserve">Restriction type: </w:t>
            </w:r>
            <w:r w:rsidRPr="00441B28">
              <w:rPr>
                <w:rFonts w:ascii="Arial Narrow" w:eastAsia="Calibri" w:hAnsi="Arial Narrow" w:cs="Arial"/>
                <w:sz w:val="20"/>
                <w:szCs w:val="20"/>
              </w:rPr>
              <w:fldChar w:fldCharType="begin">
                <w:ffData>
                  <w:name w:val="Check3"/>
                  <w:enabled/>
                  <w:calcOnExit w:val="0"/>
                  <w:checkBox>
                    <w:sizeAuto/>
                    <w:default w:val="1"/>
                  </w:checkBox>
                </w:ffData>
              </w:fldChar>
            </w:r>
            <w:r w:rsidRPr="00441B28">
              <w:rPr>
                <w:rFonts w:ascii="Arial Narrow" w:eastAsia="Calibri" w:hAnsi="Arial Narrow" w:cs="Arial"/>
                <w:sz w:val="20"/>
                <w:szCs w:val="20"/>
              </w:rPr>
              <w:instrText xml:space="preserve"> FORMCHECKBOX </w:instrText>
            </w:r>
            <w:r w:rsidR="00F57123">
              <w:rPr>
                <w:rFonts w:ascii="Arial Narrow" w:eastAsia="Calibri" w:hAnsi="Arial Narrow" w:cs="Arial"/>
                <w:sz w:val="20"/>
                <w:szCs w:val="20"/>
              </w:rPr>
            </w:r>
            <w:r w:rsidR="00F57123">
              <w:rPr>
                <w:rFonts w:ascii="Arial Narrow" w:eastAsia="Calibri" w:hAnsi="Arial Narrow" w:cs="Arial"/>
                <w:sz w:val="20"/>
                <w:szCs w:val="20"/>
              </w:rPr>
              <w:fldChar w:fldCharType="separate"/>
            </w:r>
            <w:r w:rsidRPr="00441B28">
              <w:rPr>
                <w:rFonts w:ascii="Arial Narrow" w:eastAsia="Calibri" w:hAnsi="Arial Narrow" w:cs="Arial"/>
                <w:sz w:val="20"/>
                <w:szCs w:val="20"/>
              </w:rPr>
              <w:fldChar w:fldCharType="end"/>
            </w:r>
            <w:r w:rsidRPr="00441B28">
              <w:rPr>
                <w:rFonts w:ascii="Arial Narrow" w:eastAsia="Calibri" w:hAnsi="Arial Narrow" w:cs="Arial"/>
                <w:sz w:val="20"/>
                <w:szCs w:val="20"/>
              </w:rPr>
              <w:t xml:space="preserve">Authority Required – </w:t>
            </w:r>
            <w:r w:rsidR="00F872C3" w:rsidRPr="00441B28">
              <w:rPr>
                <w:rFonts w:ascii="Arial Narrow" w:eastAsia="Calibri" w:hAnsi="Arial Narrow" w:cs="Arial"/>
                <w:sz w:val="20"/>
                <w:szCs w:val="20"/>
              </w:rPr>
              <w:t>Telephone/Online PBS Authorities immediate assessment</w:t>
            </w:r>
          </w:p>
        </w:tc>
      </w:tr>
      <w:tr w:rsidR="00AE555F" w:rsidRPr="00441B28" w:rsidTr="00B911EB">
        <w:tblPrEx>
          <w:tblCellMar>
            <w:top w:w="15" w:type="dxa"/>
            <w:left w:w="15" w:type="dxa"/>
            <w:bottom w:w="15" w:type="dxa"/>
            <w:right w:w="15" w:type="dxa"/>
          </w:tblCellMar>
        </w:tblPrEx>
        <w:trPr>
          <w:trHeight w:val="57"/>
        </w:trPr>
        <w:tc>
          <w:tcPr>
            <w:tcW w:w="981" w:type="dxa"/>
            <w:vAlign w:val="center"/>
          </w:tcPr>
          <w:p w:rsidR="00AE555F" w:rsidRPr="00441B28" w:rsidRDefault="00AE555F" w:rsidP="00AC4B3D">
            <w:pPr>
              <w:jc w:val="center"/>
              <w:rPr>
                <w:rFonts w:ascii="Arial Narrow" w:hAnsi="Arial Narrow"/>
                <w:color w:val="333333"/>
                <w:sz w:val="20"/>
                <w:szCs w:val="20"/>
              </w:rPr>
            </w:pPr>
          </w:p>
        </w:tc>
        <w:tc>
          <w:tcPr>
            <w:tcW w:w="8091" w:type="dxa"/>
            <w:gridSpan w:val="6"/>
            <w:vAlign w:val="center"/>
            <w:hideMark/>
          </w:tcPr>
          <w:p w:rsidR="00AE555F" w:rsidRPr="00441B28" w:rsidRDefault="00AE555F" w:rsidP="00AC4B3D">
            <w:pPr>
              <w:rPr>
                <w:rFonts w:ascii="Arial Narrow" w:hAnsi="Arial Narrow"/>
                <w:color w:val="333333"/>
                <w:sz w:val="20"/>
                <w:szCs w:val="20"/>
              </w:rPr>
            </w:pPr>
            <w:r w:rsidRPr="00441B28">
              <w:rPr>
                <w:rFonts w:ascii="Arial Narrow" w:hAnsi="Arial Narrow"/>
                <w:b/>
                <w:bCs/>
                <w:color w:val="333333"/>
                <w:sz w:val="20"/>
                <w:szCs w:val="20"/>
              </w:rPr>
              <w:t>Indication:</w:t>
            </w:r>
            <w:r w:rsidRPr="00441B28">
              <w:rPr>
                <w:rFonts w:ascii="Arial Narrow" w:hAnsi="Arial Narrow"/>
                <w:color w:val="333333"/>
                <w:sz w:val="20"/>
                <w:szCs w:val="20"/>
              </w:rPr>
              <w:t xml:space="preserve"> Acute myeloid leukaemia (AML)</w:t>
            </w:r>
          </w:p>
        </w:tc>
      </w:tr>
      <w:tr w:rsidR="00AE555F" w:rsidRPr="00441B28" w:rsidTr="00B15593">
        <w:tblPrEx>
          <w:tblCellMar>
            <w:top w:w="15" w:type="dxa"/>
            <w:left w:w="15" w:type="dxa"/>
            <w:bottom w:w="15" w:type="dxa"/>
            <w:right w:w="15" w:type="dxa"/>
          </w:tblCellMar>
          <w:tblLook w:val="04A0" w:firstRow="1" w:lastRow="0" w:firstColumn="1" w:lastColumn="0" w:noHBand="0" w:noVBand="1"/>
        </w:tblPrEx>
        <w:trPr>
          <w:trHeight w:val="57"/>
        </w:trPr>
        <w:tc>
          <w:tcPr>
            <w:tcW w:w="981" w:type="dxa"/>
            <w:vAlign w:val="center"/>
          </w:tcPr>
          <w:p w:rsidR="00AE555F" w:rsidRPr="00441B28" w:rsidRDefault="00AE555F" w:rsidP="00AC4B3D">
            <w:pPr>
              <w:jc w:val="center"/>
              <w:rPr>
                <w:rFonts w:ascii="Arial Narrow" w:hAnsi="Arial Narrow"/>
                <w:color w:val="333333"/>
                <w:sz w:val="20"/>
                <w:szCs w:val="20"/>
                <w:highlight w:val="cyan"/>
              </w:rPr>
            </w:pPr>
          </w:p>
        </w:tc>
        <w:tc>
          <w:tcPr>
            <w:tcW w:w="8091" w:type="dxa"/>
            <w:gridSpan w:val="6"/>
            <w:vAlign w:val="center"/>
            <w:hideMark/>
          </w:tcPr>
          <w:p w:rsidR="00AE555F" w:rsidRPr="00441B28" w:rsidRDefault="00AE555F" w:rsidP="00AC4B3D">
            <w:pPr>
              <w:rPr>
                <w:rFonts w:ascii="Arial Narrow" w:hAnsi="Arial Narrow"/>
                <w:color w:val="333333"/>
                <w:sz w:val="20"/>
                <w:szCs w:val="20"/>
              </w:rPr>
            </w:pPr>
            <w:r w:rsidRPr="00441B28">
              <w:rPr>
                <w:rFonts w:ascii="Arial Narrow" w:hAnsi="Arial Narrow"/>
                <w:b/>
                <w:bCs/>
                <w:color w:val="333333"/>
                <w:sz w:val="20"/>
                <w:szCs w:val="20"/>
              </w:rPr>
              <w:t>Clinical criteria:</w:t>
            </w:r>
          </w:p>
        </w:tc>
      </w:tr>
      <w:tr w:rsidR="00AE555F" w:rsidRPr="00441B28" w:rsidTr="00B15593">
        <w:tblPrEx>
          <w:tblCellMar>
            <w:top w:w="15" w:type="dxa"/>
            <w:left w:w="15" w:type="dxa"/>
            <w:bottom w:w="15" w:type="dxa"/>
            <w:right w:w="15" w:type="dxa"/>
          </w:tblCellMar>
          <w:tblLook w:val="04A0" w:firstRow="1" w:lastRow="0" w:firstColumn="1" w:lastColumn="0" w:noHBand="0" w:noVBand="1"/>
        </w:tblPrEx>
        <w:trPr>
          <w:trHeight w:val="57"/>
        </w:trPr>
        <w:tc>
          <w:tcPr>
            <w:tcW w:w="981" w:type="dxa"/>
            <w:vAlign w:val="center"/>
          </w:tcPr>
          <w:p w:rsidR="00AE555F" w:rsidRPr="00441B28" w:rsidRDefault="00AE555F" w:rsidP="00AC4B3D">
            <w:pPr>
              <w:jc w:val="center"/>
              <w:rPr>
                <w:rFonts w:ascii="Arial Narrow" w:hAnsi="Arial Narrow"/>
                <w:color w:val="333333"/>
                <w:sz w:val="20"/>
                <w:szCs w:val="20"/>
                <w:highlight w:val="cyan"/>
              </w:rPr>
            </w:pPr>
          </w:p>
        </w:tc>
        <w:tc>
          <w:tcPr>
            <w:tcW w:w="8091" w:type="dxa"/>
            <w:gridSpan w:val="6"/>
            <w:vAlign w:val="center"/>
            <w:hideMark/>
          </w:tcPr>
          <w:p w:rsidR="00AE555F" w:rsidRPr="00441B28" w:rsidRDefault="00AE555F" w:rsidP="00AC4B3D">
            <w:pPr>
              <w:rPr>
                <w:rFonts w:ascii="Arial Narrow" w:hAnsi="Arial Narrow"/>
                <w:color w:val="333333"/>
                <w:sz w:val="20"/>
                <w:szCs w:val="20"/>
              </w:rPr>
            </w:pPr>
            <w:r w:rsidRPr="00441B28">
              <w:rPr>
                <w:rFonts w:ascii="Arial Narrow" w:hAnsi="Arial Narrow"/>
                <w:bCs/>
                <w:sz w:val="20"/>
                <w:szCs w:val="20"/>
                <w:lang w:eastAsia="en-US"/>
              </w:rPr>
              <w:t>The treatment must be used in combination with venetoclax (refer to Product Information for timing of azacitidine and venetoclax doses)</w:t>
            </w:r>
          </w:p>
        </w:tc>
      </w:tr>
      <w:tr w:rsidR="00AE555F" w:rsidRPr="00441B28" w:rsidTr="00B911EB">
        <w:tblPrEx>
          <w:tblCellMar>
            <w:top w:w="15" w:type="dxa"/>
            <w:left w:w="15" w:type="dxa"/>
            <w:bottom w:w="15" w:type="dxa"/>
            <w:right w:w="15" w:type="dxa"/>
          </w:tblCellMar>
        </w:tblPrEx>
        <w:trPr>
          <w:trHeight w:val="57"/>
        </w:trPr>
        <w:tc>
          <w:tcPr>
            <w:tcW w:w="981" w:type="dxa"/>
          </w:tcPr>
          <w:p w:rsidR="00AE555F" w:rsidRPr="00441B28" w:rsidRDefault="00AE555F" w:rsidP="00AC4B3D">
            <w:pPr>
              <w:jc w:val="center"/>
              <w:rPr>
                <w:rFonts w:ascii="Arial Narrow" w:hAnsi="Arial Narrow"/>
                <w:color w:val="333333"/>
                <w:sz w:val="20"/>
                <w:szCs w:val="20"/>
              </w:rPr>
            </w:pPr>
          </w:p>
        </w:tc>
        <w:tc>
          <w:tcPr>
            <w:tcW w:w="8091" w:type="dxa"/>
            <w:gridSpan w:val="6"/>
            <w:hideMark/>
          </w:tcPr>
          <w:p w:rsidR="00AE555F" w:rsidRPr="00441B28" w:rsidRDefault="00AE555F" w:rsidP="00AC4B3D">
            <w:pPr>
              <w:rPr>
                <w:rFonts w:ascii="Arial Narrow" w:hAnsi="Arial Narrow"/>
                <w:color w:val="333333"/>
                <w:sz w:val="20"/>
                <w:szCs w:val="20"/>
              </w:rPr>
            </w:pPr>
            <w:r w:rsidRPr="00441B28">
              <w:rPr>
                <w:rFonts w:ascii="Arial Narrow" w:hAnsi="Arial Narrow"/>
                <w:b/>
                <w:bCs/>
                <w:sz w:val="20"/>
                <w:szCs w:val="20"/>
              </w:rPr>
              <w:t xml:space="preserve">Administrative advice: </w:t>
            </w:r>
            <w:r w:rsidRPr="00441B28">
              <w:rPr>
                <w:rFonts w:ascii="Arial Narrow" w:hAnsi="Arial Narrow"/>
                <w:bCs/>
                <w:sz w:val="20"/>
                <w:szCs w:val="20"/>
              </w:rPr>
              <w:t>No increase in the maximum quantity or number of units may be authorised.</w:t>
            </w:r>
          </w:p>
        </w:tc>
      </w:tr>
      <w:tr w:rsidR="00AE555F" w:rsidRPr="00441B28" w:rsidTr="00B911EB">
        <w:tblPrEx>
          <w:tblCellMar>
            <w:top w:w="15" w:type="dxa"/>
            <w:left w:w="15" w:type="dxa"/>
            <w:bottom w:w="15" w:type="dxa"/>
            <w:right w:w="15" w:type="dxa"/>
          </w:tblCellMar>
        </w:tblPrEx>
        <w:trPr>
          <w:trHeight w:val="57"/>
        </w:trPr>
        <w:tc>
          <w:tcPr>
            <w:tcW w:w="981" w:type="dxa"/>
          </w:tcPr>
          <w:p w:rsidR="00AE555F" w:rsidRPr="00441B28" w:rsidRDefault="00AE555F" w:rsidP="00AC4B3D">
            <w:pPr>
              <w:jc w:val="center"/>
              <w:rPr>
                <w:rFonts w:ascii="Arial Narrow" w:hAnsi="Arial Narrow"/>
                <w:color w:val="333333"/>
                <w:sz w:val="20"/>
                <w:szCs w:val="20"/>
              </w:rPr>
            </w:pPr>
          </w:p>
        </w:tc>
        <w:tc>
          <w:tcPr>
            <w:tcW w:w="8091" w:type="dxa"/>
            <w:gridSpan w:val="6"/>
            <w:hideMark/>
          </w:tcPr>
          <w:p w:rsidR="00AE555F" w:rsidRPr="00441B28" w:rsidRDefault="00AE555F" w:rsidP="00AC4B3D">
            <w:pPr>
              <w:rPr>
                <w:rFonts w:ascii="Arial Narrow" w:hAnsi="Arial Narrow"/>
                <w:color w:val="333333"/>
                <w:sz w:val="20"/>
                <w:szCs w:val="20"/>
              </w:rPr>
            </w:pPr>
            <w:r w:rsidRPr="00441B28">
              <w:rPr>
                <w:rFonts w:ascii="Arial Narrow" w:hAnsi="Arial Narrow"/>
                <w:b/>
                <w:bCs/>
                <w:sz w:val="20"/>
                <w:szCs w:val="20"/>
              </w:rPr>
              <w:t xml:space="preserve">Administrative advice: </w:t>
            </w:r>
            <w:r w:rsidRPr="00441B28">
              <w:rPr>
                <w:rFonts w:ascii="Arial Narrow" w:hAnsi="Arial Narrow"/>
                <w:bCs/>
                <w:sz w:val="20"/>
                <w:szCs w:val="20"/>
              </w:rPr>
              <w:t>No increase in the maximum number of repeats may be authorised.</w:t>
            </w:r>
          </w:p>
        </w:tc>
      </w:tr>
      <w:tr w:rsidR="00AE555F" w:rsidRPr="00441B28" w:rsidTr="00B15593">
        <w:tblPrEx>
          <w:tblCellMar>
            <w:top w:w="15" w:type="dxa"/>
            <w:left w:w="15" w:type="dxa"/>
            <w:bottom w:w="15" w:type="dxa"/>
            <w:right w:w="15" w:type="dxa"/>
          </w:tblCellMar>
          <w:tblLook w:val="04A0" w:firstRow="1" w:lastRow="0" w:firstColumn="1" w:lastColumn="0" w:noHBand="0" w:noVBand="1"/>
        </w:tblPrEx>
        <w:trPr>
          <w:trHeight w:val="57"/>
        </w:trPr>
        <w:tc>
          <w:tcPr>
            <w:tcW w:w="981" w:type="dxa"/>
            <w:vAlign w:val="center"/>
          </w:tcPr>
          <w:p w:rsidR="00F872C3" w:rsidRPr="00441B28" w:rsidRDefault="00F872C3" w:rsidP="00AC4B3D">
            <w:pPr>
              <w:jc w:val="center"/>
              <w:rPr>
                <w:rFonts w:ascii="Arial Narrow" w:hAnsi="Arial Narrow"/>
                <w:color w:val="333333"/>
                <w:sz w:val="20"/>
                <w:szCs w:val="20"/>
              </w:rPr>
            </w:pPr>
          </w:p>
        </w:tc>
        <w:tc>
          <w:tcPr>
            <w:tcW w:w="8091" w:type="dxa"/>
            <w:gridSpan w:val="6"/>
            <w:vAlign w:val="center"/>
          </w:tcPr>
          <w:p w:rsidR="00AE555F" w:rsidRPr="00441B28" w:rsidRDefault="00AE555F" w:rsidP="00AC4B3D">
            <w:pPr>
              <w:rPr>
                <w:rFonts w:ascii="Arial Narrow" w:hAnsi="Arial Narrow"/>
                <w:bCs/>
                <w:color w:val="333333"/>
                <w:sz w:val="20"/>
                <w:szCs w:val="20"/>
              </w:rPr>
            </w:pPr>
            <w:r w:rsidRPr="00441B28">
              <w:rPr>
                <w:rFonts w:ascii="Arial Narrow" w:hAnsi="Arial Narrow"/>
                <w:b/>
                <w:bCs/>
                <w:color w:val="333333"/>
                <w:sz w:val="20"/>
                <w:szCs w:val="20"/>
              </w:rPr>
              <w:t xml:space="preserve">Administrative advice: </w:t>
            </w:r>
            <w:r w:rsidRPr="00441B28">
              <w:rPr>
                <w:rFonts w:ascii="Arial Narrow" w:hAnsi="Arial Narrow"/>
                <w:bCs/>
                <w:color w:val="333333"/>
                <w:sz w:val="20"/>
                <w:szCs w:val="20"/>
              </w:rPr>
              <w:t xml:space="preserve">Applications for authorisation under this restriction may be made in real time using the Online PBS Authorities system (see www.servicesaustralia.gov.au/HPOS) or by telephone by contacting Services Australia on 1800 </w:t>
            </w:r>
            <w:r w:rsidR="00F872C3" w:rsidRPr="00441B28">
              <w:rPr>
                <w:rFonts w:ascii="Arial Narrow" w:hAnsi="Arial Narrow"/>
                <w:bCs/>
                <w:color w:val="333333"/>
                <w:sz w:val="20"/>
                <w:szCs w:val="20"/>
              </w:rPr>
              <w:t>700 270</w:t>
            </w:r>
            <w:r w:rsidRPr="00441B28">
              <w:rPr>
                <w:rFonts w:ascii="Arial Narrow" w:hAnsi="Arial Narrow"/>
                <w:bCs/>
                <w:color w:val="333333"/>
                <w:sz w:val="20"/>
                <w:szCs w:val="20"/>
              </w:rPr>
              <w:t>.</w:t>
            </w:r>
          </w:p>
        </w:tc>
      </w:tr>
    </w:tbl>
    <w:p w:rsidR="00B15593" w:rsidRPr="000C675E" w:rsidRDefault="00B15593" w:rsidP="00736154">
      <w:pPr>
        <w:ind w:left="360"/>
        <w:contextualSpacing/>
        <w:jc w:val="left"/>
        <w:rPr>
          <w:rFonts w:cs="Calibri"/>
        </w:rPr>
      </w:pPr>
      <w:bookmarkStart w:id="32" w:name="_Hlk76377978"/>
    </w:p>
    <w:p w:rsidR="00736154" w:rsidRDefault="00B37DCB" w:rsidP="00DB3473">
      <w:pPr>
        <w:rPr>
          <w:rFonts w:asciiTheme="minorHAnsi" w:hAnsiTheme="minorHAnsi"/>
          <w:b/>
          <w:szCs w:val="22"/>
        </w:rPr>
      </w:pPr>
      <w:r w:rsidRPr="000C675E">
        <w:rPr>
          <w:rFonts w:asciiTheme="minorHAnsi" w:hAnsiTheme="minorHAnsi"/>
          <w:b/>
          <w:i/>
          <w:szCs w:val="22"/>
        </w:rPr>
        <w:t>This restriction may be subject to further review. Should there be any changes made to the restriction the sponsors will be informed</w:t>
      </w:r>
      <w:r w:rsidRPr="000C675E">
        <w:rPr>
          <w:rFonts w:asciiTheme="minorHAnsi" w:hAnsiTheme="minorHAnsi"/>
          <w:b/>
          <w:szCs w:val="22"/>
        </w:rPr>
        <w:t>.</w:t>
      </w:r>
      <w:bookmarkEnd w:id="32"/>
    </w:p>
    <w:p w:rsidR="001F5C4E" w:rsidRDefault="001F5C4E" w:rsidP="00DB3473">
      <w:pPr>
        <w:rPr>
          <w:rFonts w:eastAsiaTheme="majorEastAsia" w:cstheme="majorBidi"/>
          <w:color w:val="000000" w:themeColor="text1"/>
        </w:rPr>
      </w:pPr>
    </w:p>
    <w:p w:rsidR="001F5C4E" w:rsidRDefault="001F5C4E" w:rsidP="001F5C4E">
      <w:pPr>
        <w:pStyle w:val="2-SectionHeading"/>
        <w:rPr>
          <w:bCs/>
          <w:lang w:val="en-GB"/>
        </w:rPr>
      </w:pPr>
      <w:r w:rsidRPr="001F5C4E">
        <w:rPr>
          <w:bCs/>
        </w:rPr>
        <w:t>Context</w:t>
      </w:r>
      <w:r w:rsidRPr="00C07617">
        <w:t xml:space="preserve"> for Decision</w:t>
      </w:r>
    </w:p>
    <w:p w:rsidR="001F5C4E" w:rsidRPr="007129F2" w:rsidRDefault="001F5C4E" w:rsidP="001F5C4E">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1F5C4E" w:rsidRPr="00C07617" w:rsidRDefault="001F5C4E" w:rsidP="001F5C4E">
      <w:pPr>
        <w:pStyle w:val="2-SectionHeading"/>
        <w:rPr>
          <w:b w:val="0"/>
        </w:rPr>
      </w:pPr>
      <w:r w:rsidRPr="001F5C4E">
        <w:rPr>
          <w:bCs/>
        </w:rPr>
        <w:t>Sponsor’s</w:t>
      </w:r>
      <w:r>
        <w:t xml:space="preserve"> Comment</w:t>
      </w:r>
    </w:p>
    <w:p w:rsidR="001F5C4E" w:rsidRPr="001F5C4E" w:rsidRDefault="00431951" w:rsidP="00B911EB">
      <w:pPr>
        <w:spacing w:after="120"/>
        <w:ind w:left="720"/>
        <w:rPr>
          <w:rFonts w:asciiTheme="minorHAnsi" w:hAnsiTheme="minorHAnsi" w:cs="Arial"/>
          <w:bCs/>
        </w:rPr>
      </w:pPr>
      <w:r w:rsidRPr="00B911EB">
        <w:t>AbbVie welcomes the decision of the PBAC and is working with the Department of Health on the earliest possible PBS listing</w:t>
      </w:r>
      <w:r>
        <w:t>.</w:t>
      </w:r>
    </w:p>
    <w:sectPr w:rsidR="001F5C4E" w:rsidRPr="001F5C4E" w:rsidSect="00C27B58">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702" w:rsidRDefault="00777702">
      <w:r>
        <w:separator/>
      </w:r>
    </w:p>
    <w:p w:rsidR="00777702" w:rsidRDefault="00777702"/>
    <w:p w:rsidR="00777702" w:rsidRDefault="00777702"/>
  </w:endnote>
  <w:endnote w:type="continuationSeparator" w:id="0">
    <w:p w:rsidR="00777702" w:rsidRDefault="00777702">
      <w:r>
        <w:continuationSeparator/>
      </w:r>
    </w:p>
    <w:p w:rsidR="00777702" w:rsidRDefault="00777702"/>
    <w:p w:rsidR="00777702" w:rsidRDefault="00777702"/>
  </w:endnote>
  <w:endnote w:type="continuationNotice" w:id="1">
    <w:p w:rsidR="00777702" w:rsidRDefault="00777702"/>
    <w:p w:rsidR="00777702" w:rsidRDefault="00777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F51C6B" w:rsidTr="005A3173">
      <w:trPr>
        <w:trHeight w:val="151"/>
      </w:trPr>
      <w:tc>
        <w:tcPr>
          <w:tcW w:w="2250" w:type="pct"/>
          <w:tcBorders>
            <w:top w:val="nil"/>
            <w:left w:val="nil"/>
            <w:bottom w:val="single" w:sz="4" w:space="0" w:color="4F81BD"/>
            <w:right w:val="nil"/>
          </w:tcBorders>
        </w:tcPr>
        <w:p w:rsidR="00F51C6B" w:rsidRPr="005A3173" w:rsidRDefault="00F51C6B" w:rsidP="005A3173">
          <w:pPr>
            <w:spacing w:line="276" w:lineRule="auto"/>
            <w:rPr>
              <w:rFonts w:eastAsia="MS Gothic"/>
              <w:b/>
              <w:bCs/>
              <w:color w:val="4F81BD"/>
            </w:rPr>
          </w:pPr>
        </w:p>
      </w:tc>
      <w:tc>
        <w:tcPr>
          <w:tcW w:w="500" w:type="pct"/>
          <w:vMerge w:val="restart"/>
          <w:noWrap/>
          <w:vAlign w:val="center"/>
          <w:hideMark/>
        </w:tcPr>
        <w:p w:rsidR="00F51C6B" w:rsidRPr="005A3173" w:rsidRDefault="00F51C6B"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51C6B" w:rsidRPr="005A3173" w:rsidRDefault="00F51C6B" w:rsidP="005A3173">
          <w:pPr>
            <w:spacing w:line="276" w:lineRule="auto"/>
            <w:rPr>
              <w:rFonts w:eastAsia="MS Gothic"/>
              <w:b/>
              <w:bCs/>
              <w:color w:val="4F81BD"/>
            </w:rPr>
          </w:pPr>
        </w:p>
      </w:tc>
    </w:tr>
    <w:tr w:rsidR="00F51C6B" w:rsidTr="005A3173">
      <w:trPr>
        <w:trHeight w:val="150"/>
      </w:trPr>
      <w:tc>
        <w:tcPr>
          <w:tcW w:w="2250" w:type="pct"/>
          <w:tcBorders>
            <w:top w:val="single" w:sz="4" w:space="0" w:color="4F81BD"/>
            <w:left w:val="nil"/>
            <w:bottom w:val="nil"/>
            <w:right w:val="nil"/>
          </w:tcBorders>
        </w:tcPr>
        <w:p w:rsidR="00F51C6B" w:rsidRPr="005A3173" w:rsidRDefault="00F51C6B" w:rsidP="005A3173">
          <w:pPr>
            <w:spacing w:line="276" w:lineRule="auto"/>
            <w:rPr>
              <w:rFonts w:eastAsia="MS Gothic"/>
              <w:b/>
              <w:bCs/>
              <w:color w:val="4F81BD"/>
            </w:rPr>
          </w:pPr>
        </w:p>
      </w:tc>
      <w:tc>
        <w:tcPr>
          <w:tcW w:w="0" w:type="auto"/>
          <w:vMerge/>
          <w:vAlign w:val="center"/>
          <w:hideMark/>
        </w:tcPr>
        <w:p w:rsidR="00F51C6B" w:rsidRPr="005A3173" w:rsidRDefault="00F51C6B" w:rsidP="005A3173">
          <w:pPr>
            <w:rPr>
              <w:color w:val="365F91"/>
              <w:sz w:val="22"/>
              <w:szCs w:val="22"/>
            </w:rPr>
          </w:pPr>
        </w:p>
      </w:tc>
      <w:tc>
        <w:tcPr>
          <w:tcW w:w="2250" w:type="pct"/>
          <w:tcBorders>
            <w:top w:val="single" w:sz="4" w:space="0" w:color="4F81BD"/>
            <w:left w:val="nil"/>
            <w:bottom w:val="nil"/>
            <w:right w:val="nil"/>
          </w:tcBorders>
        </w:tcPr>
        <w:p w:rsidR="00F51C6B" w:rsidRPr="005A3173" w:rsidRDefault="00F51C6B" w:rsidP="005A3173">
          <w:pPr>
            <w:spacing w:line="276" w:lineRule="auto"/>
            <w:rPr>
              <w:rFonts w:eastAsia="MS Gothic"/>
              <w:b/>
              <w:bCs/>
              <w:color w:val="4F81BD"/>
            </w:rPr>
          </w:pPr>
        </w:p>
      </w:tc>
    </w:tr>
  </w:tbl>
  <w:p w:rsidR="00F51C6B" w:rsidRDefault="00F51C6B" w:rsidP="00653D69">
    <w:pPr>
      <w:framePr w:wrap="around" w:vAnchor="text" w:hAnchor="margin" w:xAlign="center" w:y="1"/>
    </w:pPr>
    <w:r>
      <w:fldChar w:fldCharType="begin"/>
    </w:r>
    <w:r>
      <w:instrText xml:space="preserve">PAGE  </w:instrText>
    </w:r>
    <w:r>
      <w:fldChar w:fldCharType="end"/>
    </w:r>
  </w:p>
  <w:p w:rsidR="00F51C6B" w:rsidRDefault="00F51C6B"/>
  <w:p w:rsidR="00F51C6B" w:rsidRDefault="00F51C6B"/>
  <w:p w:rsidR="00F51C6B" w:rsidRDefault="00F51C6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C6B" w:rsidRPr="00D13A3E" w:rsidRDefault="00F51C6B" w:rsidP="00CF066B">
    <w:pPr>
      <w:pStyle w:val="Footer"/>
    </w:pPr>
  </w:p>
  <w:bookmarkStart w:id="34" w:name="_Hlk76375156"/>
  <w:p w:rsidR="00F51C6B" w:rsidRPr="00D90480" w:rsidRDefault="00F51C6B" w:rsidP="00736154">
    <w:pPr>
      <w:pStyle w:val="Footer"/>
      <w:rPr>
        <w:b/>
      </w:rPr>
    </w:pPr>
    <w:r w:rsidRPr="00836F75">
      <w:rPr>
        <w:rFonts w:cs="Arial"/>
        <w:b/>
      </w:rPr>
      <w:fldChar w:fldCharType="begin"/>
    </w:r>
    <w:r w:rsidRPr="00836F75">
      <w:rPr>
        <w:rFonts w:cs="Arial"/>
        <w:b/>
      </w:rPr>
      <w:instrText xml:space="preserve"> PAGE   \* MERGEFORMAT </w:instrText>
    </w:r>
    <w:r w:rsidRPr="00836F75">
      <w:rPr>
        <w:rFonts w:cs="Arial"/>
        <w:b/>
      </w:rPr>
      <w:fldChar w:fldCharType="separate"/>
    </w:r>
    <w:r w:rsidR="00F57123">
      <w:rPr>
        <w:rFonts w:cs="Arial"/>
        <w:b/>
        <w:noProof/>
      </w:rPr>
      <w:t>1</w:t>
    </w:r>
    <w:r w:rsidRPr="00836F75">
      <w:rPr>
        <w:rFonts w:cs="Arial"/>
        <w:b/>
        <w:noProof/>
      </w:rPr>
      <w:fldChar w:fldCharType="end"/>
    </w:r>
    <w:bookmarkEnd w:id="34"/>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39"/>
      <w:gridCol w:w="1347"/>
      <w:gridCol w:w="3840"/>
    </w:tblGrid>
    <w:tr w:rsidR="00F51C6B" w:rsidTr="005A3173">
      <w:trPr>
        <w:trHeight w:val="151"/>
      </w:trPr>
      <w:tc>
        <w:tcPr>
          <w:tcW w:w="2250" w:type="pct"/>
          <w:tcBorders>
            <w:top w:val="nil"/>
            <w:left w:val="nil"/>
            <w:bottom w:val="single" w:sz="4" w:space="0" w:color="4F81BD"/>
            <w:right w:val="nil"/>
          </w:tcBorders>
        </w:tcPr>
        <w:p w:rsidR="00F51C6B" w:rsidRPr="005A3173" w:rsidRDefault="00F51C6B" w:rsidP="005A3173">
          <w:pPr>
            <w:spacing w:line="276" w:lineRule="auto"/>
            <w:rPr>
              <w:rFonts w:eastAsia="MS Gothic"/>
              <w:b/>
              <w:bCs/>
              <w:color w:val="4F81BD"/>
            </w:rPr>
          </w:pPr>
        </w:p>
      </w:tc>
      <w:tc>
        <w:tcPr>
          <w:tcW w:w="500" w:type="pct"/>
          <w:vMerge w:val="restart"/>
          <w:noWrap/>
          <w:vAlign w:val="center"/>
          <w:hideMark/>
        </w:tcPr>
        <w:p w:rsidR="00F51C6B" w:rsidRPr="005A3173" w:rsidRDefault="00F51C6B"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51C6B" w:rsidRPr="005A3173" w:rsidRDefault="00F51C6B" w:rsidP="005A3173">
          <w:pPr>
            <w:spacing w:line="276" w:lineRule="auto"/>
            <w:rPr>
              <w:rFonts w:eastAsia="MS Gothic"/>
              <w:b/>
              <w:bCs/>
              <w:color w:val="4F81BD"/>
            </w:rPr>
          </w:pPr>
        </w:p>
      </w:tc>
    </w:tr>
    <w:tr w:rsidR="00F51C6B" w:rsidTr="005A3173">
      <w:trPr>
        <w:trHeight w:val="150"/>
      </w:trPr>
      <w:tc>
        <w:tcPr>
          <w:tcW w:w="2250" w:type="pct"/>
          <w:tcBorders>
            <w:top w:val="single" w:sz="4" w:space="0" w:color="4F81BD"/>
            <w:left w:val="nil"/>
            <w:bottom w:val="nil"/>
            <w:right w:val="nil"/>
          </w:tcBorders>
        </w:tcPr>
        <w:p w:rsidR="00F51C6B" w:rsidRPr="005A3173" w:rsidRDefault="00F51C6B" w:rsidP="005A3173">
          <w:pPr>
            <w:spacing w:line="276" w:lineRule="auto"/>
            <w:rPr>
              <w:rFonts w:eastAsia="MS Gothic"/>
              <w:b/>
              <w:bCs/>
              <w:color w:val="4F81BD"/>
            </w:rPr>
          </w:pPr>
        </w:p>
      </w:tc>
      <w:tc>
        <w:tcPr>
          <w:tcW w:w="0" w:type="auto"/>
          <w:vMerge/>
          <w:vAlign w:val="center"/>
          <w:hideMark/>
        </w:tcPr>
        <w:p w:rsidR="00F51C6B" w:rsidRPr="005A3173" w:rsidRDefault="00F51C6B" w:rsidP="005A3173">
          <w:pPr>
            <w:rPr>
              <w:color w:val="365F91"/>
              <w:sz w:val="22"/>
              <w:szCs w:val="22"/>
            </w:rPr>
          </w:pPr>
        </w:p>
      </w:tc>
      <w:tc>
        <w:tcPr>
          <w:tcW w:w="2250" w:type="pct"/>
          <w:tcBorders>
            <w:top w:val="single" w:sz="4" w:space="0" w:color="4F81BD"/>
            <w:left w:val="nil"/>
            <w:bottom w:val="nil"/>
            <w:right w:val="nil"/>
          </w:tcBorders>
        </w:tcPr>
        <w:p w:rsidR="00F51C6B" w:rsidRPr="005A3173" w:rsidRDefault="00F51C6B"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F51C6B" w:rsidTr="005A3173">
      <w:trPr>
        <w:trHeight w:val="151"/>
      </w:trPr>
      <w:tc>
        <w:tcPr>
          <w:tcW w:w="2250" w:type="pct"/>
          <w:tcBorders>
            <w:top w:val="nil"/>
            <w:left w:val="nil"/>
            <w:bottom w:val="single" w:sz="4" w:space="0" w:color="4F81BD"/>
            <w:right w:val="nil"/>
          </w:tcBorders>
        </w:tcPr>
        <w:p w:rsidR="00F51C6B" w:rsidRPr="005A3173" w:rsidRDefault="00F51C6B" w:rsidP="005A3173">
          <w:pPr>
            <w:spacing w:line="276" w:lineRule="auto"/>
            <w:rPr>
              <w:rFonts w:eastAsia="MS Gothic"/>
              <w:b/>
              <w:bCs/>
              <w:color w:val="4F81BD"/>
            </w:rPr>
          </w:pPr>
        </w:p>
      </w:tc>
      <w:tc>
        <w:tcPr>
          <w:tcW w:w="500" w:type="pct"/>
          <w:vMerge w:val="restart"/>
          <w:noWrap/>
          <w:vAlign w:val="center"/>
          <w:hideMark/>
        </w:tcPr>
        <w:p w:rsidR="00F51C6B" w:rsidRPr="005A3173" w:rsidRDefault="00F51C6B"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51C6B" w:rsidRPr="005A3173" w:rsidRDefault="00F51C6B" w:rsidP="005A3173">
          <w:pPr>
            <w:spacing w:line="276" w:lineRule="auto"/>
            <w:rPr>
              <w:rFonts w:eastAsia="MS Gothic"/>
              <w:b/>
              <w:bCs/>
              <w:color w:val="4F81BD"/>
            </w:rPr>
          </w:pPr>
        </w:p>
      </w:tc>
    </w:tr>
    <w:tr w:rsidR="00F51C6B" w:rsidTr="005A3173">
      <w:trPr>
        <w:trHeight w:val="150"/>
      </w:trPr>
      <w:tc>
        <w:tcPr>
          <w:tcW w:w="2250" w:type="pct"/>
          <w:tcBorders>
            <w:top w:val="single" w:sz="4" w:space="0" w:color="4F81BD"/>
            <w:left w:val="nil"/>
            <w:bottom w:val="nil"/>
            <w:right w:val="nil"/>
          </w:tcBorders>
        </w:tcPr>
        <w:p w:rsidR="00F51C6B" w:rsidRPr="005A3173" w:rsidRDefault="00F51C6B" w:rsidP="005A3173">
          <w:pPr>
            <w:spacing w:line="276" w:lineRule="auto"/>
            <w:rPr>
              <w:rFonts w:eastAsia="MS Gothic"/>
              <w:b/>
              <w:bCs/>
              <w:color w:val="4F81BD"/>
            </w:rPr>
          </w:pPr>
        </w:p>
      </w:tc>
      <w:tc>
        <w:tcPr>
          <w:tcW w:w="0" w:type="auto"/>
          <w:vMerge/>
          <w:vAlign w:val="center"/>
          <w:hideMark/>
        </w:tcPr>
        <w:p w:rsidR="00F51C6B" w:rsidRPr="005A3173" w:rsidRDefault="00F51C6B" w:rsidP="005A3173">
          <w:pPr>
            <w:rPr>
              <w:color w:val="365F91"/>
              <w:sz w:val="22"/>
              <w:szCs w:val="22"/>
            </w:rPr>
          </w:pPr>
        </w:p>
      </w:tc>
      <w:tc>
        <w:tcPr>
          <w:tcW w:w="2250" w:type="pct"/>
          <w:tcBorders>
            <w:top w:val="single" w:sz="4" w:space="0" w:color="4F81BD"/>
            <w:left w:val="nil"/>
            <w:bottom w:val="nil"/>
            <w:right w:val="nil"/>
          </w:tcBorders>
        </w:tcPr>
        <w:p w:rsidR="00F51C6B" w:rsidRPr="005A3173" w:rsidRDefault="00F51C6B" w:rsidP="005A3173">
          <w:pPr>
            <w:spacing w:line="276" w:lineRule="auto"/>
            <w:rPr>
              <w:rFonts w:eastAsia="MS Gothic"/>
              <w:b/>
              <w:bCs/>
              <w:color w:val="4F81BD"/>
            </w:rPr>
          </w:pPr>
        </w:p>
      </w:tc>
    </w:tr>
  </w:tbl>
  <w:p w:rsidR="00F51C6B" w:rsidRPr="007C0F57" w:rsidRDefault="00F51C6B"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rsidR="00F51C6B" w:rsidRPr="007C0F57" w:rsidRDefault="00F51C6B" w:rsidP="007C0F57">
    <w:pPr>
      <w:jc w:val="center"/>
      <w:rPr>
        <w:b/>
        <w:i/>
        <w:sz w:val="20"/>
        <w:szCs w:val="20"/>
      </w:rPr>
    </w:pPr>
    <w:r w:rsidRPr="007C0F57">
      <w:rPr>
        <w:b/>
        <w:i/>
        <w:sz w:val="20"/>
        <w:szCs w:val="20"/>
      </w:rPr>
      <w:t>Commercial-in-Confidence</w:t>
    </w:r>
  </w:p>
  <w:p w:rsidR="00F51C6B" w:rsidRDefault="00F51C6B"/>
  <w:p w:rsidR="00F51C6B" w:rsidRDefault="00F51C6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702" w:rsidRDefault="00777702">
      <w:r>
        <w:separator/>
      </w:r>
    </w:p>
    <w:p w:rsidR="00777702" w:rsidRDefault="00777702"/>
    <w:p w:rsidR="00777702" w:rsidRDefault="00777702"/>
  </w:footnote>
  <w:footnote w:type="continuationSeparator" w:id="0">
    <w:p w:rsidR="00777702" w:rsidRDefault="00777702">
      <w:r>
        <w:continuationSeparator/>
      </w:r>
    </w:p>
    <w:p w:rsidR="00777702" w:rsidRDefault="00777702"/>
    <w:p w:rsidR="00777702" w:rsidRDefault="00777702"/>
  </w:footnote>
  <w:footnote w:type="continuationNotice" w:id="1">
    <w:p w:rsidR="00777702" w:rsidRDefault="00777702"/>
    <w:p w:rsidR="00777702" w:rsidRDefault="00777702"/>
  </w:footnote>
  <w:footnote w:id="2">
    <w:p w:rsidR="00F51C6B" w:rsidRDefault="00F51C6B" w:rsidP="005B241A">
      <w:pPr>
        <w:pStyle w:val="FootnoteText"/>
        <w:jc w:val="left"/>
      </w:pPr>
      <w:r>
        <w:rPr>
          <w:rStyle w:val="FootnoteReference"/>
        </w:rPr>
        <w:footnoteRef/>
      </w:r>
      <w:r w:rsidRPr="005B241A">
        <w:rPr>
          <w:i/>
          <w:iCs/>
        </w:rPr>
        <w:t>Price Disclosure Reductions for 2021 October Cycle</w:t>
      </w:r>
      <w:r>
        <w:rPr>
          <w:i/>
          <w:iCs/>
        </w:rPr>
        <w:t xml:space="preserve"> </w:t>
      </w:r>
      <w:r>
        <w:t>(last updated 23 June 2021), available via:</w:t>
      </w:r>
      <w:r w:rsidRPr="005B241A">
        <w:rPr>
          <w:i/>
          <w:iCs/>
        </w:rPr>
        <w:t xml:space="preserve"> </w:t>
      </w:r>
      <w:r w:rsidRPr="005B241A">
        <w:t>https://www.pbs.gov.au/pbs/industry/pricing/price-disclosure-spd/price-disclosure-reductions-for-2021-october-cycle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F51C6B" w:rsidRPr="008E0D90" w:rsidTr="00A06225">
      <w:trPr>
        <w:trHeight w:val="151"/>
      </w:trPr>
      <w:tc>
        <w:tcPr>
          <w:tcW w:w="2389" w:type="pct"/>
          <w:tcBorders>
            <w:top w:val="nil"/>
            <w:left w:val="nil"/>
            <w:bottom w:val="single" w:sz="4" w:space="0" w:color="4F81BD"/>
            <w:right w:val="nil"/>
          </w:tcBorders>
        </w:tcPr>
        <w:p w:rsidR="00F51C6B" w:rsidRPr="00A06225" w:rsidRDefault="00F51C6B">
          <w:pPr>
            <w:spacing w:line="276" w:lineRule="auto"/>
            <w:rPr>
              <w:rFonts w:ascii="Cambria" w:eastAsia="MS Gothic" w:hAnsi="Cambria"/>
              <w:b/>
              <w:bCs/>
              <w:color w:val="4F81BD"/>
            </w:rPr>
          </w:pPr>
        </w:p>
      </w:tc>
      <w:tc>
        <w:tcPr>
          <w:tcW w:w="333" w:type="pct"/>
          <w:vMerge w:val="restart"/>
          <w:noWrap/>
          <w:vAlign w:val="center"/>
          <w:hideMark/>
        </w:tcPr>
        <w:p w:rsidR="00F51C6B" w:rsidRPr="00A06225" w:rsidRDefault="00F51C6B" w:rsidP="00A06225">
          <w:pPr>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51C6B" w:rsidRPr="00A06225" w:rsidRDefault="00F51C6B">
          <w:pPr>
            <w:spacing w:line="276" w:lineRule="auto"/>
            <w:rPr>
              <w:rFonts w:ascii="Cambria" w:eastAsia="MS Gothic" w:hAnsi="Cambria"/>
              <w:b/>
              <w:bCs/>
              <w:color w:val="4F81BD"/>
            </w:rPr>
          </w:pPr>
        </w:p>
      </w:tc>
    </w:tr>
    <w:tr w:rsidR="00F51C6B" w:rsidRPr="008E0D90" w:rsidTr="00A06225">
      <w:trPr>
        <w:trHeight w:val="150"/>
      </w:trPr>
      <w:tc>
        <w:tcPr>
          <w:tcW w:w="2389" w:type="pct"/>
          <w:tcBorders>
            <w:top w:val="single" w:sz="4" w:space="0" w:color="4F81BD"/>
            <w:left w:val="nil"/>
            <w:bottom w:val="nil"/>
            <w:right w:val="nil"/>
          </w:tcBorders>
        </w:tcPr>
        <w:p w:rsidR="00F51C6B" w:rsidRPr="00A06225" w:rsidRDefault="00F51C6B">
          <w:pPr>
            <w:spacing w:line="276" w:lineRule="auto"/>
            <w:rPr>
              <w:rFonts w:ascii="Cambria" w:eastAsia="MS Gothic" w:hAnsi="Cambria"/>
              <w:b/>
              <w:bCs/>
              <w:color w:val="4F81BD"/>
            </w:rPr>
          </w:pPr>
        </w:p>
      </w:tc>
      <w:tc>
        <w:tcPr>
          <w:tcW w:w="0" w:type="auto"/>
          <w:vMerge/>
          <w:vAlign w:val="center"/>
          <w:hideMark/>
        </w:tcPr>
        <w:p w:rsidR="00F51C6B" w:rsidRPr="00A06225" w:rsidRDefault="00F51C6B">
          <w:pPr>
            <w:rPr>
              <w:rFonts w:ascii="Cambria" w:hAnsi="Cambria"/>
              <w:color w:val="4F81BD"/>
              <w:sz w:val="22"/>
              <w:szCs w:val="22"/>
            </w:rPr>
          </w:pPr>
        </w:p>
      </w:tc>
      <w:tc>
        <w:tcPr>
          <w:tcW w:w="2278" w:type="pct"/>
          <w:tcBorders>
            <w:top w:val="single" w:sz="4" w:space="0" w:color="4F81BD"/>
            <w:left w:val="nil"/>
            <w:bottom w:val="nil"/>
            <w:right w:val="nil"/>
          </w:tcBorders>
        </w:tcPr>
        <w:p w:rsidR="00F51C6B" w:rsidRPr="00A06225" w:rsidRDefault="00F51C6B">
          <w:pPr>
            <w:spacing w:line="276" w:lineRule="auto"/>
            <w:rPr>
              <w:rFonts w:ascii="Cambria" w:eastAsia="MS Gothic" w:hAnsi="Cambria"/>
              <w:b/>
              <w:bCs/>
              <w:color w:val="4F81BD"/>
            </w:rPr>
          </w:pPr>
        </w:p>
      </w:tc>
    </w:tr>
  </w:tbl>
  <w:p w:rsidR="00F51C6B" w:rsidRDefault="00F51C6B"/>
  <w:p w:rsidR="00F51C6B" w:rsidRDefault="00F51C6B"/>
  <w:p w:rsidR="00F51C6B" w:rsidRDefault="00F51C6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C6B" w:rsidRPr="005851B6" w:rsidRDefault="00F51C6B" w:rsidP="00736154">
    <w:pPr>
      <w:pStyle w:val="Header"/>
      <w:keepNext/>
      <w:ind w:left="360"/>
      <w:jc w:val="center"/>
      <w:rPr>
        <w:rFonts w:cs="Arial"/>
        <w:i/>
        <w:color w:val="808080"/>
      </w:rPr>
    </w:pPr>
    <w:bookmarkStart w:id="33" w:name="_Hlk76375146"/>
    <w:r>
      <w:rPr>
        <w:rFonts w:cs="Arial"/>
        <w:i/>
        <w:color w:val="808080"/>
      </w:rPr>
      <w:t>Public Summary Document</w:t>
    </w:r>
    <w:r w:rsidRPr="005851B6">
      <w:rPr>
        <w:rFonts w:cs="Arial"/>
        <w:i/>
        <w:color w:val="808080"/>
      </w:rPr>
      <w:t xml:space="preserve"> – July 2021 PBAC Meeting</w:t>
    </w:r>
  </w:p>
  <w:bookmarkEnd w:id="33"/>
  <w:p w:rsidR="00F51C6B" w:rsidRDefault="00F51C6B" w:rsidP="001F5C4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DA1" w:rsidRDefault="00B24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976EA"/>
    <w:multiLevelType w:val="hybridMultilevel"/>
    <w:tmpl w:val="38CE9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2325E87"/>
    <w:multiLevelType w:val="hybridMultilevel"/>
    <w:tmpl w:val="6B343F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474F77C5"/>
    <w:multiLevelType w:val="multilevel"/>
    <w:tmpl w:val="0584F85E"/>
    <w:lvl w:ilvl="0">
      <w:start w:val="1"/>
      <w:numFmt w:val="decimal"/>
      <w:lvlText w:val="%1"/>
      <w:lvlJc w:val="left"/>
      <w:pPr>
        <w:ind w:left="720" w:hanging="720"/>
      </w:pPr>
      <w:rPr>
        <w:rFonts w:hint="default"/>
        <w:i w:val="0"/>
        <w:iCs/>
      </w:rPr>
    </w:lvl>
    <w:lvl w:ilvl="1">
      <w:start w:val="1"/>
      <w:numFmt w:val="decimal"/>
      <w:lvlText w:val="%1.%2"/>
      <w:lvlJc w:val="left"/>
      <w:pPr>
        <w:ind w:left="720" w:hanging="720"/>
      </w:pPr>
      <w:rPr>
        <w:rFonts w:hint="default"/>
        <w:b w:val="0"/>
        <w:bCs/>
        <w:i w:val="0"/>
        <w:color w:val="auto"/>
      </w:rPr>
    </w:lvl>
    <w:lvl w:ilvl="2">
      <w:start w:val="1"/>
      <w:numFmt w:val="bullet"/>
      <w:lvlText w:val=""/>
      <w:lvlJc w:val="left"/>
      <w:pPr>
        <w:ind w:left="2517" w:hanging="177"/>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52695D80"/>
    <w:multiLevelType w:val="hybridMultilevel"/>
    <w:tmpl w:val="6002C8CC"/>
    <w:lvl w:ilvl="0" w:tplc="B25C05AE">
      <w:start w:val="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AC5FFD"/>
    <w:multiLevelType w:val="multilevel"/>
    <w:tmpl w:val="2A56A6EA"/>
    <w:lvl w:ilvl="0">
      <w:start w:val="1"/>
      <w:numFmt w:val="decimal"/>
      <w:pStyle w:val="2-SectionHeading"/>
      <w:lvlText w:val="%1"/>
      <w:lvlJc w:val="left"/>
      <w:pPr>
        <w:ind w:left="720" w:hanging="720"/>
      </w:pPr>
      <w:rPr>
        <w:rFonts w:hint="default"/>
        <w:i w:val="0"/>
        <w:iCs/>
      </w:rPr>
    </w:lvl>
    <w:lvl w:ilvl="1">
      <w:start w:val="1"/>
      <w:numFmt w:val="decimal"/>
      <w:pStyle w:val="3-BodyText"/>
      <w:lvlText w:val="%1.%2"/>
      <w:lvlJc w:val="left"/>
      <w:pPr>
        <w:ind w:left="720" w:hanging="720"/>
      </w:pPr>
      <w:rPr>
        <w:rFonts w:asciiTheme="minorHAnsi" w:hAnsiTheme="minorHAnsi" w:cstheme="minorHAnsi" w:hint="default"/>
        <w:b w:val="0"/>
        <w:bCs/>
        <w:i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6D5D538F"/>
    <w:multiLevelType w:val="multilevel"/>
    <w:tmpl w:val="C7B05502"/>
    <w:lvl w:ilvl="0">
      <w:start w:val="1"/>
      <w:numFmt w:val="decimal"/>
      <w:lvlText w:val="%1)"/>
      <w:lvlJc w:val="left"/>
      <w:pPr>
        <w:ind w:left="360" w:hanging="360"/>
      </w:p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DEB195A"/>
    <w:multiLevelType w:val="hybridMultilevel"/>
    <w:tmpl w:val="E2989E10"/>
    <w:lvl w:ilvl="0" w:tplc="7B8C10BA">
      <w:start w:val="1"/>
      <w:numFmt w:val="bullet"/>
      <w:lvlText w:val=""/>
      <w:lvlJc w:val="left"/>
      <w:pPr>
        <w:ind w:left="1080" w:hanging="360"/>
      </w:pPr>
      <w:rPr>
        <w:rFonts w:ascii="Symbol" w:hAnsi="Symbo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84D033C"/>
    <w:multiLevelType w:val="multilevel"/>
    <w:tmpl w:val="CDCC816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8"/>
  </w:num>
  <w:num w:numId="4">
    <w:abstractNumId w:val="1"/>
  </w:num>
  <w:num w:numId="5">
    <w:abstractNumId w:val="4"/>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3"/>
  </w:num>
  <w:num w:numId="21">
    <w:abstractNumId w:val="9"/>
  </w:num>
  <w:num w:numId="22">
    <w:abstractNumId w:val="5"/>
  </w:num>
  <w:num w:numId="2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removePersonalInformation/>
  <w:removeDateAndTime/>
  <w:embedSystemFonts/>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80A"/>
    <w:rsid w:val="00001663"/>
    <w:rsid w:val="000025AD"/>
    <w:rsid w:val="00002EFD"/>
    <w:rsid w:val="0000335D"/>
    <w:rsid w:val="0000429F"/>
    <w:rsid w:val="00007FE8"/>
    <w:rsid w:val="00011521"/>
    <w:rsid w:val="00011A59"/>
    <w:rsid w:val="000127E2"/>
    <w:rsid w:val="00013A45"/>
    <w:rsid w:val="00016A41"/>
    <w:rsid w:val="000214D1"/>
    <w:rsid w:val="0002464A"/>
    <w:rsid w:val="00025724"/>
    <w:rsid w:val="00025A04"/>
    <w:rsid w:val="0003050E"/>
    <w:rsid w:val="00030CA7"/>
    <w:rsid w:val="00031037"/>
    <w:rsid w:val="0003106B"/>
    <w:rsid w:val="00033C1D"/>
    <w:rsid w:val="00034905"/>
    <w:rsid w:val="00035018"/>
    <w:rsid w:val="00035C97"/>
    <w:rsid w:val="000360A9"/>
    <w:rsid w:val="00037A57"/>
    <w:rsid w:val="000421A1"/>
    <w:rsid w:val="0004240E"/>
    <w:rsid w:val="00043297"/>
    <w:rsid w:val="00044EC4"/>
    <w:rsid w:val="00045E26"/>
    <w:rsid w:val="0004639D"/>
    <w:rsid w:val="0005077C"/>
    <w:rsid w:val="000514B5"/>
    <w:rsid w:val="0005322E"/>
    <w:rsid w:val="00054E2B"/>
    <w:rsid w:val="0005764A"/>
    <w:rsid w:val="00060E64"/>
    <w:rsid w:val="00062DD2"/>
    <w:rsid w:val="00066193"/>
    <w:rsid w:val="00066755"/>
    <w:rsid w:val="00067B6B"/>
    <w:rsid w:val="00071A5B"/>
    <w:rsid w:val="0007337F"/>
    <w:rsid w:val="00075015"/>
    <w:rsid w:val="000763D5"/>
    <w:rsid w:val="00076C38"/>
    <w:rsid w:val="00077143"/>
    <w:rsid w:val="00077DF7"/>
    <w:rsid w:val="0008050C"/>
    <w:rsid w:val="00082169"/>
    <w:rsid w:val="00082AFB"/>
    <w:rsid w:val="000834BE"/>
    <w:rsid w:val="000834E6"/>
    <w:rsid w:val="00083F01"/>
    <w:rsid w:val="00087C4C"/>
    <w:rsid w:val="000918CB"/>
    <w:rsid w:val="00091B06"/>
    <w:rsid w:val="000951C4"/>
    <w:rsid w:val="00095ADA"/>
    <w:rsid w:val="000969AD"/>
    <w:rsid w:val="000975FB"/>
    <w:rsid w:val="000A3AA2"/>
    <w:rsid w:val="000A44B2"/>
    <w:rsid w:val="000A52F6"/>
    <w:rsid w:val="000A54B6"/>
    <w:rsid w:val="000B22DB"/>
    <w:rsid w:val="000B44C3"/>
    <w:rsid w:val="000B558D"/>
    <w:rsid w:val="000B5894"/>
    <w:rsid w:val="000B5A89"/>
    <w:rsid w:val="000B65F6"/>
    <w:rsid w:val="000B7767"/>
    <w:rsid w:val="000C11F6"/>
    <w:rsid w:val="000C5F95"/>
    <w:rsid w:val="000C675E"/>
    <w:rsid w:val="000C6996"/>
    <w:rsid w:val="000C7C46"/>
    <w:rsid w:val="000C7DC0"/>
    <w:rsid w:val="000D09DA"/>
    <w:rsid w:val="000D09E9"/>
    <w:rsid w:val="000D113F"/>
    <w:rsid w:val="000D23BA"/>
    <w:rsid w:val="000E19B7"/>
    <w:rsid w:val="000E20FC"/>
    <w:rsid w:val="000E3DFB"/>
    <w:rsid w:val="000E5EA1"/>
    <w:rsid w:val="000E681E"/>
    <w:rsid w:val="000E7E52"/>
    <w:rsid w:val="000F0003"/>
    <w:rsid w:val="000F3384"/>
    <w:rsid w:val="000F4E6A"/>
    <w:rsid w:val="000F7354"/>
    <w:rsid w:val="00101ABE"/>
    <w:rsid w:val="00102202"/>
    <w:rsid w:val="00102700"/>
    <w:rsid w:val="0010289B"/>
    <w:rsid w:val="00102A78"/>
    <w:rsid w:val="00103118"/>
    <w:rsid w:val="00103392"/>
    <w:rsid w:val="00104227"/>
    <w:rsid w:val="001107BF"/>
    <w:rsid w:val="00113649"/>
    <w:rsid w:val="00113D5C"/>
    <w:rsid w:val="00117465"/>
    <w:rsid w:val="00121752"/>
    <w:rsid w:val="00123DA3"/>
    <w:rsid w:val="0012417C"/>
    <w:rsid w:val="00124BF2"/>
    <w:rsid w:val="001255E7"/>
    <w:rsid w:val="001255EC"/>
    <w:rsid w:val="0012597F"/>
    <w:rsid w:val="0012749D"/>
    <w:rsid w:val="001306A5"/>
    <w:rsid w:val="001311AE"/>
    <w:rsid w:val="00132E93"/>
    <w:rsid w:val="00133796"/>
    <w:rsid w:val="00140B74"/>
    <w:rsid w:val="00140D94"/>
    <w:rsid w:val="00142395"/>
    <w:rsid w:val="00142714"/>
    <w:rsid w:val="00144D09"/>
    <w:rsid w:val="001452ED"/>
    <w:rsid w:val="00147566"/>
    <w:rsid w:val="00147D84"/>
    <w:rsid w:val="001549C1"/>
    <w:rsid w:val="00155F73"/>
    <w:rsid w:val="00156C8D"/>
    <w:rsid w:val="001607B3"/>
    <w:rsid w:val="00160F4D"/>
    <w:rsid w:val="00162BDD"/>
    <w:rsid w:val="00162D4E"/>
    <w:rsid w:val="00163329"/>
    <w:rsid w:val="00164175"/>
    <w:rsid w:val="00164623"/>
    <w:rsid w:val="001652DE"/>
    <w:rsid w:val="00165B64"/>
    <w:rsid w:val="00166144"/>
    <w:rsid w:val="00172078"/>
    <w:rsid w:val="00172D41"/>
    <w:rsid w:val="0017681E"/>
    <w:rsid w:val="00176B9D"/>
    <w:rsid w:val="00180713"/>
    <w:rsid w:val="00180720"/>
    <w:rsid w:val="001830CE"/>
    <w:rsid w:val="001836E3"/>
    <w:rsid w:val="0018643B"/>
    <w:rsid w:val="00192397"/>
    <w:rsid w:val="00196307"/>
    <w:rsid w:val="001A0D10"/>
    <w:rsid w:val="001A31D6"/>
    <w:rsid w:val="001A33EA"/>
    <w:rsid w:val="001A4413"/>
    <w:rsid w:val="001A4C4F"/>
    <w:rsid w:val="001A574D"/>
    <w:rsid w:val="001A5A2B"/>
    <w:rsid w:val="001A76FB"/>
    <w:rsid w:val="001B017F"/>
    <w:rsid w:val="001B0B79"/>
    <w:rsid w:val="001B2102"/>
    <w:rsid w:val="001B2BBC"/>
    <w:rsid w:val="001B2F03"/>
    <w:rsid w:val="001B372D"/>
    <w:rsid w:val="001B3A40"/>
    <w:rsid w:val="001B3FFE"/>
    <w:rsid w:val="001B5129"/>
    <w:rsid w:val="001B6422"/>
    <w:rsid w:val="001C0B4C"/>
    <w:rsid w:val="001C0EC4"/>
    <w:rsid w:val="001C1195"/>
    <w:rsid w:val="001C12AE"/>
    <w:rsid w:val="001C1E84"/>
    <w:rsid w:val="001C2E42"/>
    <w:rsid w:val="001C758C"/>
    <w:rsid w:val="001C7D0A"/>
    <w:rsid w:val="001D0880"/>
    <w:rsid w:val="001D0932"/>
    <w:rsid w:val="001D1F5F"/>
    <w:rsid w:val="001D48CE"/>
    <w:rsid w:val="001E06D2"/>
    <w:rsid w:val="001E17C4"/>
    <w:rsid w:val="001E18B8"/>
    <w:rsid w:val="001F005B"/>
    <w:rsid w:val="001F082D"/>
    <w:rsid w:val="001F1850"/>
    <w:rsid w:val="001F1D9C"/>
    <w:rsid w:val="001F1FBF"/>
    <w:rsid w:val="001F258D"/>
    <w:rsid w:val="001F2F1C"/>
    <w:rsid w:val="001F3189"/>
    <w:rsid w:val="001F3843"/>
    <w:rsid w:val="001F5C4E"/>
    <w:rsid w:val="001F5F68"/>
    <w:rsid w:val="001F6039"/>
    <w:rsid w:val="00201FB8"/>
    <w:rsid w:val="002025D2"/>
    <w:rsid w:val="00203FAC"/>
    <w:rsid w:val="002044AD"/>
    <w:rsid w:val="00210DE8"/>
    <w:rsid w:val="00211201"/>
    <w:rsid w:val="00213CFB"/>
    <w:rsid w:val="00215204"/>
    <w:rsid w:val="0021553C"/>
    <w:rsid w:val="0021557B"/>
    <w:rsid w:val="002174FD"/>
    <w:rsid w:val="00217BE1"/>
    <w:rsid w:val="002214B9"/>
    <w:rsid w:val="00225508"/>
    <w:rsid w:val="00226E5A"/>
    <w:rsid w:val="00230F63"/>
    <w:rsid w:val="00234252"/>
    <w:rsid w:val="00234559"/>
    <w:rsid w:val="0023466E"/>
    <w:rsid w:val="00237393"/>
    <w:rsid w:val="00237AC6"/>
    <w:rsid w:val="00237D56"/>
    <w:rsid w:val="00237DAC"/>
    <w:rsid w:val="00240165"/>
    <w:rsid w:val="00244139"/>
    <w:rsid w:val="00244490"/>
    <w:rsid w:val="00245B9C"/>
    <w:rsid w:val="00247967"/>
    <w:rsid w:val="00250D8A"/>
    <w:rsid w:val="00253499"/>
    <w:rsid w:val="00254487"/>
    <w:rsid w:val="002551A4"/>
    <w:rsid w:val="0025609E"/>
    <w:rsid w:val="00257555"/>
    <w:rsid w:val="00257664"/>
    <w:rsid w:val="00265151"/>
    <w:rsid w:val="00265C2C"/>
    <w:rsid w:val="00266509"/>
    <w:rsid w:val="00271BA1"/>
    <w:rsid w:val="00273AC5"/>
    <w:rsid w:val="00274455"/>
    <w:rsid w:val="002762FA"/>
    <w:rsid w:val="00277505"/>
    <w:rsid w:val="0028158C"/>
    <w:rsid w:val="002819DD"/>
    <w:rsid w:val="002823B6"/>
    <w:rsid w:val="00290694"/>
    <w:rsid w:val="00290C03"/>
    <w:rsid w:val="00294274"/>
    <w:rsid w:val="0029458F"/>
    <w:rsid w:val="002975BD"/>
    <w:rsid w:val="002A018F"/>
    <w:rsid w:val="002A0E04"/>
    <w:rsid w:val="002A104C"/>
    <w:rsid w:val="002A1EF7"/>
    <w:rsid w:val="002A1F8D"/>
    <w:rsid w:val="002A494D"/>
    <w:rsid w:val="002A4960"/>
    <w:rsid w:val="002A636A"/>
    <w:rsid w:val="002A660D"/>
    <w:rsid w:val="002A7C5C"/>
    <w:rsid w:val="002B0AE0"/>
    <w:rsid w:val="002B1AE6"/>
    <w:rsid w:val="002B1D51"/>
    <w:rsid w:val="002B2DE8"/>
    <w:rsid w:val="002B30F8"/>
    <w:rsid w:val="002B388A"/>
    <w:rsid w:val="002B5596"/>
    <w:rsid w:val="002B77D7"/>
    <w:rsid w:val="002C168B"/>
    <w:rsid w:val="002C212F"/>
    <w:rsid w:val="002C2F35"/>
    <w:rsid w:val="002C6AA9"/>
    <w:rsid w:val="002C7485"/>
    <w:rsid w:val="002C7AAA"/>
    <w:rsid w:val="002D0670"/>
    <w:rsid w:val="002D147F"/>
    <w:rsid w:val="002D2641"/>
    <w:rsid w:val="002D283A"/>
    <w:rsid w:val="002D4543"/>
    <w:rsid w:val="002D7889"/>
    <w:rsid w:val="002E3153"/>
    <w:rsid w:val="002E5292"/>
    <w:rsid w:val="002E72CA"/>
    <w:rsid w:val="002F1D07"/>
    <w:rsid w:val="002F600D"/>
    <w:rsid w:val="002F7E47"/>
    <w:rsid w:val="00300AD6"/>
    <w:rsid w:val="00300B1B"/>
    <w:rsid w:val="003019D0"/>
    <w:rsid w:val="00303329"/>
    <w:rsid w:val="00305BEB"/>
    <w:rsid w:val="003064AF"/>
    <w:rsid w:val="003104CC"/>
    <w:rsid w:val="00310A8B"/>
    <w:rsid w:val="00310B68"/>
    <w:rsid w:val="00313647"/>
    <w:rsid w:val="003160D2"/>
    <w:rsid w:val="003173FC"/>
    <w:rsid w:val="00317C6C"/>
    <w:rsid w:val="00320B80"/>
    <w:rsid w:val="00320CD3"/>
    <w:rsid w:val="0032128F"/>
    <w:rsid w:val="0032686F"/>
    <w:rsid w:val="00326BAE"/>
    <w:rsid w:val="00326E79"/>
    <w:rsid w:val="0032748A"/>
    <w:rsid w:val="003301B1"/>
    <w:rsid w:val="00331189"/>
    <w:rsid w:val="0033263D"/>
    <w:rsid w:val="0033518A"/>
    <w:rsid w:val="00335535"/>
    <w:rsid w:val="003367EF"/>
    <w:rsid w:val="003371BB"/>
    <w:rsid w:val="00341AE4"/>
    <w:rsid w:val="00345AA7"/>
    <w:rsid w:val="003476EE"/>
    <w:rsid w:val="003541DD"/>
    <w:rsid w:val="00354CD7"/>
    <w:rsid w:val="00356E5B"/>
    <w:rsid w:val="00363EEF"/>
    <w:rsid w:val="00370303"/>
    <w:rsid w:val="003736C9"/>
    <w:rsid w:val="00383B77"/>
    <w:rsid w:val="00384988"/>
    <w:rsid w:val="003872CF"/>
    <w:rsid w:val="00387A3A"/>
    <w:rsid w:val="00390758"/>
    <w:rsid w:val="00396322"/>
    <w:rsid w:val="0039782C"/>
    <w:rsid w:val="003A00AB"/>
    <w:rsid w:val="003A13A6"/>
    <w:rsid w:val="003A5046"/>
    <w:rsid w:val="003A5B4A"/>
    <w:rsid w:val="003A5D95"/>
    <w:rsid w:val="003B0D3A"/>
    <w:rsid w:val="003B2302"/>
    <w:rsid w:val="003B23C5"/>
    <w:rsid w:val="003B2464"/>
    <w:rsid w:val="003B2A75"/>
    <w:rsid w:val="003B49B2"/>
    <w:rsid w:val="003B6124"/>
    <w:rsid w:val="003B7960"/>
    <w:rsid w:val="003C0118"/>
    <w:rsid w:val="003C093A"/>
    <w:rsid w:val="003C1ECF"/>
    <w:rsid w:val="003C2FB5"/>
    <w:rsid w:val="003C3866"/>
    <w:rsid w:val="003C6CD2"/>
    <w:rsid w:val="003C6E3B"/>
    <w:rsid w:val="003D24C5"/>
    <w:rsid w:val="003D2630"/>
    <w:rsid w:val="003D4594"/>
    <w:rsid w:val="003D4AC4"/>
    <w:rsid w:val="003D5D0C"/>
    <w:rsid w:val="003D63B7"/>
    <w:rsid w:val="003D74C5"/>
    <w:rsid w:val="003E3C10"/>
    <w:rsid w:val="003E4374"/>
    <w:rsid w:val="003E468B"/>
    <w:rsid w:val="003E62BD"/>
    <w:rsid w:val="003E6D4B"/>
    <w:rsid w:val="003F044F"/>
    <w:rsid w:val="003F0C3A"/>
    <w:rsid w:val="003F15F0"/>
    <w:rsid w:val="003F1923"/>
    <w:rsid w:val="003F3228"/>
    <w:rsid w:val="003F59B9"/>
    <w:rsid w:val="003F5C8C"/>
    <w:rsid w:val="003F5CDD"/>
    <w:rsid w:val="003F63CE"/>
    <w:rsid w:val="003F740A"/>
    <w:rsid w:val="003F775A"/>
    <w:rsid w:val="00400E55"/>
    <w:rsid w:val="0040128E"/>
    <w:rsid w:val="0040216B"/>
    <w:rsid w:val="00413DB9"/>
    <w:rsid w:val="0041722F"/>
    <w:rsid w:val="00420400"/>
    <w:rsid w:val="004252EC"/>
    <w:rsid w:val="00430B50"/>
    <w:rsid w:val="00430C89"/>
    <w:rsid w:val="00430D39"/>
    <w:rsid w:val="00431951"/>
    <w:rsid w:val="0043496E"/>
    <w:rsid w:val="00441B28"/>
    <w:rsid w:val="00441D2C"/>
    <w:rsid w:val="00442C91"/>
    <w:rsid w:val="00442DD4"/>
    <w:rsid w:val="00444080"/>
    <w:rsid w:val="004465BD"/>
    <w:rsid w:val="00446938"/>
    <w:rsid w:val="004528FA"/>
    <w:rsid w:val="00452E56"/>
    <w:rsid w:val="00461A44"/>
    <w:rsid w:val="00462D26"/>
    <w:rsid w:val="0046385A"/>
    <w:rsid w:val="00463886"/>
    <w:rsid w:val="0046560C"/>
    <w:rsid w:val="00465FDB"/>
    <w:rsid w:val="00466ADA"/>
    <w:rsid w:val="004702BB"/>
    <w:rsid w:val="0047494B"/>
    <w:rsid w:val="00476245"/>
    <w:rsid w:val="00477306"/>
    <w:rsid w:val="00477A9B"/>
    <w:rsid w:val="00481E1D"/>
    <w:rsid w:val="00483035"/>
    <w:rsid w:val="00485940"/>
    <w:rsid w:val="00486C95"/>
    <w:rsid w:val="004877C2"/>
    <w:rsid w:val="004904B9"/>
    <w:rsid w:val="0049523C"/>
    <w:rsid w:val="00495F61"/>
    <w:rsid w:val="00496662"/>
    <w:rsid w:val="004A2484"/>
    <w:rsid w:val="004A5A85"/>
    <w:rsid w:val="004A71D1"/>
    <w:rsid w:val="004A7C5B"/>
    <w:rsid w:val="004B1845"/>
    <w:rsid w:val="004B2028"/>
    <w:rsid w:val="004B2348"/>
    <w:rsid w:val="004B2E01"/>
    <w:rsid w:val="004B2E98"/>
    <w:rsid w:val="004B5640"/>
    <w:rsid w:val="004B6084"/>
    <w:rsid w:val="004BCF29"/>
    <w:rsid w:val="004C03D0"/>
    <w:rsid w:val="004C1BD7"/>
    <w:rsid w:val="004C239C"/>
    <w:rsid w:val="004C31FE"/>
    <w:rsid w:val="004C524C"/>
    <w:rsid w:val="004C5FFA"/>
    <w:rsid w:val="004C691D"/>
    <w:rsid w:val="004C6C07"/>
    <w:rsid w:val="004C7E15"/>
    <w:rsid w:val="004D2CD1"/>
    <w:rsid w:val="004D3BEC"/>
    <w:rsid w:val="004D4FF6"/>
    <w:rsid w:val="004D5ADD"/>
    <w:rsid w:val="004E1B22"/>
    <w:rsid w:val="004E692D"/>
    <w:rsid w:val="004E698F"/>
    <w:rsid w:val="004E7230"/>
    <w:rsid w:val="004E7D87"/>
    <w:rsid w:val="004F2553"/>
    <w:rsid w:val="004F306A"/>
    <w:rsid w:val="004F5EC5"/>
    <w:rsid w:val="004F6160"/>
    <w:rsid w:val="004F6799"/>
    <w:rsid w:val="004F6A3C"/>
    <w:rsid w:val="00501554"/>
    <w:rsid w:val="00502AFE"/>
    <w:rsid w:val="00502E64"/>
    <w:rsid w:val="00503AD7"/>
    <w:rsid w:val="00504E0C"/>
    <w:rsid w:val="00504E13"/>
    <w:rsid w:val="005109D4"/>
    <w:rsid w:val="00512E41"/>
    <w:rsid w:val="005132E4"/>
    <w:rsid w:val="005146CC"/>
    <w:rsid w:val="00514CD7"/>
    <w:rsid w:val="005167EC"/>
    <w:rsid w:val="005170DA"/>
    <w:rsid w:val="00520B44"/>
    <w:rsid w:val="00520D6A"/>
    <w:rsid w:val="005224A0"/>
    <w:rsid w:val="00522DB6"/>
    <w:rsid w:val="005264A7"/>
    <w:rsid w:val="00526CC7"/>
    <w:rsid w:val="0052792D"/>
    <w:rsid w:val="005319B2"/>
    <w:rsid w:val="00532402"/>
    <w:rsid w:val="00532C74"/>
    <w:rsid w:val="00534E2E"/>
    <w:rsid w:val="0054064C"/>
    <w:rsid w:val="0054199D"/>
    <w:rsid w:val="00541A69"/>
    <w:rsid w:val="00544552"/>
    <w:rsid w:val="00545130"/>
    <w:rsid w:val="0055286A"/>
    <w:rsid w:val="00555745"/>
    <w:rsid w:val="005565D2"/>
    <w:rsid w:val="00557D4F"/>
    <w:rsid w:val="0056122E"/>
    <w:rsid w:val="00563B2B"/>
    <w:rsid w:val="0056484E"/>
    <w:rsid w:val="00567D8A"/>
    <w:rsid w:val="00574B71"/>
    <w:rsid w:val="00576238"/>
    <w:rsid w:val="005764CD"/>
    <w:rsid w:val="00577C4D"/>
    <w:rsid w:val="0058007E"/>
    <w:rsid w:val="00580532"/>
    <w:rsid w:val="00581419"/>
    <w:rsid w:val="00581932"/>
    <w:rsid w:val="005851B6"/>
    <w:rsid w:val="00594EFE"/>
    <w:rsid w:val="005963BB"/>
    <w:rsid w:val="005A3173"/>
    <w:rsid w:val="005A3223"/>
    <w:rsid w:val="005A3796"/>
    <w:rsid w:val="005A3DA3"/>
    <w:rsid w:val="005A52C4"/>
    <w:rsid w:val="005A63A1"/>
    <w:rsid w:val="005B241A"/>
    <w:rsid w:val="005B5A6F"/>
    <w:rsid w:val="005C44ED"/>
    <w:rsid w:val="005C4F73"/>
    <w:rsid w:val="005D03AB"/>
    <w:rsid w:val="005D401D"/>
    <w:rsid w:val="005D5017"/>
    <w:rsid w:val="005D525D"/>
    <w:rsid w:val="005D63FA"/>
    <w:rsid w:val="005D6EB1"/>
    <w:rsid w:val="005D73C7"/>
    <w:rsid w:val="005E0C2D"/>
    <w:rsid w:val="005E0D82"/>
    <w:rsid w:val="005E1333"/>
    <w:rsid w:val="005E3136"/>
    <w:rsid w:val="005E507D"/>
    <w:rsid w:val="005E59A8"/>
    <w:rsid w:val="005F0AD0"/>
    <w:rsid w:val="005F3C05"/>
    <w:rsid w:val="005F5101"/>
    <w:rsid w:val="00601A91"/>
    <w:rsid w:val="006029E2"/>
    <w:rsid w:val="00602BA3"/>
    <w:rsid w:val="00605B63"/>
    <w:rsid w:val="00605F9A"/>
    <w:rsid w:val="00606442"/>
    <w:rsid w:val="00606EED"/>
    <w:rsid w:val="00610C8A"/>
    <w:rsid w:val="00612A95"/>
    <w:rsid w:val="00612E34"/>
    <w:rsid w:val="00614159"/>
    <w:rsid w:val="006158A3"/>
    <w:rsid w:val="00616C5F"/>
    <w:rsid w:val="00616DAC"/>
    <w:rsid w:val="00617725"/>
    <w:rsid w:val="00617C00"/>
    <w:rsid w:val="00620F43"/>
    <w:rsid w:val="00623D02"/>
    <w:rsid w:val="006263BF"/>
    <w:rsid w:val="0062748A"/>
    <w:rsid w:val="00630A2C"/>
    <w:rsid w:val="00633C7B"/>
    <w:rsid w:val="0063682E"/>
    <w:rsid w:val="00640088"/>
    <w:rsid w:val="00642672"/>
    <w:rsid w:val="00642DA8"/>
    <w:rsid w:val="006436CD"/>
    <w:rsid w:val="00651169"/>
    <w:rsid w:val="00653D69"/>
    <w:rsid w:val="006552E6"/>
    <w:rsid w:val="00655794"/>
    <w:rsid w:val="0065644C"/>
    <w:rsid w:val="00657C63"/>
    <w:rsid w:val="00661CBC"/>
    <w:rsid w:val="0066212F"/>
    <w:rsid w:val="00662B85"/>
    <w:rsid w:val="006632DA"/>
    <w:rsid w:val="00666C49"/>
    <w:rsid w:val="00667061"/>
    <w:rsid w:val="006670BE"/>
    <w:rsid w:val="00670A76"/>
    <w:rsid w:val="006711AA"/>
    <w:rsid w:val="00672346"/>
    <w:rsid w:val="00672B57"/>
    <w:rsid w:val="00673F1F"/>
    <w:rsid w:val="00675622"/>
    <w:rsid w:val="0067747D"/>
    <w:rsid w:val="006818D5"/>
    <w:rsid w:val="00681CA4"/>
    <w:rsid w:val="00687EAE"/>
    <w:rsid w:val="0069039D"/>
    <w:rsid w:val="006906DB"/>
    <w:rsid w:val="00691900"/>
    <w:rsid w:val="00691E6C"/>
    <w:rsid w:val="006926EB"/>
    <w:rsid w:val="0069342D"/>
    <w:rsid w:val="00693DFB"/>
    <w:rsid w:val="0069475E"/>
    <w:rsid w:val="0069501D"/>
    <w:rsid w:val="006960F0"/>
    <w:rsid w:val="00696129"/>
    <w:rsid w:val="00697CF2"/>
    <w:rsid w:val="006A12A5"/>
    <w:rsid w:val="006A2515"/>
    <w:rsid w:val="006A5E20"/>
    <w:rsid w:val="006A7234"/>
    <w:rsid w:val="006A7241"/>
    <w:rsid w:val="006B0D94"/>
    <w:rsid w:val="006B343F"/>
    <w:rsid w:val="006B485D"/>
    <w:rsid w:val="006B6FC5"/>
    <w:rsid w:val="006C0C45"/>
    <w:rsid w:val="006C0FBF"/>
    <w:rsid w:val="006C334C"/>
    <w:rsid w:val="006C5B33"/>
    <w:rsid w:val="006C6C10"/>
    <w:rsid w:val="006C708E"/>
    <w:rsid w:val="006C737F"/>
    <w:rsid w:val="006D14E7"/>
    <w:rsid w:val="006D3E5D"/>
    <w:rsid w:val="006D4444"/>
    <w:rsid w:val="006D6493"/>
    <w:rsid w:val="006D6EC7"/>
    <w:rsid w:val="006E0AB6"/>
    <w:rsid w:val="006E1BCD"/>
    <w:rsid w:val="006E2732"/>
    <w:rsid w:val="006E59CD"/>
    <w:rsid w:val="006F0A71"/>
    <w:rsid w:val="006F40C2"/>
    <w:rsid w:val="006F5125"/>
    <w:rsid w:val="006F733D"/>
    <w:rsid w:val="006F7EA0"/>
    <w:rsid w:val="00702B6F"/>
    <w:rsid w:val="00702C49"/>
    <w:rsid w:val="00704069"/>
    <w:rsid w:val="00706A2F"/>
    <w:rsid w:val="0070718E"/>
    <w:rsid w:val="00707E52"/>
    <w:rsid w:val="0071004C"/>
    <w:rsid w:val="00710259"/>
    <w:rsid w:val="0071031F"/>
    <w:rsid w:val="0071340B"/>
    <w:rsid w:val="0071436D"/>
    <w:rsid w:val="00715BBB"/>
    <w:rsid w:val="007174BB"/>
    <w:rsid w:val="00717F65"/>
    <w:rsid w:val="0072025D"/>
    <w:rsid w:val="00723328"/>
    <w:rsid w:val="00725FBC"/>
    <w:rsid w:val="0073137C"/>
    <w:rsid w:val="007340B9"/>
    <w:rsid w:val="007353D3"/>
    <w:rsid w:val="00736154"/>
    <w:rsid w:val="0074156B"/>
    <w:rsid w:val="00741619"/>
    <w:rsid w:val="00744711"/>
    <w:rsid w:val="00747092"/>
    <w:rsid w:val="007526E6"/>
    <w:rsid w:val="0075328D"/>
    <w:rsid w:val="00754DF9"/>
    <w:rsid w:val="00755017"/>
    <w:rsid w:val="007555E8"/>
    <w:rsid w:val="00755CC5"/>
    <w:rsid w:val="007564D0"/>
    <w:rsid w:val="0076205C"/>
    <w:rsid w:val="0076420C"/>
    <w:rsid w:val="00771D07"/>
    <w:rsid w:val="00773BE3"/>
    <w:rsid w:val="007743DD"/>
    <w:rsid w:val="00774E2C"/>
    <w:rsid w:val="0077518D"/>
    <w:rsid w:val="007753C2"/>
    <w:rsid w:val="00775A47"/>
    <w:rsid w:val="00777702"/>
    <w:rsid w:val="007838B8"/>
    <w:rsid w:val="007915BA"/>
    <w:rsid w:val="00791844"/>
    <w:rsid w:val="007979BD"/>
    <w:rsid w:val="007A2392"/>
    <w:rsid w:val="007A503D"/>
    <w:rsid w:val="007A6A2F"/>
    <w:rsid w:val="007A7257"/>
    <w:rsid w:val="007B024E"/>
    <w:rsid w:val="007B06AE"/>
    <w:rsid w:val="007B15C1"/>
    <w:rsid w:val="007B1786"/>
    <w:rsid w:val="007B3DDC"/>
    <w:rsid w:val="007B72A6"/>
    <w:rsid w:val="007B7F96"/>
    <w:rsid w:val="007C06D2"/>
    <w:rsid w:val="007C08E0"/>
    <w:rsid w:val="007C0F57"/>
    <w:rsid w:val="007C40B6"/>
    <w:rsid w:val="007C729F"/>
    <w:rsid w:val="007D503D"/>
    <w:rsid w:val="007D59E7"/>
    <w:rsid w:val="007D5AB3"/>
    <w:rsid w:val="007D5F2A"/>
    <w:rsid w:val="007D637F"/>
    <w:rsid w:val="007D68C6"/>
    <w:rsid w:val="007E1D28"/>
    <w:rsid w:val="007E3BBC"/>
    <w:rsid w:val="007F0021"/>
    <w:rsid w:val="007F2641"/>
    <w:rsid w:val="007F67ED"/>
    <w:rsid w:val="007F7C36"/>
    <w:rsid w:val="008052F0"/>
    <w:rsid w:val="008055AF"/>
    <w:rsid w:val="008057CD"/>
    <w:rsid w:val="00805C4E"/>
    <w:rsid w:val="00806796"/>
    <w:rsid w:val="00810167"/>
    <w:rsid w:val="00811CC0"/>
    <w:rsid w:val="00811F14"/>
    <w:rsid w:val="008127B3"/>
    <w:rsid w:val="008147AE"/>
    <w:rsid w:val="00814FBC"/>
    <w:rsid w:val="008151D6"/>
    <w:rsid w:val="00821527"/>
    <w:rsid w:val="00822491"/>
    <w:rsid w:val="00822696"/>
    <w:rsid w:val="00825A6C"/>
    <w:rsid w:val="0082617E"/>
    <w:rsid w:val="008268BB"/>
    <w:rsid w:val="00826F6D"/>
    <w:rsid w:val="008306F3"/>
    <w:rsid w:val="00830E40"/>
    <w:rsid w:val="00832D9A"/>
    <w:rsid w:val="00835C62"/>
    <w:rsid w:val="008368A1"/>
    <w:rsid w:val="00840EF7"/>
    <w:rsid w:val="00841E06"/>
    <w:rsid w:val="0084497F"/>
    <w:rsid w:val="00844C0A"/>
    <w:rsid w:val="00846056"/>
    <w:rsid w:val="0084681F"/>
    <w:rsid w:val="00847EC0"/>
    <w:rsid w:val="0085135F"/>
    <w:rsid w:val="00855B42"/>
    <w:rsid w:val="00855FD6"/>
    <w:rsid w:val="00856DDD"/>
    <w:rsid w:val="00863E68"/>
    <w:rsid w:val="008647B5"/>
    <w:rsid w:val="00867D64"/>
    <w:rsid w:val="00873E3B"/>
    <w:rsid w:val="00875DCB"/>
    <w:rsid w:val="0087755A"/>
    <w:rsid w:val="0088202F"/>
    <w:rsid w:val="00882085"/>
    <w:rsid w:val="00883188"/>
    <w:rsid w:val="008833D3"/>
    <w:rsid w:val="00884A0C"/>
    <w:rsid w:val="008857BA"/>
    <w:rsid w:val="008860CF"/>
    <w:rsid w:val="00886ACA"/>
    <w:rsid w:val="008871D2"/>
    <w:rsid w:val="0089031E"/>
    <w:rsid w:val="00892362"/>
    <w:rsid w:val="00892BE4"/>
    <w:rsid w:val="00893070"/>
    <w:rsid w:val="0089460B"/>
    <w:rsid w:val="00897D58"/>
    <w:rsid w:val="00897F22"/>
    <w:rsid w:val="008A0B39"/>
    <w:rsid w:val="008A1791"/>
    <w:rsid w:val="008A17A3"/>
    <w:rsid w:val="008A1956"/>
    <w:rsid w:val="008A1E85"/>
    <w:rsid w:val="008A2419"/>
    <w:rsid w:val="008A4937"/>
    <w:rsid w:val="008A50F1"/>
    <w:rsid w:val="008A59D9"/>
    <w:rsid w:val="008A643E"/>
    <w:rsid w:val="008A6819"/>
    <w:rsid w:val="008B1110"/>
    <w:rsid w:val="008B1A82"/>
    <w:rsid w:val="008B2D85"/>
    <w:rsid w:val="008B2EC0"/>
    <w:rsid w:val="008B6DCF"/>
    <w:rsid w:val="008B7CC1"/>
    <w:rsid w:val="008C0638"/>
    <w:rsid w:val="008C3C11"/>
    <w:rsid w:val="008C5230"/>
    <w:rsid w:val="008C5E51"/>
    <w:rsid w:val="008C7276"/>
    <w:rsid w:val="008D0945"/>
    <w:rsid w:val="008D1409"/>
    <w:rsid w:val="008D15CC"/>
    <w:rsid w:val="008D1729"/>
    <w:rsid w:val="008D1B5C"/>
    <w:rsid w:val="008D32A6"/>
    <w:rsid w:val="008D3C82"/>
    <w:rsid w:val="008D447E"/>
    <w:rsid w:val="008D6ACF"/>
    <w:rsid w:val="008D7A41"/>
    <w:rsid w:val="008E0570"/>
    <w:rsid w:val="008E0DA3"/>
    <w:rsid w:val="008E18C8"/>
    <w:rsid w:val="008E2C72"/>
    <w:rsid w:val="008E3680"/>
    <w:rsid w:val="008E4C7B"/>
    <w:rsid w:val="008E5870"/>
    <w:rsid w:val="008E77E4"/>
    <w:rsid w:val="008F0213"/>
    <w:rsid w:val="008F07ED"/>
    <w:rsid w:val="008F11F8"/>
    <w:rsid w:val="008F1434"/>
    <w:rsid w:val="008F2BB9"/>
    <w:rsid w:val="008F392F"/>
    <w:rsid w:val="008F3D6A"/>
    <w:rsid w:val="008F54C3"/>
    <w:rsid w:val="008F7355"/>
    <w:rsid w:val="009023DC"/>
    <w:rsid w:val="009027C5"/>
    <w:rsid w:val="00904413"/>
    <w:rsid w:val="00905BB7"/>
    <w:rsid w:val="009067B7"/>
    <w:rsid w:val="009070D2"/>
    <w:rsid w:val="0090775A"/>
    <w:rsid w:val="00907DFD"/>
    <w:rsid w:val="00917D69"/>
    <w:rsid w:val="00920B6D"/>
    <w:rsid w:val="00921471"/>
    <w:rsid w:val="00921D67"/>
    <w:rsid w:val="0092420D"/>
    <w:rsid w:val="00926560"/>
    <w:rsid w:val="00926B15"/>
    <w:rsid w:val="00930291"/>
    <w:rsid w:val="00930937"/>
    <w:rsid w:val="009324A6"/>
    <w:rsid w:val="00933E6C"/>
    <w:rsid w:val="00935A6E"/>
    <w:rsid w:val="00937958"/>
    <w:rsid w:val="009406E5"/>
    <w:rsid w:val="00941602"/>
    <w:rsid w:val="00942160"/>
    <w:rsid w:val="0094260E"/>
    <w:rsid w:val="0094294E"/>
    <w:rsid w:val="00946921"/>
    <w:rsid w:val="0095146F"/>
    <w:rsid w:val="009531AF"/>
    <w:rsid w:val="009550E8"/>
    <w:rsid w:val="00957944"/>
    <w:rsid w:val="009602C5"/>
    <w:rsid w:val="00962223"/>
    <w:rsid w:val="0096252B"/>
    <w:rsid w:val="0096383F"/>
    <w:rsid w:val="00966D0D"/>
    <w:rsid w:val="00967732"/>
    <w:rsid w:val="0096783C"/>
    <w:rsid w:val="009722B3"/>
    <w:rsid w:val="00973E24"/>
    <w:rsid w:val="00974C21"/>
    <w:rsid w:val="00975948"/>
    <w:rsid w:val="00977BF3"/>
    <w:rsid w:val="00977E07"/>
    <w:rsid w:val="009803E4"/>
    <w:rsid w:val="00980B0E"/>
    <w:rsid w:val="009836A3"/>
    <w:rsid w:val="009855A8"/>
    <w:rsid w:val="00985D1A"/>
    <w:rsid w:val="00990616"/>
    <w:rsid w:val="009913F4"/>
    <w:rsid w:val="00991782"/>
    <w:rsid w:val="00991A4C"/>
    <w:rsid w:val="009932C2"/>
    <w:rsid w:val="009937F7"/>
    <w:rsid w:val="0099465B"/>
    <w:rsid w:val="009951A1"/>
    <w:rsid w:val="00997A44"/>
    <w:rsid w:val="009A0CDD"/>
    <w:rsid w:val="009A1F1B"/>
    <w:rsid w:val="009A280F"/>
    <w:rsid w:val="009A3168"/>
    <w:rsid w:val="009A4229"/>
    <w:rsid w:val="009A5D04"/>
    <w:rsid w:val="009A5F3D"/>
    <w:rsid w:val="009A61CA"/>
    <w:rsid w:val="009B0C64"/>
    <w:rsid w:val="009B0F67"/>
    <w:rsid w:val="009B3F8C"/>
    <w:rsid w:val="009B750F"/>
    <w:rsid w:val="009C2F96"/>
    <w:rsid w:val="009C5B72"/>
    <w:rsid w:val="009C703C"/>
    <w:rsid w:val="009D206E"/>
    <w:rsid w:val="009D3145"/>
    <w:rsid w:val="009D3CAA"/>
    <w:rsid w:val="009D55E2"/>
    <w:rsid w:val="009D6532"/>
    <w:rsid w:val="009D71FD"/>
    <w:rsid w:val="009E2588"/>
    <w:rsid w:val="009E2E8E"/>
    <w:rsid w:val="009E40E1"/>
    <w:rsid w:val="009E7910"/>
    <w:rsid w:val="009F0B08"/>
    <w:rsid w:val="009F0EFA"/>
    <w:rsid w:val="009F2331"/>
    <w:rsid w:val="009F4E46"/>
    <w:rsid w:val="009F544E"/>
    <w:rsid w:val="009F5B65"/>
    <w:rsid w:val="009F5F2E"/>
    <w:rsid w:val="00A009A4"/>
    <w:rsid w:val="00A00FB4"/>
    <w:rsid w:val="00A01432"/>
    <w:rsid w:val="00A014F8"/>
    <w:rsid w:val="00A02029"/>
    <w:rsid w:val="00A06225"/>
    <w:rsid w:val="00A0658C"/>
    <w:rsid w:val="00A0774F"/>
    <w:rsid w:val="00A07C4C"/>
    <w:rsid w:val="00A110D1"/>
    <w:rsid w:val="00A12350"/>
    <w:rsid w:val="00A12587"/>
    <w:rsid w:val="00A128E6"/>
    <w:rsid w:val="00A1369B"/>
    <w:rsid w:val="00A144D3"/>
    <w:rsid w:val="00A1554B"/>
    <w:rsid w:val="00A16B7F"/>
    <w:rsid w:val="00A22AC3"/>
    <w:rsid w:val="00A23F3F"/>
    <w:rsid w:val="00A24067"/>
    <w:rsid w:val="00A24A4B"/>
    <w:rsid w:val="00A2744D"/>
    <w:rsid w:val="00A309B7"/>
    <w:rsid w:val="00A30D16"/>
    <w:rsid w:val="00A34E6C"/>
    <w:rsid w:val="00A34FD0"/>
    <w:rsid w:val="00A36398"/>
    <w:rsid w:val="00A37C8D"/>
    <w:rsid w:val="00A4020E"/>
    <w:rsid w:val="00A40FB5"/>
    <w:rsid w:val="00A42310"/>
    <w:rsid w:val="00A42826"/>
    <w:rsid w:val="00A429B3"/>
    <w:rsid w:val="00A43B90"/>
    <w:rsid w:val="00A44EC1"/>
    <w:rsid w:val="00A454D6"/>
    <w:rsid w:val="00A510E4"/>
    <w:rsid w:val="00A522FE"/>
    <w:rsid w:val="00A5273B"/>
    <w:rsid w:val="00A53A9D"/>
    <w:rsid w:val="00A54907"/>
    <w:rsid w:val="00A55FEE"/>
    <w:rsid w:val="00A57422"/>
    <w:rsid w:val="00A62C1A"/>
    <w:rsid w:val="00A6426D"/>
    <w:rsid w:val="00A6493F"/>
    <w:rsid w:val="00A665C1"/>
    <w:rsid w:val="00A673A4"/>
    <w:rsid w:val="00A7001A"/>
    <w:rsid w:val="00A7025A"/>
    <w:rsid w:val="00A70622"/>
    <w:rsid w:val="00A70977"/>
    <w:rsid w:val="00A70D58"/>
    <w:rsid w:val="00A71D24"/>
    <w:rsid w:val="00A73470"/>
    <w:rsid w:val="00A744F9"/>
    <w:rsid w:val="00A76BA6"/>
    <w:rsid w:val="00A77613"/>
    <w:rsid w:val="00A77B87"/>
    <w:rsid w:val="00A81851"/>
    <w:rsid w:val="00A8390C"/>
    <w:rsid w:val="00A83A85"/>
    <w:rsid w:val="00A86AE0"/>
    <w:rsid w:val="00A87A52"/>
    <w:rsid w:val="00A91362"/>
    <w:rsid w:val="00A9151C"/>
    <w:rsid w:val="00A919C6"/>
    <w:rsid w:val="00A928BD"/>
    <w:rsid w:val="00A948D8"/>
    <w:rsid w:val="00A97DE9"/>
    <w:rsid w:val="00AA12CD"/>
    <w:rsid w:val="00AA3C5F"/>
    <w:rsid w:val="00AA4D1C"/>
    <w:rsid w:val="00AA52FD"/>
    <w:rsid w:val="00AA6B6D"/>
    <w:rsid w:val="00AA7006"/>
    <w:rsid w:val="00AA7703"/>
    <w:rsid w:val="00AB0F8D"/>
    <w:rsid w:val="00AB2096"/>
    <w:rsid w:val="00AB5856"/>
    <w:rsid w:val="00AC193C"/>
    <w:rsid w:val="00AC30C1"/>
    <w:rsid w:val="00AC4B3D"/>
    <w:rsid w:val="00AC4DE5"/>
    <w:rsid w:val="00AC5206"/>
    <w:rsid w:val="00AC5FE4"/>
    <w:rsid w:val="00AC7B78"/>
    <w:rsid w:val="00AD3106"/>
    <w:rsid w:val="00AD4322"/>
    <w:rsid w:val="00AE11A5"/>
    <w:rsid w:val="00AE13E2"/>
    <w:rsid w:val="00AE22D3"/>
    <w:rsid w:val="00AE372D"/>
    <w:rsid w:val="00AE501A"/>
    <w:rsid w:val="00AE555F"/>
    <w:rsid w:val="00AE5A49"/>
    <w:rsid w:val="00AF11D8"/>
    <w:rsid w:val="00AF5867"/>
    <w:rsid w:val="00AF62DF"/>
    <w:rsid w:val="00AF68CC"/>
    <w:rsid w:val="00AF70D7"/>
    <w:rsid w:val="00B00157"/>
    <w:rsid w:val="00B01FF4"/>
    <w:rsid w:val="00B0326D"/>
    <w:rsid w:val="00B036D5"/>
    <w:rsid w:val="00B04077"/>
    <w:rsid w:val="00B06478"/>
    <w:rsid w:val="00B07533"/>
    <w:rsid w:val="00B07CFB"/>
    <w:rsid w:val="00B1059E"/>
    <w:rsid w:val="00B12387"/>
    <w:rsid w:val="00B123A6"/>
    <w:rsid w:val="00B14A36"/>
    <w:rsid w:val="00B15593"/>
    <w:rsid w:val="00B16273"/>
    <w:rsid w:val="00B170A5"/>
    <w:rsid w:val="00B176C8"/>
    <w:rsid w:val="00B17EE5"/>
    <w:rsid w:val="00B205AA"/>
    <w:rsid w:val="00B22E84"/>
    <w:rsid w:val="00B23066"/>
    <w:rsid w:val="00B233AD"/>
    <w:rsid w:val="00B23E25"/>
    <w:rsid w:val="00B24DA1"/>
    <w:rsid w:val="00B25F75"/>
    <w:rsid w:val="00B26B3F"/>
    <w:rsid w:val="00B2778F"/>
    <w:rsid w:val="00B327E2"/>
    <w:rsid w:val="00B33635"/>
    <w:rsid w:val="00B35648"/>
    <w:rsid w:val="00B35763"/>
    <w:rsid w:val="00B37DCB"/>
    <w:rsid w:val="00B42AF4"/>
    <w:rsid w:val="00B43C89"/>
    <w:rsid w:val="00B43E90"/>
    <w:rsid w:val="00B45E5E"/>
    <w:rsid w:val="00B467DC"/>
    <w:rsid w:val="00B47DBA"/>
    <w:rsid w:val="00B51C2B"/>
    <w:rsid w:val="00B5392A"/>
    <w:rsid w:val="00B56118"/>
    <w:rsid w:val="00B562B1"/>
    <w:rsid w:val="00B566E1"/>
    <w:rsid w:val="00B570C6"/>
    <w:rsid w:val="00B60F31"/>
    <w:rsid w:val="00B61C5E"/>
    <w:rsid w:val="00B64913"/>
    <w:rsid w:val="00B64E9F"/>
    <w:rsid w:val="00B65AC2"/>
    <w:rsid w:val="00B6773F"/>
    <w:rsid w:val="00B7078D"/>
    <w:rsid w:val="00B70EB3"/>
    <w:rsid w:val="00B718C0"/>
    <w:rsid w:val="00B72906"/>
    <w:rsid w:val="00B7525E"/>
    <w:rsid w:val="00B760FB"/>
    <w:rsid w:val="00B762BB"/>
    <w:rsid w:val="00B767AB"/>
    <w:rsid w:val="00B801BA"/>
    <w:rsid w:val="00B812D6"/>
    <w:rsid w:val="00B82552"/>
    <w:rsid w:val="00B84D5C"/>
    <w:rsid w:val="00B85274"/>
    <w:rsid w:val="00B85AF6"/>
    <w:rsid w:val="00B911EB"/>
    <w:rsid w:val="00B9250A"/>
    <w:rsid w:val="00B956ED"/>
    <w:rsid w:val="00BA1A49"/>
    <w:rsid w:val="00BA2DA8"/>
    <w:rsid w:val="00BA3405"/>
    <w:rsid w:val="00BA347C"/>
    <w:rsid w:val="00BA36CF"/>
    <w:rsid w:val="00BB067D"/>
    <w:rsid w:val="00BB3469"/>
    <w:rsid w:val="00BB5C49"/>
    <w:rsid w:val="00BB6240"/>
    <w:rsid w:val="00BB6285"/>
    <w:rsid w:val="00BB69F5"/>
    <w:rsid w:val="00BB7EC3"/>
    <w:rsid w:val="00BC470E"/>
    <w:rsid w:val="00BC4B9A"/>
    <w:rsid w:val="00BC4CB7"/>
    <w:rsid w:val="00BD02C3"/>
    <w:rsid w:val="00BD3E47"/>
    <w:rsid w:val="00BD56BF"/>
    <w:rsid w:val="00BD7483"/>
    <w:rsid w:val="00BD784C"/>
    <w:rsid w:val="00BE020A"/>
    <w:rsid w:val="00BE0941"/>
    <w:rsid w:val="00BE13DF"/>
    <w:rsid w:val="00BE25D7"/>
    <w:rsid w:val="00BE65D0"/>
    <w:rsid w:val="00BF02E1"/>
    <w:rsid w:val="00BF092C"/>
    <w:rsid w:val="00BF27A0"/>
    <w:rsid w:val="00BF4CB6"/>
    <w:rsid w:val="00BF5C6A"/>
    <w:rsid w:val="00C00795"/>
    <w:rsid w:val="00C00DA7"/>
    <w:rsid w:val="00C0142D"/>
    <w:rsid w:val="00C04202"/>
    <w:rsid w:val="00C04CDE"/>
    <w:rsid w:val="00C068A6"/>
    <w:rsid w:val="00C0701C"/>
    <w:rsid w:val="00C12768"/>
    <w:rsid w:val="00C12D70"/>
    <w:rsid w:val="00C13DDC"/>
    <w:rsid w:val="00C16724"/>
    <w:rsid w:val="00C21B09"/>
    <w:rsid w:val="00C2673A"/>
    <w:rsid w:val="00C27B58"/>
    <w:rsid w:val="00C30F4E"/>
    <w:rsid w:val="00C33186"/>
    <w:rsid w:val="00C34897"/>
    <w:rsid w:val="00C35996"/>
    <w:rsid w:val="00C4747E"/>
    <w:rsid w:val="00C47F12"/>
    <w:rsid w:val="00C50888"/>
    <w:rsid w:val="00C5151E"/>
    <w:rsid w:val="00C51891"/>
    <w:rsid w:val="00C5342C"/>
    <w:rsid w:val="00C53B2B"/>
    <w:rsid w:val="00C5688E"/>
    <w:rsid w:val="00C57465"/>
    <w:rsid w:val="00C5756B"/>
    <w:rsid w:val="00C60272"/>
    <w:rsid w:val="00C603D4"/>
    <w:rsid w:val="00C6256A"/>
    <w:rsid w:val="00C639DC"/>
    <w:rsid w:val="00C64EBC"/>
    <w:rsid w:val="00C664D2"/>
    <w:rsid w:val="00C674BD"/>
    <w:rsid w:val="00C710E2"/>
    <w:rsid w:val="00C71C3F"/>
    <w:rsid w:val="00C7409E"/>
    <w:rsid w:val="00C74D6D"/>
    <w:rsid w:val="00C75F5C"/>
    <w:rsid w:val="00C76657"/>
    <w:rsid w:val="00C76E76"/>
    <w:rsid w:val="00C77891"/>
    <w:rsid w:val="00C829A9"/>
    <w:rsid w:val="00C83DE1"/>
    <w:rsid w:val="00C87B80"/>
    <w:rsid w:val="00C87FC6"/>
    <w:rsid w:val="00C91449"/>
    <w:rsid w:val="00C91DD8"/>
    <w:rsid w:val="00C92D10"/>
    <w:rsid w:val="00CA48D9"/>
    <w:rsid w:val="00CA6B44"/>
    <w:rsid w:val="00CB0ECE"/>
    <w:rsid w:val="00CB1193"/>
    <w:rsid w:val="00CB4767"/>
    <w:rsid w:val="00CB493D"/>
    <w:rsid w:val="00CC3B97"/>
    <w:rsid w:val="00CC3CA3"/>
    <w:rsid w:val="00CC6982"/>
    <w:rsid w:val="00CC7181"/>
    <w:rsid w:val="00CC7D63"/>
    <w:rsid w:val="00CD0AC7"/>
    <w:rsid w:val="00CD2409"/>
    <w:rsid w:val="00CD7C0B"/>
    <w:rsid w:val="00CD7EA6"/>
    <w:rsid w:val="00CE0F1A"/>
    <w:rsid w:val="00CE10C4"/>
    <w:rsid w:val="00CE27B5"/>
    <w:rsid w:val="00CE6DAF"/>
    <w:rsid w:val="00CF066B"/>
    <w:rsid w:val="00CF410A"/>
    <w:rsid w:val="00CF4303"/>
    <w:rsid w:val="00CF4541"/>
    <w:rsid w:val="00D0321E"/>
    <w:rsid w:val="00D04355"/>
    <w:rsid w:val="00D069EB"/>
    <w:rsid w:val="00D07A8A"/>
    <w:rsid w:val="00D10AFF"/>
    <w:rsid w:val="00D11199"/>
    <w:rsid w:val="00D1455A"/>
    <w:rsid w:val="00D14A70"/>
    <w:rsid w:val="00D22093"/>
    <w:rsid w:val="00D31150"/>
    <w:rsid w:val="00D3138B"/>
    <w:rsid w:val="00D31FCE"/>
    <w:rsid w:val="00D3280C"/>
    <w:rsid w:val="00D3281E"/>
    <w:rsid w:val="00D3297F"/>
    <w:rsid w:val="00D34011"/>
    <w:rsid w:val="00D3406A"/>
    <w:rsid w:val="00D37FCC"/>
    <w:rsid w:val="00D40B11"/>
    <w:rsid w:val="00D429EC"/>
    <w:rsid w:val="00D43F05"/>
    <w:rsid w:val="00D441F1"/>
    <w:rsid w:val="00D4572C"/>
    <w:rsid w:val="00D469B2"/>
    <w:rsid w:val="00D50E2E"/>
    <w:rsid w:val="00D54B09"/>
    <w:rsid w:val="00D57460"/>
    <w:rsid w:val="00D6243E"/>
    <w:rsid w:val="00D65658"/>
    <w:rsid w:val="00D67EB2"/>
    <w:rsid w:val="00D72B6F"/>
    <w:rsid w:val="00D72C31"/>
    <w:rsid w:val="00D741EB"/>
    <w:rsid w:val="00D74813"/>
    <w:rsid w:val="00D7679C"/>
    <w:rsid w:val="00D820F3"/>
    <w:rsid w:val="00D82E54"/>
    <w:rsid w:val="00D83605"/>
    <w:rsid w:val="00D84934"/>
    <w:rsid w:val="00D866EB"/>
    <w:rsid w:val="00D87D1A"/>
    <w:rsid w:val="00D90480"/>
    <w:rsid w:val="00D91271"/>
    <w:rsid w:val="00D919F5"/>
    <w:rsid w:val="00D945F6"/>
    <w:rsid w:val="00D94F03"/>
    <w:rsid w:val="00D95161"/>
    <w:rsid w:val="00DA0A82"/>
    <w:rsid w:val="00DA0D14"/>
    <w:rsid w:val="00DA119A"/>
    <w:rsid w:val="00DA1B97"/>
    <w:rsid w:val="00DA1FC9"/>
    <w:rsid w:val="00DA2CB5"/>
    <w:rsid w:val="00DA4BAC"/>
    <w:rsid w:val="00DB0151"/>
    <w:rsid w:val="00DB3473"/>
    <w:rsid w:val="00DB50E1"/>
    <w:rsid w:val="00DC0566"/>
    <w:rsid w:val="00DC1499"/>
    <w:rsid w:val="00DC2C3E"/>
    <w:rsid w:val="00DC3137"/>
    <w:rsid w:val="00DC4880"/>
    <w:rsid w:val="00DC53C1"/>
    <w:rsid w:val="00DD0F9C"/>
    <w:rsid w:val="00DD42AB"/>
    <w:rsid w:val="00DE06AF"/>
    <w:rsid w:val="00DE4386"/>
    <w:rsid w:val="00DE6D27"/>
    <w:rsid w:val="00DF01F8"/>
    <w:rsid w:val="00DF021D"/>
    <w:rsid w:val="00DF0DDC"/>
    <w:rsid w:val="00DF217D"/>
    <w:rsid w:val="00DF26A7"/>
    <w:rsid w:val="00DF3277"/>
    <w:rsid w:val="00DF388C"/>
    <w:rsid w:val="00DF77A1"/>
    <w:rsid w:val="00DF7919"/>
    <w:rsid w:val="00DF7E9D"/>
    <w:rsid w:val="00E0207E"/>
    <w:rsid w:val="00E02AE6"/>
    <w:rsid w:val="00E03912"/>
    <w:rsid w:val="00E04748"/>
    <w:rsid w:val="00E078D9"/>
    <w:rsid w:val="00E10293"/>
    <w:rsid w:val="00E103A0"/>
    <w:rsid w:val="00E104FE"/>
    <w:rsid w:val="00E13E60"/>
    <w:rsid w:val="00E15627"/>
    <w:rsid w:val="00E164B3"/>
    <w:rsid w:val="00E16910"/>
    <w:rsid w:val="00E16C00"/>
    <w:rsid w:val="00E239E2"/>
    <w:rsid w:val="00E24E09"/>
    <w:rsid w:val="00E27234"/>
    <w:rsid w:val="00E33E28"/>
    <w:rsid w:val="00E3495C"/>
    <w:rsid w:val="00E350D2"/>
    <w:rsid w:val="00E42BDB"/>
    <w:rsid w:val="00E52044"/>
    <w:rsid w:val="00E56494"/>
    <w:rsid w:val="00E5726D"/>
    <w:rsid w:val="00E57EEB"/>
    <w:rsid w:val="00E62D94"/>
    <w:rsid w:val="00E643F8"/>
    <w:rsid w:val="00E64F37"/>
    <w:rsid w:val="00E65091"/>
    <w:rsid w:val="00E65E54"/>
    <w:rsid w:val="00E661C7"/>
    <w:rsid w:val="00E72004"/>
    <w:rsid w:val="00E74E41"/>
    <w:rsid w:val="00E760EF"/>
    <w:rsid w:val="00E80155"/>
    <w:rsid w:val="00E8134B"/>
    <w:rsid w:val="00E81E0D"/>
    <w:rsid w:val="00E81F28"/>
    <w:rsid w:val="00E848C0"/>
    <w:rsid w:val="00E91B96"/>
    <w:rsid w:val="00E92079"/>
    <w:rsid w:val="00E935DA"/>
    <w:rsid w:val="00E93D1E"/>
    <w:rsid w:val="00E941A1"/>
    <w:rsid w:val="00E94D39"/>
    <w:rsid w:val="00E95304"/>
    <w:rsid w:val="00E95CE3"/>
    <w:rsid w:val="00E97D0B"/>
    <w:rsid w:val="00EA0856"/>
    <w:rsid w:val="00EA252F"/>
    <w:rsid w:val="00EA2825"/>
    <w:rsid w:val="00EA303A"/>
    <w:rsid w:val="00EA6518"/>
    <w:rsid w:val="00EA71A2"/>
    <w:rsid w:val="00EA7466"/>
    <w:rsid w:val="00EA7EDE"/>
    <w:rsid w:val="00EB0691"/>
    <w:rsid w:val="00EB0B63"/>
    <w:rsid w:val="00EB1936"/>
    <w:rsid w:val="00EB2B57"/>
    <w:rsid w:val="00EB3545"/>
    <w:rsid w:val="00EB37BE"/>
    <w:rsid w:val="00EB5088"/>
    <w:rsid w:val="00EC2726"/>
    <w:rsid w:val="00ED105A"/>
    <w:rsid w:val="00ED1644"/>
    <w:rsid w:val="00ED2593"/>
    <w:rsid w:val="00ED6A85"/>
    <w:rsid w:val="00ED7D55"/>
    <w:rsid w:val="00ED7D9C"/>
    <w:rsid w:val="00ED7F23"/>
    <w:rsid w:val="00EE04A7"/>
    <w:rsid w:val="00EE056D"/>
    <w:rsid w:val="00EE0AC7"/>
    <w:rsid w:val="00EE31A2"/>
    <w:rsid w:val="00EE5822"/>
    <w:rsid w:val="00EF0069"/>
    <w:rsid w:val="00EF3451"/>
    <w:rsid w:val="00EF44A0"/>
    <w:rsid w:val="00EF4580"/>
    <w:rsid w:val="00EF4FED"/>
    <w:rsid w:val="00EF5EDE"/>
    <w:rsid w:val="00EF5F45"/>
    <w:rsid w:val="00EF6843"/>
    <w:rsid w:val="00EF6FB3"/>
    <w:rsid w:val="00EF7AC5"/>
    <w:rsid w:val="00F007C6"/>
    <w:rsid w:val="00F0172E"/>
    <w:rsid w:val="00F050AE"/>
    <w:rsid w:val="00F050BD"/>
    <w:rsid w:val="00F05657"/>
    <w:rsid w:val="00F05AB0"/>
    <w:rsid w:val="00F12F6E"/>
    <w:rsid w:val="00F151E4"/>
    <w:rsid w:val="00F1559A"/>
    <w:rsid w:val="00F17D98"/>
    <w:rsid w:val="00F17ED6"/>
    <w:rsid w:val="00F20676"/>
    <w:rsid w:val="00F209E2"/>
    <w:rsid w:val="00F25578"/>
    <w:rsid w:val="00F258E5"/>
    <w:rsid w:val="00F25B9C"/>
    <w:rsid w:val="00F2675A"/>
    <w:rsid w:val="00F26CC6"/>
    <w:rsid w:val="00F300BC"/>
    <w:rsid w:val="00F3263C"/>
    <w:rsid w:val="00F3334E"/>
    <w:rsid w:val="00F36CCB"/>
    <w:rsid w:val="00F374E5"/>
    <w:rsid w:val="00F37B93"/>
    <w:rsid w:val="00F37BAD"/>
    <w:rsid w:val="00F37ECA"/>
    <w:rsid w:val="00F4082C"/>
    <w:rsid w:val="00F40A1C"/>
    <w:rsid w:val="00F4209E"/>
    <w:rsid w:val="00F42B04"/>
    <w:rsid w:val="00F43397"/>
    <w:rsid w:val="00F43AF2"/>
    <w:rsid w:val="00F45216"/>
    <w:rsid w:val="00F5007E"/>
    <w:rsid w:val="00F50EC4"/>
    <w:rsid w:val="00F51C6B"/>
    <w:rsid w:val="00F51CA2"/>
    <w:rsid w:val="00F52232"/>
    <w:rsid w:val="00F52828"/>
    <w:rsid w:val="00F5282B"/>
    <w:rsid w:val="00F52DC2"/>
    <w:rsid w:val="00F54B8B"/>
    <w:rsid w:val="00F550CF"/>
    <w:rsid w:val="00F553D2"/>
    <w:rsid w:val="00F5544E"/>
    <w:rsid w:val="00F57123"/>
    <w:rsid w:val="00F57A6D"/>
    <w:rsid w:val="00F57DDE"/>
    <w:rsid w:val="00F6108B"/>
    <w:rsid w:val="00F62F19"/>
    <w:rsid w:val="00F638CC"/>
    <w:rsid w:val="00F64C9E"/>
    <w:rsid w:val="00F64CC1"/>
    <w:rsid w:val="00F67AEF"/>
    <w:rsid w:val="00F72317"/>
    <w:rsid w:val="00F73DC1"/>
    <w:rsid w:val="00F7499A"/>
    <w:rsid w:val="00F74E7C"/>
    <w:rsid w:val="00F75BB8"/>
    <w:rsid w:val="00F80475"/>
    <w:rsid w:val="00F81390"/>
    <w:rsid w:val="00F81F7A"/>
    <w:rsid w:val="00F8247A"/>
    <w:rsid w:val="00F82E5C"/>
    <w:rsid w:val="00F83F58"/>
    <w:rsid w:val="00F85CD7"/>
    <w:rsid w:val="00F872C3"/>
    <w:rsid w:val="00F87CEA"/>
    <w:rsid w:val="00F9124B"/>
    <w:rsid w:val="00F92F97"/>
    <w:rsid w:val="00F953C3"/>
    <w:rsid w:val="00F9629A"/>
    <w:rsid w:val="00F97EFC"/>
    <w:rsid w:val="00FA0C7C"/>
    <w:rsid w:val="00FA1BDD"/>
    <w:rsid w:val="00FA305C"/>
    <w:rsid w:val="00FA3C24"/>
    <w:rsid w:val="00FA462E"/>
    <w:rsid w:val="00FA4DD5"/>
    <w:rsid w:val="00FA5883"/>
    <w:rsid w:val="00FA6055"/>
    <w:rsid w:val="00FA6627"/>
    <w:rsid w:val="00FB0B39"/>
    <w:rsid w:val="00FB322F"/>
    <w:rsid w:val="00FB4323"/>
    <w:rsid w:val="00FB442F"/>
    <w:rsid w:val="00FB77A9"/>
    <w:rsid w:val="00FC0983"/>
    <w:rsid w:val="00FC118C"/>
    <w:rsid w:val="00FC1929"/>
    <w:rsid w:val="00FC2831"/>
    <w:rsid w:val="00FC4EE0"/>
    <w:rsid w:val="00FC5B46"/>
    <w:rsid w:val="00FD0E23"/>
    <w:rsid w:val="00FD1696"/>
    <w:rsid w:val="00FD1D4F"/>
    <w:rsid w:val="00FD24BF"/>
    <w:rsid w:val="00FD3B6E"/>
    <w:rsid w:val="00FD57EB"/>
    <w:rsid w:val="00FD6D8E"/>
    <w:rsid w:val="00FE0663"/>
    <w:rsid w:val="00FE0E94"/>
    <w:rsid w:val="00FE158E"/>
    <w:rsid w:val="00FE23BB"/>
    <w:rsid w:val="00FE369C"/>
    <w:rsid w:val="00FE3CD9"/>
    <w:rsid w:val="00FE4B55"/>
    <w:rsid w:val="00FF00BD"/>
    <w:rsid w:val="00FF0B13"/>
    <w:rsid w:val="00FF1ED4"/>
    <w:rsid w:val="00FF280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0AE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D85"/>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ES Paragraph,PBAC ES Paragraph,PBAC normal points,Bullet List"/>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Table Gridbeth,Summary box,new style,ASD Table,HTAtableplain"/>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1"/>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uiPriority w:val="99"/>
    <w:unhideWhenUsed/>
    <w:qFormat/>
    <w:rsid w:val="00CF066B"/>
    <w:pPr>
      <w:jc w:val="right"/>
    </w:pPr>
  </w:style>
  <w:style w:type="character" w:customStyle="1" w:styleId="HeaderChar">
    <w:name w:val="Header Char"/>
    <w:aliases w:val="Page Header Char,Header title Char,he=header Char,cntr/bld Char"/>
    <w:basedOn w:val="DefaultParagraphFont"/>
    <w:link w:val="Header"/>
    <w:uiPriority w:val="99"/>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basedOn w:val="DefaultParagraphFont"/>
    <w:uiPriority w:val="99"/>
    <w:semiHidden/>
    <w:unhideWhenUsed/>
    <w:qFormat/>
    <w:rsid w:val="008147AE"/>
    <w:rPr>
      <w:sz w:val="16"/>
      <w:szCs w:val="16"/>
    </w:rPr>
  </w:style>
  <w:style w:type="paragraph" w:styleId="CommentText">
    <w:name w:val="annotation text"/>
    <w:basedOn w:val="Normal"/>
    <w:link w:val="CommentTextChar"/>
    <w:unhideWhenUsed/>
    <w:rsid w:val="008147AE"/>
    <w:rPr>
      <w:sz w:val="20"/>
      <w:szCs w:val="20"/>
    </w:rPr>
  </w:style>
  <w:style w:type="character" w:customStyle="1" w:styleId="CommentTextChar">
    <w:name w:val="Comment Text Char"/>
    <w:basedOn w:val="DefaultParagraphFont"/>
    <w:link w:val="CommentText"/>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99"/>
    <w:unhideWhenUsed/>
    <w:qFormat/>
    <w:rsid w:val="00FE23BB"/>
    <w:pPr>
      <w:spacing w:after="200"/>
    </w:pPr>
    <w:rPr>
      <w:i/>
      <w:iCs/>
      <w:color w:val="1F497D" w:themeColor="text2"/>
      <w:sz w:val="18"/>
      <w:szCs w:val="18"/>
    </w:rPr>
  </w:style>
  <w:style w:type="paragraph" w:customStyle="1" w:styleId="Tableheadingrow">
    <w:name w:val="Table heading row"/>
    <w:qFormat/>
    <w:rsid w:val="00C5688E"/>
    <w:pPr>
      <w:keepNext/>
    </w:pPr>
    <w:rPr>
      <w:rFonts w:ascii="Arial Narrow" w:eastAsiaTheme="majorEastAsia" w:hAnsi="Arial Narrow"/>
      <w:b/>
      <w:szCs w:val="24"/>
      <w:lang w:val="en-US"/>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basedOn w:val="DefaultParagraphFont"/>
    <w:link w:val="Caption"/>
    <w:uiPriority w:val="99"/>
    <w:rsid w:val="00A73470"/>
    <w:rPr>
      <w:rFonts w:ascii="Calibri" w:hAnsi="Calibri"/>
      <w:i/>
      <w:iCs/>
      <w:color w:val="1F497D" w:themeColor="text2"/>
      <w:sz w:val="18"/>
      <w:szCs w:val="18"/>
    </w:rPr>
  </w:style>
  <w:style w:type="paragraph" w:customStyle="1" w:styleId="Body">
    <w:name w:val="Body"/>
    <w:basedOn w:val="Normal"/>
    <w:link w:val="BodyChar"/>
    <w:qFormat/>
    <w:rsid w:val="00A73470"/>
    <w:pPr>
      <w:spacing w:after="240" w:line="276" w:lineRule="auto"/>
    </w:pPr>
    <w:rPr>
      <w:rFonts w:eastAsia="Calibri" w:cs="Calibri"/>
      <w:sz w:val="22"/>
    </w:rPr>
  </w:style>
  <w:style w:type="character" w:customStyle="1" w:styleId="BodyChar">
    <w:name w:val="Body Char"/>
    <w:link w:val="Body"/>
    <w:rsid w:val="00A73470"/>
    <w:rPr>
      <w:rFonts w:ascii="Calibri" w:eastAsia="Calibri" w:hAnsi="Calibri" w:cs="Calibri"/>
      <w:sz w:val="22"/>
      <w:szCs w:val="24"/>
    </w:rPr>
  </w:style>
  <w:style w:type="paragraph" w:customStyle="1" w:styleId="Table">
    <w:name w:val="Table"/>
    <w:basedOn w:val="Normal"/>
    <w:qFormat/>
    <w:rsid w:val="00A73470"/>
    <w:pPr>
      <w:keepNext/>
      <w:keepLines/>
      <w:spacing w:after="200"/>
      <w:jc w:val="left"/>
    </w:pPr>
    <w:rPr>
      <w:rFonts w:eastAsiaTheme="majorEastAsia" w:cstheme="majorBidi"/>
      <w:sz w:val="20"/>
      <w:lang w:bidi="en-US"/>
    </w:rPr>
  </w:style>
  <w:style w:type="paragraph" w:customStyle="1" w:styleId="ExecSumBodyText">
    <w:name w:val="Exec Sum Body Text"/>
    <w:basedOn w:val="Normal"/>
    <w:link w:val="ExecSumBodyTextChar"/>
    <w:qFormat/>
    <w:rsid w:val="00FB4323"/>
    <w:pPr>
      <w:spacing w:after="120"/>
      <w:ind w:left="720" w:hanging="720"/>
    </w:pPr>
    <w:rPr>
      <w:rFonts w:asciiTheme="minorHAnsi" w:hAnsiTheme="minorHAnsi" w:cs="Arial"/>
      <w:snapToGrid w:val="0"/>
      <w:lang w:val="en-GB"/>
    </w:rPr>
  </w:style>
  <w:style w:type="character" w:customStyle="1" w:styleId="ExecSumBodyTextChar">
    <w:name w:val="Exec Sum Body Text Char"/>
    <w:basedOn w:val="DefaultParagraphFont"/>
    <w:link w:val="ExecSumBodyText"/>
    <w:rsid w:val="00FB4323"/>
    <w:rPr>
      <w:rFonts w:asciiTheme="minorHAnsi" w:hAnsiTheme="minorHAnsi" w:cs="Arial"/>
      <w:snapToGrid w:val="0"/>
      <w:sz w:val="24"/>
      <w:szCs w:val="24"/>
      <w:lang w:val="en-GB"/>
    </w:rPr>
  </w:style>
  <w:style w:type="paragraph" w:customStyle="1" w:styleId="EndNoteBibliographyTitle">
    <w:name w:val="EndNote Bibliography Title"/>
    <w:basedOn w:val="Normal"/>
    <w:link w:val="EndNoteBibliographyTitleChar"/>
    <w:rsid w:val="00EF5EDE"/>
    <w:pPr>
      <w:spacing w:after="200" w:line="312" w:lineRule="auto"/>
      <w:jc w:val="center"/>
    </w:pPr>
    <w:rPr>
      <w:rFonts w:cs="Arial"/>
      <w:noProof/>
      <w:sz w:val="22"/>
      <w:lang w:val="en-US"/>
    </w:rPr>
  </w:style>
  <w:style w:type="character" w:customStyle="1" w:styleId="EndNoteBibliographyTitleChar">
    <w:name w:val="EndNote Bibliography Title Char"/>
    <w:basedOn w:val="DefaultParagraphFont"/>
    <w:link w:val="EndNoteBibliographyTitle"/>
    <w:rsid w:val="00EF5EDE"/>
    <w:rPr>
      <w:rFonts w:ascii="Calibri" w:hAnsi="Calibri" w:cs="Arial"/>
      <w:noProof/>
      <w:sz w:val="22"/>
      <w:szCs w:val="24"/>
      <w:lang w:val="en-US"/>
    </w:rPr>
  </w:style>
  <w:style w:type="paragraph" w:styleId="ListBullet">
    <w:name w:val="List Bullet"/>
    <w:basedOn w:val="Normal"/>
    <w:semiHidden/>
    <w:unhideWhenUsed/>
    <w:rsid w:val="00BA3405"/>
    <w:pPr>
      <w:tabs>
        <w:tab w:val="num" w:pos="360"/>
      </w:tabs>
      <w:ind w:left="360" w:hanging="360"/>
      <w:contextualSpacing/>
    </w:pPr>
    <w:rPr>
      <w:rFonts w:cs="Arial"/>
      <w:lang w:val="en-GB"/>
    </w:rPr>
  </w:style>
  <w:style w:type="paragraph" w:customStyle="1" w:styleId="3-SubsectionHeading">
    <w:name w:val="3-Subsection Heading"/>
    <w:basedOn w:val="Normal"/>
    <w:next w:val="ExecSumBodyText"/>
    <w:link w:val="3-SubsectionHeadingChar"/>
    <w:qFormat/>
    <w:rsid w:val="00A0774F"/>
    <w:pPr>
      <w:spacing w:before="240"/>
      <w:outlineLvl w:val="2"/>
    </w:pPr>
    <w:rPr>
      <w:u w:val="single"/>
    </w:rPr>
  </w:style>
  <w:style w:type="character" w:customStyle="1" w:styleId="3-SubsectionHeadingChar">
    <w:name w:val="3-Subsection Heading Char"/>
    <w:basedOn w:val="Heading2Char"/>
    <w:link w:val="3-SubsectionHeading"/>
    <w:rsid w:val="00A0774F"/>
    <w:rPr>
      <w:rFonts w:ascii="Calibri" w:eastAsiaTheme="majorEastAsia" w:hAnsi="Calibri" w:cstheme="majorBidi"/>
      <w:color w:val="365F91" w:themeColor="accent1" w:themeShade="BF"/>
      <w:sz w:val="24"/>
      <w:szCs w:val="24"/>
      <w:u w:val="single"/>
      <w:lang w:eastAsia="en-US"/>
    </w:rPr>
  </w:style>
  <w:style w:type="character" w:customStyle="1" w:styleId="UnresolvedMention1">
    <w:name w:val="Unresolved Mention1"/>
    <w:basedOn w:val="DefaultParagraphFont"/>
    <w:uiPriority w:val="99"/>
    <w:semiHidden/>
    <w:unhideWhenUsed/>
    <w:rsid w:val="00CC7181"/>
    <w:rPr>
      <w:color w:val="605E5C"/>
      <w:shd w:val="clear" w:color="auto" w:fill="E1DFDD"/>
    </w:rPr>
  </w:style>
  <w:style w:type="paragraph" w:styleId="FootnoteText">
    <w:name w:val="footnote text"/>
    <w:basedOn w:val="Normal"/>
    <w:link w:val="FootnoteTextChar"/>
    <w:semiHidden/>
    <w:unhideWhenUsed/>
    <w:rsid w:val="005B241A"/>
    <w:rPr>
      <w:sz w:val="20"/>
      <w:szCs w:val="20"/>
    </w:rPr>
  </w:style>
  <w:style w:type="character" w:customStyle="1" w:styleId="FootnoteTextChar">
    <w:name w:val="Footnote Text Char"/>
    <w:basedOn w:val="DefaultParagraphFont"/>
    <w:link w:val="FootnoteText"/>
    <w:semiHidden/>
    <w:rsid w:val="005B241A"/>
    <w:rPr>
      <w:rFonts w:ascii="Calibri" w:hAnsi="Calibri"/>
    </w:rPr>
  </w:style>
  <w:style w:type="character" w:styleId="FootnoteReference">
    <w:name w:val="footnote reference"/>
    <w:basedOn w:val="DefaultParagraphFont"/>
    <w:semiHidden/>
    <w:unhideWhenUsed/>
    <w:rsid w:val="005B241A"/>
    <w:rPr>
      <w:vertAlign w:val="superscript"/>
    </w:rPr>
  </w:style>
  <w:style w:type="character" w:customStyle="1" w:styleId="TableFigureCaptionChar">
    <w:name w:val="Table/Figure Caption Char"/>
    <w:basedOn w:val="DefaultParagraphFont"/>
    <w:link w:val="TableFigureCaption"/>
    <w:locked/>
    <w:rsid w:val="00B562B1"/>
    <w:rPr>
      <w:rFonts w:ascii="Arial Narrow" w:eastAsiaTheme="majorEastAsia" w:hAnsi="Arial Narrow" w:cstheme="majorBidi"/>
      <w:b/>
      <w:bCs/>
      <w:szCs w:val="24"/>
    </w:rPr>
  </w:style>
  <w:style w:type="paragraph" w:customStyle="1" w:styleId="TableFigureCaption">
    <w:name w:val="Table/Figure Caption"/>
    <w:next w:val="Normal"/>
    <w:link w:val="TableFigureCaptionChar"/>
    <w:qFormat/>
    <w:rsid w:val="00B562B1"/>
    <w:pPr>
      <w:keepNext/>
    </w:pPr>
    <w:rPr>
      <w:rFonts w:ascii="Arial Narrow" w:eastAsiaTheme="majorEastAsia" w:hAnsi="Arial Narrow" w:cstheme="majorBidi"/>
      <w:b/>
      <w:bCs/>
      <w:szCs w:val="24"/>
    </w:rPr>
  </w:style>
  <w:style w:type="table" w:customStyle="1" w:styleId="TableGrid1">
    <w:name w:val="Table Grid1"/>
    <w:basedOn w:val="TableNormal"/>
    <w:next w:val="TableGrid"/>
    <w:uiPriority w:val="39"/>
    <w:rsid w:val="003C0118"/>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3C6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512">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906746">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19721878">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450175417">
      <w:bodyDiv w:val="1"/>
      <w:marLeft w:val="0"/>
      <w:marRight w:val="0"/>
      <w:marTop w:val="0"/>
      <w:marBottom w:val="0"/>
      <w:divBdr>
        <w:top w:val="none" w:sz="0" w:space="0" w:color="auto"/>
        <w:left w:val="none" w:sz="0" w:space="0" w:color="auto"/>
        <w:bottom w:val="none" w:sz="0" w:space="0" w:color="auto"/>
        <w:right w:val="none" w:sz="0" w:space="0" w:color="auto"/>
      </w:divBdr>
    </w:div>
    <w:div w:id="491679719">
      <w:bodyDiv w:val="1"/>
      <w:marLeft w:val="0"/>
      <w:marRight w:val="0"/>
      <w:marTop w:val="0"/>
      <w:marBottom w:val="0"/>
      <w:divBdr>
        <w:top w:val="none" w:sz="0" w:space="0" w:color="auto"/>
        <w:left w:val="none" w:sz="0" w:space="0" w:color="auto"/>
        <w:bottom w:val="none" w:sz="0" w:space="0" w:color="auto"/>
        <w:right w:val="none" w:sz="0" w:space="0" w:color="auto"/>
      </w:divBdr>
    </w:div>
    <w:div w:id="708265558">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7326083">
      <w:bodyDiv w:val="1"/>
      <w:marLeft w:val="0"/>
      <w:marRight w:val="0"/>
      <w:marTop w:val="0"/>
      <w:marBottom w:val="0"/>
      <w:divBdr>
        <w:top w:val="none" w:sz="0" w:space="0" w:color="auto"/>
        <w:left w:val="none" w:sz="0" w:space="0" w:color="auto"/>
        <w:bottom w:val="none" w:sz="0" w:space="0" w:color="auto"/>
        <w:right w:val="none" w:sz="0" w:space="0" w:color="auto"/>
      </w:divBdr>
    </w:div>
    <w:div w:id="932588228">
      <w:bodyDiv w:val="1"/>
      <w:marLeft w:val="0"/>
      <w:marRight w:val="0"/>
      <w:marTop w:val="0"/>
      <w:marBottom w:val="0"/>
      <w:divBdr>
        <w:top w:val="none" w:sz="0" w:space="0" w:color="auto"/>
        <w:left w:val="none" w:sz="0" w:space="0" w:color="auto"/>
        <w:bottom w:val="none" w:sz="0" w:space="0" w:color="auto"/>
        <w:right w:val="none" w:sz="0" w:space="0" w:color="auto"/>
      </w:divBdr>
    </w:div>
    <w:div w:id="946936105">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12339685">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306425515">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64162638">
      <w:bodyDiv w:val="1"/>
      <w:marLeft w:val="0"/>
      <w:marRight w:val="0"/>
      <w:marTop w:val="0"/>
      <w:marBottom w:val="0"/>
      <w:divBdr>
        <w:top w:val="none" w:sz="0" w:space="0" w:color="auto"/>
        <w:left w:val="none" w:sz="0" w:space="0" w:color="auto"/>
        <w:bottom w:val="none" w:sz="0" w:space="0" w:color="auto"/>
        <w:right w:val="none" w:sz="0" w:space="0" w:color="auto"/>
      </w:divBdr>
    </w:div>
    <w:div w:id="1448961685">
      <w:bodyDiv w:val="1"/>
      <w:marLeft w:val="0"/>
      <w:marRight w:val="0"/>
      <w:marTop w:val="0"/>
      <w:marBottom w:val="0"/>
      <w:divBdr>
        <w:top w:val="none" w:sz="0" w:space="0" w:color="auto"/>
        <w:left w:val="none" w:sz="0" w:space="0" w:color="auto"/>
        <w:bottom w:val="none" w:sz="0" w:space="0" w:color="auto"/>
        <w:right w:val="none" w:sz="0" w:space="0" w:color="auto"/>
      </w:divBdr>
    </w:div>
    <w:div w:id="1456826703">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3741914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F6E37-D1B4-423E-9B10-C2875505E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7208</Words>
  <Characters>40922</Characters>
  <Application>Microsoft Office Word</Application>
  <DocSecurity>0</DocSecurity>
  <Lines>341</Lines>
  <Paragraphs>96</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7.10	VENETOCLAX, Tablet 100 mg, 50 mg, Venclexta®, AbbVie Pty Ltd.</vt:lpstr>
      <vt:lpstr>Purpose</vt:lpstr>
      <vt:lpstr>Background</vt:lpstr>
      <vt:lpstr>Requested listing </vt:lpstr>
      <vt:lpstr>Consideration of the evidence</vt:lpstr>
      <vt:lpstr>    Sponsor hearing</vt:lpstr>
      <vt:lpstr>    Consumer comments</vt:lpstr>
      <vt:lpstr>    Comparative effectiveness</vt:lpstr>
      <vt:lpstr>    Economic analysis</vt:lpstr>
      <vt:lpstr>        Extrapolation of time to event data</vt:lpstr>
      <vt:lpstr>        Weighting of AZA and LoDAC comparisons</vt:lpstr>
      <vt:lpstr>        Results</vt:lpstr>
      <vt:lpstr>    Drug cost/patient/course</vt:lpstr>
      <vt:lpstr>    Estimated PBS usage &amp; financial implications</vt:lpstr>
      <vt:lpstr>    Financial Management – Risk Sharing Arrangements</vt:lpstr>
      <vt:lpstr>PBAC Outcome</vt:lpstr>
      <vt:lpstr>Recommended listing</vt:lpstr>
      <vt:lpstr>Context for Decision</vt:lpstr>
      <vt:lpstr>Sponsor’s Comment</vt:lpstr>
    </vt:vector>
  </TitlesOfParts>
  <Company/>
  <LinksUpToDate>false</LinksUpToDate>
  <CharactersWithSpaces>48034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2021-10-25T05:28:00Z</dcterms:created>
  <dcterms:modified xsi:type="dcterms:W3CDTF">2021-10-25T05:30:00Z</dcterms:modified>
</cp:coreProperties>
</file>