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5D97" w:rsidRDefault="008F5D97" w:rsidP="008F5D97">
      <w:pPr>
        <w:rPr>
          <w:color w:val="FF0000"/>
        </w:rPr>
      </w:pPr>
      <w:r w:rsidRPr="003B63B2">
        <w:rPr>
          <w:color w:val="FF0000"/>
        </w:rPr>
        <w:t>An addendum has been included at the end of the document.</w:t>
      </w:r>
    </w:p>
    <w:p w:rsidR="00B60939" w:rsidRPr="00C62A13" w:rsidRDefault="00B42900" w:rsidP="004A6040">
      <w:pPr>
        <w:pStyle w:val="1-MainHeading"/>
      </w:pPr>
      <w:bookmarkStart w:id="0" w:name="_Toc72315491"/>
      <w:r w:rsidRPr="00C62A13">
        <w:t>6.08</w:t>
      </w:r>
      <w:r w:rsidR="00163F66" w:rsidRPr="00C62A13">
        <w:tab/>
      </w:r>
      <w:r w:rsidR="004B5980" w:rsidRPr="00C62A13">
        <w:t>UPADACITINIB</w:t>
      </w:r>
      <w:r w:rsidR="00163F66" w:rsidRPr="00C62A13">
        <w:t>,</w:t>
      </w:r>
      <w:r w:rsidR="00163F66" w:rsidRPr="00C62A13">
        <w:br/>
      </w:r>
      <w:r w:rsidR="004B5980" w:rsidRPr="00C62A13">
        <w:t>Tablet</w:t>
      </w:r>
      <w:r w:rsidR="00A91368" w:rsidRPr="00C62A13">
        <w:t xml:space="preserve"> 15</w:t>
      </w:r>
      <w:r w:rsidR="00C16821" w:rsidRPr="00C62A13">
        <w:t xml:space="preserve"> </w:t>
      </w:r>
      <w:r w:rsidR="00A91368" w:rsidRPr="00C62A13">
        <w:t>mg</w:t>
      </w:r>
      <w:r w:rsidR="00163F66" w:rsidRPr="00C62A13">
        <w:t>,</w:t>
      </w:r>
      <w:r w:rsidR="00163F66" w:rsidRPr="00C62A13">
        <w:br/>
      </w:r>
      <w:r w:rsidR="00A91368" w:rsidRPr="00C62A13">
        <w:t>Tablet</w:t>
      </w:r>
      <w:r w:rsidR="004B5980" w:rsidRPr="00C62A13">
        <w:t xml:space="preserve"> 30</w:t>
      </w:r>
      <w:r w:rsidR="00C16821" w:rsidRPr="00C62A13">
        <w:t xml:space="preserve"> </w:t>
      </w:r>
      <w:r w:rsidR="004B5980" w:rsidRPr="00C62A13">
        <w:t>mg</w:t>
      </w:r>
      <w:r w:rsidR="00163F66" w:rsidRPr="00C62A13">
        <w:t>,</w:t>
      </w:r>
      <w:r w:rsidR="00163F66" w:rsidRPr="00C62A13">
        <w:br/>
      </w:r>
      <w:r w:rsidR="004B5980" w:rsidRPr="00C62A13">
        <w:t>Rinvoq</w:t>
      </w:r>
      <w:r w:rsidR="00B60939" w:rsidRPr="00C62A13">
        <w:rPr>
          <w:vertAlign w:val="superscript"/>
        </w:rPr>
        <w:t>®</w:t>
      </w:r>
      <w:r w:rsidR="004A6040" w:rsidRPr="00C62A13">
        <w:t>,</w:t>
      </w:r>
      <w:r w:rsidR="004A6040" w:rsidRPr="00C62A13">
        <w:br/>
      </w:r>
      <w:r w:rsidR="004B5980" w:rsidRPr="00C62A13">
        <w:t>AbbVie Pty Ltd</w:t>
      </w:r>
      <w:r w:rsidR="00B60939" w:rsidRPr="00C62A13">
        <w:t>.</w:t>
      </w:r>
      <w:bookmarkEnd w:id="0"/>
    </w:p>
    <w:p w:rsidR="009D7ACE" w:rsidRPr="00C62A13" w:rsidRDefault="00B50DB8" w:rsidP="009D7ACE">
      <w:pPr>
        <w:pStyle w:val="2-SectionHeading"/>
      </w:pPr>
      <w:bookmarkStart w:id="1" w:name="_Toc72315493"/>
      <w:r w:rsidRPr="00C62A13">
        <w:t xml:space="preserve">Purpose of </w:t>
      </w:r>
      <w:r w:rsidR="00CD7193" w:rsidRPr="00C62A13">
        <w:t>s</w:t>
      </w:r>
      <w:r w:rsidR="00BB3A45" w:rsidRPr="00C62A13">
        <w:t>ubmission</w:t>
      </w:r>
      <w:bookmarkEnd w:id="1"/>
      <w:r w:rsidR="009D7ACE" w:rsidRPr="00C62A13">
        <w:t xml:space="preserve"> </w:t>
      </w:r>
    </w:p>
    <w:p w:rsidR="009D7ACE" w:rsidRPr="00C62A13" w:rsidRDefault="009D7ACE" w:rsidP="009D7ACE">
      <w:pPr>
        <w:pStyle w:val="3-BodyText"/>
      </w:pPr>
      <w:r w:rsidRPr="00C62A13">
        <w:t xml:space="preserve">The </w:t>
      </w:r>
      <w:r w:rsidR="003E2F6C">
        <w:t xml:space="preserve">Category 2 </w:t>
      </w:r>
      <w:r w:rsidRPr="00C62A13">
        <w:t>submission requested Authority Required (Telephone) PBS listing for upadacitinib (UPA) 15</w:t>
      </w:r>
      <w:r w:rsidR="000E102C" w:rsidRPr="00C62A13">
        <w:t xml:space="preserve"> </w:t>
      </w:r>
      <w:r w:rsidRPr="00C62A13">
        <w:t>mg and 30</w:t>
      </w:r>
      <w:r w:rsidR="000E102C" w:rsidRPr="00C62A13">
        <w:t xml:space="preserve"> </w:t>
      </w:r>
      <w:r w:rsidRPr="00C62A13">
        <w:t xml:space="preserve">mg tablets for initial and continuing treatment of adults </w:t>
      </w:r>
      <w:r w:rsidR="00EC22CA" w:rsidRPr="00C62A13">
        <w:t xml:space="preserve">and adolescents </w:t>
      </w:r>
      <w:r w:rsidRPr="00C62A13">
        <w:t xml:space="preserve">with severe atopic dermatitis (AD). </w:t>
      </w:r>
    </w:p>
    <w:p w:rsidR="009D7ACE" w:rsidRPr="00C62A13" w:rsidRDefault="009D7ACE" w:rsidP="0053782F">
      <w:pPr>
        <w:pStyle w:val="3-BodyText"/>
      </w:pPr>
      <w:r w:rsidRPr="00C62A13">
        <w:t xml:space="preserve">Listing was requested on the basis of a cost-minimisation analysis </w:t>
      </w:r>
      <w:r w:rsidR="00EC22CA" w:rsidRPr="00C62A13">
        <w:t>(for UPA 15</w:t>
      </w:r>
      <w:r w:rsidR="000E102C" w:rsidRPr="00C62A13">
        <w:t xml:space="preserve"> </w:t>
      </w:r>
      <w:r w:rsidR="00EC22CA" w:rsidRPr="00C62A13">
        <w:t xml:space="preserve">mg) and </w:t>
      </w:r>
      <w:r w:rsidRPr="00C62A13">
        <w:t xml:space="preserve">a cost utility analysis </w:t>
      </w:r>
      <w:r w:rsidR="00EC22CA" w:rsidRPr="00C62A13">
        <w:t>(for UPA 30</w:t>
      </w:r>
      <w:r w:rsidR="000E102C" w:rsidRPr="00C62A13">
        <w:t xml:space="preserve"> </w:t>
      </w:r>
      <w:r w:rsidR="00EC22CA" w:rsidRPr="00C62A13">
        <w:t xml:space="preserve">mg) </w:t>
      </w:r>
      <w:r w:rsidRPr="00C62A13">
        <w:t xml:space="preserve">versus </w:t>
      </w:r>
      <w:r w:rsidR="00EC22CA" w:rsidRPr="00C62A13">
        <w:t>dupilumab (</w:t>
      </w:r>
      <w:r w:rsidRPr="00C62A13">
        <w:t>DUPI</w:t>
      </w:r>
      <w:r w:rsidR="00EC22CA" w:rsidRPr="00C62A13">
        <w:t>), which</w:t>
      </w:r>
      <w:r w:rsidRPr="00C62A13">
        <w:t xml:space="preserve"> is a subcutaneously (SC) administered interleukin-4 (IL-4) inhibitor currently listed on the PBS for severe AD.</w:t>
      </w:r>
      <w:r w:rsidR="00F22CEA" w:rsidRPr="00C62A13">
        <w:t xml:space="preserve"> The PBAC noted that</w:t>
      </w:r>
      <w:r w:rsidRPr="00C62A13">
        <w:t xml:space="preserve"> UPA </w:t>
      </w:r>
      <w:r w:rsidR="00F22CEA" w:rsidRPr="00C62A13">
        <w:t>is a novel medicine, as no other</w:t>
      </w:r>
      <w:r w:rsidRPr="00C62A13">
        <w:t xml:space="preserve"> Janus Kinase (JAK) inhibitor</w:t>
      </w:r>
      <w:r w:rsidR="00F22CEA" w:rsidRPr="00C62A13">
        <w:t xml:space="preserve"> </w:t>
      </w:r>
      <w:r w:rsidR="00785876" w:rsidRPr="00C62A13">
        <w:t>is</w:t>
      </w:r>
      <w:r w:rsidRPr="00C62A13">
        <w:t xml:space="preserve"> available on the PBS for AD. The PBAC also consider</w:t>
      </w:r>
      <w:r w:rsidR="00785876" w:rsidRPr="00C62A13">
        <w:t>ed an application for</w:t>
      </w:r>
      <w:r w:rsidRPr="00C62A13">
        <w:t xml:space="preserve"> </w:t>
      </w:r>
      <w:r w:rsidR="005268C5" w:rsidRPr="00C62A13">
        <w:t xml:space="preserve">listing of </w:t>
      </w:r>
      <w:r w:rsidRPr="00C62A13">
        <w:t>baric</w:t>
      </w:r>
      <w:r w:rsidR="00AE076C" w:rsidRPr="00C62A13">
        <w:t>i</w:t>
      </w:r>
      <w:r w:rsidRPr="00C62A13">
        <w:t xml:space="preserve">tinib </w:t>
      </w:r>
      <w:r w:rsidR="00B72BCF" w:rsidRPr="00C62A13">
        <w:t>(</w:t>
      </w:r>
      <w:r w:rsidRPr="00C62A13">
        <w:t>another JAK inhibitor</w:t>
      </w:r>
      <w:r w:rsidR="00B72BCF" w:rsidRPr="00C62A13">
        <w:t>)</w:t>
      </w:r>
      <w:r w:rsidRPr="00C62A13">
        <w:t xml:space="preserve"> for severe AD at the July 2021 meeting.</w:t>
      </w:r>
    </w:p>
    <w:p w:rsidR="009D7ACE" w:rsidRPr="00C62A13" w:rsidRDefault="009D7ACE" w:rsidP="002B142D">
      <w:pPr>
        <w:pStyle w:val="TableFigureHeading"/>
        <w:rPr>
          <w:rStyle w:val="CommentReference"/>
          <w:b/>
          <w:szCs w:val="24"/>
        </w:rPr>
      </w:pPr>
      <w:r w:rsidRPr="00C62A13">
        <w:rPr>
          <w:rStyle w:val="CommentReference"/>
          <w:b/>
          <w:szCs w:val="24"/>
        </w:rPr>
        <w:t>Table 1: Key components of the clinical issue addressed by the submission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885"/>
      </w:tblGrid>
      <w:tr w:rsidR="009D7ACE" w:rsidRPr="00C62A13" w:rsidTr="005F61AA">
        <w:tc>
          <w:tcPr>
            <w:tcW w:w="1271" w:type="dxa"/>
            <w:vAlign w:val="center"/>
          </w:tcPr>
          <w:p w:rsidR="009D7ACE" w:rsidRPr="00C62A13" w:rsidRDefault="009D7ACE" w:rsidP="002B142D">
            <w:pPr>
              <w:pStyle w:val="In-tableHeading"/>
              <w:rPr>
                <w:lang w:val="en-AU"/>
              </w:rPr>
            </w:pPr>
            <w:r w:rsidRPr="00C62A13">
              <w:rPr>
                <w:lang w:val="en-AU"/>
              </w:rPr>
              <w:t>Component</w:t>
            </w:r>
          </w:p>
        </w:tc>
        <w:tc>
          <w:tcPr>
            <w:tcW w:w="7885" w:type="dxa"/>
            <w:vAlign w:val="center"/>
          </w:tcPr>
          <w:p w:rsidR="009D7ACE" w:rsidRPr="00C62A13" w:rsidRDefault="009D7ACE" w:rsidP="002B142D">
            <w:pPr>
              <w:pStyle w:val="In-tableHeading"/>
              <w:rPr>
                <w:lang w:val="en-AU"/>
              </w:rPr>
            </w:pPr>
            <w:r w:rsidRPr="00C62A13">
              <w:rPr>
                <w:lang w:val="en-AU"/>
              </w:rPr>
              <w:t>Description</w:t>
            </w:r>
          </w:p>
        </w:tc>
      </w:tr>
      <w:tr w:rsidR="009D7ACE" w:rsidRPr="00C62A13" w:rsidTr="005F61AA">
        <w:tc>
          <w:tcPr>
            <w:tcW w:w="1271" w:type="dxa"/>
            <w:vAlign w:val="center"/>
          </w:tcPr>
          <w:p w:rsidR="009D7ACE" w:rsidRPr="00C62A13" w:rsidRDefault="009D7ACE" w:rsidP="002B142D">
            <w:pPr>
              <w:pStyle w:val="TableText0"/>
            </w:pPr>
            <w:r w:rsidRPr="00C62A13">
              <w:t>Population</w:t>
            </w:r>
          </w:p>
        </w:tc>
        <w:tc>
          <w:tcPr>
            <w:tcW w:w="7885" w:type="dxa"/>
            <w:vAlign w:val="center"/>
          </w:tcPr>
          <w:p w:rsidR="009D7ACE" w:rsidRPr="00C62A13" w:rsidRDefault="009D7ACE" w:rsidP="002B142D">
            <w:pPr>
              <w:pStyle w:val="TableText0"/>
            </w:pPr>
            <w:r w:rsidRPr="00C62A13">
              <w:t>Patients aged 12 years or older with severe atopic dermatitis</w:t>
            </w:r>
            <w:r w:rsidR="00B72BCF" w:rsidRPr="00C62A13">
              <w:t>,</w:t>
            </w:r>
            <w:r w:rsidRPr="00C62A13">
              <w:t xml:space="preserve"> </w:t>
            </w:r>
            <w:r w:rsidR="00B72BCF" w:rsidRPr="00C62A13">
              <w:t xml:space="preserve">affecting the whole body or </w:t>
            </w:r>
            <w:r w:rsidRPr="00C62A13">
              <w:t>the face and hands</w:t>
            </w:r>
            <w:r w:rsidR="00B72BCF" w:rsidRPr="00C62A13">
              <w:t>,</w:t>
            </w:r>
            <w:r w:rsidRPr="00C62A13">
              <w:t xml:space="preserve"> who are inadequately controlled on topical therapies (as per the criteria for the listing of DUPI)</w:t>
            </w:r>
          </w:p>
        </w:tc>
      </w:tr>
      <w:tr w:rsidR="009D7ACE" w:rsidRPr="00C62A13" w:rsidTr="005F61AA">
        <w:tc>
          <w:tcPr>
            <w:tcW w:w="1271" w:type="dxa"/>
            <w:vAlign w:val="center"/>
          </w:tcPr>
          <w:p w:rsidR="009D7ACE" w:rsidRPr="00C62A13" w:rsidRDefault="009D7ACE" w:rsidP="002B142D">
            <w:pPr>
              <w:pStyle w:val="TableText0"/>
            </w:pPr>
            <w:r w:rsidRPr="00C62A13">
              <w:t>Intervention</w:t>
            </w:r>
          </w:p>
        </w:tc>
        <w:tc>
          <w:tcPr>
            <w:tcW w:w="7885" w:type="dxa"/>
            <w:vAlign w:val="center"/>
          </w:tcPr>
          <w:p w:rsidR="009D7ACE" w:rsidRPr="00C62A13" w:rsidRDefault="009D7ACE" w:rsidP="002B142D">
            <w:pPr>
              <w:pStyle w:val="TableText0"/>
            </w:pPr>
            <w:r w:rsidRPr="00C62A13">
              <w:t>UPA 15</w:t>
            </w:r>
            <w:r w:rsidR="000E102C" w:rsidRPr="00C62A13">
              <w:t xml:space="preserve"> </w:t>
            </w:r>
            <w:r w:rsidRPr="00C62A13">
              <w:t xml:space="preserve">mg or 30 mg tablet, orally, once daily </w:t>
            </w:r>
          </w:p>
          <w:p w:rsidR="009D7ACE" w:rsidRPr="00C62A13" w:rsidRDefault="009D7ACE" w:rsidP="002B142D">
            <w:pPr>
              <w:pStyle w:val="TableText0"/>
            </w:pPr>
            <w:r w:rsidRPr="00C62A13">
              <w:t>The recommended dose in adults is 15</w:t>
            </w:r>
            <w:r w:rsidR="00B043AE" w:rsidRPr="00C62A13">
              <w:t xml:space="preserve"> </w:t>
            </w:r>
            <w:r w:rsidRPr="00C62A13">
              <w:t>mg or 30</w:t>
            </w:r>
            <w:r w:rsidR="00B043AE" w:rsidRPr="00C62A13">
              <w:t xml:space="preserve"> </w:t>
            </w:r>
            <w:r w:rsidRPr="00C62A13">
              <w:t>mg once daily, and 15</w:t>
            </w:r>
            <w:r w:rsidR="00B043AE" w:rsidRPr="00C62A13">
              <w:t xml:space="preserve"> </w:t>
            </w:r>
            <w:r w:rsidRPr="00C62A13">
              <w:t>mg once daily for adolescents.</w:t>
            </w:r>
          </w:p>
        </w:tc>
      </w:tr>
      <w:tr w:rsidR="009D7ACE" w:rsidRPr="00C62A13" w:rsidTr="005F61AA">
        <w:tc>
          <w:tcPr>
            <w:tcW w:w="1271" w:type="dxa"/>
            <w:vAlign w:val="center"/>
          </w:tcPr>
          <w:p w:rsidR="009D7ACE" w:rsidRPr="00C62A13" w:rsidRDefault="009D7ACE" w:rsidP="002B142D">
            <w:pPr>
              <w:pStyle w:val="TableText0"/>
            </w:pPr>
            <w:r w:rsidRPr="00C62A13">
              <w:t>Comparator</w:t>
            </w:r>
          </w:p>
        </w:tc>
        <w:tc>
          <w:tcPr>
            <w:tcW w:w="7885" w:type="dxa"/>
            <w:vAlign w:val="center"/>
          </w:tcPr>
          <w:p w:rsidR="009D7ACE" w:rsidRPr="00C62A13" w:rsidRDefault="009D7ACE" w:rsidP="002B142D">
            <w:pPr>
              <w:pStyle w:val="TableText0"/>
            </w:pPr>
            <w:r w:rsidRPr="00C62A13">
              <w:t>Primary:</w:t>
            </w:r>
          </w:p>
          <w:p w:rsidR="009D7ACE" w:rsidRPr="00C62A13" w:rsidRDefault="009D7ACE" w:rsidP="002B142D">
            <w:pPr>
              <w:pStyle w:val="TableText0"/>
              <w:numPr>
                <w:ilvl w:val="0"/>
                <w:numId w:val="7"/>
              </w:numPr>
              <w:ind w:left="149" w:hanging="146"/>
            </w:pPr>
            <w:r w:rsidRPr="00C62A13">
              <w:t>In adults and adolescents ≥ 60 kg: DUPI 600 mg SC injection as a loading dose followed by 300 mg SC injection once every fortnight.</w:t>
            </w:r>
          </w:p>
          <w:p w:rsidR="009D7ACE" w:rsidRPr="00C62A13" w:rsidRDefault="009D7ACE" w:rsidP="002B142D">
            <w:pPr>
              <w:pStyle w:val="TableText0"/>
              <w:numPr>
                <w:ilvl w:val="0"/>
                <w:numId w:val="7"/>
              </w:numPr>
              <w:ind w:left="149" w:hanging="146"/>
            </w:pPr>
            <w:r w:rsidRPr="00C62A13">
              <w:t>In adolescents &lt;60 kg: DUPI 400 mg SC injection as a loading dose, followed by 200 mg SC injection once every fortnight.</w:t>
            </w:r>
            <w:r w:rsidRPr="00C62A13" w:rsidDel="00937C9D">
              <w:t xml:space="preserve"> </w:t>
            </w:r>
          </w:p>
          <w:p w:rsidR="009D7ACE" w:rsidRPr="00C62A13" w:rsidRDefault="009D7ACE" w:rsidP="002B142D">
            <w:pPr>
              <w:pStyle w:val="TableText0"/>
            </w:pPr>
            <w:r w:rsidRPr="00C62A13">
              <w:t xml:space="preserve">Supplementary (near-market comparators): </w:t>
            </w:r>
          </w:p>
          <w:p w:rsidR="009D7ACE" w:rsidRPr="00C62A13" w:rsidRDefault="005168B2" w:rsidP="002B142D">
            <w:pPr>
              <w:pStyle w:val="TableText0"/>
              <w:numPr>
                <w:ilvl w:val="0"/>
                <w:numId w:val="7"/>
              </w:numPr>
              <w:ind w:left="149" w:hanging="146"/>
            </w:pPr>
            <w:r w:rsidRPr="00C62A13">
              <w:t>Bari</w:t>
            </w:r>
            <w:r w:rsidR="009D7ACE" w:rsidRPr="00C62A13">
              <w:t>citinib 2 mg and 4 mg, orally, once daily;</w:t>
            </w:r>
          </w:p>
          <w:p w:rsidR="009D7ACE" w:rsidRPr="00C62A13" w:rsidRDefault="009D7ACE" w:rsidP="002B142D">
            <w:pPr>
              <w:pStyle w:val="TableText0"/>
              <w:numPr>
                <w:ilvl w:val="0"/>
                <w:numId w:val="7"/>
              </w:numPr>
              <w:ind w:left="149" w:hanging="146"/>
            </w:pPr>
            <w:r w:rsidRPr="00C62A13">
              <w:t>Abrocitinib 100 mg and 200 mg, orally once daily; and</w:t>
            </w:r>
          </w:p>
          <w:p w:rsidR="009D7ACE" w:rsidRPr="00C62A13" w:rsidRDefault="009D7ACE" w:rsidP="002B142D">
            <w:pPr>
              <w:pStyle w:val="TableText0"/>
              <w:numPr>
                <w:ilvl w:val="0"/>
                <w:numId w:val="7"/>
              </w:numPr>
              <w:ind w:left="149" w:hanging="146"/>
            </w:pPr>
            <w:r w:rsidRPr="00C62A13">
              <w:t>Tralokinumab 300 mg SC injection, once every fortnight.</w:t>
            </w:r>
          </w:p>
        </w:tc>
      </w:tr>
      <w:tr w:rsidR="009D7ACE" w:rsidRPr="00C62A13" w:rsidTr="005F61AA">
        <w:tc>
          <w:tcPr>
            <w:tcW w:w="1271" w:type="dxa"/>
            <w:vAlign w:val="center"/>
          </w:tcPr>
          <w:p w:rsidR="009D7ACE" w:rsidRPr="00C62A13" w:rsidRDefault="009D7ACE" w:rsidP="002B142D">
            <w:pPr>
              <w:pStyle w:val="TableText0"/>
            </w:pPr>
            <w:r w:rsidRPr="00C62A13">
              <w:t>Outcomes</w:t>
            </w:r>
          </w:p>
        </w:tc>
        <w:tc>
          <w:tcPr>
            <w:tcW w:w="7885" w:type="dxa"/>
            <w:vAlign w:val="center"/>
          </w:tcPr>
          <w:p w:rsidR="009D7ACE" w:rsidRPr="00C62A13" w:rsidRDefault="009D7ACE" w:rsidP="002B142D">
            <w:pPr>
              <w:pStyle w:val="TableText0"/>
            </w:pPr>
            <w:r w:rsidRPr="00C62A13">
              <w:t>Primary outcomes: Proportion of patients with a 75% improvement in EASI score at Week 16 (EASI</w:t>
            </w:r>
            <w:r w:rsidR="00960A92" w:rsidRPr="00C62A13">
              <w:t xml:space="preserve"> </w:t>
            </w:r>
            <w:r w:rsidRPr="00C62A13">
              <w:t>75); proportion of patients achieving IGA score of 0 or 1 with a ≥ 2-point improvement at Week 16.</w:t>
            </w:r>
          </w:p>
          <w:p w:rsidR="009D7ACE" w:rsidRPr="00C62A13" w:rsidRDefault="009D7ACE" w:rsidP="002B142D">
            <w:pPr>
              <w:pStyle w:val="TableText0"/>
            </w:pPr>
            <w:r w:rsidRPr="00C62A13">
              <w:t>Secondary outcomes: EASI</w:t>
            </w:r>
            <w:r w:rsidR="005C4E5C" w:rsidRPr="00C62A13">
              <w:t xml:space="preserve"> </w:t>
            </w:r>
            <w:r w:rsidRPr="00C62A13">
              <w:t>50, ≥ 4 point improvement in DLQI.</w:t>
            </w:r>
          </w:p>
          <w:p w:rsidR="009D7ACE" w:rsidRPr="00C62A13" w:rsidRDefault="009D7ACE" w:rsidP="002B142D">
            <w:pPr>
              <w:pStyle w:val="TableText0"/>
            </w:pPr>
            <w:r w:rsidRPr="00C62A13">
              <w:t>PBS response criteria (post-hoc outcome): composite measure of response EASI</w:t>
            </w:r>
            <w:r w:rsidR="000A4110" w:rsidRPr="00C62A13">
              <w:t xml:space="preserve"> </w:t>
            </w:r>
            <w:r w:rsidRPr="00C62A13">
              <w:t>50 and improvement in DLQI</w:t>
            </w:r>
            <w:r w:rsidR="00C62A13">
              <w:t xml:space="preserve"> </w:t>
            </w:r>
            <w:r w:rsidRPr="00C62A13">
              <w:t>≥4, at Week 16.</w:t>
            </w:r>
          </w:p>
        </w:tc>
      </w:tr>
      <w:tr w:rsidR="009D7ACE" w:rsidRPr="00C62A13" w:rsidTr="005F61AA">
        <w:tc>
          <w:tcPr>
            <w:tcW w:w="1271" w:type="dxa"/>
            <w:vAlign w:val="center"/>
          </w:tcPr>
          <w:p w:rsidR="009D7ACE" w:rsidRPr="00C62A13" w:rsidRDefault="009D7ACE" w:rsidP="002B142D">
            <w:pPr>
              <w:pStyle w:val="TableText0"/>
            </w:pPr>
            <w:r w:rsidRPr="00C62A13">
              <w:t>Clinical claim</w:t>
            </w:r>
          </w:p>
        </w:tc>
        <w:tc>
          <w:tcPr>
            <w:tcW w:w="7885" w:type="dxa"/>
            <w:vAlign w:val="center"/>
          </w:tcPr>
          <w:p w:rsidR="009D7ACE" w:rsidRPr="00C62A13" w:rsidRDefault="009D7ACE" w:rsidP="002B142D">
            <w:pPr>
              <w:pStyle w:val="TableText0"/>
              <w:numPr>
                <w:ilvl w:val="0"/>
                <w:numId w:val="6"/>
              </w:numPr>
              <w:ind w:left="149" w:hanging="146"/>
            </w:pPr>
            <w:r w:rsidRPr="00C62A13">
              <w:t>In the treatment of patients aged 12 years or old</w:t>
            </w:r>
            <w:r w:rsidR="00D93F0C" w:rsidRPr="00C62A13">
              <w:t>er with severe AD, UPA 30</w:t>
            </w:r>
            <w:r w:rsidR="000E102C" w:rsidRPr="00C62A13">
              <w:t xml:space="preserve"> </w:t>
            </w:r>
            <w:r w:rsidRPr="00C62A13">
              <w:t xml:space="preserve">mg is </w:t>
            </w:r>
            <w:r w:rsidRPr="00C62A13">
              <w:rPr>
                <w:b/>
                <w:bCs w:val="0"/>
              </w:rPr>
              <w:t>more effective</w:t>
            </w:r>
            <w:r w:rsidRPr="00C62A13">
              <w:t xml:space="preserve"> than DUPI at improving disease activity outcomes (EASI</w:t>
            </w:r>
            <w:r w:rsidR="005C4E5C" w:rsidRPr="00C62A13">
              <w:t xml:space="preserve"> </w:t>
            </w:r>
            <w:r w:rsidRPr="00C62A13">
              <w:t>50 + DLQI</w:t>
            </w:r>
            <w:r w:rsidR="00C62A13">
              <w:t xml:space="preserve"> </w:t>
            </w:r>
            <w:r w:rsidRPr="00C62A13">
              <w:t xml:space="preserve">≥4; EASI 75; IGA 0/1), and </w:t>
            </w:r>
            <w:r w:rsidRPr="00C62A13">
              <w:rPr>
                <w:b/>
                <w:bCs w:val="0"/>
              </w:rPr>
              <w:t>no worse</w:t>
            </w:r>
            <w:r w:rsidRPr="00C62A13">
              <w:t xml:space="preserve"> in terms of safety.</w:t>
            </w:r>
          </w:p>
          <w:p w:rsidR="009D7ACE" w:rsidRPr="00C62A13" w:rsidRDefault="009D7ACE" w:rsidP="002B142D">
            <w:pPr>
              <w:pStyle w:val="TableText0"/>
              <w:numPr>
                <w:ilvl w:val="0"/>
                <w:numId w:val="6"/>
              </w:numPr>
              <w:ind w:left="149" w:hanging="146"/>
            </w:pPr>
            <w:r w:rsidRPr="00C62A13">
              <w:t xml:space="preserve">In the treatment of patients aged 12 years </w:t>
            </w:r>
            <w:r w:rsidR="00D93F0C" w:rsidRPr="00C62A13">
              <w:t>or older with severe AD, UPA 15</w:t>
            </w:r>
            <w:r w:rsidR="000E102C" w:rsidRPr="00C62A13">
              <w:t xml:space="preserve"> </w:t>
            </w:r>
            <w:r w:rsidRPr="00C62A13">
              <w:t xml:space="preserve">mg is </w:t>
            </w:r>
            <w:r w:rsidRPr="00C62A13">
              <w:rPr>
                <w:b/>
                <w:bCs w:val="0"/>
              </w:rPr>
              <w:t>no worse</w:t>
            </w:r>
            <w:r w:rsidRPr="00C62A13">
              <w:t xml:space="preserve"> than DUPI at improving disease activity outcomes (EASI</w:t>
            </w:r>
            <w:r w:rsidR="005C4E5C" w:rsidRPr="00C62A13">
              <w:t xml:space="preserve"> </w:t>
            </w:r>
            <w:r w:rsidRPr="00C62A13">
              <w:t>50 + DLQI</w:t>
            </w:r>
            <w:r w:rsidR="00C62A13">
              <w:t xml:space="preserve"> </w:t>
            </w:r>
            <w:r w:rsidRPr="00C62A13">
              <w:t xml:space="preserve">≥4; EASI 75; IGA 0/1), and </w:t>
            </w:r>
            <w:r w:rsidRPr="00C62A13">
              <w:rPr>
                <w:b/>
                <w:bCs w:val="0"/>
              </w:rPr>
              <w:t>no worse</w:t>
            </w:r>
            <w:r w:rsidRPr="00C62A13">
              <w:t xml:space="preserve"> in terms of safety.</w:t>
            </w:r>
          </w:p>
        </w:tc>
      </w:tr>
    </w:tbl>
    <w:p w:rsidR="009D7ACE" w:rsidRPr="00C62A13" w:rsidRDefault="009D7ACE" w:rsidP="009D7ACE">
      <w:pPr>
        <w:pStyle w:val="TableFigureFooter"/>
      </w:pPr>
      <w:r w:rsidRPr="00C62A13">
        <w:t>Source: Table 1-1, p28 of the submission.</w:t>
      </w:r>
    </w:p>
    <w:p w:rsidR="00B50DB8" w:rsidRPr="00C62A13" w:rsidRDefault="009D7ACE" w:rsidP="00B70B1E">
      <w:pPr>
        <w:pStyle w:val="TableFigureFooter"/>
      </w:pPr>
      <w:r w:rsidRPr="00C62A13">
        <w:lastRenderedPageBreak/>
        <w:t>DLQI = Dermatology Life Quality Index; DUPI = dupilumab; EASI = Eczema Area and Severity Index; IGA = Investigator’s Global Assessment; D = once daily; SC = sub-cutaneous; UPA = upadacitinib.</w:t>
      </w:r>
    </w:p>
    <w:p w:rsidR="005C25FF" w:rsidRPr="00C62A13" w:rsidRDefault="005C25FF" w:rsidP="004A6040">
      <w:pPr>
        <w:pStyle w:val="2-SectionHeading"/>
      </w:pPr>
      <w:bookmarkStart w:id="2" w:name="_Toc72315494"/>
      <w:r w:rsidRPr="00C62A13">
        <w:t>Background</w:t>
      </w:r>
      <w:bookmarkEnd w:id="2"/>
    </w:p>
    <w:p w:rsidR="00B70B1E" w:rsidRPr="00C62A13" w:rsidRDefault="005C25FF" w:rsidP="00B70B1E">
      <w:pPr>
        <w:pStyle w:val="4-SubsectionHeading"/>
      </w:pPr>
      <w:bookmarkStart w:id="3" w:name="_Toc22897638"/>
      <w:bookmarkStart w:id="4" w:name="_Toc72315495"/>
      <w:r w:rsidRPr="00C62A13">
        <w:t>Registration status</w:t>
      </w:r>
      <w:bookmarkEnd w:id="3"/>
      <w:bookmarkEnd w:id="4"/>
      <w:r w:rsidR="00B70B1E" w:rsidRPr="00C62A13">
        <w:t xml:space="preserve"> </w:t>
      </w:r>
    </w:p>
    <w:p w:rsidR="00B70B1E" w:rsidRPr="00C62A13" w:rsidRDefault="009762BD" w:rsidP="007C46EB">
      <w:pPr>
        <w:pStyle w:val="3-BodyText"/>
      </w:pPr>
      <w:r w:rsidRPr="00C62A13">
        <w:t xml:space="preserve">The submission was made under the TGA/PBAC Parallel Process. </w:t>
      </w:r>
      <w:r w:rsidR="000851BE" w:rsidRPr="00C62A13">
        <w:rPr>
          <w:rFonts w:ascii="Calibri" w:eastAsia="Calibri" w:hAnsi="Calibri"/>
          <w:szCs w:val="22"/>
        </w:rPr>
        <w:t>A</w:t>
      </w:r>
      <w:r w:rsidR="00107FF9" w:rsidRPr="00C62A13">
        <w:rPr>
          <w:rFonts w:ascii="Calibri" w:eastAsia="Calibri" w:hAnsi="Calibri"/>
          <w:szCs w:val="22"/>
        </w:rPr>
        <w:t xml:space="preserve">t </w:t>
      </w:r>
      <w:r w:rsidR="00911776" w:rsidRPr="00C62A13">
        <w:rPr>
          <w:rFonts w:ascii="Calibri" w:eastAsia="Calibri" w:hAnsi="Calibri"/>
          <w:szCs w:val="22"/>
        </w:rPr>
        <w:t xml:space="preserve">the </w:t>
      </w:r>
      <w:r w:rsidR="00107FF9" w:rsidRPr="00C62A13">
        <w:rPr>
          <w:rFonts w:ascii="Calibri" w:eastAsia="Calibri" w:hAnsi="Calibri"/>
          <w:szCs w:val="22"/>
        </w:rPr>
        <w:t xml:space="preserve">time of </w:t>
      </w:r>
      <w:r w:rsidRPr="00C62A13">
        <w:rPr>
          <w:rFonts w:ascii="Calibri" w:eastAsia="Calibri" w:hAnsi="Calibri"/>
          <w:szCs w:val="22"/>
        </w:rPr>
        <w:t>PBAC consideration</w:t>
      </w:r>
      <w:r w:rsidR="000851BE" w:rsidRPr="00C62A13">
        <w:rPr>
          <w:rFonts w:ascii="Calibri" w:eastAsia="Calibri" w:hAnsi="Calibri"/>
          <w:szCs w:val="22"/>
        </w:rPr>
        <w:t xml:space="preserve"> the TGA </w:t>
      </w:r>
      <w:r w:rsidR="00CF1BF2" w:rsidRPr="00C62A13">
        <w:rPr>
          <w:rFonts w:ascii="Calibri" w:eastAsia="Calibri" w:hAnsi="Calibri"/>
          <w:szCs w:val="22"/>
        </w:rPr>
        <w:t xml:space="preserve">Round 1 </w:t>
      </w:r>
      <w:r w:rsidR="000851BE" w:rsidRPr="00C62A13">
        <w:rPr>
          <w:rFonts w:ascii="Calibri" w:eastAsia="Calibri" w:hAnsi="Calibri"/>
          <w:szCs w:val="22"/>
        </w:rPr>
        <w:t>Clinical Evaluation Report</w:t>
      </w:r>
      <w:r w:rsidR="00CF1BF2" w:rsidRPr="00C62A13">
        <w:rPr>
          <w:rFonts w:ascii="Calibri" w:eastAsia="Calibri" w:hAnsi="Calibri"/>
          <w:szCs w:val="22"/>
        </w:rPr>
        <w:t xml:space="preserve"> (CER)</w:t>
      </w:r>
      <w:r w:rsidR="000851BE" w:rsidRPr="00C62A13">
        <w:rPr>
          <w:rFonts w:ascii="Calibri" w:eastAsia="Calibri" w:hAnsi="Calibri"/>
          <w:szCs w:val="22"/>
        </w:rPr>
        <w:t xml:space="preserve"> was available. </w:t>
      </w:r>
      <w:r w:rsidR="00B70B1E" w:rsidRPr="00C62A13">
        <w:t xml:space="preserve">The TGA delegate’s overview </w:t>
      </w:r>
      <w:r w:rsidRPr="00C62A13">
        <w:t xml:space="preserve">was not </w:t>
      </w:r>
      <w:r w:rsidR="00911776" w:rsidRPr="00C62A13">
        <w:t xml:space="preserve">available </w:t>
      </w:r>
      <w:r w:rsidRPr="00C62A13">
        <w:t>prior to PBAC consideration of UPA</w:t>
      </w:r>
      <w:r w:rsidR="00B70B1E" w:rsidRPr="00C62A13">
        <w:t>.</w:t>
      </w:r>
      <w:r w:rsidR="00170B17" w:rsidRPr="00C62A13">
        <w:t xml:space="preserve"> </w:t>
      </w:r>
      <w:r w:rsidR="00B70B1E" w:rsidRPr="00C62A13">
        <w:t xml:space="preserve">The proposed </w:t>
      </w:r>
      <w:r w:rsidR="00170B17" w:rsidRPr="00C62A13">
        <w:t xml:space="preserve">TGA </w:t>
      </w:r>
      <w:r w:rsidR="00B70B1E" w:rsidRPr="00C62A13">
        <w:t>indication is:</w:t>
      </w:r>
      <w:r w:rsidR="00947827" w:rsidRPr="00C62A13">
        <w:t xml:space="preserve"> </w:t>
      </w:r>
      <w:r w:rsidR="00B70B1E" w:rsidRPr="00C62A13">
        <w:t>“RINVOQ</w:t>
      </w:r>
      <w:r w:rsidR="00B70B1E" w:rsidRPr="00C62A13">
        <w:rPr>
          <w:rFonts w:cs="Calibri"/>
        </w:rPr>
        <w:t>®</w:t>
      </w:r>
      <w:r w:rsidR="00B70B1E" w:rsidRPr="00C62A13">
        <w:t xml:space="preserve"> is indicated for the treatment of adults and adolescents 12 years and older with moderate to severe atopic dermatitis who are candidates for systemic therapy.”</w:t>
      </w:r>
    </w:p>
    <w:p w:rsidR="00B70B1E" w:rsidRPr="00C62A13" w:rsidRDefault="00B70B1E" w:rsidP="00973E50">
      <w:pPr>
        <w:pStyle w:val="3-BodyText"/>
      </w:pPr>
      <w:r w:rsidRPr="00C62A13">
        <w:t xml:space="preserve">The proposed TGA indication is broader than the proposed PBS listing, given </w:t>
      </w:r>
      <w:r w:rsidR="00947827" w:rsidRPr="00C62A13">
        <w:t xml:space="preserve">the TGA indication is for </w:t>
      </w:r>
      <w:r w:rsidRPr="00C62A13">
        <w:t xml:space="preserve">moderate-to-severe disease but the requested PBS </w:t>
      </w:r>
      <w:r w:rsidR="00947827" w:rsidRPr="00C62A13">
        <w:t xml:space="preserve">listing restricts treatment to severe disease </w:t>
      </w:r>
      <w:r w:rsidR="00E86473" w:rsidRPr="00C62A13">
        <w:t xml:space="preserve">(PBS </w:t>
      </w:r>
      <w:r w:rsidRPr="00C62A13">
        <w:t>definition below).</w:t>
      </w:r>
    </w:p>
    <w:p w:rsidR="00CF1BF2" w:rsidRDefault="001045D6" w:rsidP="00E87E0F">
      <w:pPr>
        <w:pStyle w:val="3-BodyText"/>
        <w:rPr>
          <w:rFonts w:ascii="Calibri" w:eastAsia="Calibri" w:hAnsi="Calibri"/>
          <w:szCs w:val="22"/>
        </w:rPr>
      </w:pPr>
      <w:r w:rsidRPr="00C62A13">
        <w:rPr>
          <w:rFonts w:ascii="Calibri" w:eastAsia="Calibri" w:hAnsi="Calibri"/>
          <w:szCs w:val="22"/>
        </w:rPr>
        <w:t xml:space="preserve">The Updated Product Information </w:t>
      </w:r>
      <w:r w:rsidR="00E87E0F" w:rsidRPr="00C62A13">
        <w:rPr>
          <w:rFonts w:ascii="Calibri" w:eastAsia="Calibri" w:hAnsi="Calibri"/>
          <w:szCs w:val="22"/>
        </w:rPr>
        <w:t xml:space="preserve">(PI) provided with the </w:t>
      </w:r>
      <w:r w:rsidR="003F713E">
        <w:rPr>
          <w:rFonts w:ascii="Calibri" w:eastAsia="Calibri" w:hAnsi="Calibri"/>
          <w:szCs w:val="22"/>
        </w:rPr>
        <w:t>Pre-Sub-Committee Response (PSCR)</w:t>
      </w:r>
      <w:r w:rsidR="00E87E0F" w:rsidRPr="00C62A13">
        <w:rPr>
          <w:rFonts w:ascii="Calibri" w:eastAsia="Calibri" w:hAnsi="Calibri"/>
          <w:szCs w:val="22"/>
        </w:rPr>
        <w:t xml:space="preserve"> included</w:t>
      </w:r>
      <w:r w:rsidRPr="00C62A13">
        <w:rPr>
          <w:rFonts w:ascii="Calibri" w:eastAsia="Calibri" w:hAnsi="Calibri"/>
          <w:szCs w:val="22"/>
        </w:rPr>
        <w:t xml:space="preserve"> information about UPA patient groups and dosing, specifically that (i) UPA 15 mg is recommended for </w:t>
      </w:r>
      <w:r w:rsidR="00F0558C" w:rsidRPr="00C62A13">
        <w:rPr>
          <w:rFonts w:ascii="Calibri" w:eastAsia="Calibri" w:hAnsi="Calibri"/>
          <w:szCs w:val="22"/>
        </w:rPr>
        <w:t xml:space="preserve">adolescents and </w:t>
      </w:r>
      <w:r w:rsidRPr="00C62A13">
        <w:rPr>
          <w:rFonts w:ascii="Calibri" w:eastAsia="Calibri" w:hAnsi="Calibri"/>
          <w:szCs w:val="22"/>
        </w:rPr>
        <w:t>patients ≥ 65 years of age (ii) the lowest effective dose for maintenance should be considered, (iii) a starting dose of UPA 30 mg may be appropriate for some patients, such as those with high disease burden, and (iv) a dose of UPA 30 mg may be appropriate for patients with an inadequate response to UPA 15 mg.</w:t>
      </w:r>
      <w:r w:rsidR="00D215D1" w:rsidRPr="00C62A13">
        <w:rPr>
          <w:rFonts w:ascii="Calibri" w:eastAsia="Calibri" w:hAnsi="Calibri"/>
          <w:szCs w:val="22"/>
        </w:rPr>
        <w:t xml:space="preserve"> The pre-PBAC response noted that the requested PBS population are those with severe disease and therefore </w:t>
      </w:r>
      <w:r w:rsidR="00911776" w:rsidRPr="00C62A13">
        <w:rPr>
          <w:rFonts w:ascii="Calibri" w:eastAsia="Calibri" w:hAnsi="Calibri"/>
          <w:szCs w:val="22"/>
        </w:rPr>
        <w:t xml:space="preserve">a </w:t>
      </w:r>
      <w:r w:rsidR="00D215D1" w:rsidRPr="00C62A13">
        <w:rPr>
          <w:rFonts w:ascii="Calibri" w:eastAsia="Calibri" w:hAnsi="Calibri"/>
          <w:szCs w:val="22"/>
        </w:rPr>
        <w:t xml:space="preserve">high disease burden, for whom a starting dose of 30 mg may be appropriate. </w:t>
      </w:r>
    </w:p>
    <w:p w:rsidR="007479D8" w:rsidRPr="007479D8" w:rsidRDefault="007479D8" w:rsidP="007479D8">
      <w:pPr>
        <w:pStyle w:val="4-SubsectionHeading"/>
      </w:pPr>
      <w:r w:rsidRPr="007479D8">
        <w:t>Previous PBAC consideration</w:t>
      </w:r>
    </w:p>
    <w:p w:rsidR="007479D8" w:rsidRPr="00A16653" w:rsidRDefault="007479D8" w:rsidP="00A16653">
      <w:pPr>
        <w:pStyle w:val="ListParagraph"/>
        <w:numPr>
          <w:ilvl w:val="1"/>
          <w:numId w:val="1"/>
        </w:numPr>
      </w:pPr>
      <w:r w:rsidRPr="00C62A13">
        <w:t xml:space="preserve">This </w:t>
      </w:r>
      <w:r>
        <w:t>wa</w:t>
      </w:r>
      <w:r w:rsidRPr="00C62A13">
        <w:t>s the first PBAC submission for UPA in this indication.</w:t>
      </w:r>
      <w:r w:rsidR="00A16653">
        <w:t xml:space="preserve"> </w:t>
      </w:r>
      <w:r w:rsidRPr="00C62A13">
        <w:t>UPA is currently PBS listed for rheumatoid arthritis</w:t>
      </w:r>
      <w:r>
        <w:t>.</w:t>
      </w:r>
      <w:r w:rsidR="00A16653">
        <w:t xml:space="preserve"> </w:t>
      </w:r>
      <w:r>
        <w:t xml:space="preserve">UPA </w:t>
      </w:r>
      <w:r w:rsidRPr="00C62A13">
        <w:t>was recommended by the PBAC for use in severe psoriatic arthritis and ankylosing spondylitis at the March 2021 PBAC meeting.</w:t>
      </w:r>
    </w:p>
    <w:p w:rsidR="00B24D69" w:rsidRPr="00C62A13" w:rsidRDefault="00B24D69" w:rsidP="00B24D69">
      <w:pPr>
        <w:ind w:firstLine="709"/>
        <w:rPr>
          <w:rFonts w:asciiTheme="minorHAnsi" w:hAnsiTheme="minorHAnsi"/>
          <w:i/>
        </w:rPr>
      </w:pPr>
      <w:bookmarkStart w:id="5" w:name="_Hlk76375324"/>
      <w:r w:rsidRPr="00C62A13">
        <w:rPr>
          <w:rFonts w:asciiTheme="minorHAnsi" w:hAnsiTheme="minorHAnsi"/>
          <w:i/>
        </w:rPr>
        <w:t>For more detail on PBAC’s view, see section 7 PBAC outcome.</w:t>
      </w:r>
    </w:p>
    <w:p w:rsidR="00B6022A" w:rsidRPr="00C62A13" w:rsidRDefault="00B50DB8" w:rsidP="00D92E0E">
      <w:pPr>
        <w:pStyle w:val="2-SectionHeading"/>
      </w:pPr>
      <w:bookmarkStart w:id="6" w:name="_Toc72315496"/>
      <w:bookmarkEnd w:id="5"/>
      <w:r w:rsidRPr="00C62A13">
        <w:t>Requested listing</w:t>
      </w:r>
      <w:bookmarkEnd w:id="6"/>
    </w:p>
    <w:p w:rsidR="00B6022A" w:rsidRPr="00C62A13" w:rsidRDefault="00D215D1" w:rsidP="000851BE">
      <w:pPr>
        <w:pStyle w:val="ListParagraph"/>
        <w:numPr>
          <w:ilvl w:val="1"/>
          <w:numId w:val="1"/>
        </w:numPr>
        <w:rPr>
          <w:rFonts w:cs="Calibri"/>
          <w:bCs/>
          <w:i/>
        </w:rPr>
      </w:pPr>
      <w:r w:rsidRPr="00C62A13">
        <w:t>T</w:t>
      </w:r>
      <w:r w:rsidR="00B6022A" w:rsidRPr="00C62A13">
        <w:t xml:space="preserve">he sponsor’s requested </w:t>
      </w:r>
      <w:r w:rsidR="007479D8">
        <w:t xml:space="preserve">listing is </w:t>
      </w:r>
      <w:r w:rsidR="00B6022A" w:rsidRPr="00C62A13">
        <w:t>presented below</w:t>
      </w:r>
      <w:r w:rsidR="000851BE" w:rsidRPr="00C62A13">
        <w:t xml:space="preserve">. </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727"/>
        <w:gridCol w:w="540"/>
        <w:gridCol w:w="995"/>
        <w:gridCol w:w="991"/>
        <w:gridCol w:w="1701"/>
        <w:gridCol w:w="1809"/>
        <w:gridCol w:w="1264"/>
      </w:tblGrid>
      <w:tr w:rsidR="00D92E0E" w:rsidRPr="00C62A13" w:rsidTr="00BA3A23">
        <w:trPr>
          <w:cantSplit/>
        </w:trPr>
        <w:tc>
          <w:tcPr>
            <w:tcW w:w="1256" w:type="pct"/>
            <w:gridSpan w:val="2"/>
            <w:tcBorders>
              <w:bottom w:val="single" w:sz="4" w:space="0" w:color="auto"/>
            </w:tcBorders>
            <w:vAlign w:val="center"/>
          </w:tcPr>
          <w:p w:rsidR="00D92E0E" w:rsidRPr="00C62A13" w:rsidRDefault="00D92E0E" w:rsidP="000E102C">
            <w:pPr>
              <w:pStyle w:val="Tabletext"/>
              <w:keepNext/>
              <w:keepLines/>
              <w:rPr>
                <w:b/>
                <w:bCs/>
              </w:rPr>
            </w:pPr>
            <w:r w:rsidRPr="00C62A13">
              <w:rPr>
                <w:b/>
              </w:rPr>
              <w:t>Name, restriction, manner of administration, form</w:t>
            </w:r>
          </w:p>
        </w:tc>
        <w:tc>
          <w:tcPr>
            <w:tcW w:w="551" w:type="pct"/>
            <w:tcBorders>
              <w:bottom w:val="single" w:sz="4" w:space="0" w:color="auto"/>
            </w:tcBorders>
            <w:vAlign w:val="center"/>
          </w:tcPr>
          <w:p w:rsidR="00D92E0E" w:rsidRPr="00C62A13" w:rsidRDefault="00D92E0E" w:rsidP="000E102C">
            <w:pPr>
              <w:pStyle w:val="Tabletext"/>
              <w:keepNext/>
              <w:keepLines/>
              <w:jc w:val="center"/>
              <w:rPr>
                <w:b/>
                <w:bCs/>
              </w:rPr>
            </w:pPr>
            <w:r w:rsidRPr="00C62A13">
              <w:rPr>
                <w:b/>
              </w:rPr>
              <w:t>Maximum quantity (packs)</w:t>
            </w:r>
          </w:p>
        </w:tc>
        <w:tc>
          <w:tcPr>
            <w:tcW w:w="549" w:type="pct"/>
            <w:tcBorders>
              <w:bottom w:val="single" w:sz="4" w:space="0" w:color="auto"/>
            </w:tcBorders>
            <w:vAlign w:val="center"/>
          </w:tcPr>
          <w:p w:rsidR="00D92E0E" w:rsidRPr="00C62A13" w:rsidRDefault="00D92E0E" w:rsidP="000E102C">
            <w:pPr>
              <w:pStyle w:val="Tabletext"/>
              <w:keepNext/>
              <w:keepLines/>
              <w:jc w:val="center"/>
              <w:rPr>
                <w:b/>
                <w:bCs/>
              </w:rPr>
            </w:pPr>
            <w:r w:rsidRPr="00C62A13">
              <w:rPr>
                <w:b/>
              </w:rPr>
              <w:t>Maximum quantity (units)</w:t>
            </w:r>
          </w:p>
        </w:tc>
        <w:tc>
          <w:tcPr>
            <w:tcW w:w="942" w:type="pct"/>
            <w:tcBorders>
              <w:bottom w:val="single" w:sz="4" w:space="0" w:color="auto"/>
            </w:tcBorders>
            <w:vAlign w:val="center"/>
          </w:tcPr>
          <w:p w:rsidR="00D92E0E" w:rsidRPr="00C62A13" w:rsidRDefault="00D92E0E" w:rsidP="000E102C">
            <w:pPr>
              <w:pStyle w:val="Tabletext"/>
              <w:keepNext/>
              <w:keepLines/>
              <w:jc w:val="center"/>
              <w:rPr>
                <w:b/>
                <w:bCs/>
              </w:rPr>
            </w:pPr>
            <w:r w:rsidRPr="00C62A13">
              <w:rPr>
                <w:b/>
              </w:rPr>
              <w:t>No. of repeats</w:t>
            </w:r>
          </w:p>
        </w:tc>
        <w:tc>
          <w:tcPr>
            <w:tcW w:w="1002" w:type="pct"/>
            <w:tcBorders>
              <w:bottom w:val="single" w:sz="4" w:space="0" w:color="auto"/>
            </w:tcBorders>
            <w:vAlign w:val="center"/>
          </w:tcPr>
          <w:p w:rsidR="00D92E0E" w:rsidRPr="00C62A13" w:rsidRDefault="00D92E0E" w:rsidP="000E102C">
            <w:pPr>
              <w:pStyle w:val="Tabletext"/>
              <w:keepNext/>
              <w:keepLines/>
              <w:jc w:val="center"/>
              <w:rPr>
                <w:b/>
                <w:bCs/>
              </w:rPr>
            </w:pPr>
            <w:r w:rsidRPr="00C62A13">
              <w:rPr>
                <w:b/>
              </w:rPr>
              <w:t>Dispensed price for maximum quantity</w:t>
            </w:r>
          </w:p>
        </w:tc>
        <w:tc>
          <w:tcPr>
            <w:tcW w:w="700" w:type="pct"/>
            <w:tcBorders>
              <w:bottom w:val="single" w:sz="4" w:space="0" w:color="auto"/>
            </w:tcBorders>
            <w:vAlign w:val="center"/>
          </w:tcPr>
          <w:p w:rsidR="00D92E0E" w:rsidRPr="00C62A13" w:rsidRDefault="00D92E0E" w:rsidP="000E102C">
            <w:pPr>
              <w:pStyle w:val="Tabletext"/>
              <w:keepNext/>
              <w:keepLines/>
              <w:jc w:val="center"/>
              <w:rPr>
                <w:b/>
                <w:bCs/>
              </w:rPr>
            </w:pPr>
            <w:r w:rsidRPr="00C62A13">
              <w:rPr>
                <w:b/>
              </w:rPr>
              <w:t>Proprietary name and manufacturer</w:t>
            </w:r>
          </w:p>
        </w:tc>
      </w:tr>
      <w:tr w:rsidR="00D92E0E" w:rsidRPr="00C62A13" w:rsidTr="00BA3A23">
        <w:trPr>
          <w:cantSplit/>
        </w:trPr>
        <w:tc>
          <w:tcPr>
            <w:tcW w:w="1256" w:type="pct"/>
            <w:gridSpan w:val="2"/>
            <w:tcBorders>
              <w:bottom w:val="nil"/>
            </w:tcBorders>
            <w:vAlign w:val="center"/>
          </w:tcPr>
          <w:p w:rsidR="00D92E0E" w:rsidRPr="00C62A13" w:rsidRDefault="00D92E0E" w:rsidP="000E102C">
            <w:pPr>
              <w:pStyle w:val="Tabletext"/>
              <w:keepNext/>
              <w:keepLines/>
              <w:rPr>
                <w:smallCaps/>
              </w:rPr>
            </w:pPr>
            <w:r w:rsidRPr="00C62A13">
              <w:rPr>
                <w:smallCaps/>
              </w:rPr>
              <w:t>Upadacitinib</w:t>
            </w:r>
          </w:p>
        </w:tc>
        <w:tc>
          <w:tcPr>
            <w:tcW w:w="551" w:type="pct"/>
            <w:tcBorders>
              <w:bottom w:val="nil"/>
            </w:tcBorders>
            <w:vAlign w:val="center"/>
          </w:tcPr>
          <w:p w:rsidR="00D92E0E" w:rsidRPr="00C62A13" w:rsidRDefault="00D92E0E" w:rsidP="000E102C">
            <w:pPr>
              <w:pStyle w:val="Tabletext"/>
              <w:keepNext/>
              <w:keepLines/>
              <w:jc w:val="center"/>
              <w:rPr>
                <w:rFonts w:ascii="Times" w:hAnsi="Times"/>
              </w:rPr>
            </w:pPr>
          </w:p>
        </w:tc>
        <w:tc>
          <w:tcPr>
            <w:tcW w:w="549" w:type="pct"/>
            <w:tcBorders>
              <w:bottom w:val="nil"/>
            </w:tcBorders>
            <w:vAlign w:val="center"/>
          </w:tcPr>
          <w:p w:rsidR="00D92E0E" w:rsidRPr="00C62A13" w:rsidRDefault="00D92E0E" w:rsidP="000E102C">
            <w:pPr>
              <w:pStyle w:val="Tabletext"/>
              <w:keepNext/>
              <w:keepLines/>
              <w:jc w:val="center"/>
              <w:rPr>
                <w:rFonts w:ascii="Times" w:hAnsi="Times"/>
              </w:rPr>
            </w:pPr>
          </w:p>
        </w:tc>
        <w:tc>
          <w:tcPr>
            <w:tcW w:w="942" w:type="pct"/>
            <w:tcBorders>
              <w:bottom w:val="nil"/>
            </w:tcBorders>
            <w:vAlign w:val="center"/>
          </w:tcPr>
          <w:p w:rsidR="00D92E0E" w:rsidRPr="00C62A13" w:rsidRDefault="00D92E0E" w:rsidP="000E102C">
            <w:pPr>
              <w:pStyle w:val="Tabletext"/>
              <w:keepNext/>
              <w:keepLines/>
              <w:jc w:val="center"/>
              <w:rPr>
                <w:rFonts w:ascii="Times" w:hAnsi="Times"/>
              </w:rPr>
            </w:pPr>
          </w:p>
        </w:tc>
        <w:tc>
          <w:tcPr>
            <w:tcW w:w="1002" w:type="pct"/>
            <w:tcBorders>
              <w:bottom w:val="nil"/>
            </w:tcBorders>
            <w:vAlign w:val="center"/>
          </w:tcPr>
          <w:p w:rsidR="00D92E0E" w:rsidRPr="00C62A13" w:rsidRDefault="00D92E0E" w:rsidP="000E102C">
            <w:pPr>
              <w:pStyle w:val="Tabletext"/>
              <w:keepNext/>
              <w:keepLines/>
              <w:jc w:val="center"/>
              <w:rPr>
                <w:rFonts w:ascii="Times" w:hAnsi="Times"/>
              </w:rPr>
            </w:pPr>
          </w:p>
        </w:tc>
        <w:tc>
          <w:tcPr>
            <w:tcW w:w="700" w:type="pct"/>
            <w:vMerge w:val="restart"/>
            <w:vAlign w:val="center"/>
          </w:tcPr>
          <w:p w:rsidR="00D92E0E" w:rsidRPr="00C62A13" w:rsidRDefault="00D92E0E" w:rsidP="000E102C">
            <w:pPr>
              <w:pStyle w:val="Tabletext"/>
              <w:keepNext/>
              <w:keepLines/>
              <w:jc w:val="center"/>
            </w:pPr>
            <w:r w:rsidRPr="00C62A13">
              <w:t>RINVOQ®</w:t>
            </w:r>
          </w:p>
          <w:p w:rsidR="00D92E0E" w:rsidRPr="00C62A13" w:rsidRDefault="00D92E0E" w:rsidP="000E102C">
            <w:pPr>
              <w:pStyle w:val="Tabletext"/>
              <w:keepNext/>
              <w:keepLines/>
              <w:jc w:val="center"/>
            </w:pPr>
            <w:r w:rsidRPr="00C62A13">
              <w:t xml:space="preserve">AbbVie </w:t>
            </w:r>
          </w:p>
          <w:p w:rsidR="00D92E0E" w:rsidRPr="00C62A13" w:rsidRDefault="00D92E0E" w:rsidP="000E102C">
            <w:pPr>
              <w:pStyle w:val="Tabletext"/>
              <w:keepNext/>
              <w:keepLines/>
              <w:jc w:val="center"/>
              <w:rPr>
                <w:rFonts w:ascii="Times" w:hAnsi="Times"/>
              </w:rPr>
            </w:pPr>
            <w:r w:rsidRPr="00C62A13">
              <w:t>Pty Ltd</w:t>
            </w:r>
          </w:p>
        </w:tc>
      </w:tr>
      <w:tr w:rsidR="007A0467" w:rsidRPr="00C62A13" w:rsidTr="00BA3A23">
        <w:trPr>
          <w:cantSplit/>
        </w:trPr>
        <w:tc>
          <w:tcPr>
            <w:tcW w:w="1256" w:type="pct"/>
            <w:gridSpan w:val="2"/>
            <w:tcBorders>
              <w:top w:val="nil"/>
              <w:bottom w:val="nil"/>
            </w:tcBorders>
            <w:vAlign w:val="center"/>
          </w:tcPr>
          <w:p w:rsidR="007A0467" w:rsidRPr="00C62A13" w:rsidRDefault="007A0467" w:rsidP="007A0467">
            <w:pPr>
              <w:pStyle w:val="Tabletext"/>
              <w:keepNext/>
              <w:keepLines/>
              <w:rPr>
                <w:smallCaps/>
              </w:rPr>
            </w:pPr>
            <w:r w:rsidRPr="00C62A13">
              <w:t>15 mg tablet, 28</w:t>
            </w:r>
          </w:p>
        </w:tc>
        <w:tc>
          <w:tcPr>
            <w:tcW w:w="551" w:type="pct"/>
            <w:tcBorders>
              <w:top w:val="nil"/>
              <w:bottom w:val="nil"/>
            </w:tcBorders>
            <w:vAlign w:val="center"/>
          </w:tcPr>
          <w:p w:rsidR="007A0467" w:rsidRPr="00C62A13" w:rsidRDefault="007A0467" w:rsidP="007A0467">
            <w:pPr>
              <w:pStyle w:val="Tabletext"/>
              <w:keepNext/>
              <w:keepLines/>
              <w:jc w:val="center"/>
            </w:pPr>
            <w:r w:rsidRPr="00C62A13">
              <w:t>1</w:t>
            </w:r>
          </w:p>
        </w:tc>
        <w:tc>
          <w:tcPr>
            <w:tcW w:w="549" w:type="pct"/>
            <w:tcBorders>
              <w:top w:val="nil"/>
              <w:bottom w:val="nil"/>
            </w:tcBorders>
            <w:vAlign w:val="center"/>
          </w:tcPr>
          <w:p w:rsidR="007A0467" w:rsidRPr="00C62A13" w:rsidRDefault="007A0467" w:rsidP="007A0467">
            <w:pPr>
              <w:pStyle w:val="Tabletext"/>
              <w:keepNext/>
              <w:keepLines/>
              <w:jc w:val="center"/>
            </w:pPr>
            <w:r w:rsidRPr="00C62A13">
              <w:t>28</w:t>
            </w:r>
          </w:p>
        </w:tc>
        <w:tc>
          <w:tcPr>
            <w:tcW w:w="942" w:type="pct"/>
            <w:vMerge w:val="restart"/>
            <w:tcBorders>
              <w:top w:val="nil"/>
            </w:tcBorders>
            <w:vAlign w:val="center"/>
          </w:tcPr>
          <w:p w:rsidR="007A0467" w:rsidRPr="00C62A13" w:rsidRDefault="00BA3A23" w:rsidP="007A0467">
            <w:pPr>
              <w:pStyle w:val="TableText0"/>
              <w:keepLines/>
            </w:pPr>
            <w:r w:rsidRPr="00C62A13">
              <w:t>4</w:t>
            </w:r>
            <w:r w:rsidR="007A0467" w:rsidRPr="00C62A13">
              <w:t xml:space="preserve"> (initial listings)</w:t>
            </w:r>
          </w:p>
          <w:p w:rsidR="007A0467" w:rsidRPr="00C62A13" w:rsidRDefault="007A0467" w:rsidP="007A0467">
            <w:pPr>
              <w:pStyle w:val="TableText0"/>
              <w:keepLines/>
            </w:pPr>
            <w:r w:rsidRPr="00C62A13">
              <w:t>5 (continuing and grandfather listings)</w:t>
            </w:r>
          </w:p>
          <w:p w:rsidR="00BA3A23" w:rsidRPr="00C62A13" w:rsidRDefault="00BA3A23" w:rsidP="00BA3A23">
            <w:pPr>
              <w:pStyle w:val="TableText0"/>
              <w:keepLines/>
            </w:pPr>
            <w:r w:rsidRPr="00C62A13">
              <w:t>4 (initial listings)</w:t>
            </w:r>
          </w:p>
          <w:p w:rsidR="007A0467" w:rsidRDefault="00BA3A23" w:rsidP="00BA3A23">
            <w:pPr>
              <w:pStyle w:val="TableText0"/>
              <w:keepLines/>
            </w:pPr>
            <w:r w:rsidRPr="00C62A13">
              <w:t>5 (continuing and grandfather listings)</w:t>
            </w:r>
          </w:p>
          <w:p w:rsidR="002B142D" w:rsidRPr="00C62A13" w:rsidRDefault="002B142D" w:rsidP="00BA3A23">
            <w:pPr>
              <w:pStyle w:val="TableText0"/>
              <w:keepLines/>
            </w:pPr>
          </w:p>
        </w:tc>
        <w:tc>
          <w:tcPr>
            <w:tcW w:w="1002" w:type="pct"/>
            <w:tcBorders>
              <w:top w:val="nil"/>
              <w:bottom w:val="nil"/>
            </w:tcBorders>
            <w:vAlign w:val="center"/>
          </w:tcPr>
          <w:p w:rsidR="007A0467" w:rsidRPr="00C62A13" w:rsidRDefault="00C62A13" w:rsidP="001174E8">
            <w:pPr>
              <w:pStyle w:val="Tabletext"/>
              <w:keepNext/>
              <w:keepLines/>
              <w:jc w:val="center"/>
              <w:rPr>
                <w:vertAlign w:val="superscript"/>
              </w:rPr>
            </w:pPr>
            <w:r w:rsidRPr="00C62A13">
              <w:t>Published: $</w:t>
            </w:r>
            <w:r w:rsidR="007A0467" w:rsidRPr="00C62A13">
              <w:t>1786.73</w:t>
            </w:r>
          </w:p>
          <w:p w:rsidR="007A0467" w:rsidRPr="00C62A13" w:rsidRDefault="007A0467" w:rsidP="007A0467">
            <w:pPr>
              <w:pStyle w:val="Tabletext"/>
              <w:keepNext/>
              <w:keepLines/>
              <w:jc w:val="center"/>
            </w:pPr>
            <w:r w:rsidRPr="00C62A13">
              <w:t>Effective: $</w:t>
            </w:r>
            <w:r w:rsidR="00B95E7E">
              <w:rPr>
                <w:noProof/>
                <w:color w:val="000000"/>
                <w:highlight w:val="black"/>
              </w:rPr>
              <w:t>''''''''''''''''''</w:t>
            </w:r>
            <w:r w:rsidR="001174E8" w:rsidRPr="00C62A13">
              <w:rPr>
                <w:vertAlign w:val="superscript"/>
              </w:rPr>
              <w:t>*</w:t>
            </w:r>
          </w:p>
        </w:tc>
        <w:tc>
          <w:tcPr>
            <w:tcW w:w="700" w:type="pct"/>
            <w:vMerge/>
            <w:vAlign w:val="center"/>
          </w:tcPr>
          <w:p w:rsidR="007A0467" w:rsidRPr="00C62A13" w:rsidRDefault="007A0467" w:rsidP="007A0467">
            <w:pPr>
              <w:pStyle w:val="Tabletext"/>
              <w:keepNext/>
              <w:keepLines/>
              <w:jc w:val="center"/>
            </w:pPr>
          </w:p>
        </w:tc>
      </w:tr>
      <w:tr w:rsidR="007A0467" w:rsidRPr="00C62A13" w:rsidTr="00BA3A23">
        <w:trPr>
          <w:cantSplit/>
        </w:trPr>
        <w:tc>
          <w:tcPr>
            <w:tcW w:w="1256" w:type="pct"/>
            <w:gridSpan w:val="2"/>
            <w:tcBorders>
              <w:top w:val="nil"/>
              <w:bottom w:val="nil"/>
            </w:tcBorders>
            <w:vAlign w:val="center"/>
          </w:tcPr>
          <w:p w:rsidR="007A0467" w:rsidRPr="00C62A13" w:rsidRDefault="007A0467" w:rsidP="007A0467">
            <w:pPr>
              <w:pStyle w:val="Tabletext"/>
              <w:keepNext/>
              <w:keepLines/>
            </w:pPr>
            <w:r w:rsidRPr="00C62A13">
              <w:t>30 mg tablet, 28</w:t>
            </w:r>
          </w:p>
        </w:tc>
        <w:tc>
          <w:tcPr>
            <w:tcW w:w="551" w:type="pct"/>
            <w:tcBorders>
              <w:top w:val="nil"/>
              <w:bottom w:val="nil"/>
            </w:tcBorders>
            <w:vAlign w:val="center"/>
          </w:tcPr>
          <w:p w:rsidR="007A0467" w:rsidRPr="00C62A13" w:rsidRDefault="007A0467" w:rsidP="007A0467">
            <w:pPr>
              <w:pStyle w:val="Tabletext"/>
              <w:keepNext/>
              <w:keepLines/>
              <w:jc w:val="center"/>
            </w:pPr>
            <w:r w:rsidRPr="00C62A13">
              <w:t>1</w:t>
            </w:r>
          </w:p>
        </w:tc>
        <w:tc>
          <w:tcPr>
            <w:tcW w:w="549" w:type="pct"/>
            <w:tcBorders>
              <w:top w:val="nil"/>
              <w:bottom w:val="nil"/>
            </w:tcBorders>
            <w:vAlign w:val="center"/>
          </w:tcPr>
          <w:p w:rsidR="007A0467" w:rsidRPr="00C62A13" w:rsidRDefault="007A0467" w:rsidP="007A0467">
            <w:pPr>
              <w:pStyle w:val="Tabletext"/>
              <w:keepNext/>
              <w:keepLines/>
              <w:jc w:val="center"/>
            </w:pPr>
            <w:r w:rsidRPr="00C62A13">
              <w:t>28</w:t>
            </w:r>
          </w:p>
        </w:tc>
        <w:tc>
          <w:tcPr>
            <w:tcW w:w="942" w:type="pct"/>
            <w:vMerge/>
            <w:tcBorders>
              <w:bottom w:val="nil"/>
            </w:tcBorders>
            <w:vAlign w:val="center"/>
          </w:tcPr>
          <w:p w:rsidR="007A0467" w:rsidRPr="00C62A13" w:rsidRDefault="007A0467" w:rsidP="007A0467">
            <w:pPr>
              <w:pStyle w:val="Tabletext"/>
              <w:keepNext/>
              <w:keepLines/>
            </w:pPr>
          </w:p>
        </w:tc>
        <w:tc>
          <w:tcPr>
            <w:tcW w:w="1002" w:type="pct"/>
            <w:tcBorders>
              <w:top w:val="nil"/>
              <w:bottom w:val="nil"/>
            </w:tcBorders>
            <w:vAlign w:val="center"/>
          </w:tcPr>
          <w:p w:rsidR="007A0467" w:rsidRPr="00C62A13" w:rsidRDefault="00C62A13" w:rsidP="001174E8">
            <w:pPr>
              <w:pStyle w:val="Tabletext"/>
              <w:keepNext/>
              <w:keepLines/>
              <w:jc w:val="center"/>
              <w:rPr>
                <w:vertAlign w:val="superscript"/>
              </w:rPr>
            </w:pPr>
            <w:r w:rsidRPr="00C62A13">
              <w:t>Published: $</w:t>
            </w:r>
            <w:r w:rsidR="007A0467" w:rsidRPr="00C62A13">
              <w:t>2157.16</w:t>
            </w:r>
          </w:p>
          <w:p w:rsidR="007A0467" w:rsidRPr="00C62A13" w:rsidRDefault="007A0467" w:rsidP="007A0467">
            <w:pPr>
              <w:pStyle w:val="Tabletext"/>
              <w:keepNext/>
              <w:keepLines/>
              <w:jc w:val="center"/>
            </w:pPr>
            <w:r w:rsidRPr="00C62A13">
              <w:t>Effective: $</w:t>
            </w:r>
            <w:r w:rsidR="00B95E7E">
              <w:rPr>
                <w:noProof/>
                <w:color w:val="000000"/>
                <w:highlight w:val="black"/>
              </w:rPr>
              <w:t>''''''''''''''''''</w:t>
            </w:r>
            <w:r w:rsidR="001174E8" w:rsidRPr="00C62A13">
              <w:rPr>
                <w:vertAlign w:val="superscript"/>
              </w:rPr>
              <w:t>*</w:t>
            </w:r>
          </w:p>
        </w:tc>
        <w:tc>
          <w:tcPr>
            <w:tcW w:w="700" w:type="pct"/>
            <w:vMerge/>
            <w:vAlign w:val="center"/>
          </w:tcPr>
          <w:p w:rsidR="007A0467" w:rsidRPr="00C62A13" w:rsidRDefault="007A0467" w:rsidP="007A0467">
            <w:pPr>
              <w:pStyle w:val="Tabletext"/>
              <w:keepNext/>
              <w:keepLines/>
              <w:jc w:val="center"/>
            </w:pP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Category / Program:</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pPr>
            <w:r w:rsidRPr="00C62A13">
              <w:t>GENERAL – General Schedule (Code GE)</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Prescriber type:</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pPr>
            <w:r w:rsidRPr="00C62A13">
              <w:fldChar w:fldCharType="begin">
                <w:ffData>
                  <w:name w:val="Check1"/>
                  <w:enabled/>
                  <w:calcOnExit w:val="0"/>
                  <w:checkBox>
                    <w:sizeAuto/>
                    <w:default w:val="1"/>
                  </w:checkBox>
                </w:ffData>
              </w:fldChar>
            </w:r>
            <w:r w:rsidRPr="00C62A13">
              <w:instrText xml:space="preserve"> FORMCHECKBOX </w:instrText>
            </w:r>
            <w:r w:rsidR="005116FF">
              <w:fldChar w:fldCharType="separate"/>
            </w:r>
            <w:r w:rsidRPr="00C62A13">
              <w:fldChar w:fldCharType="end"/>
            </w:r>
            <w:r w:rsidRPr="00C62A13">
              <w:t>Medical Practitioners</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Condition:</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3B125C">
            <w:pPr>
              <w:pStyle w:val="TableText0"/>
              <w:keepNext w:val="0"/>
            </w:pPr>
            <w:r w:rsidRPr="00C62A13">
              <w:t>Severe atopic dermatitis</w:t>
            </w:r>
          </w:p>
        </w:tc>
      </w:tr>
      <w:tr w:rsidR="003B125C"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3B125C" w:rsidRPr="00C62A13" w:rsidRDefault="003B125C" w:rsidP="003B125C">
            <w:pPr>
              <w:pStyle w:val="TableText0"/>
              <w:keepNext w:val="0"/>
              <w:rPr>
                <w:b/>
              </w:rPr>
            </w:pPr>
            <w:r w:rsidRPr="00C62A13">
              <w:rPr>
                <w:rFonts w:cstheme="minorHAnsi"/>
                <w:b/>
                <w:szCs w:val="20"/>
              </w:rPr>
              <w:t>PBS indication</w:t>
            </w:r>
          </w:p>
        </w:tc>
        <w:tc>
          <w:tcPr>
            <w:tcW w:w="4043" w:type="pct"/>
            <w:gridSpan w:val="6"/>
            <w:tcBorders>
              <w:top w:val="single" w:sz="4" w:space="0" w:color="auto"/>
              <w:left w:val="single" w:sz="4" w:space="0" w:color="auto"/>
              <w:bottom w:val="single" w:sz="4" w:space="0" w:color="auto"/>
              <w:right w:val="single" w:sz="4" w:space="0" w:color="auto"/>
            </w:tcBorders>
          </w:tcPr>
          <w:p w:rsidR="003B125C" w:rsidRPr="00C62A13" w:rsidDel="003B125C" w:rsidRDefault="003B125C" w:rsidP="003B125C">
            <w:pPr>
              <w:pStyle w:val="TableText0"/>
              <w:keepNext w:val="0"/>
            </w:pPr>
            <w:r w:rsidRPr="00C62A13">
              <w:rPr>
                <w:rFonts w:cstheme="minorHAnsi"/>
                <w:szCs w:val="20"/>
              </w:rPr>
              <w:t>Severe AD patients inadequately controlled on topical therapies</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i/>
              </w:rPr>
            </w:pPr>
            <w:r w:rsidRPr="00C62A13">
              <w:rPr>
                <w:b/>
              </w:rPr>
              <w:t>Restriction:</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pPr>
            <w:r w:rsidRPr="00C62A13">
              <w:fldChar w:fldCharType="begin">
                <w:ffData>
                  <w:name w:val=""/>
                  <w:enabled/>
                  <w:calcOnExit w:val="0"/>
                  <w:checkBox>
                    <w:sizeAuto/>
                    <w:default w:val="1"/>
                  </w:checkBox>
                </w:ffData>
              </w:fldChar>
            </w:r>
            <w:r w:rsidRPr="00C62A13">
              <w:instrText xml:space="preserve"> FORMCHECKBOX </w:instrText>
            </w:r>
            <w:r w:rsidR="005116FF">
              <w:fldChar w:fldCharType="separate"/>
            </w:r>
            <w:r w:rsidRPr="00C62A13">
              <w:fldChar w:fldCharType="end"/>
            </w:r>
            <w:r w:rsidRPr="00C62A13">
              <w:t>Authority Required - Telephone</w:t>
            </w:r>
          </w:p>
        </w:tc>
      </w:tr>
      <w:tr w:rsidR="00C973E4"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C973E4" w:rsidRPr="00C62A13" w:rsidRDefault="00C973E4" w:rsidP="00C973E4">
            <w:pPr>
              <w:pStyle w:val="TableText0"/>
              <w:keepNext w:val="0"/>
              <w:rPr>
                <w:b/>
              </w:rPr>
            </w:pPr>
            <w:r w:rsidRPr="00C62A13">
              <w:rPr>
                <w:b/>
              </w:rPr>
              <w:t>Treatment phase:</w:t>
            </w:r>
          </w:p>
        </w:tc>
        <w:tc>
          <w:tcPr>
            <w:tcW w:w="4043" w:type="pct"/>
            <w:gridSpan w:val="6"/>
            <w:tcBorders>
              <w:top w:val="single" w:sz="4" w:space="0" w:color="auto"/>
              <w:left w:val="single" w:sz="4" w:space="0" w:color="auto"/>
              <w:bottom w:val="single" w:sz="4" w:space="0" w:color="auto"/>
              <w:right w:val="single" w:sz="4" w:space="0" w:color="auto"/>
            </w:tcBorders>
          </w:tcPr>
          <w:p w:rsidR="00C973E4" w:rsidRPr="00C62A13" w:rsidRDefault="00C973E4" w:rsidP="00C973E4">
            <w:pPr>
              <w:pStyle w:val="TableText0"/>
              <w:keepNext w:val="0"/>
              <w:rPr>
                <w:rFonts w:eastAsia="Times New Roman" w:cs="Arial"/>
                <w:bCs w:val="0"/>
                <w:szCs w:val="20"/>
              </w:rPr>
            </w:pPr>
            <w:r w:rsidRPr="00C62A13">
              <w:t>Initial treatment of the whole body</w:t>
            </w:r>
          </w:p>
        </w:tc>
      </w:tr>
      <w:tr w:rsidR="003B125C"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3B125C" w:rsidRPr="00C62A13" w:rsidRDefault="003B125C" w:rsidP="003B125C">
            <w:pPr>
              <w:pStyle w:val="TableText0"/>
              <w:keepNext w:val="0"/>
              <w:rPr>
                <w:b/>
              </w:rPr>
            </w:pPr>
            <w:r w:rsidRPr="00C62A13">
              <w:rPr>
                <w:b/>
              </w:rPr>
              <w:t>Treatment criteria:</w:t>
            </w:r>
          </w:p>
        </w:tc>
        <w:tc>
          <w:tcPr>
            <w:tcW w:w="4043" w:type="pct"/>
            <w:gridSpan w:val="6"/>
            <w:tcBorders>
              <w:top w:val="single" w:sz="4" w:space="0" w:color="auto"/>
              <w:left w:val="single" w:sz="4" w:space="0" w:color="auto"/>
              <w:bottom w:val="single" w:sz="4" w:space="0" w:color="auto"/>
              <w:right w:val="single" w:sz="4" w:space="0" w:color="auto"/>
            </w:tcBorders>
          </w:tcPr>
          <w:p w:rsidR="003B125C" w:rsidRPr="00C62A13" w:rsidRDefault="003B125C" w:rsidP="003B125C">
            <w:pPr>
              <w:pStyle w:val="TableText0"/>
              <w:keepNext w:val="0"/>
              <w:rPr>
                <w:rFonts w:eastAsia="Times New Roman" w:cs="Arial"/>
                <w:bCs w:val="0"/>
                <w:szCs w:val="20"/>
              </w:rPr>
            </w:pPr>
            <w:r w:rsidRPr="00C62A13">
              <w:rPr>
                <w:rFonts w:eastAsia="Times New Roman" w:cs="Arial"/>
                <w:bCs w:val="0"/>
                <w:szCs w:val="20"/>
              </w:rPr>
              <w:t>Must be treated by a dermatologist; OR</w:t>
            </w:r>
          </w:p>
          <w:p w:rsidR="003B125C" w:rsidRPr="00C62A13" w:rsidRDefault="003B125C" w:rsidP="003B125C">
            <w:pPr>
              <w:rPr>
                <w:rFonts w:ascii="Arial Narrow" w:hAnsi="Arial Narrow"/>
                <w:sz w:val="20"/>
                <w:szCs w:val="20"/>
              </w:rPr>
            </w:pPr>
            <w:r w:rsidRPr="00C62A13">
              <w:rPr>
                <w:rFonts w:ascii="Arial Narrow" w:hAnsi="Arial Narrow"/>
                <w:sz w:val="20"/>
                <w:szCs w:val="20"/>
              </w:rPr>
              <w:t>Must be treated by a clinical immunologist</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a Physicians Global Assessment (PGA) (5-point scale) baseline score of at least 4 as evidence of severe disease despite treatment with daily topical corticosteroid therapy of medium to high potency for at least 28 days; AND</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an Eczema Area and Severity Index (EASI) baseline score of at least 20 despite treatment with daily topical corticosteroids of medium to high potency for at least 28 days; AND</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an age appropriate Dermatology Life Quality Index (DLQI) baseline score (of any value) measured following treatment with daily topical corticosteroid therapy of medium to high potency for at least 28 days; AND</w:t>
            </w:r>
          </w:p>
          <w:p w:rsidR="00D92E0E" w:rsidRPr="00C62A13" w:rsidRDefault="00D92E0E" w:rsidP="005F61AA">
            <w:pPr>
              <w:rPr>
                <w:rFonts w:ascii="Arial Narrow" w:hAnsi="Arial Narrow"/>
                <w:sz w:val="20"/>
                <w:szCs w:val="20"/>
              </w:rPr>
            </w:pPr>
            <w:r w:rsidRPr="00C62A13">
              <w:rPr>
                <w:rFonts w:ascii="Arial Narrow" w:hAnsi="Arial Narrow"/>
                <w:sz w:val="20"/>
                <w:szCs w:val="20"/>
              </w:rPr>
              <w:t>The condition must have had lesions for at least 6 months from the time of the initial diagnosis of chronic severe atopic dermatitis affecting either of: (i) the whole body, (ii) face/hands; AND</w:t>
            </w:r>
          </w:p>
          <w:p w:rsidR="00D92E0E" w:rsidRPr="00C62A13" w:rsidRDefault="00D92E0E" w:rsidP="005F61AA">
            <w:pPr>
              <w:rPr>
                <w:rFonts w:ascii="Arial Narrow" w:hAnsi="Arial Narrow"/>
                <w:sz w:val="20"/>
                <w:szCs w:val="20"/>
              </w:rPr>
            </w:pPr>
            <w:r w:rsidRPr="00C62A13">
              <w:rPr>
                <w:rFonts w:ascii="Arial Narrow" w:hAnsi="Arial Narrow"/>
                <w:sz w:val="20"/>
                <w:szCs w:val="20"/>
              </w:rPr>
              <w:t xml:space="preserve">The treatment must be the sole PBS-subsidised biological medicine for this PBS indication; AND </w:t>
            </w:r>
          </w:p>
          <w:p w:rsidR="00D92E0E" w:rsidRPr="00C62A13" w:rsidRDefault="00D92E0E" w:rsidP="005F61AA">
            <w:pPr>
              <w:pStyle w:val="TableText0"/>
              <w:keepNext w:val="0"/>
              <w:rPr>
                <w:rFonts w:cs="Arial"/>
              </w:rPr>
            </w:pPr>
            <w:r w:rsidRPr="00C62A13">
              <w:rPr>
                <w:rFonts w:cs="Arial"/>
                <w:szCs w:val="20"/>
              </w:rPr>
              <w:t>Patient must not have experienced an inadequate response to this biological medicine in this PBS indication</w:t>
            </w:r>
            <w:r w:rsidRPr="00C62A13">
              <w:rPr>
                <w:rFonts w:cs="Arial"/>
                <w:b/>
                <w:szCs w:val="20"/>
              </w:rPr>
              <w:t>.</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double" w:sz="4" w:space="0" w:color="auto"/>
              <w:right w:val="single" w:sz="4" w:space="0" w:color="auto"/>
            </w:tcBorders>
          </w:tcPr>
          <w:p w:rsidR="00D92E0E" w:rsidRPr="00C62A13" w:rsidRDefault="00D92E0E" w:rsidP="005F61AA">
            <w:pPr>
              <w:pStyle w:val="TableText0"/>
              <w:keepNext w:val="0"/>
              <w:rPr>
                <w:b/>
              </w:rPr>
            </w:pPr>
            <w:r w:rsidRPr="00C62A13">
              <w:rPr>
                <w:b/>
              </w:rPr>
              <w:t>Population criteria:</w:t>
            </w:r>
          </w:p>
        </w:tc>
        <w:tc>
          <w:tcPr>
            <w:tcW w:w="4043" w:type="pct"/>
            <w:gridSpan w:val="6"/>
            <w:tcBorders>
              <w:top w:val="single" w:sz="4" w:space="0" w:color="auto"/>
              <w:left w:val="single" w:sz="4" w:space="0" w:color="auto"/>
              <w:bottom w:val="double" w:sz="4" w:space="0" w:color="auto"/>
              <w:right w:val="single" w:sz="4" w:space="0" w:color="auto"/>
            </w:tcBorders>
          </w:tcPr>
          <w:p w:rsidR="00D92E0E" w:rsidRPr="00C62A13" w:rsidRDefault="00D92E0E" w:rsidP="005F61AA">
            <w:pPr>
              <w:pStyle w:val="TableText0"/>
              <w:keepNext w:val="0"/>
            </w:pPr>
            <w:r w:rsidRPr="00C62A13">
              <w:t>Patient must be aged 12 years or older</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doub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Treatment phase:</w:t>
            </w:r>
          </w:p>
        </w:tc>
        <w:tc>
          <w:tcPr>
            <w:tcW w:w="4043" w:type="pct"/>
            <w:gridSpan w:val="6"/>
            <w:tcBorders>
              <w:top w:val="doub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pPr>
            <w:r w:rsidRPr="00C62A13">
              <w:t>Continuing or resuming treatment of the whole body</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received PBS-subsidised treatment with this biological medicine for the treatment of chronic severe atopic dermatitis affecting the whole body; AND</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achieved an adequate response within the first 16 weeks of treatment; OR</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p w:rsidR="00D92E0E" w:rsidRPr="00C62A13" w:rsidRDefault="00D92E0E" w:rsidP="005F61AA">
            <w:pPr>
              <w:rPr>
                <w:rFonts w:ascii="Arial Narrow" w:hAnsi="Arial Narrow"/>
                <w:sz w:val="20"/>
                <w:szCs w:val="20"/>
              </w:rPr>
            </w:pPr>
            <w:r w:rsidRPr="00C62A13">
              <w:rPr>
                <w:rFonts w:ascii="Arial Narrow" w:hAnsi="Arial Narrow"/>
                <w:sz w:val="20"/>
                <w:szCs w:val="20"/>
              </w:rPr>
              <w:t xml:space="preserve">Patient must have temporarily ceased treatment for reasons other than lack of response (e.g. family planning, vaccination with live vaccines, adverse-effect investigation), thereby being unable to achieve/maintain an adequate response immediately prior to this authority application; AND </w:t>
            </w:r>
          </w:p>
          <w:p w:rsidR="00D92E0E" w:rsidRPr="00C62A13" w:rsidRDefault="00D92E0E" w:rsidP="005F61AA">
            <w:pPr>
              <w:pStyle w:val="TableText0"/>
              <w:keepNext w:val="0"/>
            </w:pPr>
            <w:r w:rsidRPr="00C62A13">
              <w:rPr>
                <w:rFonts w:cs="Arial"/>
                <w:szCs w:val="20"/>
              </w:rPr>
              <w:t>The treatment must be the sole PBS-subsidised biological medicine for this PBS indication</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double" w:sz="4" w:space="0" w:color="auto"/>
              <w:right w:val="single" w:sz="4" w:space="0" w:color="auto"/>
            </w:tcBorders>
          </w:tcPr>
          <w:p w:rsidR="00D92E0E" w:rsidRPr="00C62A13" w:rsidRDefault="00D92E0E" w:rsidP="005F61AA">
            <w:pPr>
              <w:pStyle w:val="TableText0"/>
              <w:keepNext w:val="0"/>
              <w:rPr>
                <w:b/>
              </w:rPr>
            </w:pPr>
            <w:r w:rsidRPr="00C62A13">
              <w:rPr>
                <w:b/>
              </w:rPr>
              <w:t>Prescriber instructions:</w:t>
            </w:r>
          </w:p>
        </w:tc>
        <w:tc>
          <w:tcPr>
            <w:tcW w:w="4043" w:type="pct"/>
            <w:gridSpan w:val="6"/>
            <w:tcBorders>
              <w:top w:val="single" w:sz="4" w:space="0" w:color="auto"/>
              <w:left w:val="single" w:sz="4" w:space="0" w:color="auto"/>
              <w:bottom w:val="double" w:sz="4" w:space="0" w:color="auto"/>
              <w:right w:val="single" w:sz="4" w:space="0" w:color="auto"/>
            </w:tcBorders>
          </w:tcPr>
          <w:p w:rsidR="00D92E0E" w:rsidRPr="00C62A13" w:rsidRDefault="00D92E0E" w:rsidP="005F61AA">
            <w:pPr>
              <w:rPr>
                <w:rFonts w:ascii="Arial Narrow" w:hAnsi="Arial Narrow"/>
                <w:sz w:val="20"/>
                <w:szCs w:val="20"/>
              </w:rPr>
            </w:pPr>
            <w:r w:rsidRPr="00C62A13">
              <w:rPr>
                <w:rFonts w:ascii="Arial Narrow" w:hAnsi="Arial Narrow"/>
                <w:sz w:val="20"/>
                <w:szCs w:val="20"/>
              </w:rPr>
              <w:t>For the purposes of this restriction, an adequate response to treatment is defined as:</w:t>
            </w:r>
          </w:p>
          <w:p w:rsidR="00D92E0E" w:rsidRPr="00C62A13" w:rsidRDefault="00D92E0E" w:rsidP="005F61AA">
            <w:pPr>
              <w:rPr>
                <w:rFonts w:ascii="Arial Narrow" w:hAnsi="Arial Narrow"/>
                <w:sz w:val="20"/>
                <w:szCs w:val="20"/>
              </w:rPr>
            </w:pPr>
            <w:r w:rsidRPr="00C62A13">
              <w:rPr>
                <w:rFonts w:ascii="Arial Narrow" w:hAnsi="Arial Narrow"/>
                <w:sz w:val="20"/>
                <w:szCs w:val="20"/>
              </w:rPr>
              <w:t>(a) An improvement/maintenance in the Eczema Area and Severity Index (EASI) score of at least 50% compared to baseline; and</w:t>
            </w:r>
          </w:p>
          <w:p w:rsidR="00D92E0E" w:rsidRPr="00C62A13" w:rsidRDefault="00D92E0E" w:rsidP="005F61AA">
            <w:pPr>
              <w:rPr>
                <w:rFonts w:ascii="Arial Narrow" w:hAnsi="Arial Narrow"/>
                <w:sz w:val="20"/>
                <w:szCs w:val="20"/>
              </w:rPr>
            </w:pPr>
            <w:r w:rsidRPr="00C62A13">
              <w:rPr>
                <w:rFonts w:ascii="Arial Narrow" w:hAnsi="Arial Narrow"/>
                <w:sz w:val="20"/>
                <w:szCs w:val="20"/>
              </w:rPr>
              <w:t>(b) An improvement/maintenance in Dermatology Life Quality Index (DLQI) score of at least 4 points compared to baseline</w:t>
            </w:r>
          </w:p>
        </w:tc>
      </w:tr>
      <w:tr w:rsidR="001174E8"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1174E8" w:rsidRPr="00C62A13" w:rsidRDefault="001174E8" w:rsidP="001174E8">
            <w:pPr>
              <w:pStyle w:val="TableText0"/>
              <w:keepNext w:val="0"/>
              <w:rPr>
                <w:b/>
              </w:rPr>
            </w:pPr>
            <w:r w:rsidRPr="00C62A13">
              <w:rPr>
                <w:b/>
              </w:rPr>
              <w:t>Treatment phase:</w:t>
            </w:r>
          </w:p>
        </w:tc>
        <w:tc>
          <w:tcPr>
            <w:tcW w:w="4043" w:type="pct"/>
            <w:gridSpan w:val="6"/>
            <w:tcBorders>
              <w:top w:val="single" w:sz="4" w:space="0" w:color="auto"/>
              <w:left w:val="single" w:sz="4" w:space="0" w:color="auto"/>
              <w:bottom w:val="single" w:sz="4" w:space="0" w:color="auto"/>
              <w:right w:val="single" w:sz="4" w:space="0" w:color="auto"/>
            </w:tcBorders>
          </w:tcPr>
          <w:p w:rsidR="001174E8" w:rsidRPr="00C62A13" w:rsidRDefault="001174E8" w:rsidP="001174E8">
            <w:pPr>
              <w:pStyle w:val="TableText0"/>
              <w:keepNext w:val="0"/>
              <w:rPr>
                <w:szCs w:val="20"/>
              </w:rPr>
            </w:pPr>
            <w:r w:rsidRPr="00C62A13">
              <w:t>Transitioning from non-PBS to PBS-subsidised supply - treatment of the whole body (Grandfather listing)</w:t>
            </w:r>
          </w:p>
        </w:tc>
      </w:tr>
      <w:tr w:rsidR="001174E8"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1174E8" w:rsidRPr="00C62A13" w:rsidRDefault="001174E8" w:rsidP="001174E8">
            <w:pPr>
              <w:pStyle w:val="TableText0"/>
              <w:keepNext w:val="0"/>
              <w:rPr>
                <w:b/>
              </w:rPr>
            </w:pPr>
            <w:r w:rsidRPr="00C62A13">
              <w:rPr>
                <w:b/>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1174E8" w:rsidRPr="00C62A13" w:rsidRDefault="001174E8" w:rsidP="001174E8">
            <w:pPr>
              <w:rPr>
                <w:rFonts w:ascii="Arial Narrow" w:hAnsi="Arial Narrow"/>
                <w:sz w:val="20"/>
                <w:szCs w:val="20"/>
              </w:rPr>
            </w:pPr>
            <w:r w:rsidRPr="00C62A13">
              <w:rPr>
                <w:rFonts w:ascii="Arial Narrow" w:hAnsi="Arial Narrow"/>
                <w:sz w:val="20"/>
                <w:szCs w:val="20"/>
              </w:rPr>
              <w:t xml:space="preserve">Patient must have been receiving treatment with this biological medicine for this PBS indication prior to 1 October 2021, AND </w:t>
            </w:r>
          </w:p>
          <w:p w:rsidR="001174E8" w:rsidRPr="00C62A13" w:rsidRDefault="001174E8" w:rsidP="001174E8">
            <w:pPr>
              <w:rPr>
                <w:rFonts w:ascii="Arial Narrow" w:hAnsi="Arial Narrow"/>
                <w:sz w:val="20"/>
                <w:szCs w:val="20"/>
              </w:rPr>
            </w:pPr>
            <w:r w:rsidRPr="00C62A13">
              <w:rPr>
                <w:rFonts w:ascii="Arial Narrow" w:hAnsi="Arial Narrow"/>
                <w:sz w:val="20"/>
                <w:szCs w:val="20"/>
              </w:rPr>
              <w:t>Patient must have had a Physicians Global Assessment (PGA) baseline score of at least 4 as evidence of severe disease despite treatment with daily topical corticosteroid therapy of medium to high potency for at least 28 days prior to commencing non-PBS-subsidised therapy with this biological medicine; AND</w:t>
            </w:r>
          </w:p>
          <w:p w:rsidR="001174E8" w:rsidRPr="00C62A13" w:rsidRDefault="001174E8" w:rsidP="001174E8">
            <w:pPr>
              <w:rPr>
                <w:rFonts w:ascii="Arial Narrow" w:hAnsi="Arial Narrow"/>
                <w:sz w:val="20"/>
                <w:szCs w:val="20"/>
              </w:rPr>
            </w:pPr>
            <w:r w:rsidRPr="00C62A13">
              <w:rPr>
                <w:rFonts w:ascii="Arial Narrow" w:hAnsi="Arial Narrow"/>
                <w:sz w:val="20"/>
                <w:szCs w:val="20"/>
              </w:rPr>
              <w:t>Patient must have had an Eczema Area and Severity Index (EASI) baseline score of at least 20 despite treatment with daily topical corticosteroid therapy of medium to high potency for at least 28 days prior to commencing non-PBS-subsidised therapy with this biological medicine; AND</w:t>
            </w:r>
          </w:p>
          <w:p w:rsidR="001174E8" w:rsidRPr="00C62A13" w:rsidRDefault="001174E8" w:rsidP="001174E8">
            <w:pPr>
              <w:rPr>
                <w:rFonts w:ascii="Arial Narrow" w:hAnsi="Arial Narrow"/>
                <w:sz w:val="20"/>
                <w:szCs w:val="20"/>
              </w:rPr>
            </w:pPr>
            <w:r w:rsidRPr="00C62A13">
              <w:rPr>
                <w:rFonts w:ascii="Arial Narrow" w:hAnsi="Arial Narrow"/>
                <w:sz w:val="20"/>
                <w:szCs w:val="20"/>
              </w:rPr>
              <w:t>Patient must have an age appropriate Dermatology Life Quality Index (DLQI) baseline score (of any value) measured following treatment with daily topical corticosteroid therapy of medium to high potency for at least 28 days, prior to having commenced non-PBS-subsidised therapy with this biological medicine; OR</w:t>
            </w:r>
          </w:p>
          <w:p w:rsidR="001174E8" w:rsidRPr="00C62A13" w:rsidRDefault="001174E8" w:rsidP="001174E8">
            <w:pPr>
              <w:rPr>
                <w:rFonts w:ascii="Arial Narrow" w:hAnsi="Arial Narrow"/>
                <w:sz w:val="20"/>
                <w:szCs w:val="20"/>
              </w:rPr>
            </w:pPr>
            <w:r w:rsidRPr="00C62A13">
              <w:rPr>
                <w:rFonts w:ascii="Arial Narrow" w:hAnsi="Arial Narrow"/>
                <w:sz w:val="20"/>
                <w:szCs w:val="20"/>
              </w:rPr>
              <w:t>Patient must have, where the above baseline DLQI was not recorded in the patient's medical records, a current age-appropriate DLQI score (of any value) measured; AND</w:t>
            </w:r>
          </w:p>
          <w:p w:rsidR="001174E8" w:rsidRPr="00C62A13" w:rsidRDefault="001174E8" w:rsidP="001174E8">
            <w:pPr>
              <w:rPr>
                <w:rFonts w:ascii="Arial Narrow" w:hAnsi="Arial Narrow"/>
                <w:sz w:val="20"/>
                <w:szCs w:val="20"/>
              </w:rPr>
            </w:pPr>
            <w:r w:rsidRPr="00C62A13">
              <w:rPr>
                <w:rFonts w:ascii="Arial Narrow" w:hAnsi="Arial Narrow"/>
                <w:sz w:val="20"/>
                <w:szCs w:val="20"/>
              </w:rPr>
              <w:t>The condition must have had lesions for at least 6 months from the time of the initial diagnosis of chronic severe atopic dermatitis affecting either of: (i) the whole body, (ii) face/hands, prior to commencing non-PBS-subsidised therapy with this biological medicine; AND</w:t>
            </w:r>
          </w:p>
          <w:p w:rsidR="001174E8" w:rsidRPr="00C62A13" w:rsidRDefault="001174E8" w:rsidP="001174E8">
            <w:pPr>
              <w:rPr>
                <w:rFonts w:ascii="Arial Narrow" w:hAnsi="Arial Narrow"/>
                <w:sz w:val="20"/>
                <w:szCs w:val="20"/>
              </w:rPr>
            </w:pPr>
            <w:r w:rsidRPr="00C62A13">
              <w:rPr>
                <w:rFonts w:ascii="Arial Narrow" w:hAnsi="Arial Narrow"/>
                <w:sz w:val="20"/>
                <w:szCs w:val="20"/>
              </w:rPr>
              <w:t>Patient must not be experiencing an inadequate response to current non-PBS-subsidised therapy with this biological medicine; AND</w:t>
            </w:r>
          </w:p>
          <w:p w:rsidR="001174E8" w:rsidRPr="00C62A13" w:rsidRDefault="001174E8" w:rsidP="001174E8">
            <w:pPr>
              <w:rPr>
                <w:rFonts w:ascii="Arial Narrow" w:hAnsi="Arial Narrow"/>
                <w:sz w:val="20"/>
                <w:szCs w:val="20"/>
              </w:rPr>
            </w:pPr>
            <w:r w:rsidRPr="00C62A13">
              <w:rPr>
                <w:rFonts w:ascii="Arial Narrow" w:hAnsi="Arial Narrow"/>
                <w:sz w:val="20"/>
                <w:szCs w:val="20"/>
              </w:rPr>
              <w:t>The treatment must be the sole PBS-subsidised biological medicine for this PBS indication; AND</w:t>
            </w:r>
          </w:p>
          <w:p w:rsidR="001174E8" w:rsidRPr="00C62A13" w:rsidRDefault="001174E8" w:rsidP="001174E8">
            <w:pPr>
              <w:rPr>
                <w:rFonts w:ascii="Arial Narrow" w:hAnsi="Arial Narrow"/>
                <w:sz w:val="20"/>
                <w:szCs w:val="20"/>
              </w:rPr>
            </w:pPr>
            <w:r w:rsidRPr="00C62A13">
              <w:rPr>
                <w:rFonts w:ascii="Arial Narrow" w:hAnsi="Arial Narrow"/>
                <w:sz w:val="20"/>
                <w:szCs w:val="20"/>
              </w:rPr>
              <w:t>Patient must not have experienced an inadequate response to this biological medicine in this indication, prior to commencing non-PBS-subsidised therapy with this biological medicine.</w:t>
            </w:r>
          </w:p>
        </w:tc>
      </w:tr>
      <w:tr w:rsidR="001174E8"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double" w:sz="4" w:space="0" w:color="auto"/>
              <w:right w:val="single" w:sz="4" w:space="0" w:color="auto"/>
            </w:tcBorders>
          </w:tcPr>
          <w:p w:rsidR="001174E8" w:rsidRPr="00C62A13" w:rsidRDefault="001174E8" w:rsidP="001174E8">
            <w:pPr>
              <w:pStyle w:val="TableText0"/>
              <w:keepNext w:val="0"/>
              <w:rPr>
                <w:b/>
              </w:rPr>
            </w:pPr>
            <w:r w:rsidRPr="00C62A13">
              <w:rPr>
                <w:b/>
              </w:rPr>
              <w:t>Prescriber instructions:</w:t>
            </w:r>
          </w:p>
        </w:tc>
        <w:tc>
          <w:tcPr>
            <w:tcW w:w="4043" w:type="pct"/>
            <w:gridSpan w:val="6"/>
            <w:tcBorders>
              <w:top w:val="single" w:sz="4" w:space="0" w:color="auto"/>
              <w:left w:val="single" w:sz="4" w:space="0" w:color="auto"/>
              <w:bottom w:val="double" w:sz="4" w:space="0" w:color="auto"/>
              <w:right w:val="single" w:sz="4" w:space="0" w:color="auto"/>
            </w:tcBorders>
          </w:tcPr>
          <w:p w:rsidR="001174E8" w:rsidRPr="00C62A13" w:rsidRDefault="001174E8" w:rsidP="001174E8">
            <w:pPr>
              <w:rPr>
                <w:rFonts w:ascii="Arial Narrow" w:hAnsi="Arial Narrow"/>
                <w:sz w:val="20"/>
                <w:szCs w:val="20"/>
              </w:rPr>
            </w:pPr>
            <w:r w:rsidRPr="00C62A13">
              <w:rPr>
                <w:rFonts w:ascii="Arial Narrow" w:hAnsi="Arial Narrow"/>
                <w:sz w:val="20"/>
                <w:szCs w:val="20"/>
              </w:rPr>
              <w:t>A Grandfathered patient may qualify for PBS-subsidised treatment under this restriction once only.</w:t>
            </w:r>
          </w:p>
          <w:p w:rsidR="001174E8" w:rsidRPr="00C62A13" w:rsidRDefault="001174E8" w:rsidP="001174E8">
            <w:pPr>
              <w:rPr>
                <w:rFonts w:ascii="Arial Narrow" w:hAnsi="Arial Narrow"/>
                <w:sz w:val="20"/>
                <w:szCs w:val="20"/>
              </w:rPr>
            </w:pPr>
            <w:r w:rsidRPr="00C62A13">
              <w:rPr>
                <w:rFonts w:ascii="Arial Narrow" w:hAnsi="Arial Narrow"/>
                <w:sz w:val="20"/>
                <w:szCs w:val="20"/>
              </w:rPr>
              <w:t>For continuing PBS-subsidised treatment, a Grandfathered patient must qualify under the Continuing treatment criteria.</w:t>
            </w:r>
          </w:p>
          <w:p w:rsidR="001174E8" w:rsidRPr="00C62A13" w:rsidRDefault="001174E8" w:rsidP="001174E8">
            <w:pPr>
              <w:rPr>
                <w:rFonts w:ascii="Arial Narrow" w:hAnsi="Arial Narrow"/>
                <w:sz w:val="20"/>
                <w:szCs w:val="20"/>
              </w:rPr>
            </w:pPr>
            <w:r w:rsidRPr="00C62A13">
              <w:rPr>
                <w:rFonts w:ascii="Arial Narrow" w:hAnsi="Arial Narrow"/>
                <w:sz w:val="20"/>
                <w:szCs w:val="20"/>
              </w:rPr>
              <w:t>This grandfather restriction will cease to operate from 12 months after the date specified in the clinical criteria</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doub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Treatment phase:</w:t>
            </w:r>
          </w:p>
        </w:tc>
        <w:tc>
          <w:tcPr>
            <w:tcW w:w="4043" w:type="pct"/>
            <w:gridSpan w:val="6"/>
            <w:tcBorders>
              <w:top w:val="doub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pPr>
            <w:r w:rsidRPr="00C62A13">
              <w:t>Initial treatment of the face and/or hands</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rPr>
                <w:rFonts w:ascii="Arial Narrow" w:hAnsi="Arial Narrow"/>
                <w:sz w:val="20"/>
                <w:szCs w:val="20"/>
              </w:rPr>
            </w:pPr>
            <w:r w:rsidRPr="00C62A13">
              <w:rPr>
                <w:rFonts w:ascii="Arial Narrow" w:hAnsi="Arial Narrow"/>
                <w:sz w:val="20"/>
                <w:szCs w:val="20"/>
              </w:rPr>
              <w:t>The condition must have at least 2 of the following Eczema Area and Severity Index (EASI) symptom sub-scores for erythema, oedema/papulation, excoriation, lichenification rated as severe despite treatment with daily topical corticosteroid therapy of medium to high potency for at least 28 days; OR</w:t>
            </w:r>
          </w:p>
          <w:p w:rsidR="00D92E0E" w:rsidRPr="00C62A13" w:rsidRDefault="00D92E0E" w:rsidP="005F61AA">
            <w:pPr>
              <w:rPr>
                <w:rFonts w:ascii="Arial Narrow" w:hAnsi="Arial Narrow"/>
                <w:sz w:val="20"/>
                <w:szCs w:val="20"/>
              </w:rPr>
            </w:pPr>
            <w:r w:rsidRPr="00C62A13">
              <w:rPr>
                <w:rFonts w:ascii="Arial Narrow" w:hAnsi="Arial Narrow"/>
                <w:sz w:val="20"/>
                <w:szCs w:val="20"/>
              </w:rPr>
              <w:t>The condition must have affected at least 30% of the face/hands surface area despite treatment with daily topical corticosteroid therapy of medium to high potency for at least 28 days; AND</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an age appropriate Dermatology Life Quality Index (DLQI) baseline score (of any value) measured following treatment with daily topical corticosteroid therapy of medium to high potency for at least 28 days; AND</w:t>
            </w:r>
          </w:p>
          <w:p w:rsidR="00D92E0E" w:rsidRPr="00C62A13" w:rsidRDefault="00D92E0E" w:rsidP="005F61AA">
            <w:pPr>
              <w:rPr>
                <w:rFonts w:ascii="Arial Narrow" w:hAnsi="Arial Narrow"/>
                <w:sz w:val="20"/>
                <w:szCs w:val="20"/>
              </w:rPr>
            </w:pPr>
            <w:r w:rsidRPr="00C62A13">
              <w:rPr>
                <w:rFonts w:ascii="Arial Narrow" w:hAnsi="Arial Narrow"/>
                <w:sz w:val="20"/>
                <w:szCs w:val="20"/>
              </w:rPr>
              <w:t>The condition must have had lesions for at least 6 months from the time of the initial diagnosis of chronic severe atopic dermatitis affecting either of: (i) the whole body, (ii) face/hands; AND</w:t>
            </w:r>
          </w:p>
          <w:p w:rsidR="00D92E0E" w:rsidRPr="00C62A13" w:rsidRDefault="00D92E0E" w:rsidP="005F61AA">
            <w:pPr>
              <w:rPr>
                <w:rFonts w:ascii="Arial Narrow" w:hAnsi="Arial Narrow"/>
                <w:sz w:val="20"/>
                <w:szCs w:val="20"/>
              </w:rPr>
            </w:pPr>
            <w:r w:rsidRPr="00C62A13">
              <w:rPr>
                <w:rFonts w:ascii="Arial Narrow" w:hAnsi="Arial Narrow"/>
                <w:sz w:val="20"/>
                <w:szCs w:val="20"/>
              </w:rPr>
              <w:t>The treatment must be the sole PBS-subsidised biological medicine for this PBS indication; AND</w:t>
            </w:r>
          </w:p>
          <w:p w:rsidR="00D92E0E" w:rsidRPr="00C62A13" w:rsidRDefault="00D92E0E" w:rsidP="005F61AA">
            <w:pPr>
              <w:pStyle w:val="TableText0"/>
              <w:keepNext w:val="0"/>
              <w:rPr>
                <w:highlight w:val="yellow"/>
              </w:rPr>
            </w:pPr>
            <w:r w:rsidRPr="00C62A13">
              <w:rPr>
                <w:rFonts w:cs="Arial"/>
                <w:szCs w:val="20"/>
              </w:rPr>
              <w:t>Patient must not have experienced an inadequate response to this biological medicine in this PBS indication.</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highlight w:val="yellow"/>
              </w:rPr>
            </w:pPr>
            <w:r w:rsidRPr="00C62A13">
              <w:rPr>
                <w:b/>
              </w:rPr>
              <w:t>Population criteria:</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rPr>
                <w:rFonts w:ascii="Arial Narrow" w:hAnsi="Arial Narrow"/>
                <w:sz w:val="20"/>
                <w:szCs w:val="20"/>
              </w:rPr>
            </w:pPr>
            <w:r w:rsidRPr="00C62A13">
              <w:rPr>
                <w:rFonts w:ascii="Arial Narrow" w:hAnsi="Arial Narrow"/>
                <w:sz w:val="20"/>
                <w:szCs w:val="20"/>
              </w:rPr>
              <w:t>Patient must be aged 12 years or older</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doub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rPr>
            </w:pPr>
            <w:r w:rsidRPr="00C62A13">
              <w:rPr>
                <w:b/>
              </w:rPr>
              <w:t>Treatment phase:</w:t>
            </w:r>
          </w:p>
        </w:tc>
        <w:tc>
          <w:tcPr>
            <w:tcW w:w="4043" w:type="pct"/>
            <w:gridSpan w:val="6"/>
            <w:tcBorders>
              <w:top w:val="doub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highlight w:val="yellow"/>
              </w:rPr>
            </w:pPr>
            <w:r w:rsidRPr="00C62A13">
              <w:t>Continuing or resuming treatment of the face and/or hands</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highlight w:val="yellow"/>
              </w:rPr>
            </w:pPr>
            <w:r w:rsidRPr="00C62A13">
              <w:rPr>
                <w:b/>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received PBS-subsidised treatment with this biological medicine for the treatment of chronic severe atopic dermatitis affecting the face/hands, AND</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achieved an adequate response within the first 16 weeks of treatment; OR</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p w:rsidR="00D92E0E" w:rsidRPr="00C62A13" w:rsidRDefault="00D92E0E" w:rsidP="005F61AA">
            <w:pPr>
              <w:rPr>
                <w:rFonts w:ascii="Arial Narrow" w:hAnsi="Arial Narrow"/>
                <w:sz w:val="20"/>
                <w:szCs w:val="20"/>
              </w:rPr>
            </w:pPr>
            <w:r w:rsidRPr="00C62A13">
              <w:rPr>
                <w:rFonts w:ascii="Arial Narrow" w:hAnsi="Arial Narrow"/>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 AND</w:t>
            </w:r>
          </w:p>
          <w:p w:rsidR="00D92E0E" w:rsidRPr="00C62A13" w:rsidRDefault="00D92E0E" w:rsidP="005F61AA">
            <w:pPr>
              <w:pStyle w:val="TableText0"/>
              <w:keepNext w:val="0"/>
              <w:rPr>
                <w:highlight w:val="yellow"/>
              </w:rPr>
            </w:pPr>
            <w:r w:rsidRPr="00C62A13">
              <w:rPr>
                <w:rFonts w:cs="Arial"/>
                <w:szCs w:val="20"/>
              </w:rPr>
              <w:t>The treatment must be the sole PBS-subsidised biological medicine for this PBS indication.</w:t>
            </w:r>
          </w:p>
        </w:tc>
      </w:tr>
      <w:tr w:rsidR="00D92E0E"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D92E0E" w:rsidRPr="00C62A13" w:rsidRDefault="00D92E0E" w:rsidP="005F61AA">
            <w:pPr>
              <w:pStyle w:val="TableText0"/>
              <w:keepNext w:val="0"/>
              <w:rPr>
                <w:b/>
                <w:highlight w:val="yellow"/>
              </w:rPr>
            </w:pPr>
            <w:r w:rsidRPr="00C62A13">
              <w:rPr>
                <w:b/>
              </w:rPr>
              <w:t>Prescriber instructions:</w:t>
            </w:r>
          </w:p>
        </w:tc>
        <w:tc>
          <w:tcPr>
            <w:tcW w:w="4043" w:type="pct"/>
            <w:gridSpan w:val="6"/>
            <w:tcBorders>
              <w:top w:val="single" w:sz="4" w:space="0" w:color="auto"/>
              <w:left w:val="single" w:sz="4" w:space="0" w:color="auto"/>
              <w:bottom w:val="single" w:sz="4" w:space="0" w:color="auto"/>
              <w:right w:val="single" w:sz="4" w:space="0" w:color="auto"/>
            </w:tcBorders>
          </w:tcPr>
          <w:p w:rsidR="00D92E0E" w:rsidRPr="00C62A13" w:rsidRDefault="00D92E0E" w:rsidP="00C973E4">
            <w:pPr>
              <w:jc w:val="left"/>
              <w:rPr>
                <w:rFonts w:ascii="Arial Narrow" w:hAnsi="Arial Narrow"/>
                <w:sz w:val="20"/>
                <w:szCs w:val="20"/>
              </w:rPr>
            </w:pPr>
            <w:r w:rsidRPr="00C62A13">
              <w:rPr>
                <w:rFonts w:ascii="Arial Narrow" w:hAnsi="Arial Narrow"/>
                <w:sz w:val="20"/>
                <w:szCs w:val="20"/>
              </w:rPr>
              <w:t>For the purposes of this restriction, an adequate response to treatment is defined as:</w:t>
            </w:r>
          </w:p>
          <w:p w:rsidR="00D92E0E" w:rsidRPr="00C62A13" w:rsidRDefault="00D92E0E" w:rsidP="00C973E4">
            <w:pPr>
              <w:jc w:val="left"/>
              <w:rPr>
                <w:rFonts w:ascii="Arial Narrow" w:hAnsi="Arial Narrow"/>
                <w:sz w:val="20"/>
                <w:szCs w:val="20"/>
              </w:rPr>
            </w:pPr>
            <w:r w:rsidRPr="00C62A13">
              <w:rPr>
                <w:rFonts w:ascii="Arial Narrow" w:hAnsi="Arial Narrow"/>
                <w:sz w:val="20"/>
                <w:szCs w:val="20"/>
              </w:rPr>
              <w:t>(a) (i) A rating of either mild (1) to none (0) on at least 3 of the assessments of erythema, oedema/papulation, excoriation and lichenification mentioned in the Eczema Area and Severity Index (EASI); or (ii) At least a 75% reduction in the skin area affected by this condition compared to baseline; and</w:t>
            </w:r>
          </w:p>
          <w:p w:rsidR="00D92E0E" w:rsidRPr="00C62A13" w:rsidRDefault="00D92E0E" w:rsidP="00C973E4">
            <w:pPr>
              <w:jc w:val="left"/>
              <w:rPr>
                <w:rFonts w:ascii="Arial Narrow" w:hAnsi="Arial Narrow"/>
                <w:sz w:val="20"/>
                <w:szCs w:val="20"/>
              </w:rPr>
            </w:pPr>
            <w:r w:rsidRPr="00C62A13">
              <w:rPr>
                <w:rFonts w:ascii="Arial Narrow" w:hAnsi="Arial Narrow"/>
                <w:sz w:val="20"/>
                <w:szCs w:val="20"/>
              </w:rPr>
              <w:t>(b) An improvement in Dermatology Life Quality Index (DLQI) score of at least 4 points compared to baseline</w:t>
            </w:r>
          </w:p>
        </w:tc>
      </w:tr>
      <w:tr w:rsidR="00B6022A"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double" w:sz="4" w:space="0" w:color="auto"/>
              <w:left w:val="single" w:sz="4" w:space="0" w:color="auto"/>
              <w:bottom w:val="single" w:sz="4" w:space="0" w:color="auto"/>
              <w:right w:val="single" w:sz="4" w:space="0" w:color="auto"/>
            </w:tcBorders>
          </w:tcPr>
          <w:p w:rsidR="00B6022A" w:rsidRPr="00C62A13" w:rsidRDefault="00B6022A" w:rsidP="00B6022A">
            <w:pPr>
              <w:pStyle w:val="TableText0"/>
              <w:keepNext w:val="0"/>
              <w:rPr>
                <w:b/>
              </w:rPr>
            </w:pPr>
            <w:r w:rsidRPr="00C62A13">
              <w:rPr>
                <w:b/>
              </w:rPr>
              <w:t>Treatment phase:</w:t>
            </w:r>
          </w:p>
        </w:tc>
        <w:tc>
          <w:tcPr>
            <w:tcW w:w="4043" w:type="pct"/>
            <w:gridSpan w:val="6"/>
            <w:tcBorders>
              <w:top w:val="double" w:sz="4" w:space="0" w:color="auto"/>
              <w:left w:val="single" w:sz="4" w:space="0" w:color="auto"/>
              <w:bottom w:val="single" w:sz="4" w:space="0" w:color="auto"/>
              <w:right w:val="single" w:sz="4" w:space="0" w:color="auto"/>
            </w:tcBorders>
          </w:tcPr>
          <w:p w:rsidR="00B6022A" w:rsidRPr="00C62A13" w:rsidRDefault="00B6022A" w:rsidP="00B6022A">
            <w:pPr>
              <w:pStyle w:val="TableText0"/>
              <w:keepNext w:val="0"/>
            </w:pPr>
            <w:r w:rsidRPr="00C62A13">
              <w:t>Transitioning from non-PBS to PBS-subsidised supply - treatment of the face and/or hands (Grandfather listing)</w:t>
            </w:r>
          </w:p>
        </w:tc>
      </w:tr>
      <w:tr w:rsidR="00B6022A"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single" w:sz="4" w:space="0" w:color="auto"/>
              <w:right w:val="single" w:sz="4" w:space="0" w:color="auto"/>
            </w:tcBorders>
          </w:tcPr>
          <w:p w:rsidR="00B6022A" w:rsidRPr="00C62A13" w:rsidRDefault="00B6022A" w:rsidP="00B6022A">
            <w:pPr>
              <w:pStyle w:val="TableText0"/>
              <w:keepNext w:val="0"/>
              <w:rPr>
                <w:b/>
              </w:rPr>
            </w:pPr>
            <w:r w:rsidRPr="00C62A13">
              <w:rPr>
                <w:b/>
              </w:rPr>
              <w:t>Clinical criteria:</w:t>
            </w:r>
          </w:p>
        </w:tc>
        <w:tc>
          <w:tcPr>
            <w:tcW w:w="4043" w:type="pct"/>
            <w:gridSpan w:val="6"/>
            <w:tcBorders>
              <w:top w:val="single" w:sz="4" w:space="0" w:color="auto"/>
              <w:left w:val="single" w:sz="4" w:space="0" w:color="auto"/>
              <w:bottom w:val="single" w:sz="4" w:space="0" w:color="auto"/>
              <w:right w:val="single" w:sz="4" w:space="0" w:color="auto"/>
            </w:tcBorders>
          </w:tcPr>
          <w:p w:rsidR="00B6022A" w:rsidRPr="00C62A13" w:rsidRDefault="00B6022A" w:rsidP="00B6022A">
            <w:pPr>
              <w:rPr>
                <w:rFonts w:ascii="Arial Narrow" w:hAnsi="Arial Narrow"/>
                <w:sz w:val="20"/>
                <w:szCs w:val="20"/>
              </w:rPr>
            </w:pPr>
            <w:r w:rsidRPr="00C62A13">
              <w:rPr>
                <w:rFonts w:ascii="Arial Narrow" w:hAnsi="Arial Narrow"/>
                <w:sz w:val="20"/>
                <w:szCs w:val="20"/>
              </w:rPr>
              <w:t>Patient must have been receiving treatment with this biological medicine for this PBS indication prior to 1 October 2021, AND</w:t>
            </w:r>
          </w:p>
          <w:p w:rsidR="00B6022A" w:rsidRPr="00C62A13" w:rsidRDefault="00B6022A" w:rsidP="00B6022A">
            <w:pPr>
              <w:rPr>
                <w:rFonts w:ascii="Arial Narrow" w:hAnsi="Arial Narrow"/>
                <w:sz w:val="20"/>
                <w:szCs w:val="20"/>
              </w:rPr>
            </w:pPr>
            <w:r w:rsidRPr="00C62A13">
              <w:rPr>
                <w:rFonts w:ascii="Arial Narrow" w:hAnsi="Arial Narrow"/>
                <w:sz w:val="20"/>
                <w:szCs w:val="20"/>
              </w:rPr>
              <w:t>The condition must have had at least 2 of the following Eczema Area and Severity Index (EASI) symptom sub-scores for erythema, oedema/papulation, excoriation, lichenification rated as severe despite treatment with daily topical corticosteroid therapy of medium to high potency for at least 28 days, prior to commencing non-PBS-subsidised therapy with this biological medicine; OR</w:t>
            </w:r>
          </w:p>
          <w:p w:rsidR="00B6022A" w:rsidRPr="00C62A13" w:rsidRDefault="00B6022A" w:rsidP="00B6022A">
            <w:pPr>
              <w:rPr>
                <w:rFonts w:ascii="Arial Narrow" w:hAnsi="Arial Narrow"/>
                <w:sz w:val="20"/>
                <w:szCs w:val="20"/>
              </w:rPr>
            </w:pPr>
            <w:r w:rsidRPr="00C62A13">
              <w:rPr>
                <w:rFonts w:ascii="Arial Narrow" w:hAnsi="Arial Narrow"/>
                <w:sz w:val="20"/>
                <w:szCs w:val="20"/>
              </w:rPr>
              <w:t>The condition must have affected at least 30% of the face/hands surface area despite treatment with daily topical corticosteroid therapy of medium to high potency for at least 28 days corticosteroid therapy, prior to commencing non-PBS-subsidised therapy with this biological medicine, AND</w:t>
            </w:r>
          </w:p>
          <w:p w:rsidR="00B6022A" w:rsidRPr="00C62A13" w:rsidRDefault="00B6022A" w:rsidP="00B6022A">
            <w:pPr>
              <w:rPr>
                <w:rFonts w:ascii="Arial Narrow" w:hAnsi="Arial Narrow"/>
                <w:sz w:val="20"/>
                <w:szCs w:val="20"/>
              </w:rPr>
            </w:pPr>
            <w:r w:rsidRPr="00C62A13">
              <w:rPr>
                <w:rFonts w:ascii="Arial Narrow" w:hAnsi="Arial Narrow"/>
                <w:sz w:val="20"/>
                <w:szCs w:val="20"/>
              </w:rPr>
              <w:t>Patient must have an age appropriate Dermatology Life Quality Index (DLQI) baseline score (of any value) measured following treatment with daily topical corticosteroid therapy of medium to high potency for at least 28 days, prior to having commenced non-PBS-subsidised therapy with this biological medicine; OR</w:t>
            </w:r>
          </w:p>
          <w:p w:rsidR="00B6022A" w:rsidRPr="00C62A13" w:rsidRDefault="00B6022A" w:rsidP="00B6022A">
            <w:pPr>
              <w:rPr>
                <w:rFonts w:ascii="Arial Narrow" w:hAnsi="Arial Narrow"/>
                <w:sz w:val="20"/>
                <w:szCs w:val="20"/>
              </w:rPr>
            </w:pPr>
            <w:r w:rsidRPr="00C62A13">
              <w:rPr>
                <w:rFonts w:ascii="Arial Narrow" w:hAnsi="Arial Narrow"/>
                <w:sz w:val="20"/>
                <w:szCs w:val="20"/>
              </w:rPr>
              <w:t>Patient must have, where the above baseline DLQI was not recorded in the patient's medical records, a current age-appropriate DLQI score (of any value) measured, AND</w:t>
            </w:r>
          </w:p>
          <w:p w:rsidR="00B6022A" w:rsidRPr="00C62A13" w:rsidRDefault="00B6022A" w:rsidP="00B6022A">
            <w:pPr>
              <w:rPr>
                <w:rFonts w:ascii="Arial Narrow" w:hAnsi="Arial Narrow"/>
                <w:sz w:val="20"/>
                <w:szCs w:val="20"/>
              </w:rPr>
            </w:pPr>
            <w:r w:rsidRPr="00C62A13">
              <w:rPr>
                <w:rFonts w:ascii="Arial Narrow" w:hAnsi="Arial Narrow"/>
                <w:sz w:val="20"/>
                <w:szCs w:val="20"/>
              </w:rPr>
              <w:t>The condition must have had lesions for at least 6 months from the time of the initial diagnosis of chronic severe atopic dermatitis affecting either of: (i) the whole body, (ii) face/hands, prior to commencing non-PBS-subsidised therapy with this biological medicine, AND</w:t>
            </w:r>
          </w:p>
          <w:p w:rsidR="00B6022A" w:rsidRPr="00C62A13" w:rsidRDefault="00B6022A" w:rsidP="00B6022A">
            <w:pPr>
              <w:rPr>
                <w:rFonts w:ascii="Arial Narrow" w:hAnsi="Arial Narrow"/>
                <w:sz w:val="20"/>
                <w:szCs w:val="20"/>
              </w:rPr>
            </w:pPr>
            <w:r w:rsidRPr="00C62A13">
              <w:rPr>
                <w:rFonts w:ascii="Arial Narrow" w:hAnsi="Arial Narrow"/>
                <w:sz w:val="20"/>
                <w:szCs w:val="20"/>
              </w:rPr>
              <w:t>Patient must not be experiencing an inadequate response to current non-PBS-subsidised therapy with this biological medicine, AND</w:t>
            </w:r>
          </w:p>
          <w:p w:rsidR="00B6022A" w:rsidRPr="00C62A13" w:rsidRDefault="00B6022A" w:rsidP="00B6022A">
            <w:pPr>
              <w:rPr>
                <w:rFonts w:ascii="Arial Narrow" w:hAnsi="Arial Narrow"/>
                <w:sz w:val="20"/>
                <w:szCs w:val="20"/>
              </w:rPr>
            </w:pPr>
            <w:r w:rsidRPr="00C62A13">
              <w:rPr>
                <w:rFonts w:ascii="Arial Narrow" w:hAnsi="Arial Narrow"/>
                <w:sz w:val="20"/>
                <w:szCs w:val="20"/>
              </w:rPr>
              <w:t>The treatment must be the sole PBS-subsidised biological medicine for this condition, AND</w:t>
            </w:r>
          </w:p>
          <w:p w:rsidR="00B6022A" w:rsidRPr="00C62A13" w:rsidRDefault="00B6022A" w:rsidP="00B6022A">
            <w:pPr>
              <w:jc w:val="left"/>
              <w:rPr>
                <w:rFonts w:ascii="Arial Narrow" w:hAnsi="Arial Narrow"/>
                <w:sz w:val="20"/>
                <w:szCs w:val="20"/>
              </w:rPr>
            </w:pPr>
            <w:r w:rsidRPr="00C62A13">
              <w:rPr>
                <w:rFonts w:ascii="Arial Narrow" w:hAnsi="Arial Narrow"/>
                <w:sz w:val="20"/>
                <w:szCs w:val="20"/>
              </w:rPr>
              <w:t>Patient must not have experienced an inadequate response to this biological medicine in this indication, prior to commencing non-PBS-subsidised therapy with this biological medicine.</w:t>
            </w:r>
          </w:p>
        </w:tc>
      </w:tr>
      <w:tr w:rsidR="00B6022A" w:rsidRPr="00C62A13" w:rsidTr="002B142D">
        <w:tblPrEx>
          <w:tblBorders>
            <w:top w:val="none" w:sz="0" w:space="0" w:color="auto"/>
            <w:bottom w:val="none" w:sz="0" w:space="0" w:color="auto"/>
            <w:insideH w:val="none" w:sz="0" w:space="0" w:color="auto"/>
          </w:tblBorders>
          <w:tblCellMar>
            <w:left w:w="28" w:type="dxa"/>
            <w:right w:w="28" w:type="dxa"/>
          </w:tblCellMar>
          <w:tblLook w:val="0000" w:firstRow="0" w:lastRow="0" w:firstColumn="0" w:lastColumn="0" w:noHBand="0" w:noVBand="0"/>
        </w:tblPrEx>
        <w:trPr>
          <w:cantSplit/>
        </w:trPr>
        <w:tc>
          <w:tcPr>
            <w:tcW w:w="957" w:type="pct"/>
            <w:tcBorders>
              <w:top w:val="single" w:sz="4" w:space="0" w:color="auto"/>
              <w:left w:val="single" w:sz="4" w:space="0" w:color="auto"/>
              <w:bottom w:val="double" w:sz="4" w:space="0" w:color="auto"/>
              <w:right w:val="single" w:sz="4" w:space="0" w:color="auto"/>
            </w:tcBorders>
          </w:tcPr>
          <w:p w:rsidR="00B6022A" w:rsidRPr="00C62A13" w:rsidRDefault="001174E8" w:rsidP="005F61AA">
            <w:pPr>
              <w:pStyle w:val="TableText0"/>
              <w:keepNext w:val="0"/>
              <w:rPr>
                <w:b/>
              </w:rPr>
            </w:pPr>
            <w:r w:rsidRPr="00C62A13">
              <w:rPr>
                <w:b/>
              </w:rPr>
              <w:t>Prescriber instructions:</w:t>
            </w:r>
          </w:p>
        </w:tc>
        <w:tc>
          <w:tcPr>
            <w:tcW w:w="4043" w:type="pct"/>
            <w:gridSpan w:val="6"/>
            <w:tcBorders>
              <w:top w:val="single" w:sz="4" w:space="0" w:color="auto"/>
              <w:left w:val="single" w:sz="4" w:space="0" w:color="auto"/>
              <w:bottom w:val="double" w:sz="4" w:space="0" w:color="auto"/>
              <w:right w:val="single" w:sz="4" w:space="0" w:color="auto"/>
            </w:tcBorders>
          </w:tcPr>
          <w:p w:rsidR="001174E8" w:rsidRPr="00C62A13" w:rsidRDefault="001174E8" w:rsidP="001174E8">
            <w:pPr>
              <w:rPr>
                <w:rFonts w:ascii="Arial Narrow" w:hAnsi="Arial Narrow"/>
                <w:sz w:val="20"/>
                <w:szCs w:val="20"/>
              </w:rPr>
            </w:pPr>
            <w:r w:rsidRPr="00C62A13">
              <w:rPr>
                <w:rFonts w:ascii="Arial Narrow" w:hAnsi="Arial Narrow"/>
                <w:sz w:val="20"/>
                <w:szCs w:val="20"/>
              </w:rPr>
              <w:t>A Grandfathered patient may qualify for PBS-subsidised treatment under this restriction once only.</w:t>
            </w:r>
          </w:p>
          <w:p w:rsidR="001174E8" w:rsidRPr="00C62A13" w:rsidRDefault="001174E8" w:rsidP="001174E8">
            <w:pPr>
              <w:rPr>
                <w:rFonts w:ascii="Arial Narrow" w:hAnsi="Arial Narrow"/>
                <w:sz w:val="20"/>
                <w:szCs w:val="20"/>
              </w:rPr>
            </w:pPr>
            <w:r w:rsidRPr="00C62A13">
              <w:rPr>
                <w:rFonts w:ascii="Arial Narrow" w:hAnsi="Arial Narrow"/>
                <w:sz w:val="20"/>
                <w:szCs w:val="20"/>
              </w:rPr>
              <w:t>For continuing PBS-subsidised treatment, a Grandfathered patient must qualify under the Continuing treatment criteria.</w:t>
            </w:r>
          </w:p>
          <w:p w:rsidR="00B6022A" w:rsidRPr="00C62A13" w:rsidRDefault="001174E8" w:rsidP="001174E8">
            <w:pPr>
              <w:jc w:val="left"/>
              <w:rPr>
                <w:rFonts w:ascii="Arial Narrow" w:hAnsi="Arial Narrow"/>
                <w:sz w:val="20"/>
                <w:szCs w:val="20"/>
              </w:rPr>
            </w:pPr>
            <w:r w:rsidRPr="00C62A13">
              <w:rPr>
                <w:rFonts w:ascii="Arial Narrow" w:hAnsi="Arial Narrow"/>
                <w:sz w:val="20"/>
                <w:szCs w:val="20"/>
              </w:rPr>
              <w:t>This grandfather restriction will cease to operate from 12 months after the date specified in the clinical criteria</w:t>
            </w:r>
          </w:p>
        </w:tc>
      </w:tr>
    </w:tbl>
    <w:p w:rsidR="000D63AD" w:rsidRPr="00C62A13" w:rsidRDefault="000D63AD" w:rsidP="000D63AD">
      <w:pPr>
        <w:pStyle w:val="TableFooter"/>
        <w:spacing w:after="120"/>
        <w:contextualSpacing/>
      </w:pPr>
      <w:r w:rsidRPr="00C62A13">
        <w:t xml:space="preserve">Source: </w:t>
      </w:r>
      <w:r w:rsidR="00C973E4" w:rsidRPr="00C62A13">
        <w:t xml:space="preserve">Attachment 2 of the submission; </w:t>
      </w:r>
      <w:r w:rsidRPr="00C62A13">
        <w:t>Table ES-11, pXXIV of the submission; ‘20210305-pb11a-UPA.pdf’, Table 1.4-1, p35 of the submission.</w:t>
      </w:r>
    </w:p>
    <w:p w:rsidR="009F2357" w:rsidRPr="00C62A13" w:rsidRDefault="00D92E0E" w:rsidP="001174E8">
      <w:pPr>
        <w:pStyle w:val="TableFooter"/>
        <w:tabs>
          <w:tab w:val="left" w:pos="142"/>
        </w:tabs>
        <w:spacing w:after="120"/>
        <w:ind w:left="142" w:hanging="142"/>
        <w:contextualSpacing/>
      </w:pPr>
      <w:r w:rsidRPr="00C62A13">
        <w:rPr>
          <w:vertAlign w:val="superscript"/>
        </w:rPr>
        <w:t>*</w:t>
      </w:r>
      <w:r w:rsidRPr="00C62A13">
        <w:tab/>
        <w:t>The submission requested a special pricing arrangement</w:t>
      </w:r>
      <w:r w:rsidR="005B5CBE" w:rsidRPr="00C62A13">
        <w:t>, and presented</w:t>
      </w:r>
      <w:r w:rsidRPr="00C62A13">
        <w:t xml:space="preserve"> </w:t>
      </w:r>
      <w:r w:rsidR="001174E8" w:rsidRPr="00C62A13">
        <w:t>‘</w:t>
      </w:r>
      <w:r w:rsidRPr="00C62A13">
        <w:t>proxy</w:t>
      </w:r>
      <w:r w:rsidR="001174E8" w:rsidRPr="00C62A13">
        <w:t>’</w:t>
      </w:r>
      <w:r w:rsidRPr="00C62A13">
        <w:t xml:space="preserve"> effective DPMQs for UPA ($</w:t>
      </w:r>
      <w:r w:rsidR="00B95E7E">
        <w:rPr>
          <w:noProof/>
          <w:color w:val="000000"/>
          <w:highlight w:val="black"/>
        </w:rPr>
        <w:t>''''''''''''''''''</w:t>
      </w:r>
      <w:r w:rsidRPr="00C62A13">
        <w:t xml:space="preserve"> for UPA 15</w:t>
      </w:r>
      <w:r w:rsidR="003B125C" w:rsidRPr="00C62A13">
        <w:t xml:space="preserve"> </w:t>
      </w:r>
      <w:r w:rsidRPr="00C62A13">
        <w:t>mg and $</w:t>
      </w:r>
      <w:r w:rsidR="00B95E7E">
        <w:rPr>
          <w:noProof/>
          <w:color w:val="000000"/>
          <w:highlight w:val="black"/>
        </w:rPr>
        <w:t>'''''''''''''''''''</w:t>
      </w:r>
      <w:r w:rsidRPr="00C62A13">
        <w:t xml:space="preserve"> for UPA 30</w:t>
      </w:r>
      <w:r w:rsidR="003B125C" w:rsidRPr="00C62A13">
        <w:t xml:space="preserve"> </w:t>
      </w:r>
      <w:r w:rsidRPr="00C62A13">
        <w:t xml:space="preserve">mg) based on a proxy effective </w:t>
      </w:r>
      <w:r w:rsidR="00C62A13" w:rsidRPr="00C62A13">
        <w:t>DPMQ</w:t>
      </w:r>
      <w:r w:rsidRPr="00C62A13">
        <w:t xml:space="preserve"> for </w:t>
      </w:r>
      <w:r w:rsidR="001826A6" w:rsidRPr="00C62A13">
        <w:t>DUPI</w:t>
      </w:r>
      <w:r w:rsidRPr="00C62A13">
        <w:t xml:space="preserve"> ($</w:t>
      </w:r>
      <w:r w:rsidR="00B95E7E">
        <w:rPr>
          <w:noProof/>
          <w:color w:val="000000"/>
          <w:highlight w:val="black"/>
        </w:rPr>
        <w:t>''''''''''''''''''</w:t>
      </w:r>
      <w:r w:rsidRPr="00C62A13">
        <w:t>)</w:t>
      </w:r>
      <w:r w:rsidR="005B5CBE" w:rsidRPr="00C62A13">
        <w:t>, which was</w:t>
      </w:r>
      <w:r w:rsidR="003D699C" w:rsidRPr="00C62A13">
        <w:t xml:space="preserve"> estimated from the modelled economic evaluation assuming an ICER=</w:t>
      </w:r>
      <w:r w:rsidR="0010103F" w:rsidRPr="0010103F">
        <w:t>$75,000 to &lt; $95,000</w:t>
      </w:r>
      <w:r w:rsidR="003D699C" w:rsidRPr="00C62A13">
        <w:t>/QALY for DUPI versus best supportive care.</w:t>
      </w:r>
    </w:p>
    <w:p w:rsidR="00693A46" w:rsidRPr="00C62A13" w:rsidRDefault="00D92E0E" w:rsidP="00EA3EBA">
      <w:pPr>
        <w:pStyle w:val="3-BodyText"/>
        <w:rPr>
          <w:i/>
          <w:iCs/>
        </w:rPr>
      </w:pPr>
      <w:r w:rsidRPr="00C62A13">
        <w:t xml:space="preserve">The sponsor requested </w:t>
      </w:r>
      <w:r w:rsidR="007479D8">
        <w:t xml:space="preserve">an </w:t>
      </w:r>
      <w:r w:rsidRPr="00C62A13">
        <w:t>Authority Required (Telephone) listing of UPA 15</w:t>
      </w:r>
      <w:r w:rsidR="004E7130" w:rsidRPr="00C62A13">
        <w:t xml:space="preserve"> </w:t>
      </w:r>
      <w:r w:rsidRPr="00C62A13">
        <w:t>mg and 30</w:t>
      </w:r>
      <w:r w:rsidR="00F44EC0" w:rsidRPr="00C62A13">
        <w:t> </w:t>
      </w:r>
      <w:r w:rsidRPr="00C62A13">
        <w:t xml:space="preserve">mg tablets for initial and continuing treatment of adults </w:t>
      </w:r>
      <w:r w:rsidR="001826A6" w:rsidRPr="00C62A13">
        <w:t xml:space="preserve">and adolescents </w:t>
      </w:r>
      <w:r w:rsidRPr="00C62A13">
        <w:t>with severe AD</w:t>
      </w:r>
      <w:r w:rsidR="005C3CA1" w:rsidRPr="00C62A13">
        <w:t xml:space="preserve"> affecting the whole body, or hands and face</w:t>
      </w:r>
      <w:r w:rsidRPr="00C62A13">
        <w:t>.</w:t>
      </w:r>
      <w:r w:rsidR="00693A46" w:rsidRPr="00C62A13">
        <w:t xml:space="preserve"> The restriction allows clinicians to commence treatment on UPA 15</w:t>
      </w:r>
      <w:r w:rsidR="00F44EC0" w:rsidRPr="00C62A13">
        <w:t xml:space="preserve"> </w:t>
      </w:r>
      <w:r w:rsidR="00693A46" w:rsidRPr="00C62A13">
        <w:t>mg or UPA 30</w:t>
      </w:r>
      <w:r w:rsidR="00F44EC0" w:rsidRPr="00C62A13">
        <w:t xml:space="preserve"> </w:t>
      </w:r>
      <w:r w:rsidR="00693A46" w:rsidRPr="00C62A13">
        <w:t>mg based on individual patient presentation, with continuing treatment conditional on meeting the response criteria within the first 16 weeks of treatment. The requested quantities would provide for 20</w:t>
      </w:r>
      <w:r w:rsidR="007479D8">
        <w:t> </w:t>
      </w:r>
      <w:r w:rsidR="00693A46" w:rsidRPr="00C62A13">
        <w:t>weeks of initial treatment (5 packs) and 24 weeks of continuing treatment (6</w:t>
      </w:r>
      <w:r w:rsidR="007479D8">
        <w:t> </w:t>
      </w:r>
      <w:r w:rsidR="00693A46" w:rsidRPr="00C62A13">
        <w:t>packs).</w:t>
      </w:r>
      <w:r w:rsidR="00E86473" w:rsidRPr="00C62A13">
        <w:t xml:space="preserve"> </w:t>
      </w:r>
      <w:r w:rsidR="005C3CA1" w:rsidRPr="00C62A13">
        <w:t xml:space="preserve">The restriction </w:t>
      </w:r>
      <w:r w:rsidR="007479D8">
        <w:t>wa</w:t>
      </w:r>
      <w:r w:rsidR="005C3CA1" w:rsidRPr="00C62A13">
        <w:t>s consistent with the current PBS listing of DUPI</w:t>
      </w:r>
      <w:r w:rsidR="00EA3EBA" w:rsidRPr="00C62A13">
        <w:t xml:space="preserve">, </w:t>
      </w:r>
      <w:r w:rsidR="007479D8">
        <w:t xml:space="preserve">as it proposed the </w:t>
      </w:r>
      <w:r w:rsidR="00EA3EBA" w:rsidRPr="00C62A13">
        <w:t>same eligibility and response criteria</w:t>
      </w:r>
      <w:r w:rsidR="005C3CA1" w:rsidRPr="00C62A13">
        <w:t>.</w:t>
      </w:r>
    </w:p>
    <w:p w:rsidR="003D699C" w:rsidRPr="00C62A13" w:rsidRDefault="003D699C" w:rsidP="003D699C">
      <w:pPr>
        <w:pStyle w:val="3-BodyText"/>
      </w:pPr>
      <w:r w:rsidRPr="00C62A13">
        <w:t xml:space="preserve">The submission </w:t>
      </w:r>
      <w:r w:rsidR="007479D8">
        <w:t xml:space="preserve">sought transitioning arrangements </w:t>
      </w:r>
      <w:r w:rsidRPr="00C62A13">
        <w:t>to provide continuing treatment for an estimated 250</w:t>
      </w:r>
      <w:r w:rsidR="007479D8">
        <w:t> </w:t>
      </w:r>
      <w:r w:rsidRPr="00C62A13">
        <w:t xml:space="preserve">patients </w:t>
      </w:r>
      <w:r w:rsidR="007479D8">
        <w:t xml:space="preserve">(‘grandfather’ patients) </w:t>
      </w:r>
      <w:r w:rsidRPr="00C62A13">
        <w:t>enrolled in a planned Patient Familiarisation Program, which will be launched upon TGA registration. The eligibility and continuation criteria for the program will be identical to the proposed PBS restriction.</w:t>
      </w:r>
    </w:p>
    <w:p w:rsidR="003D699C" w:rsidRPr="00C62A13" w:rsidRDefault="003D699C" w:rsidP="00953ADF">
      <w:pPr>
        <w:pStyle w:val="3-BodyText"/>
      </w:pPr>
      <w:r w:rsidRPr="00C62A13">
        <w:t>The submission requested a special pricing arrangement (SPA), with an effective price for UPA 15</w:t>
      </w:r>
      <w:r w:rsidR="00F44EC0" w:rsidRPr="00C62A13">
        <w:t xml:space="preserve"> </w:t>
      </w:r>
      <w:r w:rsidRPr="00C62A13">
        <w:t>mg based on a cost-minimisation analysis and for UPA 30</w:t>
      </w:r>
      <w:r w:rsidR="00F44EC0" w:rsidRPr="00C62A13">
        <w:t xml:space="preserve"> </w:t>
      </w:r>
      <w:r w:rsidRPr="00C62A13">
        <w:t>mg based on a cost-effectiveness analysis (to account for superior efficacy) versus the current effective price for DUPI. As the sponsor was unaware of the current effective price for DUPI, the submission estimated ‘proxy’ effective prices based on assumed cost-effectiveness for DUPI versus best supportive care (BSC)</w:t>
      </w:r>
      <w:r w:rsidR="00D215D1" w:rsidRPr="00C62A13">
        <w:t xml:space="preserve"> with </w:t>
      </w:r>
      <w:r w:rsidRPr="00C62A13">
        <w:t xml:space="preserve">prices </w:t>
      </w:r>
      <w:r w:rsidR="00D215D1" w:rsidRPr="00C62A13">
        <w:t xml:space="preserve">to </w:t>
      </w:r>
      <w:r w:rsidRPr="00C62A13">
        <w:t xml:space="preserve">be updated when </w:t>
      </w:r>
      <w:r w:rsidR="00293D8E" w:rsidRPr="00C62A13">
        <w:t xml:space="preserve">the approved ICER and </w:t>
      </w:r>
      <w:r w:rsidRPr="00C62A13">
        <w:t>the effective price for DUPI is known.</w:t>
      </w:r>
    </w:p>
    <w:p w:rsidR="00EA3EBA" w:rsidRPr="00C62A13" w:rsidRDefault="00EA3EBA" w:rsidP="004B5E08">
      <w:pPr>
        <w:pStyle w:val="3-BodyText"/>
      </w:pPr>
      <w:r w:rsidRPr="00C62A13">
        <w:t>The same criteria would apply to both UPA doses, including population criteria (‘patient must be aged 12 or older’), but the recommended dose in the draft PI is UPA 15</w:t>
      </w:r>
      <w:r w:rsidR="00F44EC0" w:rsidRPr="00C62A13">
        <w:t xml:space="preserve"> </w:t>
      </w:r>
      <w:r w:rsidRPr="00C62A13">
        <w:t>mg once daily for adolescents</w:t>
      </w:r>
      <w:r w:rsidR="00D215D1" w:rsidRPr="00C62A13">
        <w:t xml:space="preserve"> weighing at least 40 kg and </w:t>
      </w:r>
      <w:r w:rsidR="006A3135" w:rsidRPr="00C62A13">
        <w:t xml:space="preserve">patients aged </w:t>
      </w:r>
      <w:r w:rsidR="006A3135" w:rsidRPr="00C62A13">
        <w:rPr>
          <w:rFonts w:cstheme="minorHAnsi"/>
        </w:rPr>
        <w:t>≥</w:t>
      </w:r>
      <w:r w:rsidR="00C9352D" w:rsidRPr="00C62A13">
        <w:t>65 years and</w:t>
      </w:r>
      <w:r w:rsidR="006A3135" w:rsidRPr="00C62A13">
        <w:t xml:space="preserve"> </w:t>
      </w:r>
      <w:r w:rsidR="00C9352D" w:rsidRPr="00C62A13">
        <w:t>t</w:t>
      </w:r>
      <w:r w:rsidR="00D215D1" w:rsidRPr="00C62A13">
        <w:t>he 30 mg dose is not recommended in adolescents</w:t>
      </w:r>
      <w:r w:rsidRPr="00C62A13">
        <w:t>.</w:t>
      </w:r>
      <w:r w:rsidR="000851BE" w:rsidRPr="00C62A13">
        <w:t xml:space="preserve"> The PBAC consider</w:t>
      </w:r>
      <w:r w:rsidR="00B7251D" w:rsidRPr="00C62A13">
        <w:t>ed</w:t>
      </w:r>
      <w:r w:rsidR="000851BE" w:rsidRPr="00C62A13">
        <w:t xml:space="preserve"> </w:t>
      </w:r>
      <w:r w:rsidR="00B7251D" w:rsidRPr="00C62A13">
        <w:t xml:space="preserve">that </w:t>
      </w:r>
      <w:r w:rsidR="000851BE" w:rsidRPr="00C62A13">
        <w:t xml:space="preserve">the </w:t>
      </w:r>
      <w:r w:rsidR="007479D8">
        <w:t xml:space="preserve">listing </w:t>
      </w:r>
      <w:r w:rsidR="000851BE" w:rsidRPr="00C62A13">
        <w:t>should limit prescription of UPA 30</w:t>
      </w:r>
      <w:r w:rsidR="00C9352D" w:rsidRPr="00C62A13">
        <w:t> </w:t>
      </w:r>
      <w:r w:rsidR="000851BE" w:rsidRPr="00C62A13">
        <w:t xml:space="preserve">mg tablets to </w:t>
      </w:r>
      <w:r w:rsidR="00B7251D" w:rsidRPr="00C62A13">
        <w:t xml:space="preserve">patients aged </w:t>
      </w:r>
      <w:r w:rsidR="00B7251D" w:rsidRPr="00C62A13">
        <w:rPr>
          <w:rFonts w:cstheme="minorHAnsi"/>
        </w:rPr>
        <w:t>≥</w:t>
      </w:r>
      <w:r w:rsidR="00B7251D" w:rsidRPr="00C62A13">
        <w:t>18 years and &lt;65 years</w:t>
      </w:r>
      <w:r w:rsidR="00444F62" w:rsidRPr="00C62A13">
        <w:t xml:space="preserve">, </w:t>
      </w:r>
      <w:r w:rsidR="006B4BD4" w:rsidRPr="00C62A13">
        <w:t xml:space="preserve">or </w:t>
      </w:r>
      <w:r w:rsidR="00D50195">
        <w:t xml:space="preserve">be </w:t>
      </w:r>
      <w:r w:rsidR="00444F62" w:rsidRPr="00C62A13">
        <w:t>consistent with the PI</w:t>
      </w:r>
      <w:r w:rsidR="006B4BD4" w:rsidRPr="00C62A13">
        <w:t xml:space="preserve"> once it is finalised</w:t>
      </w:r>
      <w:r w:rsidR="000851BE" w:rsidRPr="00C62A13">
        <w:t>.</w:t>
      </w:r>
      <w:r w:rsidR="005E34E8" w:rsidRPr="00C62A13">
        <w:t xml:space="preserve"> </w:t>
      </w:r>
    </w:p>
    <w:p w:rsidR="00EA3EBA" w:rsidRPr="00C62A13" w:rsidRDefault="00EA3EBA" w:rsidP="004B5E08">
      <w:pPr>
        <w:pStyle w:val="3-BodyText"/>
      </w:pPr>
      <w:r w:rsidRPr="00C62A13">
        <w:t>The restriction does not explicitly consider how clinicians may titrate the dose of UPA in adults</w:t>
      </w:r>
      <w:r w:rsidR="006618A7" w:rsidRPr="00C62A13">
        <w:t xml:space="preserve">, assuming that the TGA </w:t>
      </w:r>
      <w:r w:rsidR="00714DE0" w:rsidRPr="00C62A13">
        <w:t>PI does</w:t>
      </w:r>
      <w:r w:rsidR="006618A7" w:rsidRPr="00C62A13">
        <w:t xml:space="preserve"> no</w:t>
      </w:r>
      <w:r w:rsidR="00714DE0" w:rsidRPr="00C62A13">
        <w:t>t</w:t>
      </w:r>
      <w:r w:rsidR="006618A7" w:rsidRPr="00C62A13">
        <w:t xml:space="preserve"> require patients</w:t>
      </w:r>
      <w:r w:rsidR="00714DE0" w:rsidRPr="00C62A13">
        <w:t xml:space="preserve"> to</w:t>
      </w:r>
      <w:r w:rsidR="006618A7" w:rsidRPr="00C62A13">
        <w:t xml:space="preserve"> commence on the lowest effective dose. </w:t>
      </w:r>
      <w:r w:rsidR="00766C01">
        <w:t xml:space="preserve">The PSCR </w:t>
      </w:r>
      <w:r w:rsidR="00CF1BF2" w:rsidRPr="00C62A13">
        <w:t>stated that dose selection should be based on clinician judgement and a</w:t>
      </w:r>
      <w:r w:rsidR="001045D6" w:rsidRPr="00C62A13">
        <w:t>ligned with the TGA approved PI</w:t>
      </w:r>
      <w:r w:rsidR="000851BE" w:rsidRPr="00C62A13">
        <w:t xml:space="preserve">. </w:t>
      </w:r>
      <w:r w:rsidR="00D05B72" w:rsidRPr="00C62A13">
        <w:t>The submission did not present any evidence to inform the impacts of dose titration on response.</w:t>
      </w:r>
      <w:r w:rsidR="000851BE" w:rsidRPr="00C62A13">
        <w:t xml:space="preserve"> The </w:t>
      </w:r>
      <w:r w:rsidR="003F713E" w:rsidRPr="00C62A13">
        <w:t>PBAC considered</w:t>
      </w:r>
      <w:r w:rsidR="000851BE" w:rsidRPr="00C62A13">
        <w:t xml:space="preserve"> that it may be useful for the restriction to provide </w:t>
      </w:r>
      <w:r w:rsidR="00D50195">
        <w:t xml:space="preserve">administrative </w:t>
      </w:r>
      <w:r w:rsidR="000851BE" w:rsidRPr="00C62A13">
        <w:t>advice regarding dose titration and how this would be managed in the context of assessing whether patients have met response criteria to qualify for ongoing treatment</w:t>
      </w:r>
      <w:r w:rsidR="00A353AC" w:rsidRPr="00C62A13">
        <w:t xml:space="preserve"> on the PBS</w:t>
      </w:r>
      <w:r w:rsidR="000851BE" w:rsidRPr="00C62A13">
        <w:t xml:space="preserve">. </w:t>
      </w:r>
      <w:r w:rsidR="006A3135" w:rsidRPr="00C62A13">
        <w:t xml:space="preserve">The pre-PBAC response stated that the restriction should have sufficient flexibility to </w:t>
      </w:r>
      <w:r w:rsidR="004B5E08" w:rsidRPr="00C62A13">
        <w:t xml:space="preserve">allow </w:t>
      </w:r>
      <w:r w:rsidR="006A3135" w:rsidRPr="00C62A13">
        <w:t xml:space="preserve">clinicians to titrate the dose up or down dependent on the clinical characteristics of each patient. </w:t>
      </w:r>
      <w:r w:rsidR="000851BE" w:rsidRPr="00C62A13">
        <w:t xml:space="preserve">The ESC noted that </w:t>
      </w:r>
      <w:r w:rsidR="00A353AC" w:rsidRPr="00C62A13">
        <w:t xml:space="preserve">full </w:t>
      </w:r>
      <w:r w:rsidR="000851BE" w:rsidRPr="00C62A13">
        <w:t>response</w:t>
      </w:r>
      <w:r w:rsidR="00A353AC" w:rsidRPr="00C62A13">
        <w:t xml:space="preserve"> to UPA</w:t>
      </w:r>
      <w:r w:rsidR="000851BE" w:rsidRPr="00C62A13">
        <w:t xml:space="preserve"> appeared to be reached within around 8 weeks, therefore it may be </w:t>
      </w:r>
      <w:r w:rsidR="00E029E9">
        <w:t xml:space="preserve">sufficient for </w:t>
      </w:r>
      <w:r w:rsidR="000851BE" w:rsidRPr="00C62A13">
        <w:t xml:space="preserve">dose titration and assessment of response </w:t>
      </w:r>
      <w:r w:rsidR="00E029E9">
        <w:t xml:space="preserve">to have occurred </w:t>
      </w:r>
      <w:r w:rsidR="000851BE" w:rsidRPr="00C62A13">
        <w:t xml:space="preserve">within the proposed 16 week timeframe for </w:t>
      </w:r>
      <w:r w:rsidR="00A353AC" w:rsidRPr="00C62A13">
        <w:t xml:space="preserve">initial treatment and </w:t>
      </w:r>
      <w:r w:rsidR="000851BE" w:rsidRPr="00C62A13">
        <w:t>assessment of response.</w:t>
      </w:r>
      <w:r w:rsidR="006A3135" w:rsidRPr="00C62A13">
        <w:t xml:space="preserve"> The PBAC agreed with the ESC that this approach to assessment of response appears to be appropriate</w:t>
      </w:r>
      <w:r w:rsidR="00AB466F">
        <w:t>, but that this may be further informed by finalisation of conditions in the TGA Product Information and further clinician input</w:t>
      </w:r>
      <w:r w:rsidR="006A3135" w:rsidRPr="00C62A13">
        <w:t>.</w:t>
      </w:r>
    </w:p>
    <w:p w:rsidR="00EA3EBA" w:rsidRPr="00C62A13" w:rsidRDefault="00E029E9" w:rsidP="004B5E08">
      <w:pPr>
        <w:pStyle w:val="3-BodyText"/>
        <w:rPr>
          <w:iCs/>
        </w:rPr>
      </w:pPr>
      <w:r>
        <w:rPr>
          <w:iCs/>
        </w:rPr>
        <w:t>Under the proposed listing, p</w:t>
      </w:r>
      <w:r w:rsidR="008F1A9C" w:rsidRPr="00C62A13">
        <w:t xml:space="preserve">atients who fail to respond to treatment with DUPI would be eligible for </w:t>
      </w:r>
      <w:r w:rsidR="00DC458B" w:rsidRPr="00C62A13">
        <w:t>UPA</w:t>
      </w:r>
      <w:r w:rsidR="008F1A9C" w:rsidRPr="00C62A13">
        <w:t xml:space="preserve"> and vice versa; and therefore sequential use of these two </w:t>
      </w:r>
      <w:r w:rsidR="004B5E08" w:rsidRPr="00C62A13">
        <w:t xml:space="preserve">AD </w:t>
      </w:r>
      <w:r w:rsidR="008F1A9C" w:rsidRPr="00C62A13">
        <w:t>treatments</w:t>
      </w:r>
      <w:r w:rsidR="00A16653">
        <w:t xml:space="preserve"> </w:t>
      </w:r>
      <w:r>
        <w:t>would be permitted under the proposed listing</w:t>
      </w:r>
      <w:r w:rsidR="008F1A9C" w:rsidRPr="00C62A13">
        <w:t xml:space="preserve">. The submission acknowledged this and proposed an increase in the </w:t>
      </w:r>
      <w:r w:rsidR="00DC458B" w:rsidRPr="00C62A13">
        <w:t xml:space="preserve">financial </w:t>
      </w:r>
      <w:r w:rsidR="008F1A9C" w:rsidRPr="00C62A13">
        <w:t>caps of the risk sharing arrangements to accommodate sequential use</w:t>
      </w:r>
      <w:r>
        <w:t xml:space="preserve"> following failure to prior DUPI</w:t>
      </w:r>
      <w:r w:rsidR="008F1A9C" w:rsidRPr="00C62A13">
        <w:t>.</w:t>
      </w:r>
      <w:r w:rsidR="00A353AC" w:rsidRPr="00C62A13">
        <w:t xml:space="preserve"> The PBAC considered that it </w:t>
      </w:r>
      <w:r>
        <w:t xml:space="preserve">would be likely that clinicians would want to treat </w:t>
      </w:r>
      <w:r w:rsidR="00A353AC" w:rsidRPr="00C62A13">
        <w:t xml:space="preserve">patients </w:t>
      </w:r>
      <w:r>
        <w:t xml:space="preserve">with </w:t>
      </w:r>
      <w:r w:rsidR="00A353AC" w:rsidRPr="00C62A13">
        <w:t>UPA if they have not responded to DUPI</w:t>
      </w:r>
      <w:r>
        <w:t xml:space="preserve"> as there are no further drug treatment options in severe disease</w:t>
      </w:r>
      <w:r w:rsidR="00A353AC" w:rsidRPr="00C62A13">
        <w:t xml:space="preserve">, however </w:t>
      </w:r>
      <w:r w:rsidR="006A3135" w:rsidRPr="00C62A13">
        <w:t xml:space="preserve">noted that the submission did not present any data </w:t>
      </w:r>
      <w:r w:rsidR="00A353AC" w:rsidRPr="00C62A13">
        <w:t>to assess efficacy in this group of patients.</w:t>
      </w:r>
    </w:p>
    <w:p w:rsidR="00B4782D" w:rsidRPr="00C62A13" w:rsidRDefault="00B4782D" w:rsidP="006A3135">
      <w:pPr>
        <w:pStyle w:val="3-BodyText"/>
      </w:pPr>
      <w:r w:rsidRPr="00C62A13">
        <w:rPr>
          <w:rFonts w:cstheme="minorHAnsi"/>
          <w:iCs/>
        </w:rPr>
        <w:t>The PBAC noted that UPA is not strictly a biological medicine</w:t>
      </w:r>
      <w:r w:rsidR="00A16653">
        <w:rPr>
          <w:rFonts w:cstheme="minorHAnsi"/>
          <w:iCs/>
        </w:rPr>
        <w:t xml:space="preserve"> </w:t>
      </w:r>
      <w:r w:rsidR="00E029E9">
        <w:rPr>
          <w:rFonts w:cstheme="minorHAnsi"/>
          <w:iCs/>
        </w:rPr>
        <w:t>and that the proposed restriction refers to UPA as a biological medicine since the restriction is based on the restriction for DUPI, which is a biological medicine.</w:t>
      </w:r>
      <w:r w:rsidRPr="00C62A13">
        <w:rPr>
          <w:rFonts w:cstheme="minorHAnsi"/>
          <w:iCs/>
        </w:rPr>
        <w:t xml:space="preserve"> </w:t>
      </w:r>
      <w:r w:rsidR="00A16653">
        <w:rPr>
          <w:rFonts w:cstheme="minorHAnsi"/>
          <w:iCs/>
        </w:rPr>
        <w:t>Further c</w:t>
      </w:r>
      <w:r w:rsidRPr="00C62A13">
        <w:rPr>
          <w:rFonts w:cstheme="minorHAnsi"/>
          <w:iCs/>
        </w:rPr>
        <w:t xml:space="preserve">onsideration </w:t>
      </w:r>
      <w:r w:rsidR="00A16653">
        <w:rPr>
          <w:rFonts w:cstheme="minorHAnsi"/>
          <w:iCs/>
        </w:rPr>
        <w:t xml:space="preserve">may be required regarding </w:t>
      </w:r>
      <w:r w:rsidR="00AB466F">
        <w:rPr>
          <w:rFonts w:cstheme="minorHAnsi"/>
          <w:iCs/>
        </w:rPr>
        <w:t xml:space="preserve">how to </w:t>
      </w:r>
      <w:r w:rsidR="00A16653">
        <w:rPr>
          <w:rFonts w:cstheme="minorHAnsi"/>
          <w:iCs/>
        </w:rPr>
        <w:t xml:space="preserve">most </w:t>
      </w:r>
      <w:r w:rsidR="00AB466F">
        <w:rPr>
          <w:rFonts w:cstheme="minorHAnsi"/>
          <w:iCs/>
        </w:rPr>
        <w:t>accurately refer to both UPA and DUPI</w:t>
      </w:r>
      <w:r w:rsidRPr="00C62A13">
        <w:rPr>
          <w:rFonts w:cstheme="minorHAnsi"/>
          <w:iCs/>
        </w:rPr>
        <w:t>.</w:t>
      </w:r>
    </w:p>
    <w:p w:rsidR="00970124" w:rsidRDefault="00AB466F" w:rsidP="00970124">
      <w:pPr>
        <w:pStyle w:val="3-BodyText"/>
        <w:rPr>
          <w:rFonts w:cstheme="minorHAnsi"/>
          <w:iCs/>
        </w:rPr>
      </w:pPr>
      <w:r w:rsidRPr="00970124">
        <w:rPr>
          <w:rFonts w:cstheme="minorHAnsi"/>
          <w:iCs/>
        </w:rPr>
        <w:t xml:space="preserve">The </w:t>
      </w:r>
      <w:r w:rsidR="00970124" w:rsidRPr="00970124">
        <w:rPr>
          <w:rFonts w:cstheme="minorHAnsi"/>
          <w:iCs/>
        </w:rPr>
        <w:t>proposed</w:t>
      </w:r>
      <w:r w:rsidRPr="00970124">
        <w:rPr>
          <w:rFonts w:cstheme="minorHAnsi"/>
          <w:iCs/>
        </w:rPr>
        <w:t xml:space="preserve"> listing incorporates 3 diagnostic tools by reference</w:t>
      </w:r>
      <w:r w:rsidR="00970124" w:rsidRPr="00970124">
        <w:rPr>
          <w:rFonts w:cstheme="minorHAnsi"/>
          <w:iCs/>
        </w:rPr>
        <w:t xml:space="preserve">: </w:t>
      </w:r>
      <w:r w:rsidRPr="00970124">
        <w:rPr>
          <w:rFonts w:cstheme="minorHAnsi"/>
          <w:iCs/>
        </w:rPr>
        <w:t xml:space="preserve">the Physicians Global Assessment (PGA), Eczema Area and Severity Index (EASI) and Dermatology Life Quality Index (DLQI). </w:t>
      </w:r>
      <w:r w:rsidR="0054148A" w:rsidRPr="00970124">
        <w:rPr>
          <w:rFonts w:cstheme="minorHAnsi"/>
          <w:iCs/>
        </w:rPr>
        <w:t xml:space="preserve">The sponsor </w:t>
      </w:r>
      <w:r w:rsidR="00970124" w:rsidRPr="00970124">
        <w:rPr>
          <w:rFonts w:cstheme="minorHAnsi"/>
          <w:iCs/>
        </w:rPr>
        <w:t>w</w:t>
      </w:r>
      <w:r w:rsidR="007B25D1">
        <w:rPr>
          <w:rFonts w:cstheme="minorHAnsi"/>
          <w:iCs/>
        </w:rPr>
        <w:t>ill</w:t>
      </w:r>
      <w:r w:rsidR="00970124" w:rsidRPr="00970124">
        <w:rPr>
          <w:rFonts w:cstheme="minorHAnsi"/>
          <w:iCs/>
        </w:rPr>
        <w:t xml:space="preserve"> need to work with the Department to address</w:t>
      </w:r>
      <w:r w:rsidR="0054148A" w:rsidRPr="00970124">
        <w:rPr>
          <w:rFonts w:cstheme="minorHAnsi"/>
          <w:iCs/>
        </w:rPr>
        <w:t xml:space="preserve"> how these indices would be provided to clinicians or the public in the context of an UPA listing. </w:t>
      </w:r>
    </w:p>
    <w:p w:rsidR="00B24D69" w:rsidRPr="00970124" w:rsidRDefault="00B24D69" w:rsidP="00970124">
      <w:pPr>
        <w:pStyle w:val="3-BodyText"/>
        <w:numPr>
          <w:ilvl w:val="0"/>
          <w:numId w:val="0"/>
        </w:numPr>
        <w:ind w:left="720"/>
        <w:rPr>
          <w:rFonts w:cstheme="minorHAnsi"/>
          <w:i/>
          <w:iCs/>
        </w:rPr>
      </w:pPr>
      <w:r w:rsidRPr="00970124">
        <w:rPr>
          <w:rFonts w:cstheme="minorHAnsi"/>
          <w:i/>
          <w:iCs/>
        </w:rPr>
        <w:t>For more detail on PBAC’s view, see section 7 PBAC outcome.</w:t>
      </w:r>
    </w:p>
    <w:p w:rsidR="00824974" w:rsidRPr="00C62A13" w:rsidRDefault="00203181" w:rsidP="00824974">
      <w:pPr>
        <w:pStyle w:val="2-SectionHeading"/>
      </w:pPr>
      <w:bookmarkStart w:id="7" w:name="_Toc72315497"/>
      <w:r w:rsidRPr="00C62A13">
        <w:t xml:space="preserve">Population and </w:t>
      </w:r>
      <w:r w:rsidR="008E0D3C" w:rsidRPr="00C62A13">
        <w:t>d</w:t>
      </w:r>
      <w:r w:rsidRPr="00C62A13">
        <w:t>isease</w:t>
      </w:r>
      <w:bookmarkEnd w:id="7"/>
      <w:r w:rsidR="00824974" w:rsidRPr="00C62A13">
        <w:t xml:space="preserve"> </w:t>
      </w:r>
    </w:p>
    <w:p w:rsidR="00F44EC0" w:rsidRPr="00C62A13" w:rsidRDefault="00824974" w:rsidP="00B421A6">
      <w:pPr>
        <w:pStyle w:val="3-BodyText"/>
      </w:pPr>
      <w:r w:rsidRPr="00C62A13">
        <w:t>AD is a chronic, systemic, inflammatory disease that affects skin and is characterised by persistent itch and marked redness. Altered immune responses render AD patients at increased risk of bacterial, viral, and fungal skin infections. AD is also associated with comorbid conditions affecting sleep, pain, psychologic domains, and physical and social functioning.</w:t>
      </w:r>
      <w:r w:rsidR="002165FA" w:rsidRPr="00C62A13">
        <w:t xml:space="preserve"> </w:t>
      </w:r>
    </w:p>
    <w:p w:rsidR="002165FA" w:rsidRPr="00C62A13" w:rsidRDefault="00824974" w:rsidP="00B421A6">
      <w:pPr>
        <w:pStyle w:val="3-BodyText"/>
      </w:pPr>
      <w:r w:rsidRPr="00C62A13">
        <w:t>The requested listing would place UPA as an alternative orally administered treatment option to DUPI SC injections, for adult</w:t>
      </w:r>
      <w:r w:rsidR="002165FA" w:rsidRPr="00C62A13">
        <w:t>s</w:t>
      </w:r>
      <w:r w:rsidRPr="00C62A13">
        <w:t xml:space="preserve"> and adolescent</w:t>
      </w:r>
      <w:r w:rsidR="002165FA" w:rsidRPr="00C62A13">
        <w:t>s</w:t>
      </w:r>
      <w:r w:rsidRPr="00C62A13">
        <w:t xml:space="preserve"> with severe AD who have failed to achieve an adequate response to topical therapy.</w:t>
      </w:r>
      <w:r w:rsidR="002165FA" w:rsidRPr="00C62A13">
        <w:t xml:space="preserve"> Poor tolerability and safety profiles limit the long-term use of conventional oral therapies such as </w:t>
      </w:r>
      <w:r w:rsidR="00973E50" w:rsidRPr="00C62A13">
        <w:t>ciclosporin (CsA)</w:t>
      </w:r>
      <w:r w:rsidR="002165FA" w:rsidRPr="00C62A13">
        <w:t>.</w:t>
      </w:r>
    </w:p>
    <w:p w:rsidR="004A38BB" w:rsidRPr="00C62A13" w:rsidRDefault="00824974" w:rsidP="004A38BB">
      <w:pPr>
        <w:pStyle w:val="3-BodyText"/>
      </w:pPr>
      <w:r w:rsidRPr="00C62A13">
        <w:t xml:space="preserve">UPA is a reversible JAK1 inhibitor. </w:t>
      </w:r>
      <w:r w:rsidR="00A165BD" w:rsidRPr="00C62A13">
        <w:t xml:space="preserve">The </w:t>
      </w:r>
      <w:r w:rsidRPr="00C62A13">
        <w:t xml:space="preserve">JAK family of </w:t>
      </w:r>
      <w:r w:rsidR="00A165BD" w:rsidRPr="00C62A13">
        <w:t>enzymes (</w:t>
      </w:r>
      <w:r w:rsidRPr="00C62A13">
        <w:t xml:space="preserve">JAK1, JAK2, JAK3, and tyrosine kinase 2 [TYK2]) are associated with key cytokines/interleukins (such as IL-13, IL-4, IL-31, and IL-22) </w:t>
      </w:r>
      <w:r w:rsidR="00A165BD" w:rsidRPr="00C62A13">
        <w:t xml:space="preserve">and </w:t>
      </w:r>
      <w:r w:rsidRPr="00C62A13">
        <w:t>play an important role in the pathogenesis of AD. Selective inhibition of JAK1 controls inflammatory responses whilst minimising effects on non-inflammatory pathways mediated by the other JAK protein family members.</w:t>
      </w:r>
      <w:r w:rsidR="00A165BD" w:rsidRPr="00C62A13">
        <w:t xml:space="preserve"> </w:t>
      </w:r>
    </w:p>
    <w:p w:rsidR="00B24D69" w:rsidRPr="00C62A13" w:rsidRDefault="00B24D69" w:rsidP="004A38BB">
      <w:pPr>
        <w:pStyle w:val="3-BodyText"/>
        <w:numPr>
          <w:ilvl w:val="0"/>
          <w:numId w:val="0"/>
        </w:numPr>
        <w:ind w:left="720"/>
        <w:rPr>
          <w:i/>
        </w:rPr>
      </w:pPr>
      <w:r w:rsidRPr="00C62A13">
        <w:rPr>
          <w:i/>
        </w:rPr>
        <w:t>For more detail on PBAC’s view, see section 7 PBAC outcome.</w:t>
      </w:r>
    </w:p>
    <w:p w:rsidR="006130D6" w:rsidRPr="00C62A13" w:rsidRDefault="00B50DB8" w:rsidP="006130D6">
      <w:pPr>
        <w:pStyle w:val="2-SectionHeading"/>
      </w:pPr>
      <w:bookmarkStart w:id="8" w:name="_Toc72315498"/>
      <w:r w:rsidRPr="00C62A13">
        <w:t>Comparator</w:t>
      </w:r>
      <w:bookmarkEnd w:id="8"/>
      <w:r w:rsidR="006130D6" w:rsidRPr="00C62A13">
        <w:t xml:space="preserve"> </w:t>
      </w:r>
    </w:p>
    <w:p w:rsidR="00EA3EBA" w:rsidRPr="00C62A13" w:rsidRDefault="006130D6" w:rsidP="00A432FC">
      <w:pPr>
        <w:pStyle w:val="3-BodyText"/>
        <w:rPr>
          <w:snapToGrid/>
        </w:rPr>
      </w:pPr>
      <w:r w:rsidRPr="00C62A13">
        <w:t xml:space="preserve">The submission nominated DUPI </w:t>
      </w:r>
      <w:r w:rsidR="00EA3EBA" w:rsidRPr="00C62A13">
        <w:t>as the comparator</w:t>
      </w:r>
      <w:r w:rsidR="00E94B40" w:rsidRPr="00C62A13">
        <w:t xml:space="preserve"> because it is</w:t>
      </w:r>
      <w:r w:rsidR="00EA3EBA" w:rsidRPr="00C62A13">
        <w:t xml:space="preserve"> the treatment most likely to be replaced by UPA. </w:t>
      </w:r>
    </w:p>
    <w:p w:rsidR="00B50DB8" w:rsidRPr="00C62A13" w:rsidRDefault="007802B3" w:rsidP="00A432FC">
      <w:pPr>
        <w:pStyle w:val="3-BodyText"/>
        <w:rPr>
          <w:snapToGrid/>
        </w:rPr>
      </w:pPr>
      <w:r w:rsidRPr="00C62A13">
        <w:t>T</w:t>
      </w:r>
      <w:r w:rsidR="006130D6" w:rsidRPr="00C62A13">
        <w:t xml:space="preserve">he submission </w:t>
      </w:r>
      <w:r w:rsidRPr="00C62A13">
        <w:t xml:space="preserve">also </w:t>
      </w:r>
      <w:r w:rsidR="006130D6" w:rsidRPr="00C62A13">
        <w:t xml:space="preserve">identified three </w:t>
      </w:r>
      <w:r w:rsidR="005D1852" w:rsidRPr="00C62A13">
        <w:t xml:space="preserve">potential </w:t>
      </w:r>
      <w:r w:rsidR="006130D6" w:rsidRPr="00C62A13">
        <w:t>near market comparators</w:t>
      </w:r>
      <w:r w:rsidRPr="00C62A13">
        <w:t>:</w:t>
      </w:r>
      <w:r w:rsidR="006130D6" w:rsidRPr="00C62A13">
        <w:t xml:space="preserve"> bar</w:t>
      </w:r>
      <w:r w:rsidR="00D85534" w:rsidRPr="00C62A13">
        <w:t>i</w:t>
      </w:r>
      <w:r w:rsidR="006130D6" w:rsidRPr="00C62A13">
        <w:t>citinib</w:t>
      </w:r>
      <w:r w:rsidR="005D1852" w:rsidRPr="00C62A13">
        <w:t xml:space="preserve"> (JAK</w:t>
      </w:r>
      <w:r w:rsidR="001A1235" w:rsidRPr="00C62A13">
        <w:t>1/2</w:t>
      </w:r>
      <w:r w:rsidR="005D1852" w:rsidRPr="00C62A13">
        <w:t xml:space="preserve"> inhibitor)</w:t>
      </w:r>
      <w:r w:rsidR="006130D6" w:rsidRPr="00C62A13">
        <w:t>, abrocitinib</w:t>
      </w:r>
      <w:r w:rsidR="005D1852" w:rsidRPr="00C62A13">
        <w:t xml:space="preserve"> (JAK1 inhibitor)</w:t>
      </w:r>
      <w:r w:rsidR="006130D6" w:rsidRPr="00C62A13">
        <w:t xml:space="preserve"> and tralokinumab</w:t>
      </w:r>
      <w:r w:rsidR="001A1235" w:rsidRPr="00C62A13">
        <w:t xml:space="preserve"> (IL-13 inhibitor)</w:t>
      </w:r>
      <w:r w:rsidR="006130D6" w:rsidRPr="00C62A13">
        <w:t xml:space="preserve">. </w:t>
      </w:r>
      <w:r w:rsidRPr="00C62A13">
        <w:t xml:space="preserve">The clinical evidence presented in the submission included supplementary comparisons between UPA and the near-market comparators </w:t>
      </w:r>
      <w:r w:rsidR="00940193" w:rsidRPr="00C62A13">
        <w:t xml:space="preserve">(baricitinib, abrocitinib and tralokinumab) </w:t>
      </w:r>
      <w:r w:rsidRPr="00C62A13">
        <w:t xml:space="preserve">based on available published data. </w:t>
      </w:r>
      <w:r w:rsidRPr="00C62A13">
        <w:rPr>
          <w:iCs/>
        </w:rPr>
        <w:t xml:space="preserve">The </w:t>
      </w:r>
      <w:r w:rsidR="006130D6" w:rsidRPr="00C62A13">
        <w:t xml:space="preserve">PBAC </w:t>
      </w:r>
      <w:r w:rsidR="004B5E08" w:rsidRPr="00C62A13">
        <w:t xml:space="preserve">also </w:t>
      </w:r>
      <w:r w:rsidR="006130D6" w:rsidRPr="00C62A13">
        <w:t>consider</w:t>
      </w:r>
      <w:r w:rsidR="004B5E08" w:rsidRPr="00C62A13">
        <w:t>ed</w:t>
      </w:r>
      <w:r w:rsidR="006130D6" w:rsidRPr="00C62A13">
        <w:t xml:space="preserve"> </w:t>
      </w:r>
      <w:r w:rsidR="005C5908" w:rsidRPr="00C62A13">
        <w:t xml:space="preserve">a submission for the </w:t>
      </w:r>
      <w:r w:rsidR="006130D6" w:rsidRPr="00C62A13">
        <w:t xml:space="preserve">PBS listing of </w:t>
      </w:r>
      <w:r w:rsidRPr="00C62A13">
        <w:t>bar</w:t>
      </w:r>
      <w:r w:rsidR="00823A6D" w:rsidRPr="00C62A13">
        <w:t>i</w:t>
      </w:r>
      <w:r w:rsidRPr="00C62A13">
        <w:t xml:space="preserve">citinib </w:t>
      </w:r>
      <w:r w:rsidR="006130D6" w:rsidRPr="00C62A13">
        <w:t>for the treatment of severe AD at the July 2021 meeting</w:t>
      </w:r>
      <w:r w:rsidR="00A432FC" w:rsidRPr="00C62A13">
        <w:t>.</w:t>
      </w:r>
    </w:p>
    <w:p w:rsidR="00B24D69" w:rsidRPr="00C62A13" w:rsidRDefault="00B24D69" w:rsidP="00B24D69">
      <w:pPr>
        <w:ind w:firstLine="709"/>
        <w:rPr>
          <w:rFonts w:asciiTheme="minorHAnsi" w:hAnsiTheme="minorHAnsi"/>
          <w:i/>
        </w:rPr>
      </w:pPr>
      <w:r w:rsidRPr="00C62A13">
        <w:rPr>
          <w:rFonts w:asciiTheme="minorHAnsi" w:hAnsiTheme="minorHAnsi"/>
          <w:i/>
        </w:rPr>
        <w:t>For more detail on PBAC’s view, see section 7 PBAC outcome.</w:t>
      </w:r>
    </w:p>
    <w:p w:rsidR="00B24D69" w:rsidRPr="00C62A13" w:rsidRDefault="00B24D69" w:rsidP="00B24D69">
      <w:pPr>
        <w:pStyle w:val="3-BodyText"/>
        <w:numPr>
          <w:ilvl w:val="0"/>
          <w:numId w:val="0"/>
        </w:numPr>
        <w:ind w:left="720"/>
        <w:rPr>
          <w:snapToGrid/>
        </w:rPr>
      </w:pPr>
    </w:p>
    <w:p w:rsidR="00223D5A" w:rsidRPr="00C62A13" w:rsidRDefault="00223D5A" w:rsidP="00223D5A">
      <w:pPr>
        <w:pStyle w:val="2-SectionHeading"/>
      </w:pPr>
      <w:bookmarkStart w:id="9" w:name="_Toc72315499"/>
      <w:bookmarkStart w:id="10" w:name="_Toc22897640"/>
      <w:r w:rsidRPr="00C62A13">
        <w:t>Consideration of the evidence</w:t>
      </w:r>
      <w:bookmarkEnd w:id="9"/>
    </w:p>
    <w:p w:rsidR="00B24D69" w:rsidRPr="00C62A13" w:rsidRDefault="00B24D69" w:rsidP="00B24D69">
      <w:pPr>
        <w:pStyle w:val="4-SubsectionHeading"/>
      </w:pPr>
      <w:bookmarkStart w:id="11" w:name="_Hlk76375935"/>
      <w:bookmarkStart w:id="12" w:name="_Toc72315500"/>
      <w:r w:rsidRPr="00C62A13">
        <w:t>Sponsor hearing</w:t>
      </w:r>
    </w:p>
    <w:p w:rsidR="00781F39" w:rsidRPr="00C62A13" w:rsidRDefault="00B24D69" w:rsidP="00B24D69">
      <w:pPr>
        <w:widowControl w:val="0"/>
        <w:numPr>
          <w:ilvl w:val="1"/>
          <w:numId w:val="1"/>
        </w:numPr>
        <w:spacing w:after="120"/>
        <w:rPr>
          <w:rFonts w:asciiTheme="minorHAnsi" w:hAnsiTheme="minorHAnsi"/>
          <w:bCs/>
          <w:snapToGrid w:val="0"/>
        </w:rPr>
      </w:pPr>
      <w:bookmarkStart w:id="13" w:name="_Hlk76382586"/>
      <w:r w:rsidRPr="00C62A13">
        <w:rPr>
          <w:rFonts w:asciiTheme="minorHAnsi" w:hAnsiTheme="minorHAnsi"/>
          <w:bCs/>
          <w:snapToGrid w:val="0"/>
        </w:rPr>
        <w:t xml:space="preserve">The sponsor requested a hearing for this item. The clinician </w:t>
      </w:r>
      <w:r w:rsidR="00257FF3" w:rsidRPr="00C62A13">
        <w:rPr>
          <w:rFonts w:asciiTheme="minorHAnsi" w:hAnsiTheme="minorHAnsi"/>
          <w:bCs/>
          <w:snapToGrid w:val="0"/>
        </w:rPr>
        <w:t xml:space="preserve">discussed the burden of disease in terms of the stigma associated with the appearance of AD, purulence, pain and burning that leads to sleep disturbance and impacts on mental health, social interactions and the </w:t>
      </w:r>
      <w:r w:rsidR="00616B02" w:rsidRPr="00C62A13">
        <w:rPr>
          <w:rFonts w:asciiTheme="minorHAnsi" w:hAnsiTheme="minorHAnsi"/>
          <w:bCs/>
          <w:snapToGrid w:val="0"/>
        </w:rPr>
        <w:t>capacity</w:t>
      </w:r>
      <w:r w:rsidR="00257FF3" w:rsidRPr="00C62A13">
        <w:rPr>
          <w:rFonts w:asciiTheme="minorHAnsi" w:hAnsiTheme="minorHAnsi"/>
          <w:bCs/>
          <w:snapToGrid w:val="0"/>
        </w:rPr>
        <w:t xml:space="preserve"> to work. </w:t>
      </w:r>
      <w:r w:rsidR="00653E92" w:rsidRPr="00C62A13">
        <w:rPr>
          <w:rFonts w:asciiTheme="minorHAnsi" w:hAnsiTheme="minorHAnsi"/>
          <w:bCs/>
          <w:snapToGrid w:val="0"/>
        </w:rPr>
        <w:t>Citing Boeri (2020)</w:t>
      </w:r>
      <w:r w:rsidR="00653E92" w:rsidRPr="00C62A13">
        <w:rPr>
          <w:rStyle w:val="FootnoteReference"/>
          <w:rFonts w:asciiTheme="minorHAnsi" w:hAnsiTheme="minorHAnsi"/>
          <w:bCs/>
          <w:snapToGrid w:val="0"/>
        </w:rPr>
        <w:footnoteReference w:id="1"/>
      </w:r>
      <w:r w:rsidR="00653E92" w:rsidRPr="00C62A13">
        <w:rPr>
          <w:rFonts w:asciiTheme="minorHAnsi" w:hAnsiTheme="minorHAnsi"/>
          <w:bCs/>
          <w:snapToGrid w:val="0"/>
        </w:rPr>
        <w:t>, t</w:t>
      </w:r>
      <w:r w:rsidR="00616B02" w:rsidRPr="00C62A13">
        <w:rPr>
          <w:rFonts w:asciiTheme="minorHAnsi" w:hAnsiTheme="minorHAnsi"/>
          <w:bCs/>
          <w:snapToGrid w:val="0"/>
        </w:rPr>
        <w:t>he clinic</w:t>
      </w:r>
      <w:r w:rsidR="00B67C0B" w:rsidRPr="00C62A13">
        <w:rPr>
          <w:rFonts w:asciiTheme="minorHAnsi" w:hAnsiTheme="minorHAnsi"/>
          <w:bCs/>
          <w:snapToGrid w:val="0"/>
        </w:rPr>
        <w:t>i</w:t>
      </w:r>
      <w:r w:rsidR="00616B02" w:rsidRPr="00C62A13">
        <w:rPr>
          <w:rFonts w:asciiTheme="minorHAnsi" w:hAnsiTheme="minorHAnsi"/>
          <w:bCs/>
          <w:snapToGrid w:val="0"/>
        </w:rPr>
        <w:t>an noted that not all patients respond to dupilumab</w:t>
      </w:r>
      <w:r w:rsidR="00781F39" w:rsidRPr="00C62A13">
        <w:rPr>
          <w:rFonts w:asciiTheme="minorHAnsi" w:hAnsiTheme="minorHAnsi"/>
          <w:bCs/>
          <w:snapToGrid w:val="0"/>
        </w:rPr>
        <w:t xml:space="preserve"> and</w:t>
      </w:r>
      <w:r w:rsidR="00B67C0B" w:rsidRPr="00C62A13">
        <w:rPr>
          <w:rFonts w:asciiTheme="minorHAnsi" w:hAnsiTheme="minorHAnsi"/>
          <w:bCs/>
          <w:snapToGrid w:val="0"/>
        </w:rPr>
        <w:t xml:space="preserve"> </w:t>
      </w:r>
      <w:r w:rsidR="008D639A" w:rsidRPr="00C62A13">
        <w:rPr>
          <w:rFonts w:asciiTheme="minorHAnsi" w:hAnsiTheme="minorHAnsi"/>
          <w:bCs/>
          <w:snapToGrid w:val="0"/>
        </w:rPr>
        <w:t xml:space="preserve">patients </w:t>
      </w:r>
      <w:r w:rsidR="009B290C" w:rsidRPr="00C62A13">
        <w:rPr>
          <w:rFonts w:asciiTheme="minorHAnsi" w:hAnsiTheme="minorHAnsi"/>
          <w:bCs/>
          <w:snapToGrid w:val="0"/>
        </w:rPr>
        <w:t>express a preference</w:t>
      </w:r>
      <w:r w:rsidR="00616B02" w:rsidRPr="00C62A13">
        <w:rPr>
          <w:rFonts w:asciiTheme="minorHAnsi" w:hAnsiTheme="minorHAnsi"/>
          <w:bCs/>
          <w:snapToGrid w:val="0"/>
        </w:rPr>
        <w:t xml:space="preserve"> for rapid onset of action, fully clear skin and the option of oral administration. </w:t>
      </w:r>
    </w:p>
    <w:p w:rsidR="00735579" w:rsidRPr="00C62A13" w:rsidRDefault="00781F39" w:rsidP="00B24D69">
      <w:pPr>
        <w:widowControl w:val="0"/>
        <w:numPr>
          <w:ilvl w:val="1"/>
          <w:numId w:val="1"/>
        </w:numPr>
        <w:spacing w:after="120"/>
        <w:rPr>
          <w:rFonts w:asciiTheme="minorHAnsi" w:hAnsiTheme="minorHAnsi"/>
          <w:bCs/>
          <w:snapToGrid w:val="0"/>
        </w:rPr>
      </w:pPr>
      <w:r w:rsidRPr="00C62A13">
        <w:rPr>
          <w:rFonts w:asciiTheme="minorHAnsi" w:hAnsiTheme="minorHAnsi"/>
          <w:bCs/>
          <w:snapToGrid w:val="0"/>
        </w:rPr>
        <w:t xml:space="preserve">The clinician noted </w:t>
      </w:r>
      <w:r w:rsidR="008D639A" w:rsidRPr="00C62A13">
        <w:rPr>
          <w:rFonts w:asciiTheme="minorHAnsi" w:hAnsiTheme="minorHAnsi"/>
          <w:bCs/>
          <w:snapToGrid w:val="0"/>
        </w:rPr>
        <w:t xml:space="preserve">that </w:t>
      </w:r>
      <w:r w:rsidR="00616B02" w:rsidRPr="00C62A13">
        <w:rPr>
          <w:rFonts w:asciiTheme="minorHAnsi" w:hAnsiTheme="minorHAnsi"/>
          <w:bCs/>
          <w:snapToGrid w:val="0"/>
        </w:rPr>
        <w:t>in the direct head to head</w:t>
      </w:r>
      <w:r w:rsidRPr="00C62A13">
        <w:rPr>
          <w:rFonts w:asciiTheme="minorHAnsi" w:hAnsiTheme="minorHAnsi"/>
          <w:bCs/>
          <w:snapToGrid w:val="0"/>
        </w:rPr>
        <w:t xml:space="preserve"> trial</w:t>
      </w:r>
      <w:r w:rsidR="00616B02" w:rsidRPr="00C62A13">
        <w:rPr>
          <w:rFonts w:asciiTheme="minorHAnsi" w:hAnsiTheme="minorHAnsi"/>
          <w:bCs/>
          <w:snapToGrid w:val="0"/>
        </w:rPr>
        <w:t xml:space="preserve">, </w:t>
      </w:r>
      <w:r w:rsidRPr="00C62A13">
        <w:rPr>
          <w:rFonts w:asciiTheme="minorHAnsi" w:hAnsiTheme="minorHAnsi"/>
          <w:bCs/>
          <w:snapToGrid w:val="0"/>
        </w:rPr>
        <w:t xml:space="preserve">UPA had superior </w:t>
      </w:r>
      <w:r w:rsidR="00B67C0B" w:rsidRPr="00C62A13">
        <w:rPr>
          <w:rFonts w:asciiTheme="minorHAnsi" w:hAnsiTheme="minorHAnsi"/>
          <w:bCs/>
          <w:snapToGrid w:val="0"/>
        </w:rPr>
        <w:t>efficacy</w:t>
      </w:r>
      <w:r w:rsidRPr="00C62A13">
        <w:rPr>
          <w:rFonts w:asciiTheme="minorHAnsi" w:hAnsiTheme="minorHAnsi"/>
          <w:bCs/>
          <w:snapToGrid w:val="0"/>
        </w:rPr>
        <w:t xml:space="preserve"> in terms of </w:t>
      </w:r>
      <w:r w:rsidR="00616B02" w:rsidRPr="00C62A13">
        <w:rPr>
          <w:rFonts w:asciiTheme="minorHAnsi" w:hAnsiTheme="minorHAnsi"/>
          <w:bCs/>
          <w:snapToGrid w:val="0"/>
        </w:rPr>
        <w:t>EASI</w:t>
      </w:r>
      <w:r w:rsidR="004B5E08" w:rsidRPr="00C62A13">
        <w:rPr>
          <w:rFonts w:asciiTheme="minorHAnsi" w:hAnsiTheme="minorHAnsi"/>
          <w:bCs/>
          <w:snapToGrid w:val="0"/>
        </w:rPr>
        <w:t xml:space="preserve"> </w:t>
      </w:r>
      <w:r w:rsidR="00616B02" w:rsidRPr="00C62A13">
        <w:rPr>
          <w:rFonts w:asciiTheme="minorHAnsi" w:hAnsiTheme="minorHAnsi"/>
          <w:bCs/>
          <w:snapToGrid w:val="0"/>
        </w:rPr>
        <w:t>90 and EASI</w:t>
      </w:r>
      <w:r w:rsidR="004B5E08" w:rsidRPr="00C62A13">
        <w:rPr>
          <w:rFonts w:asciiTheme="minorHAnsi" w:hAnsiTheme="minorHAnsi"/>
          <w:bCs/>
          <w:snapToGrid w:val="0"/>
        </w:rPr>
        <w:t xml:space="preserve"> </w:t>
      </w:r>
      <w:r w:rsidR="00616B02" w:rsidRPr="00C62A13">
        <w:rPr>
          <w:rFonts w:asciiTheme="minorHAnsi" w:hAnsiTheme="minorHAnsi"/>
          <w:bCs/>
          <w:snapToGrid w:val="0"/>
        </w:rPr>
        <w:t>100</w:t>
      </w:r>
      <w:r w:rsidR="009B290C" w:rsidRPr="00C62A13">
        <w:rPr>
          <w:rFonts w:asciiTheme="minorHAnsi" w:hAnsiTheme="minorHAnsi"/>
          <w:bCs/>
          <w:snapToGrid w:val="0"/>
        </w:rPr>
        <w:t xml:space="preserve"> (almost/</w:t>
      </w:r>
      <w:r w:rsidR="00B67C0B" w:rsidRPr="00C62A13">
        <w:rPr>
          <w:rFonts w:asciiTheme="minorHAnsi" w:hAnsiTheme="minorHAnsi"/>
          <w:bCs/>
          <w:snapToGrid w:val="0"/>
        </w:rPr>
        <w:t>complete clearance of AD</w:t>
      </w:r>
      <w:r w:rsidR="009B290C" w:rsidRPr="00C62A13">
        <w:rPr>
          <w:rFonts w:asciiTheme="minorHAnsi" w:hAnsiTheme="minorHAnsi"/>
          <w:bCs/>
          <w:snapToGrid w:val="0"/>
        </w:rPr>
        <w:t>)</w:t>
      </w:r>
      <w:r w:rsidR="00B67C0B" w:rsidRPr="00C62A13">
        <w:rPr>
          <w:rFonts w:asciiTheme="minorHAnsi" w:hAnsiTheme="minorHAnsi"/>
          <w:bCs/>
          <w:snapToGrid w:val="0"/>
        </w:rPr>
        <w:t xml:space="preserve"> and</w:t>
      </w:r>
      <w:r w:rsidR="00616B02" w:rsidRPr="00C62A13">
        <w:rPr>
          <w:rFonts w:asciiTheme="minorHAnsi" w:hAnsiTheme="minorHAnsi"/>
          <w:bCs/>
          <w:snapToGrid w:val="0"/>
        </w:rPr>
        <w:t xml:space="preserve"> also more rapid improvement in terms of itch. </w:t>
      </w:r>
      <w:r w:rsidR="00735579" w:rsidRPr="00C62A13">
        <w:rPr>
          <w:rFonts w:asciiTheme="minorHAnsi" w:hAnsiTheme="minorHAnsi"/>
          <w:bCs/>
          <w:snapToGrid w:val="0"/>
        </w:rPr>
        <w:t xml:space="preserve">The clinician noted that for UPA there were slightly higher rates of AEs and drug-related </w:t>
      </w:r>
      <w:r w:rsidR="00616B02" w:rsidRPr="00C62A13">
        <w:rPr>
          <w:rFonts w:asciiTheme="minorHAnsi" w:hAnsiTheme="minorHAnsi"/>
          <w:bCs/>
          <w:snapToGrid w:val="0"/>
        </w:rPr>
        <w:t>AE</w:t>
      </w:r>
      <w:r w:rsidR="00735579" w:rsidRPr="00C62A13">
        <w:rPr>
          <w:rFonts w:asciiTheme="minorHAnsi" w:hAnsiTheme="minorHAnsi"/>
          <w:bCs/>
          <w:snapToGrid w:val="0"/>
        </w:rPr>
        <w:t xml:space="preserve">s. Acne and folliculitis AEs were not severe and rates of skin infections were not higher than </w:t>
      </w:r>
      <w:r w:rsidR="008D639A" w:rsidRPr="00C62A13">
        <w:rPr>
          <w:rFonts w:asciiTheme="minorHAnsi" w:hAnsiTheme="minorHAnsi"/>
          <w:bCs/>
          <w:snapToGrid w:val="0"/>
        </w:rPr>
        <w:t xml:space="preserve">DUPI </w:t>
      </w:r>
      <w:r w:rsidR="00735579" w:rsidRPr="00C62A13">
        <w:rPr>
          <w:rFonts w:asciiTheme="minorHAnsi" w:hAnsiTheme="minorHAnsi"/>
          <w:bCs/>
          <w:snapToGrid w:val="0"/>
        </w:rPr>
        <w:t xml:space="preserve">or other therapies used for AD. The clinician stated that </w:t>
      </w:r>
      <w:r w:rsidR="00EE4209" w:rsidRPr="00C62A13">
        <w:rPr>
          <w:rFonts w:asciiTheme="minorHAnsi" w:hAnsiTheme="minorHAnsi"/>
          <w:bCs/>
          <w:snapToGrid w:val="0"/>
        </w:rPr>
        <w:t>overall</w:t>
      </w:r>
      <w:r w:rsidR="005C5908" w:rsidRPr="00C62A13">
        <w:rPr>
          <w:rFonts w:asciiTheme="minorHAnsi" w:hAnsiTheme="minorHAnsi"/>
          <w:bCs/>
          <w:snapToGrid w:val="0"/>
        </w:rPr>
        <w:t>,</w:t>
      </w:r>
      <w:r w:rsidR="00EE4209" w:rsidRPr="00C62A13">
        <w:rPr>
          <w:rFonts w:asciiTheme="minorHAnsi" w:hAnsiTheme="minorHAnsi"/>
          <w:bCs/>
          <w:snapToGrid w:val="0"/>
        </w:rPr>
        <w:t xml:space="preserve"> dermatologists were comfortable with the UPA safety profile particularly </w:t>
      </w:r>
      <w:r w:rsidR="00735579" w:rsidRPr="00C62A13">
        <w:rPr>
          <w:rFonts w:asciiTheme="minorHAnsi" w:hAnsiTheme="minorHAnsi"/>
          <w:bCs/>
          <w:snapToGrid w:val="0"/>
        </w:rPr>
        <w:t>when compared</w:t>
      </w:r>
      <w:r w:rsidR="00616B02" w:rsidRPr="00C62A13">
        <w:rPr>
          <w:rFonts w:asciiTheme="minorHAnsi" w:hAnsiTheme="minorHAnsi"/>
          <w:bCs/>
          <w:snapToGrid w:val="0"/>
        </w:rPr>
        <w:t xml:space="preserve"> to other treatments used </w:t>
      </w:r>
      <w:r w:rsidR="00EE4209" w:rsidRPr="00C62A13">
        <w:rPr>
          <w:rFonts w:asciiTheme="minorHAnsi" w:hAnsiTheme="minorHAnsi"/>
          <w:bCs/>
          <w:snapToGrid w:val="0"/>
        </w:rPr>
        <w:t>for</w:t>
      </w:r>
      <w:r w:rsidR="00616B02" w:rsidRPr="00C62A13">
        <w:rPr>
          <w:rFonts w:asciiTheme="minorHAnsi" w:hAnsiTheme="minorHAnsi"/>
          <w:bCs/>
          <w:snapToGrid w:val="0"/>
        </w:rPr>
        <w:t xml:space="preserve"> AD (</w:t>
      </w:r>
      <w:r w:rsidR="00EE4209" w:rsidRPr="00C62A13">
        <w:rPr>
          <w:rFonts w:asciiTheme="minorHAnsi" w:hAnsiTheme="minorHAnsi"/>
          <w:bCs/>
          <w:snapToGrid w:val="0"/>
        </w:rPr>
        <w:t xml:space="preserve">such as </w:t>
      </w:r>
      <w:r w:rsidR="00616B02" w:rsidRPr="00C62A13">
        <w:rPr>
          <w:rFonts w:asciiTheme="minorHAnsi" w:hAnsiTheme="minorHAnsi"/>
          <w:bCs/>
          <w:snapToGrid w:val="0"/>
        </w:rPr>
        <w:t xml:space="preserve">prednisolone, azathioprine, CsA, methotrexate). </w:t>
      </w:r>
      <w:r w:rsidR="00735579" w:rsidRPr="00C62A13">
        <w:rPr>
          <w:rFonts w:asciiTheme="minorHAnsi" w:hAnsiTheme="minorHAnsi"/>
          <w:bCs/>
          <w:snapToGrid w:val="0"/>
        </w:rPr>
        <w:t xml:space="preserve">The clinician emphasised that </w:t>
      </w:r>
      <w:r w:rsidR="00616B02" w:rsidRPr="00C62A13">
        <w:rPr>
          <w:rFonts w:asciiTheme="minorHAnsi" w:hAnsiTheme="minorHAnsi"/>
          <w:bCs/>
          <w:snapToGrid w:val="0"/>
        </w:rPr>
        <w:t xml:space="preserve">UPA is </w:t>
      </w:r>
      <w:r w:rsidR="007B7561" w:rsidRPr="00C62A13">
        <w:rPr>
          <w:rFonts w:asciiTheme="minorHAnsi" w:hAnsiTheme="minorHAnsi"/>
          <w:bCs/>
          <w:snapToGrid w:val="0"/>
        </w:rPr>
        <w:t xml:space="preserve">a selective JAK inhibitor which should be considered different to pan-JAK inhibitors from a safety perspective. </w:t>
      </w:r>
    </w:p>
    <w:p w:rsidR="00B24D69" w:rsidRPr="00C62A13" w:rsidRDefault="008D639A" w:rsidP="00B24D69">
      <w:pPr>
        <w:widowControl w:val="0"/>
        <w:numPr>
          <w:ilvl w:val="1"/>
          <w:numId w:val="1"/>
        </w:numPr>
        <w:spacing w:after="120"/>
        <w:rPr>
          <w:rFonts w:asciiTheme="minorHAnsi" w:hAnsiTheme="minorHAnsi"/>
          <w:bCs/>
          <w:snapToGrid w:val="0"/>
        </w:rPr>
      </w:pPr>
      <w:r w:rsidRPr="00C62A13">
        <w:rPr>
          <w:rFonts w:asciiTheme="minorHAnsi" w:hAnsiTheme="minorHAnsi"/>
          <w:bCs/>
          <w:snapToGrid w:val="0"/>
        </w:rPr>
        <w:t>Regarding dosing, t</w:t>
      </w:r>
      <w:r w:rsidR="00EE4209" w:rsidRPr="00C62A13">
        <w:rPr>
          <w:rFonts w:asciiTheme="minorHAnsi" w:hAnsiTheme="minorHAnsi"/>
          <w:bCs/>
          <w:snapToGrid w:val="0"/>
        </w:rPr>
        <w:t xml:space="preserve">he clinician stated that it was preferable to </w:t>
      </w:r>
      <w:r w:rsidR="007B7561" w:rsidRPr="00C62A13">
        <w:rPr>
          <w:rFonts w:asciiTheme="minorHAnsi" w:hAnsiTheme="minorHAnsi"/>
          <w:bCs/>
          <w:snapToGrid w:val="0"/>
        </w:rPr>
        <w:t xml:space="preserve">start with </w:t>
      </w:r>
      <w:r w:rsidR="00EE4209" w:rsidRPr="00C62A13">
        <w:rPr>
          <w:rFonts w:asciiTheme="minorHAnsi" w:hAnsiTheme="minorHAnsi"/>
          <w:bCs/>
          <w:snapToGrid w:val="0"/>
        </w:rPr>
        <w:t xml:space="preserve">the </w:t>
      </w:r>
      <w:r w:rsidR="007B7561" w:rsidRPr="00C62A13">
        <w:rPr>
          <w:rFonts w:asciiTheme="minorHAnsi" w:hAnsiTheme="minorHAnsi"/>
          <w:bCs/>
          <w:snapToGrid w:val="0"/>
        </w:rPr>
        <w:t xml:space="preserve">30 mg </w:t>
      </w:r>
      <w:r w:rsidR="00EE4209" w:rsidRPr="00C62A13">
        <w:rPr>
          <w:rFonts w:asciiTheme="minorHAnsi" w:hAnsiTheme="minorHAnsi"/>
          <w:bCs/>
          <w:snapToGrid w:val="0"/>
        </w:rPr>
        <w:t xml:space="preserve">dose </w:t>
      </w:r>
      <w:r w:rsidR="007B7561" w:rsidRPr="00C62A13">
        <w:rPr>
          <w:rFonts w:asciiTheme="minorHAnsi" w:hAnsiTheme="minorHAnsi"/>
          <w:bCs/>
          <w:snapToGrid w:val="0"/>
        </w:rPr>
        <w:t>and then reduce</w:t>
      </w:r>
      <w:r w:rsidR="00EE4209" w:rsidRPr="00C62A13">
        <w:rPr>
          <w:rFonts w:asciiTheme="minorHAnsi" w:hAnsiTheme="minorHAnsi"/>
          <w:bCs/>
          <w:snapToGrid w:val="0"/>
        </w:rPr>
        <w:t xml:space="preserve"> to 15 mg where possible to minimise exposure, consistent with dosing of other treatments</w:t>
      </w:r>
      <w:r w:rsidR="007B7561" w:rsidRPr="00C62A13">
        <w:rPr>
          <w:rFonts w:asciiTheme="minorHAnsi" w:hAnsiTheme="minorHAnsi"/>
          <w:bCs/>
          <w:snapToGrid w:val="0"/>
        </w:rPr>
        <w:t xml:space="preserve"> for AD (prednisolone, CsA). </w:t>
      </w:r>
      <w:r w:rsidR="00EE4209" w:rsidRPr="00C62A13">
        <w:rPr>
          <w:rFonts w:asciiTheme="minorHAnsi" w:hAnsiTheme="minorHAnsi"/>
          <w:bCs/>
          <w:snapToGrid w:val="0"/>
        </w:rPr>
        <w:t xml:space="preserve">The clinician stated that access to the </w:t>
      </w:r>
      <w:r w:rsidR="007B7561" w:rsidRPr="00C62A13">
        <w:rPr>
          <w:rFonts w:asciiTheme="minorHAnsi" w:hAnsiTheme="minorHAnsi"/>
          <w:bCs/>
          <w:snapToGrid w:val="0"/>
        </w:rPr>
        <w:t xml:space="preserve">15 mg dose </w:t>
      </w:r>
      <w:r w:rsidR="00EE4209" w:rsidRPr="00C62A13">
        <w:rPr>
          <w:rFonts w:asciiTheme="minorHAnsi" w:hAnsiTheme="minorHAnsi"/>
          <w:bCs/>
          <w:snapToGrid w:val="0"/>
        </w:rPr>
        <w:t xml:space="preserve">would be needed </w:t>
      </w:r>
      <w:r w:rsidR="007B7561" w:rsidRPr="00C62A13">
        <w:rPr>
          <w:rFonts w:asciiTheme="minorHAnsi" w:hAnsiTheme="minorHAnsi"/>
          <w:bCs/>
          <w:snapToGrid w:val="0"/>
        </w:rPr>
        <w:t>for</w:t>
      </w:r>
      <w:r w:rsidR="00EE4209" w:rsidRPr="00C62A13">
        <w:rPr>
          <w:rFonts w:asciiTheme="minorHAnsi" w:hAnsiTheme="minorHAnsi"/>
          <w:bCs/>
          <w:snapToGrid w:val="0"/>
        </w:rPr>
        <w:t xml:space="preserve"> patients aged &lt;18 and &gt;65 years and the</w:t>
      </w:r>
      <w:r w:rsidR="007B7561" w:rsidRPr="00C62A13">
        <w:rPr>
          <w:rFonts w:asciiTheme="minorHAnsi" w:hAnsiTheme="minorHAnsi"/>
          <w:bCs/>
          <w:snapToGrid w:val="0"/>
        </w:rPr>
        <w:t xml:space="preserve"> ability to </w:t>
      </w:r>
      <w:r w:rsidR="00EE4209" w:rsidRPr="00C62A13">
        <w:rPr>
          <w:rFonts w:asciiTheme="minorHAnsi" w:hAnsiTheme="minorHAnsi"/>
          <w:bCs/>
          <w:snapToGrid w:val="0"/>
        </w:rPr>
        <w:t>increase the dose to 30 mg</w:t>
      </w:r>
      <w:r w:rsidR="007B7561" w:rsidRPr="00C62A13">
        <w:rPr>
          <w:rFonts w:asciiTheme="minorHAnsi" w:hAnsiTheme="minorHAnsi"/>
          <w:bCs/>
          <w:snapToGrid w:val="0"/>
        </w:rPr>
        <w:t xml:space="preserve"> </w:t>
      </w:r>
      <w:r w:rsidR="00EE4209" w:rsidRPr="00C62A13">
        <w:rPr>
          <w:rFonts w:asciiTheme="minorHAnsi" w:hAnsiTheme="minorHAnsi"/>
          <w:bCs/>
          <w:snapToGrid w:val="0"/>
        </w:rPr>
        <w:t xml:space="preserve">would be needed </w:t>
      </w:r>
      <w:r w:rsidR="007B7561" w:rsidRPr="00C62A13">
        <w:rPr>
          <w:rFonts w:asciiTheme="minorHAnsi" w:hAnsiTheme="minorHAnsi"/>
          <w:bCs/>
          <w:snapToGrid w:val="0"/>
        </w:rPr>
        <w:t xml:space="preserve">if need </w:t>
      </w:r>
      <w:r w:rsidR="00EE4209" w:rsidRPr="00C62A13">
        <w:rPr>
          <w:rFonts w:asciiTheme="minorHAnsi" w:hAnsiTheme="minorHAnsi"/>
          <w:bCs/>
          <w:snapToGrid w:val="0"/>
        </w:rPr>
        <w:t xml:space="preserve">clinicians are required </w:t>
      </w:r>
      <w:r w:rsidR="007B7561" w:rsidRPr="00C62A13">
        <w:rPr>
          <w:rFonts w:asciiTheme="minorHAnsi" w:hAnsiTheme="minorHAnsi"/>
          <w:bCs/>
          <w:snapToGrid w:val="0"/>
        </w:rPr>
        <w:t xml:space="preserve">to </w:t>
      </w:r>
      <w:r w:rsidR="00EE4209" w:rsidRPr="00C62A13">
        <w:rPr>
          <w:rFonts w:asciiTheme="minorHAnsi" w:hAnsiTheme="minorHAnsi"/>
          <w:bCs/>
          <w:snapToGrid w:val="0"/>
        </w:rPr>
        <w:t>initiate patients</w:t>
      </w:r>
      <w:r w:rsidR="007B7561" w:rsidRPr="00C62A13">
        <w:rPr>
          <w:rFonts w:asciiTheme="minorHAnsi" w:hAnsiTheme="minorHAnsi"/>
          <w:bCs/>
          <w:snapToGrid w:val="0"/>
        </w:rPr>
        <w:t xml:space="preserve"> on </w:t>
      </w:r>
      <w:r w:rsidR="00EE4209" w:rsidRPr="00C62A13">
        <w:rPr>
          <w:rFonts w:asciiTheme="minorHAnsi" w:hAnsiTheme="minorHAnsi"/>
          <w:bCs/>
          <w:snapToGrid w:val="0"/>
        </w:rPr>
        <w:t xml:space="preserve">the </w:t>
      </w:r>
      <w:r w:rsidR="007B7561" w:rsidRPr="00C62A13">
        <w:rPr>
          <w:rFonts w:asciiTheme="minorHAnsi" w:hAnsiTheme="minorHAnsi"/>
          <w:bCs/>
          <w:snapToGrid w:val="0"/>
        </w:rPr>
        <w:t>15</w:t>
      </w:r>
      <w:r w:rsidR="00EE4209" w:rsidRPr="00C62A13">
        <w:rPr>
          <w:rFonts w:asciiTheme="minorHAnsi" w:hAnsiTheme="minorHAnsi"/>
          <w:bCs/>
          <w:snapToGrid w:val="0"/>
        </w:rPr>
        <w:t> </w:t>
      </w:r>
      <w:r w:rsidR="007B7561" w:rsidRPr="00C62A13">
        <w:rPr>
          <w:rFonts w:asciiTheme="minorHAnsi" w:hAnsiTheme="minorHAnsi"/>
          <w:bCs/>
          <w:snapToGrid w:val="0"/>
        </w:rPr>
        <w:t>mg</w:t>
      </w:r>
      <w:r w:rsidR="00EE4209" w:rsidRPr="00C62A13">
        <w:rPr>
          <w:rFonts w:asciiTheme="minorHAnsi" w:hAnsiTheme="minorHAnsi"/>
          <w:bCs/>
          <w:snapToGrid w:val="0"/>
        </w:rPr>
        <w:t xml:space="preserve"> dose</w:t>
      </w:r>
      <w:r w:rsidR="00C62A13">
        <w:rPr>
          <w:rFonts w:asciiTheme="minorHAnsi" w:hAnsiTheme="minorHAnsi"/>
          <w:bCs/>
          <w:snapToGrid w:val="0"/>
        </w:rPr>
        <w:t xml:space="preserve">. </w:t>
      </w:r>
    </w:p>
    <w:bookmarkEnd w:id="13"/>
    <w:p w:rsidR="00B24D69" w:rsidRPr="00C62A13" w:rsidRDefault="00B24D69" w:rsidP="00B24D69">
      <w:pPr>
        <w:pStyle w:val="4-SubsectionHeading"/>
      </w:pPr>
      <w:r w:rsidRPr="00C62A13">
        <w:t>Consumer comments</w:t>
      </w:r>
    </w:p>
    <w:p w:rsidR="00B24D69" w:rsidRPr="00C62A13" w:rsidRDefault="00B24D69" w:rsidP="00B24D69">
      <w:pPr>
        <w:widowControl w:val="0"/>
        <w:numPr>
          <w:ilvl w:val="1"/>
          <w:numId w:val="1"/>
        </w:numPr>
        <w:spacing w:after="120"/>
        <w:rPr>
          <w:rFonts w:asciiTheme="minorHAnsi" w:hAnsiTheme="minorHAnsi"/>
          <w:bCs/>
          <w:snapToGrid w:val="0"/>
        </w:rPr>
      </w:pPr>
      <w:bookmarkStart w:id="14" w:name="_Hlk76382618"/>
      <w:r w:rsidRPr="00C62A13">
        <w:rPr>
          <w:rFonts w:asciiTheme="minorHAnsi" w:hAnsiTheme="minorHAnsi"/>
          <w:bCs/>
          <w:snapToGrid w:val="0"/>
        </w:rPr>
        <w:t>The PBAC noted and welcom</w:t>
      </w:r>
      <w:r w:rsidR="007B7561" w:rsidRPr="00C62A13">
        <w:rPr>
          <w:rFonts w:asciiTheme="minorHAnsi" w:hAnsiTheme="minorHAnsi"/>
          <w:bCs/>
          <w:snapToGrid w:val="0"/>
        </w:rPr>
        <w:t>ed the input from individuals (10</w:t>
      </w:r>
      <w:r w:rsidRPr="00C62A13">
        <w:rPr>
          <w:rFonts w:asciiTheme="minorHAnsi" w:hAnsiTheme="minorHAnsi"/>
          <w:bCs/>
          <w:snapToGrid w:val="0"/>
        </w:rPr>
        <w:t>), health care profess</w:t>
      </w:r>
      <w:r w:rsidR="007B7561" w:rsidRPr="00C62A13">
        <w:rPr>
          <w:rFonts w:asciiTheme="minorHAnsi" w:hAnsiTheme="minorHAnsi"/>
          <w:bCs/>
          <w:snapToGrid w:val="0"/>
        </w:rPr>
        <w:t>ionals (1) and organisations (3</w:t>
      </w:r>
      <w:r w:rsidRPr="00C62A13">
        <w:rPr>
          <w:rFonts w:asciiTheme="minorHAnsi" w:hAnsiTheme="minorHAnsi"/>
          <w:bCs/>
          <w:snapToGrid w:val="0"/>
        </w:rPr>
        <w:t>) via the Consumer Comments facility on the PBS website</w:t>
      </w:r>
      <w:r w:rsidR="00C62A13">
        <w:rPr>
          <w:rFonts w:asciiTheme="minorHAnsi" w:hAnsiTheme="minorHAnsi"/>
          <w:bCs/>
          <w:snapToGrid w:val="0"/>
        </w:rPr>
        <w:t xml:space="preserve">. </w:t>
      </w:r>
    </w:p>
    <w:p w:rsidR="007169F5" w:rsidRPr="00C62A13" w:rsidRDefault="00B24D69" w:rsidP="00444F62">
      <w:pPr>
        <w:widowControl w:val="0"/>
        <w:numPr>
          <w:ilvl w:val="1"/>
          <w:numId w:val="1"/>
        </w:numPr>
        <w:spacing w:after="120"/>
        <w:rPr>
          <w:rFonts w:asciiTheme="minorHAnsi" w:hAnsiTheme="minorHAnsi"/>
          <w:bCs/>
          <w:snapToGrid w:val="0"/>
        </w:rPr>
      </w:pPr>
      <w:r w:rsidRPr="00C62A13">
        <w:rPr>
          <w:rFonts w:asciiTheme="minorHAnsi" w:hAnsiTheme="minorHAnsi"/>
          <w:bCs/>
          <w:snapToGrid w:val="0"/>
        </w:rPr>
        <w:t xml:space="preserve">The PBAC noted the advice received from </w:t>
      </w:r>
      <w:r w:rsidR="007B7561" w:rsidRPr="00C62A13">
        <w:rPr>
          <w:rFonts w:asciiTheme="minorHAnsi" w:hAnsiTheme="minorHAnsi"/>
          <w:bCs/>
          <w:snapToGrid w:val="0"/>
        </w:rPr>
        <w:t>AD support groups</w:t>
      </w:r>
      <w:r w:rsidR="008D639A" w:rsidRPr="00C62A13">
        <w:rPr>
          <w:rFonts w:asciiTheme="minorHAnsi" w:hAnsiTheme="minorHAnsi"/>
          <w:bCs/>
          <w:snapToGrid w:val="0"/>
        </w:rPr>
        <w:t>:</w:t>
      </w:r>
      <w:r w:rsidR="007B7561" w:rsidRPr="00C62A13">
        <w:rPr>
          <w:rFonts w:asciiTheme="minorHAnsi" w:hAnsiTheme="minorHAnsi"/>
          <w:bCs/>
          <w:snapToGrid w:val="0"/>
        </w:rPr>
        <w:t xml:space="preserve"> </w:t>
      </w:r>
      <w:r w:rsidR="007B7561" w:rsidRPr="00C62A13">
        <w:rPr>
          <w:rFonts w:asciiTheme="minorHAnsi" w:hAnsiTheme="minorHAnsi"/>
          <w:snapToGrid w:val="0"/>
        </w:rPr>
        <w:t xml:space="preserve">Eczema Association of Australasia Inc </w:t>
      </w:r>
      <w:r w:rsidR="007169F5" w:rsidRPr="00C62A13">
        <w:rPr>
          <w:rFonts w:asciiTheme="minorHAnsi" w:hAnsiTheme="minorHAnsi"/>
          <w:snapToGrid w:val="0"/>
        </w:rPr>
        <w:t xml:space="preserve">(EAA), </w:t>
      </w:r>
      <w:r w:rsidR="007B7561" w:rsidRPr="00C62A13">
        <w:rPr>
          <w:rFonts w:asciiTheme="minorHAnsi" w:hAnsiTheme="minorHAnsi"/>
          <w:snapToGrid w:val="0"/>
        </w:rPr>
        <w:t>Eczema Support Australia</w:t>
      </w:r>
      <w:r w:rsidR="007169F5" w:rsidRPr="00C62A13">
        <w:rPr>
          <w:rFonts w:asciiTheme="minorHAnsi" w:hAnsiTheme="minorHAnsi"/>
          <w:snapToGrid w:val="0"/>
        </w:rPr>
        <w:t xml:space="preserve"> and Allergy &amp; Anaphylaxis Australia (A&amp;AA)</w:t>
      </w:r>
      <w:r w:rsidR="007B7561" w:rsidRPr="00C62A13">
        <w:rPr>
          <w:rFonts w:asciiTheme="minorHAnsi" w:hAnsiTheme="minorHAnsi"/>
          <w:snapToGrid w:val="0"/>
        </w:rPr>
        <w:t>.</w:t>
      </w:r>
      <w:r w:rsidR="005738D9" w:rsidRPr="00C62A13">
        <w:rPr>
          <w:rFonts w:asciiTheme="minorHAnsi" w:hAnsiTheme="minorHAnsi"/>
          <w:snapToGrid w:val="0"/>
        </w:rPr>
        <w:t xml:space="preserve"> </w:t>
      </w:r>
      <w:r w:rsidR="00140475" w:rsidRPr="00C62A13">
        <w:rPr>
          <w:rFonts w:asciiTheme="minorHAnsi" w:hAnsiTheme="minorHAnsi"/>
          <w:snapToGrid w:val="0"/>
        </w:rPr>
        <w:t>Comments from EAA</w:t>
      </w:r>
      <w:r w:rsidR="007B7561" w:rsidRPr="00C62A13">
        <w:rPr>
          <w:rFonts w:asciiTheme="minorHAnsi" w:hAnsiTheme="minorHAnsi"/>
          <w:snapToGrid w:val="0"/>
        </w:rPr>
        <w:t xml:space="preserve"> </w:t>
      </w:r>
      <w:r w:rsidR="005738D9" w:rsidRPr="00C62A13">
        <w:rPr>
          <w:rFonts w:asciiTheme="minorHAnsi" w:hAnsiTheme="minorHAnsi"/>
          <w:bCs/>
        </w:rPr>
        <w:t>described the very high disease burden for patients with severe AD and their families, describing the impact from itch, sleep disruption, pain and infections</w:t>
      </w:r>
      <w:r w:rsidR="005C5908" w:rsidRPr="00C62A13">
        <w:rPr>
          <w:rFonts w:asciiTheme="minorHAnsi" w:hAnsiTheme="minorHAnsi"/>
          <w:bCs/>
        </w:rPr>
        <w:t>,</w:t>
      </w:r>
      <w:r w:rsidR="005738D9" w:rsidRPr="00C62A13">
        <w:rPr>
          <w:rFonts w:asciiTheme="minorHAnsi" w:hAnsiTheme="minorHAnsi"/>
          <w:bCs/>
        </w:rPr>
        <w:t xml:space="preserve"> and the resulting effects on their ability to work and in social situations</w:t>
      </w:r>
      <w:r w:rsidR="005C5908" w:rsidRPr="00C62A13">
        <w:rPr>
          <w:rFonts w:asciiTheme="minorHAnsi" w:hAnsiTheme="minorHAnsi"/>
          <w:bCs/>
        </w:rPr>
        <w:t>,</w:t>
      </w:r>
      <w:r w:rsidR="005738D9" w:rsidRPr="00C62A13">
        <w:rPr>
          <w:rFonts w:asciiTheme="minorHAnsi" w:hAnsiTheme="minorHAnsi"/>
          <w:bCs/>
        </w:rPr>
        <w:t xml:space="preserve"> and the detrimental impact on mental health. EAA also noted the cost of managing AD and the long-term comorbidities associated with AD.</w:t>
      </w:r>
      <w:r w:rsidR="007B7561" w:rsidRPr="00C62A13">
        <w:rPr>
          <w:rFonts w:asciiTheme="minorHAnsi" w:hAnsiTheme="minorHAnsi"/>
          <w:bCs/>
          <w:snapToGrid w:val="0"/>
        </w:rPr>
        <w:t xml:space="preserve"> </w:t>
      </w:r>
      <w:r w:rsidR="007169F5" w:rsidRPr="00C62A13">
        <w:rPr>
          <w:rFonts w:asciiTheme="minorHAnsi" w:hAnsiTheme="minorHAnsi"/>
          <w:bCs/>
          <w:snapToGrid w:val="0"/>
        </w:rPr>
        <w:t xml:space="preserve">Both </w:t>
      </w:r>
      <w:r w:rsidR="00140475" w:rsidRPr="00C62A13">
        <w:rPr>
          <w:rFonts w:asciiTheme="minorHAnsi" w:hAnsiTheme="minorHAnsi"/>
          <w:snapToGrid w:val="0"/>
        </w:rPr>
        <w:t>Eczema Support Australia</w:t>
      </w:r>
      <w:r w:rsidR="00140475" w:rsidRPr="00C62A13">
        <w:rPr>
          <w:rFonts w:asciiTheme="minorHAnsi" w:hAnsiTheme="minorHAnsi"/>
          <w:bCs/>
          <w:snapToGrid w:val="0"/>
        </w:rPr>
        <w:t xml:space="preserve"> </w:t>
      </w:r>
      <w:r w:rsidR="007169F5" w:rsidRPr="00C62A13">
        <w:rPr>
          <w:rFonts w:asciiTheme="minorHAnsi" w:hAnsiTheme="minorHAnsi"/>
          <w:bCs/>
          <w:snapToGrid w:val="0"/>
        </w:rPr>
        <w:t xml:space="preserve">and </w:t>
      </w:r>
      <w:r w:rsidR="007169F5" w:rsidRPr="00C62A13">
        <w:rPr>
          <w:rFonts w:asciiTheme="minorHAnsi" w:hAnsiTheme="minorHAnsi"/>
          <w:snapToGrid w:val="0"/>
        </w:rPr>
        <w:t>A&amp;AA</w:t>
      </w:r>
      <w:r w:rsidR="007169F5" w:rsidRPr="00C62A13">
        <w:rPr>
          <w:rFonts w:asciiTheme="minorHAnsi" w:hAnsiTheme="minorHAnsi"/>
          <w:bCs/>
          <w:snapToGrid w:val="0"/>
        </w:rPr>
        <w:t xml:space="preserve"> </w:t>
      </w:r>
      <w:r w:rsidR="00140475" w:rsidRPr="00C62A13">
        <w:rPr>
          <w:rFonts w:asciiTheme="minorHAnsi" w:hAnsiTheme="minorHAnsi"/>
          <w:bCs/>
          <w:snapToGrid w:val="0"/>
        </w:rPr>
        <w:t xml:space="preserve">noted that patients with AD vary in response to treatments </w:t>
      </w:r>
      <w:r w:rsidR="00105C00" w:rsidRPr="00C62A13">
        <w:rPr>
          <w:rFonts w:asciiTheme="minorHAnsi" w:hAnsiTheme="minorHAnsi"/>
          <w:bCs/>
          <w:snapToGrid w:val="0"/>
        </w:rPr>
        <w:t xml:space="preserve">as well as contraindications and side effects </w:t>
      </w:r>
      <w:r w:rsidR="004B5E08" w:rsidRPr="00C62A13">
        <w:rPr>
          <w:rFonts w:asciiTheme="minorHAnsi" w:hAnsiTheme="minorHAnsi"/>
          <w:bCs/>
          <w:snapToGrid w:val="0"/>
        </w:rPr>
        <w:t xml:space="preserve">from treatments </w:t>
      </w:r>
      <w:r w:rsidR="00140475" w:rsidRPr="00C62A13">
        <w:rPr>
          <w:rFonts w:asciiTheme="minorHAnsi" w:hAnsiTheme="minorHAnsi"/>
          <w:bCs/>
          <w:snapToGrid w:val="0"/>
        </w:rPr>
        <w:t xml:space="preserve">and therefore access to alternatives to </w:t>
      </w:r>
      <w:r w:rsidR="003B4C97" w:rsidRPr="00C62A13">
        <w:rPr>
          <w:rFonts w:asciiTheme="minorHAnsi" w:hAnsiTheme="minorHAnsi"/>
          <w:bCs/>
          <w:snapToGrid w:val="0"/>
        </w:rPr>
        <w:t xml:space="preserve">DUPI </w:t>
      </w:r>
      <w:r w:rsidR="00140475" w:rsidRPr="00C62A13">
        <w:rPr>
          <w:rFonts w:asciiTheme="minorHAnsi" w:hAnsiTheme="minorHAnsi"/>
          <w:bCs/>
          <w:snapToGrid w:val="0"/>
        </w:rPr>
        <w:t xml:space="preserve">are </w:t>
      </w:r>
      <w:r w:rsidR="00105C00" w:rsidRPr="00C62A13">
        <w:rPr>
          <w:rFonts w:asciiTheme="minorHAnsi" w:hAnsiTheme="minorHAnsi"/>
          <w:bCs/>
          <w:snapToGrid w:val="0"/>
        </w:rPr>
        <w:t xml:space="preserve">highly </w:t>
      </w:r>
      <w:r w:rsidR="00140475" w:rsidRPr="00C62A13">
        <w:rPr>
          <w:rFonts w:asciiTheme="minorHAnsi" w:hAnsiTheme="minorHAnsi"/>
          <w:bCs/>
          <w:snapToGrid w:val="0"/>
        </w:rPr>
        <w:t>valued by patients</w:t>
      </w:r>
      <w:r w:rsidR="00105C00" w:rsidRPr="00C62A13">
        <w:rPr>
          <w:rFonts w:asciiTheme="minorHAnsi" w:hAnsiTheme="minorHAnsi"/>
          <w:bCs/>
          <w:snapToGrid w:val="0"/>
        </w:rPr>
        <w:t xml:space="preserve"> and clinicians</w:t>
      </w:r>
      <w:r w:rsidR="00140475" w:rsidRPr="00C62A13">
        <w:rPr>
          <w:rFonts w:asciiTheme="minorHAnsi" w:hAnsiTheme="minorHAnsi"/>
          <w:bCs/>
          <w:snapToGrid w:val="0"/>
        </w:rPr>
        <w:t xml:space="preserve">. </w:t>
      </w:r>
    </w:p>
    <w:p w:rsidR="00B24D69" w:rsidRPr="00C62A13" w:rsidRDefault="00140475" w:rsidP="00444F62">
      <w:pPr>
        <w:widowControl w:val="0"/>
        <w:numPr>
          <w:ilvl w:val="1"/>
          <w:numId w:val="1"/>
        </w:numPr>
        <w:spacing w:after="120"/>
        <w:rPr>
          <w:rFonts w:asciiTheme="minorHAnsi" w:hAnsiTheme="minorHAnsi"/>
          <w:bCs/>
          <w:snapToGrid w:val="0"/>
        </w:rPr>
      </w:pPr>
      <w:r w:rsidRPr="00C62A13">
        <w:rPr>
          <w:rFonts w:asciiTheme="minorHAnsi" w:hAnsiTheme="minorHAnsi"/>
          <w:snapToGrid w:val="0"/>
        </w:rPr>
        <w:t xml:space="preserve">Eczema Support Australia noted that </w:t>
      </w:r>
      <w:r w:rsidR="003D0A05" w:rsidRPr="00C62A13">
        <w:rPr>
          <w:rFonts w:asciiTheme="minorHAnsi" w:hAnsiTheme="minorHAnsi"/>
          <w:snapToGrid w:val="0"/>
        </w:rPr>
        <w:t xml:space="preserve">disease management is complex, and currently patients </w:t>
      </w:r>
      <w:r w:rsidR="004B5E08" w:rsidRPr="00C62A13">
        <w:rPr>
          <w:rFonts w:asciiTheme="minorHAnsi" w:hAnsiTheme="minorHAnsi"/>
          <w:snapToGrid w:val="0"/>
        </w:rPr>
        <w:t xml:space="preserve">with AD </w:t>
      </w:r>
      <w:r w:rsidR="003D0A05" w:rsidRPr="00C62A13">
        <w:rPr>
          <w:rFonts w:asciiTheme="minorHAnsi" w:hAnsiTheme="minorHAnsi"/>
          <w:snapToGrid w:val="0"/>
        </w:rPr>
        <w:t xml:space="preserve">classified as moderate do not qualify for treatment with DUPI despite </w:t>
      </w:r>
      <w:r w:rsidR="004B5E08" w:rsidRPr="00C62A13">
        <w:rPr>
          <w:rFonts w:asciiTheme="minorHAnsi" w:hAnsiTheme="minorHAnsi"/>
          <w:snapToGrid w:val="0"/>
        </w:rPr>
        <w:t xml:space="preserve">fluctuating </w:t>
      </w:r>
      <w:r w:rsidR="003D0A05" w:rsidRPr="00C62A13">
        <w:rPr>
          <w:rFonts w:asciiTheme="minorHAnsi" w:hAnsiTheme="minorHAnsi"/>
          <w:snapToGrid w:val="0"/>
        </w:rPr>
        <w:t>disease severity</w:t>
      </w:r>
      <w:r w:rsidR="00653E92" w:rsidRPr="00C62A13">
        <w:rPr>
          <w:rFonts w:asciiTheme="minorHAnsi" w:hAnsiTheme="minorHAnsi"/>
          <w:snapToGrid w:val="0"/>
        </w:rPr>
        <w:t>/</w:t>
      </w:r>
      <w:r w:rsidR="003D0A05" w:rsidRPr="00C62A13">
        <w:rPr>
          <w:rFonts w:asciiTheme="minorHAnsi" w:hAnsiTheme="minorHAnsi"/>
          <w:snapToGrid w:val="0"/>
        </w:rPr>
        <w:t xml:space="preserve">disease flares. </w:t>
      </w:r>
      <w:r w:rsidR="00105C00" w:rsidRPr="00C62A13">
        <w:rPr>
          <w:rFonts w:asciiTheme="minorHAnsi" w:hAnsiTheme="minorHAnsi"/>
          <w:snapToGrid w:val="0"/>
        </w:rPr>
        <w:t>Some p</w:t>
      </w:r>
      <w:r w:rsidR="003D0A05" w:rsidRPr="00C62A13">
        <w:rPr>
          <w:rFonts w:asciiTheme="minorHAnsi" w:hAnsiTheme="minorHAnsi"/>
          <w:snapToGrid w:val="0"/>
        </w:rPr>
        <w:t xml:space="preserve">atients </w:t>
      </w:r>
      <w:r w:rsidR="00105C00" w:rsidRPr="00C62A13">
        <w:rPr>
          <w:rFonts w:asciiTheme="minorHAnsi" w:hAnsiTheme="minorHAnsi"/>
          <w:snapToGrid w:val="0"/>
        </w:rPr>
        <w:t xml:space="preserve">with </w:t>
      </w:r>
      <w:r w:rsidR="003D0A05" w:rsidRPr="00C62A13">
        <w:rPr>
          <w:rFonts w:asciiTheme="minorHAnsi" w:hAnsiTheme="minorHAnsi"/>
          <w:snapToGrid w:val="0"/>
        </w:rPr>
        <w:t xml:space="preserve">AD </w:t>
      </w:r>
      <w:r w:rsidR="00105C00" w:rsidRPr="00C62A13">
        <w:rPr>
          <w:rFonts w:asciiTheme="minorHAnsi" w:hAnsiTheme="minorHAnsi"/>
          <w:snapToGrid w:val="0"/>
        </w:rPr>
        <w:t xml:space="preserve">classified as moderate </w:t>
      </w:r>
      <w:r w:rsidR="003D0A05" w:rsidRPr="00C62A13">
        <w:rPr>
          <w:rFonts w:asciiTheme="minorHAnsi" w:hAnsiTheme="minorHAnsi"/>
          <w:snapToGrid w:val="0"/>
        </w:rPr>
        <w:t>may remain on CsA (</w:t>
      </w:r>
      <w:r w:rsidR="003B4C97" w:rsidRPr="00C62A13">
        <w:rPr>
          <w:rFonts w:asciiTheme="minorHAnsi" w:hAnsiTheme="minorHAnsi"/>
          <w:snapToGrid w:val="0"/>
        </w:rPr>
        <w:t xml:space="preserve">which has </w:t>
      </w:r>
      <w:r w:rsidR="003D0A05" w:rsidRPr="00C62A13">
        <w:rPr>
          <w:rFonts w:asciiTheme="minorHAnsi" w:hAnsiTheme="minorHAnsi"/>
          <w:snapToGrid w:val="0"/>
        </w:rPr>
        <w:t>a poor</w:t>
      </w:r>
      <w:r w:rsidR="007169F5" w:rsidRPr="00C62A13">
        <w:rPr>
          <w:rFonts w:asciiTheme="minorHAnsi" w:hAnsiTheme="minorHAnsi"/>
          <w:snapToGrid w:val="0"/>
        </w:rPr>
        <w:t xml:space="preserve"> AE profile) or </w:t>
      </w:r>
      <w:r w:rsidR="004B5E08" w:rsidRPr="00C62A13">
        <w:rPr>
          <w:rFonts w:asciiTheme="minorHAnsi" w:hAnsiTheme="minorHAnsi"/>
          <w:snapToGrid w:val="0"/>
        </w:rPr>
        <w:t xml:space="preserve">would need to </w:t>
      </w:r>
      <w:r w:rsidR="007169F5" w:rsidRPr="00C62A13">
        <w:rPr>
          <w:rFonts w:asciiTheme="minorHAnsi" w:hAnsiTheme="minorHAnsi"/>
          <w:snapToGrid w:val="0"/>
        </w:rPr>
        <w:t xml:space="preserve">cease treatment, allowing </w:t>
      </w:r>
      <w:r w:rsidR="004B5E08" w:rsidRPr="00C62A13">
        <w:rPr>
          <w:rFonts w:asciiTheme="minorHAnsi" w:hAnsiTheme="minorHAnsi"/>
          <w:snapToGrid w:val="0"/>
        </w:rPr>
        <w:t xml:space="preserve">their AD </w:t>
      </w:r>
      <w:r w:rsidR="007169F5" w:rsidRPr="00C62A13">
        <w:rPr>
          <w:rFonts w:asciiTheme="minorHAnsi" w:hAnsiTheme="minorHAnsi"/>
          <w:snapToGrid w:val="0"/>
        </w:rPr>
        <w:t>to worsen</w:t>
      </w:r>
      <w:r w:rsidR="004B5E08" w:rsidRPr="00C62A13">
        <w:rPr>
          <w:rFonts w:asciiTheme="minorHAnsi" w:hAnsiTheme="minorHAnsi"/>
          <w:snapToGrid w:val="0"/>
        </w:rPr>
        <w:t>,</w:t>
      </w:r>
      <w:r w:rsidR="007169F5" w:rsidRPr="00C62A13">
        <w:rPr>
          <w:rFonts w:asciiTheme="minorHAnsi" w:hAnsiTheme="minorHAnsi"/>
          <w:snapToGrid w:val="0"/>
        </w:rPr>
        <w:t xml:space="preserve"> </w:t>
      </w:r>
      <w:r w:rsidR="003D0A05" w:rsidRPr="00C62A13">
        <w:rPr>
          <w:rFonts w:asciiTheme="minorHAnsi" w:hAnsiTheme="minorHAnsi"/>
          <w:snapToGrid w:val="0"/>
        </w:rPr>
        <w:t xml:space="preserve">in order to qualify for treatment with DUPI. </w:t>
      </w:r>
      <w:r w:rsidR="007169F5" w:rsidRPr="00C62A13">
        <w:rPr>
          <w:rFonts w:asciiTheme="minorHAnsi" w:hAnsiTheme="minorHAnsi"/>
          <w:snapToGrid w:val="0"/>
        </w:rPr>
        <w:t>Both Eczema Support Australia and A&amp;AA</w:t>
      </w:r>
      <w:r w:rsidR="007169F5" w:rsidRPr="00C62A13">
        <w:rPr>
          <w:rFonts w:asciiTheme="minorHAnsi" w:hAnsiTheme="minorHAnsi"/>
          <w:bCs/>
          <w:snapToGrid w:val="0"/>
        </w:rPr>
        <w:t xml:space="preserve"> </w:t>
      </w:r>
      <w:r w:rsidR="007169F5" w:rsidRPr="00C62A13">
        <w:rPr>
          <w:rFonts w:asciiTheme="minorHAnsi" w:hAnsiTheme="minorHAnsi"/>
          <w:snapToGrid w:val="0"/>
        </w:rPr>
        <w:t xml:space="preserve">requested that the PBAC consider the issues involved in living with </w:t>
      </w:r>
      <w:r w:rsidR="00F01444" w:rsidRPr="00C62A13">
        <w:rPr>
          <w:rFonts w:asciiTheme="minorHAnsi" w:hAnsiTheme="minorHAnsi"/>
          <w:snapToGrid w:val="0"/>
        </w:rPr>
        <w:t xml:space="preserve">AD </w:t>
      </w:r>
      <w:r w:rsidR="007169F5" w:rsidRPr="00C62A13">
        <w:rPr>
          <w:rFonts w:asciiTheme="minorHAnsi" w:hAnsiTheme="minorHAnsi"/>
          <w:snapToGrid w:val="0"/>
        </w:rPr>
        <w:t>and consider including patients with moderate to severe AD, noting the disease burden and unmet need for patients with moderate AD.</w:t>
      </w:r>
      <w:r w:rsidR="007B7561" w:rsidRPr="00C62A13">
        <w:rPr>
          <w:rFonts w:asciiTheme="minorHAnsi" w:hAnsiTheme="minorHAnsi"/>
          <w:bCs/>
          <w:snapToGrid w:val="0"/>
        </w:rPr>
        <w:t xml:space="preserve"> </w:t>
      </w:r>
      <w:r w:rsidR="00B24D69" w:rsidRPr="00C62A13">
        <w:rPr>
          <w:rFonts w:asciiTheme="minorHAnsi" w:hAnsiTheme="minorHAnsi"/>
          <w:bCs/>
          <w:snapToGrid w:val="0"/>
        </w:rPr>
        <w:t xml:space="preserve">The PBAC noted that advice </w:t>
      </w:r>
      <w:r w:rsidR="007169F5" w:rsidRPr="00C62A13">
        <w:rPr>
          <w:rFonts w:asciiTheme="minorHAnsi" w:hAnsiTheme="minorHAnsi"/>
          <w:bCs/>
          <w:snapToGrid w:val="0"/>
        </w:rPr>
        <w:t xml:space="preserve">from all support groups </w:t>
      </w:r>
      <w:r w:rsidR="00B24D69" w:rsidRPr="00C62A13">
        <w:rPr>
          <w:rFonts w:asciiTheme="minorHAnsi" w:hAnsiTheme="minorHAnsi"/>
          <w:bCs/>
          <w:snapToGrid w:val="0"/>
        </w:rPr>
        <w:t>was supportive of the evide</w:t>
      </w:r>
      <w:r w:rsidR="007169F5" w:rsidRPr="00C62A13">
        <w:rPr>
          <w:rFonts w:asciiTheme="minorHAnsi" w:hAnsiTheme="minorHAnsi"/>
          <w:bCs/>
          <w:snapToGrid w:val="0"/>
        </w:rPr>
        <w:t>nce provided in the submission.</w:t>
      </w:r>
    </w:p>
    <w:p w:rsidR="00B24D69" w:rsidRPr="00C62A13" w:rsidRDefault="004B79C8" w:rsidP="00B24D69">
      <w:pPr>
        <w:widowControl w:val="0"/>
        <w:numPr>
          <w:ilvl w:val="1"/>
          <w:numId w:val="1"/>
        </w:numPr>
        <w:spacing w:after="120"/>
        <w:rPr>
          <w:rFonts w:asciiTheme="minorHAnsi" w:hAnsiTheme="minorHAnsi"/>
          <w:bCs/>
          <w:snapToGrid w:val="0"/>
        </w:rPr>
      </w:pPr>
      <w:r w:rsidRPr="00C62A13">
        <w:rPr>
          <w:rFonts w:asciiTheme="minorHAnsi" w:hAnsiTheme="minorHAnsi"/>
          <w:bCs/>
          <w:snapToGrid w:val="0"/>
        </w:rPr>
        <w:t>Comments from c</w:t>
      </w:r>
      <w:r w:rsidR="00105C00" w:rsidRPr="00C62A13">
        <w:rPr>
          <w:rFonts w:asciiTheme="minorHAnsi" w:hAnsiTheme="minorHAnsi"/>
          <w:bCs/>
          <w:snapToGrid w:val="0"/>
        </w:rPr>
        <w:t xml:space="preserve">onsumers noted the impact of AD on their quality of life. Consumers reported having inadequate response </w:t>
      </w:r>
      <w:r w:rsidR="0085086E" w:rsidRPr="00C62A13">
        <w:rPr>
          <w:rFonts w:asciiTheme="minorHAnsi" w:hAnsiTheme="minorHAnsi"/>
          <w:bCs/>
          <w:snapToGrid w:val="0"/>
        </w:rPr>
        <w:t xml:space="preserve">to </w:t>
      </w:r>
      <w:r w:rsidR="00B17B52" w:rsidRPr="00C62A13">
        <w:rPr>
          <w:rFonts w:asciiTheme="minorHAnsi" w:hAnsiTheme="minorHAnsi"/>
          <w:bCs/>
          <w:snapToGrid w:val="0"/>
        </w:rPr>
        <w:t xml:space="preserve">DUPI </w:t>
      </w:r>
      <w:r w:rsidR="00105C00" w:rsidRPr="00C62A13">
        <w:rPr>
          <w:rFonts w:asciiTheme="minorHAnsi" w:hAnsiTheme="minorHAnsi"/>
          <w:bCs/>
          <w:snapToGrid w:val="0"/>
        </w:rPr>
        <w:t xml:space="preserve">or experiencing side effects from treatment with </w:t>
      </w:r>
      <w:r w:rsidR="00C62A13" w:rsidRPr="00C62A13">
        <w:rPr>
          <w:rFonts w:asciiTheme="minorHAnsi" w:hAnsiTheme="minorHAnsi"/>
          <w:bCs/>
          <w:snapToGrid w:val="0"/>
        </w:rPr>
        <w:t>DUPI and</w:t>
      </w:r>
      <w:r w:rsidR="0085086E" w:rsidRPr="00C62A13">
        <w:rPr>
          <w:rFonts w:asciiTheme="minorHAnsi" w:hAnsiTheme="minorHAnsi"/>
          <w:bCs/>
          <w:snapToGrid w:val="0"/>
        </w:rPr>
        <w:t xml:space="preserve"> were therefore supportive of access to alternative treatments for AD such as </w:t>
      </w:r>
      <w:r w:rsidR="00B17B52" w:rsidRPr="00C62A13">
        <w:rPr>
          <w:rFonts w:asciiTheme="minorHAnsi" w:hAnsiTheme="minorHAnsi"/>
          <w:bCs/>
          <w:snapToGrid w:val="0"/>
        </w:rPr>
        <w:t>UPA</w:t>
      </w:r>
      <w:r w:rsidR="00105C00" w:rsidRPr="00C62A13">
        <w:rPr>
          <w:rFonts w:asciiTheme="minorHAnsi" w:hAnsiTheme="minorHAnsi"/>
          <w:bCs/>
          <w:snapToGrid w:val="0"/>
        </w:rPr>
        <w:t xml:space="preserve">. </w:t>
      </w:r>
    </w:p>
    <w:bookmarkEnd w:id="11"/>
    <w:bookmarkEnd w:id="14"/>
    <w:p w:rsidR="00564481" w:rsidRPr="00C62A13" w:rsidRDefault="00B60939" w:rsidP="00564481">
      <w:pPr>
        <w:pStyle w:val="4-SubsectionHeading"/>
      </w:pPr>
      <w:r w:rsidRPr="00C62A13">
        <w:t>Clinical trials</w:t>
      </w:r>
      <w:bookmarkEnd w:id="10"/>
      <w:bookmarkEnd w:id="12"/>
    </w:p>
    <w:p w:rsidR="00564481" w:rsidRPr="00C62A13" w:rsidRDefault="00564481" w:rsidP="00AB34A4">
      <w:pPr>
        <w:pStyle w:val="3-BodyText"/>
      </w:pPr>
      <w:r w:rsidRPr="00C62A13">
        <w:t xml:space="preserve">The submission was based on one head-to-head randomised trial comparing UPA to DUPI, five randomised trials comparing UPA to </w:t>
      </w:r>
      <w:r w:rsidR="00106E56" w:rsidRPr="00C62A13">
        <w:t>placebo (</w:t>
      </w:r>
      <w:r w:rsidRPr="00C62A13">
        <w:t>PBO</w:t>
      </w:r>
      <w:r w:rsidR="00106E56" w:rsidRPr="00C62A13">
        <w:t>)</w:t>
      </w:r>
      <w:r w:rsidRPr="00C62A13">
        <w:t>, and seven randomised trials comparing DUPI to PBO:</w:t>
      </w:r>
    </w:p>
    <w:p w:rsidR="00564481" w:rsidRPr="00C62A13" w:rsidRDefault="00564481" w:rsidP="008A3974">
      <w:pPr>
        <w:pStyle w:val="3-BodyText"/>
        <w:numPr>
          <w:ilvl w:val="0"/>
          <w:numId w:val="8"/>
        </w:numPr>
        <w:ind w:left="1134"/>
      </w:pPr>
      <w:r w:rsidRPr="00C62A13">
        <w:t>UPA vs DUPI, as monotherapy: HEADS UP;</w:t>
      </w:r>
    </w:p>
    <w:p w:rsidR="00564481" w:rsidRPr="00C62A13" w:rsidRDefault="00564481" w:rsidP="008A3974">
      <w:pPr>
        <w:pStyle w:val="3-BodyText"/>
        <w:numPr>
          <w:ilvl w:val="0"/>
          <w:numId w:val="8"/>
        </w:numPr>
        <w:ind w:left="1134"/>
      </w:pPr>
      <w:r w:rsidRPr="00C62A13">
        <w:t>UPA vs PBO, as monotherapy</w:t>
      </w:r>
      <w:r w:rsidRPr="00C62A13">
        <w:rPr>
          <w:lang w:eastAsia="en-US"/>
        </w:rPr>
        <w:t>: MEASURE UP 1, MEASURE UP 2, M16-048;</w:t>
      </w:r>
    </w:p>
    <w:p w:rsidR="00564481" w:rsidRPr="00C62A13" w:rsidRDefault="00564481" w:rsidP="008A3974">
      <w:pPr>
        <w:pStyle w:val="3-BodyText"/>
        <w:numPr>
          <w:ilvl w:val="0"/>
          <w:numId w:val="8"/>
        </w:numPr>
        <w:ind w:left="1134"/>
      </w:pPr>
      <w:r w:rsidRPr="00C62A13">
        <w:rPr>
          <w:lang w:eastAsia="en-US"/>
        </w:rPr>
        <w:t xml:space="preserve">UPA vs PBO, in combination with TCS: AD UP, and RISING UP; </w:t>
      </w:r>
    </w:p>
    <w:p w:rsidR="00564481" w:rsidRPr="00C62A13" w:rsidRDefault="00564481" w:rsidP="008A3974">
      <w:pPr>
        <w:pStyle w:val="3-BodyText"/>
        <w:numPr>
          <w:ilvl w:val="0"/>
          <w:numId w:val="8"/>
        </w:numPr>
        <w:ind w:left="1134"/>
      </w:pPr>
      <w:r w:rsidRPr="00C62A13">
        <w:rPr>
          <w:lang w:eastAsia="en-US"/>
        </w:rPr>
        <w:t xml:space="preserve">DUPI vs PBO, as monotherapy: SOLO 1, SOLO 2, LIBERTY AD ADOL, Study 1021; </w:t>
      </w:r>
    </w:p>
    <w:p w:rsidR="00564481" w:rsidRPr="00C62A13" w:rsidRDefault="00564481" w:rsidP="008A3974">
      <w:pPr>
        <w:pStyle w:val="3-BodyText"/>
        <w:numPr>
          <w:ilvl w:val="0"/>
          <w:numId w:val="8"/>
        </w:numPr>
        <w:ind w:left="1134"/>
      </w:pPr>
      <w:r w:rsidRPr="00C62A13">
        <w:rPr>
          <w:lang w:eastAsia="en-US"/>
        </w:rPr>
        <w:t>DUPI vs PBO, in combination with TCS: CAFÉ, CHRONOS, JADE COMPARE.</w:t>
      </w:r>
    </w:p>
    <w:p w:rsidR="00564481" w:rsidRPr="00C62A13" w:rsidRDefault="00564481" w:rsidP="001A1235">
      <w:pPr>
        <w:pStyle w:val="3-BodyText"/>
        <w:numPr>
          <w:ilvl w:val="0"/>
          <w:numId w:val="0"/>
        </w:numPr>
        <w:ind w:left="720"/>
        <w:rPr>
          <w:iCs/>
        </w:rPr>
      </w:pPr>
      <w:r w:rsidRPr="00C62A13">
        <w:rPr>
          <w:iCs/>
        </w:rPr>
        <w:t xml:space="preserve">The PBAC has </w:t>
      </w:r>
      <w:r w:rsidR="00B17B52" w:rsidRPr="00C62A13">
        <w:rPr>
          <w:iCs/>
        </w:rPr>
        <w:t xml:space="preserve">previously </w:t>
      </w:r>
      <w:r w:rsidRPr="00C62A13">
        <w:rPr>
          <w:iCs/>
        </w:rPr>
        <w:t>considered evidence from fiv</w:t>
      </w:r>
      <w:r w:rsidR="009D2889" w:rsidRPr="00C62A13">
        <w:rPr>
          <w:iCs/>
        </w:rPr>
        <w:t xml:space="preserve">e </w:t>
      </w:r>
      <w:r w:rsidRPr="00C62A13">
        <w:rPr>
          <w:iCs/>
        </w:rPr>
        <w:t>of the seven DUPI trials (SOLO 1, SOLO 2, CAFÉ, CHRONOS</w:t>
      </w:r>
      <w:r w:rsidR="001A1235" w:rsidRPr="00C62A13">
        <w:rPr>
          <w:iCs/>
        </w:rPr>
        <w:t>,</w:t>
      </w:r>
      <w:r w:rsidRPr="00C62A13">
        <w:rPr>
          <w:iCs/>
        </w:rPr>
        <w:t xml:space="preserve"> Study 1021</w:t>
      </w:r>
      <w:r w:rsidRPr="00C62A13">
        <w:rPr>
          <w:iCs/>
          <w:vertAlign w:val="superscript"/>
        </w:rPr>
        <w:footnoteReference w:id="2"/>
      </w:r>
      <w:r w:rsidR="001A1235" w:rsidRPr="00C62A13">
        <w:rPr>
          <w:iCs/>
        </w:rPr>
        <w:t>)</w:t>
      </w:r>
      <w:r w:rsidRPr="00C62A13">
        <w:rPr>
          <w:iCs/>
        </w:rPr>
        <w:t>.</w:t>
      </w:r>
    </w:p>
    <w:p w:rsidR="00610BE5" w:rsidRPr="00C62A13" w:rsidRDefault="00610BE5" w:rsidP="00AB34A4">
      <w:pPr>
        <w:pStyle w:val="3-BodyText"/>
      </w:pPr>
      <w:r w:rsidRPr="00C62A13">
        <w:t>HEADS UP did not include the UPA 15</w:t>
      </w:r>
      <w:r w:rsidR="00551AFC" w:rsidRPr="00C62A13">
        <w:t xml:space="preserve"> </w:t>
      </w:r>
      <w:r w:rsidRPr="00C62A13">
        <w:t>mg dosing regimen or capture the Dermatology Life Quality Index (DLQI), which is a patient relevant outcome used to assess response on the PBS. Therefore, the submission relied on the results of an indirect treatment comparison (using PBO as a common reference) to inform the clinical claim, economic model and financial estimates.</w:t>
      </w:r>
    </w:p>
    <w:p w:rsidR="00BF2011" w:rsidRPr="00C62A13" w:rsidRDefault="00BF2011" w:rsidP="00577F0D">
      <w:pPr>
        <w:pStyle w:val="3-BodyText"/>
      </w:pPr>
      <w:r w:rsidRPr="00C62A13">
        <w:t xml:space="preserve">The ESC recalled that the PBAC previously considered standard of care includes concomitant TCS, (para 5.1, DUPI </w:t>
      </w:r>
      <w:r w:rsidR="00766C01">
        <w:t>Public Summary Document (</w:t>
      </w:r>
      <w:r w:rsidRPr="00C62A13">
        <w:t>PSD</w:t>
      </w:r>
      <w:r w:rsidR="00766C01">
        <w:t>)</w:t>
      </w:r>
      <w:r w:rsidRPr="00C62A13">
        <w:t xml:space="preserve">, July 2018 PBAC meeting) and considered that the trials that allowed ongoing use of TCS were the most relevant to Australian clinical practice, where TCS would be expected to be continued in combination with </w:t>
      </w:r>
      <w:r w:rsidR="00A353AC" w:rsidRPr="00C62A13">
        <w:t>UPA</w:t>
      </w:r>
      <w:r w:rsidRPr="00C62A13">
        <w:t>.</w:t>
      </w:r>
      <w:r w:rsidR="00577F0D" w:rsidRPr="00C62A13">
        <w:t xml:space="preserve"> The pre-PBAC response argued that the efficacy of UPA as a monotherapy remains relevant and important to patients and represents a reduced treatment burden for patients, and for the health system more broadly.</w:t>
      </w:r>
    </w:p>
    <w:p w:rsidR="00564481" w:rsidRPr="00C62A13" w:rsidRDefault="00564481" w:rsidP="00564481">
      <w:pPr>
        <w:pStyle w:val="3-BodyText"/>
      </w:pPr>
      <w:r w:rsidRPr="00C62A13">
        <w:rPr>
          <w:snapToGrid/>
        </w:rPr>
        <w:t>Table 2 provides citation details of the trials presented in the submission.</w:t>
      </w:r>
    </w:p>
    <w:p w:rsidR="00564481" w:rsidRPr="00C62A13" w:rsidRDefault="00564481" w:rsidP="002B142D">
      <w:pPr>
        <w:pStyle w:val="TableFigureHeading"/>
        <w:rPr>
          <w:rStyle w:val="CommentReference"/>
          <w:b/>
          <w:szCs w:val="24"/>
        </w:rPr>
      </w:pPr>
      <w:r w:rsidRPr="00C62A13">
        <w:rPr>
          <w:rStyle w:val="CommentReference"/>
          <w:b/>
          <w:szCs w:val="24"/>
        </w:rPr>
        <w:t>Table 2: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124"/>
        <w:gridCol w:w="5960"/>
        <w:gridCol w:w="1933"/>
      </w:tblGrid>
      <w:tr w:rsidR="00564481" w:rsidRPr="00C62A13" w:rsidTr="002B142D">
        <w:trPr>
          <w:tblHeader/>
        </w:trPr>
        <w:tc>
          <w:tcPr>
            <w:tcW w:w="623" w:type="pct"/>
            <w:vAlign w:val="center"/>
          </w:tcPr>
          <w:p w:rsidR="00564481" w:rsidRPr="00C62A13" w:rsidRDefault="00564481" w:rsidP="002B142D">
            <w:pPr>
              <w:pStyle w:val="In-tableHeading"/>
              <w:rPr>
                <w:lang w:val="en-AU"/>
              </w:rPr>
            </w:pPr>
            <w:r w:rsidRPr="00C62A13">
              <w:rPr>
                <w:lang w:val="en-AU"/>
              </w:rPr>
              <w:t>Trial ID</w:t>
            </w:r>
          </w:p>
        </w:tc>
        <w:tc>
          <w:tcPr>
            <w:tcW w:w="3305" w:type="pct"/>
            <w:vAlign w:val="center"/>
          </w:tcPr>
          <w:p w:rsidR="00564481" w:rsidRPr="00C62A13" w:rsidRDefault="00564481" w:rsidP="002B142D">
            <w:pPr>
              <w:pStyle w:val="In-tableHeading"/>
              <w:rPr>
                <w:lang w:val="en-AU"/>
              </w:rPr>
            </w:pPr>
            <w:r w:rsidRPr="00C62A13">
              <w:rPr>
                <w:lang w:val="en-AU"/>
              </w:rPr>
              <w:t>Protocol title/ Publication title</w:t>
            </w:r>
          </w:p>
        </w:tc>
        <w:tc>
          <w:tcPr>
            <w:tcW w:w="1072" w:type="pct"/>
            <w:vAlign w:val="center"/>
          </w:tcPr>
          <w:p w:rsidR="00564481" w:rsidRPr="00C62A13" w:rsidRDefault="00564481" w:rsidP="002B142D">
            <w:pPr>
              <w:pStyle w:val="In-tableHeading"/>
              <w:rPr>
                <w:lang w:val="en-AU"/>
              </w:rPr>
            </w:pPr>
            <w:r w:rsidRPr="00C62A13">
              <w:rPr>
                <w:lang w:val="en-AU"/>
              </w:rPr>
              <w:t>Publication citation</w:t>
            </w:r>
          </w:p>
        </w:tc>
      </w:tr>
      <w:tr w:rsidR="00564481" w:rsidRPr="00C62A13" w:rsidTr="00610BE5">
        <w:tc>
          <w:tcPr>
            <w:tcW w:w="5000" w:type="pct"/>
            <w:gridSpan w:val="3"/>
            <w:tcBorders>
              <w:bottom w:val="nil"/>
            </w:tcBorders>
            <w:vAlign w:val="center"/>
          </w:tcPr>
          <w:p w:rsidR="00564481" w:rsidRPr="00C62A13" w:rsidRDefault="00564481" w:rsidP="002B142D">
            <w:pPr>
              <w:pStyle w:val="TableText0"/>
              <w:rPr>
                <w:b/>
              </w:rPr>
            </w:pPr>
            <w:r w:rsidRPr="00C62A13">
              <w:rPr>
                <w:b/>
              </w:rPr>
              <w:t>UPA vs DUPI</w:t>
            </w:r>
          </w:p>
        </w:tc>
      </w:tr>
      <w:tr w:rsidR="00564481" w:rsidRPr="00C62A13" w:rsidTr="002B142D">
        <w:tc>
          <w:tcPr>
            <w:tcW w:w="623" w:type="pct"/>
            <w:tcBorders>
              <w:bottom w:val="nil"/>
            </w:tcBorders>
            <w:vAlign w:val="center"/>
          </w:tcPr>
          <w:p w:rsidR="00564481" w:rsidRPr="00C62A13" w:rsidRDefault="00564481" w:rsidP="002B142D">
            <w:pPr>
              <w:pStyle w:val="TableText0"/>
            </w:pPr>
            <w:r w:rsidRPr="00C62A13">
              <w:t>HEADS UP:</w:t>
            </w:r>
          </w:p>
          <w:p w:rsidR="00564481" w:rsidRPr="00C62A13" w:rsidRDefault="00564481" w:rsidP="002B142D">
            <w:pPr>
              <w:pStyle w:val="TableText0"/>
            </w:pPr>
            <w:r w:rsidRPr="00C62A13">
              <w:t>M16-046</w:t>
            </w:r>
          </w:p>
        </w:tc>
        <w:tc>
          <w:tcPr>
            <w:tcW w:w="3305" w:type="pct"/>
            <w:tcBorders>
              <w:bottom w:val="nil"/>
            </w:tcBorders>
            <w:vAlign w:val="center"/>
          </w:tcPr>
          <w:p w:rsidR="00564481" w:rsidRPr="00C62A13" w:rsidRDefault="00564481" w:rsidP="002B142D">
            <w:pPr>
              <w:pStyle w:val="TableText0"/>
              <w:rPr>
                <w:szCs w:val="18"/>
              </w:rPr>
            </w:pPr>
            <w:r w:rsidRPr="00C62A13">
              <w:rPr>
                <w:szCs w:val="18"/>
              </w:rPr>
              <w:t>A Phase 3b Multicenter, Randomized, Double-Blind, Double-Dummy, Active Controlled Study Comparing the Safety and E</w:t>
            </w:r>
            <w:r w:rsidR="00A23344" w:rsidRPr="00C62A13">
              <w:rPr>
                <w:szCs w:val="18"/>
              </w:rPr>
              <w:t xml:space="preserve">fficacy of Upadacitinib to </w:t>
            </w:r>
            <w:r w:rsidR="00C62A13" w:rsidRPr="00C62A13">
              <w:rPr>
                <w:szCs w:val="18"/>
              </w:rPr>
              <w:t>Dupilumab</w:t>
            </w:r>
            <w:r w:rsidRPr="00C62A13">
              <w:rPr>
                <w:szCs w:val="18"/>
              </w:rPr>
              <w:t xml:space="preserve"> in Adult Subjects with Moderate to Severe Atopic De</w:t>
            </w:r>
            <w:r w:rsidR="00A23344" w:rsidRPr="00C62A13">
              <w:rPr>
                <w:szCs w:val="18"/>
              </w:rPr>
              <w:t>r</w:t>
            </w:r>
            <w:r w:rsidRPr="00C62A13">
              <w:rPr>
                <w:szCs w:val="18"/>
              </w:rPr>
              <w:t>matitis,</w:t>
            </w:r>
          </w:p>
        </w:tc>
        <w:tc>
          <w:tcPr>
            <w:tcW w:w="1072" w:type="pct"/>
            <w:tcBorders>
              <w:bottom w:val="nil"/>
            </w:tcBorders>
            <w:vAlign w:val="center"/>
          </w:tcPr>
          <w:p w:rsidR="00564481" w:rsidRPr="00C62A13" w:rsidRDefault="00564481" w:rsidP="002B142D">
            <w:pPr>
              <w:pStyle w:val="TableText0"/>
            </w:pPr>
            <w:r w:rsidRPr="00C62A13">
              <w:t>February 2021.</w:t>
            </w:r>
          </w:p>
        </w:tc>
      </w:tr>
      <w:tr w:rsidR="00564481" w:rsidRPr="00C62A13" w:rsidTr="00610BE5">
        <w:tc>
          <w:tcPr>
            <w:tcW w:w="5000" w:type="pct"/>
            <w:gridSpan w:val="3"/>
            <w:tcBorders>
              <w:bottom w:val="nil"/>
            </w:tcBorders>
            <w:vAlign w:val="center"/>
          </w:tcPr>
          <w:p w:rsidR="00564481" w:rsidRPr="00C62A13" w:rsidRDefault="00564481" w:rsidP="002B142D">
            <w:pPr>
              <w:pStyle w:val="TableText0"/>
            </w:pPr>
            <w:r w:rsidRPr="00C62A13">
              <w:rPr>
                <w:b/>
              </w:rPr>
              <w:t>UPA vs PBO</w:t>
            </w:r>
          </w:p>
        </w:tc>
      </w:tr>
      <w:tr w:rsidR="00564481" w:rsidRPr="00C62A13" w:rsidTr="002B142D">
        <w:tc>
          <w:tcPr>
            <w:tcW w:w="623" w:type="pct"/>
            <w:tcBorders>
              <w:bottom w:val="nil"/>
            </w:tcBorders>
            <w:vAlign w:val="center"/>
          </w:tcPr>
          <w:p w:rsidR="00564481" w:rsidRPr="00C62A13" w:rsidRDefault="00564481" w:rsidP="002B142D">
            <w:pPr>
              <w:pStyle w:val="TableText0"/>
            </w:pPr>
            <w:r w:rsidRPr="00C62A13">
              <w:t>MEASURE UP 1:</w:t>
            </w:r>
          </w:p>
          <w:p w:rsidR="00564481" w:rsidRPr="00C62A13" w:rsidRDefault="00564481" w:rsidP="002B142D">
            <w:pPr>
              <w:pStyle w:val="TableText0"/>
            </w:pPr>
            <w:r w:rsidRPr="00C62A13">
              <w:t>M16-045</w:t>
            </w:r>
          </w:p>
        </w:tc>
        <w:tc>
          <w:tcPr>
            <w:tcW w:w="3305" w:type="pct"/>
            <w:tcBorders>
              <w:bottom w:val="nil"/>
            </w:tcBorders>
            <w:vAlign w:val="center"/>
          </w:tcPr>
          <w:p w:rsidR="00564481" w:rsidRPr="00C62A13" w:rsidRDefault="00564481" w:rsidP="002B142D">
            <w:pPr>
              <w:pStyle w:val="TableText0"/>
              <w:rPr>
                <w:szCs w:val="18"/>
              </w:rPr>
            </w:pPr>
            <w:r w:rsidRPr="00C62A13">
              <w:rPr>
                <w:szCs w:val="18"/>
              </w:rPr>
              <w:t>A Phase 3 Randomized, Placebo-Controlled, Double-Blind Study to Evaluate Upadacitinib in Adolescent and Adult Subjects with Moderate to Severe Atopic Dermatitis.</w:t>
            </w:r>
          </w:p>
        </w:tc>
        <w:tc>
          <w:tcPr>
            <w:tcW w:w="1072" w:type="pct"/>
            <w:tcBorders>
              <w:bottom w:val="nil"/>
            </w:tcBorders>
            <w:vAlign w:val="center"/>
          </w:tcPr>
          <w:p w:rsidR="00564481" w:rsidRPr="00C62A13" w:rsidRDefault="00564481" w:rsidP="002B142D">
            <w:pPr>
              <w:pStyle w:val="TableText0"/>
              <w:rPr>
                <w:highlight w:val="yellow"/>
              </w:rPr>
            </w:pPr>
            <w:r w:rsidRPr="00C62A13">
              <w:t>September 2020</w:t>
            </w:r>
          </w:p>
        </w:tc>
      </w:tr>
      <w:tr w:rsidR="00564481" w:rsidRPr="00C62A13" w:rsidTr="002B142D">
        <w:tc>
          <w:tcPr>
            <w:tcW w:w="623" w:type="pct"/>
            <w:tcBorders>
              <w:bottom w:val="nil"/>
            </w:tcBorders>
            <w:vAlign w:val="center"/>
          </w:tcPr>
          <w:p w:rsidR="00564481" w:rsidRPr="00C62A13" w:rsidRDefault="00564481" w:rsidP="002B142D">
            <w:pPr>
              <w:pStyle w:val="TableText0"/>
            </w:pPr>
            <w:r w:rsidRPr="00C62A13">
              <w:t>MEASURE UP 2:</w:t>
            </w:r>
          </w:p>
          <w:p w:rsidR="00564481" w:rsidRPr="00C62A13" w:rsidRDefault="00564481" w:rsidP="002B142D">
            <w:pPr>
              <w:pStyle w:val="TableText0"/>
            </w:pPr>
            <w:r w:rsidRPr="00C62A13">
              <w:t>M18-891</w:t>
            </w:r>
          </w:p>
        </w:tc>
        <w:tc>
          <w:tcPr>
            <w:tcW w:w="3305" w:type="pct"/>
            <w:tcBorders>
              <w:bottom w:val="nil"/>
            </w:tcBorders>
            <w:vAlign w:val="center"/>
          </w:tcPr>
          <w:p w:rsidR="00564481" w:rsidRPr="00C62A13" w:rsidRDefault="00564481" w:rsidP="002B142D">
            <w:pPr>
              <w:pStyle w:val="TableText0"/>
            </w:pPr>
            <w:r w:rsidRPr="00C62A13">
              <w:rPr>
                <w:szCs w:val="18"/>
              </w:rPr>
              <w:t>A Phase 3 Randomized, Placebo-Controlled, Double-Blind Study to Evaluate Upadacitinib in Adolescent and Adult Subjects with Moderate to Severe Atopic Dermatitis.</w:t>
            </w:r>
          </w:p>
        </w:tc>
        <w:tc>
          <w:tcPr>
            <w:tcW w:w="1072" w:type="pct"/>
            <w:tcBorders>
              <w:bottom w:val="nil"/>
            </w:tcBorders>
            <w:vAlign w:val="center"/>
          </w:tcPr>
          <w:p w:rsidR="00564481" w:rsidRPr="00C62A13" w:rsidRDefault="00564481" w:rsidP="002B142D">
            <w:pPr>
              <w:pStyle w:val="TableText0"/>
            </w:pPr>
            <w:r w:rsidRPr="00C62A13">
              <w:t>September 2020</w:t>
            </w:r>
          </w:p>
        </w:tc>
      </w:tr>
      <w:tr w:rsidR="00564481" w:rsidRPr="00C62A13" w:rsidTr="002B142D">
        <w:tc>
          <w:tcPr>
            <w:tcW w:w="623" w:type="pct"/>
            <w:vMerge w:val="restart"/>
            <w:vAlign w:val="center"/>
          </w:tcPr>
          <w:p w:rsidR="00564481" w:rsidRPr="00C62A13" w:rsidRDefault="00564481" w:rsidP="002B142D">
            <w:pPr>
              <w:pStyle w:val="TableText0"/>
            </w:pPr>
            <w:r w:rsidRPr="00C62A13">
              <w:t>M16-048</w:t>
            </w:r>
          </w:p>
        </w:tc>
        <w:tc>
          <w:tcPr>
            <w:tcW w:w="3305" w:type="pct"/>
            <w:tcBorders>
              <w:bottom w:val="nil"/>
            </w:tcBorders>
            <w:vAlign w:val="center"/>
          </w:tcPr>
          <w:p w:rsidR="00564481" w:rsidRPr="00C62A13" w:rsidRDefault="00564481" w:rsidP="002B142D">
            <w:pPr>
              <w:pStyle w:val="TableText0"/>
            </w:pPr>
            <w:r w:rsidRPr="00C62A13">
              <w:rPr>
                <w:szCs w:val="18"/>
              </w:rPr>
              <w:t>A Phase 2b Multicenter, Randomized, Placebo-Controlled, Double-Blind Dose-Ranging Study to Evaluate ABT-494 (Upadacitinib) in Adult Subjects with Moderate to Severe Atopic Dermatitis.</w:t>
            </w:r>
          </w:p>
        </w:tc>
        <w:tc>
          <w:tcPr>
            <w:tcW w:w="1072" w:type="pct"/>
            <w:tcBorders>
              <w:bottom w:val="nil"/>
            </w:tcBorders>
            <w:vAlign w:val="center"/>
          </w:tcPr>
          <w:p w:rsidR="00564481" w:rsidRPr="00C62A13" w:rsidRDefault="00564481" w:rsidP="002B142D">
            <w:pPr>
              <w:pStyle w:val="TableText0"/>
            </w:pPr>
            <w:r w:rsidRPr="00C62A13">
              <w:t>January 2020</w:t>
            </w:r>
          </w:p>
        </w:tc>
      </w:tr>
      <w:tr w:rsidR="00564481" w:rsidRPr="00C62A13" w:rsidTr="002B142D">
        <w:tc>
          <w:tcPr>
            <w:tcW w:w="623" w:type="pct"/>
            <w:vMerge/>
            <w:tcBorders>
              <w:bottom w:val="single" w:sz="4" w:space="0" w:color="auto"/>
            </w:tcBorders>
            <w:vAlign w:val="center"/>
          </w:tcPr>
          <w:p w:rsidR="00564481" w:rsidRPr="00C62A13" w:rsidRDefault="00564481" w:rsidP="002B142D">
            <w:pPr>
              <w:pStyle w:val="TableText0"/>
            </w:pPr>
          </w:p>
        </w:tc>
        <w:tc>
          <w:tcPr>
            <w:tcW w:w="3305" w:type="pct"/>
            <w:tcBorders>
              <w:top w:val="nil"/>
              <w:bottom w:val="single" w:sz="4" w:space="0" w:color="auto"/>
            </w:tcBorders>
            <w:vAlign w:val="center"/>
          </w:tcPr>
          <w:p w:rsidR="00564481" w:rsidRPr="00C62A13" w:rsidRDefault="00564481" w:rsidP="002B142D">
            <w:pPr>
              <w:pStyle w:val="TableText0"/>
              <w:rPr>
                <w:szCs w:val="18"/>
              </w:rPr>
            </w:pPr>
            <w:r w:rsidRPr="00C62A13">
              <w:rPr>
                <w:szCs w:val="18"/>
              </w:rPr>
              <w:t xml:space="preserve">Guttman-Yassky E, Thaci D, Pangan A et al. Upadacitinib in adults with moderate to severe atopic dermatitis: 16-week results from a randomized, placebo-controlled trial. </w:t>
            </w:r>
          </w:p>
        </w:tc>
        <w:tc>
          <w:tcPr>
            <w:tcW w:w="1072" w:type="pct"/>
            <w:tcBorders>
              <w:top w:val="nil"/>
              <w:bottom w:val="single" w:sz="4" w:space="0" w:color="auto"/>
            </w:tcBorders>
            <w:vAlign w:val="center"/>
          </w:tcPr>
          <w:p w:rsidR="00564481" w:rsidRPr="00C62A13" w:rsidRDefault="00564481" w:rsidP="002B142D">
            <w:pPr>
              <w:pStyle w:val="TableText0"/>
            </w:pPr>
            <w:r w:rsidRPr="00C62A13">
              <w:rPr>
                <w:szCs w:val="18"/>
              </w:rPr>
              <w:t>J Allergy Clin Immonol 2020; 145: 877-884.</w:t>
            </w:r>
          </w:p>
        </w:tc>
      </w:tr>
      <w:tr w:rsidR="00564481" w:rsidRPr="00C62A13" w:rsidTr="002B142D">
        <w:tc>
          <w:tcPr>
            <w:tcW w:w="623" w:type="pct"/>
            <w:tcBorders>
              <w:top w:val="single" w:sz="4" w:space="0" w:color="auto"/>
              <w:bottom w:val="single" w:sz="4" w:space="0" w:color="auto"/>
            </w:tcBorders>
            <w:vAlign w:val="center"/>
          </w:tcPr>
          <w:p w:rsidR="00564481" w:rsidRPr="00C62A13" w:rsidRDefault="00564481" w:rsidP="002B142D">
            <w:pPr>
              <w:pStyle w:val="TableText0"/>
            </w:pPr>
            <w:r w:rsidRPr="00C62A13">
              <w:t>RISING UP:</w:t>
            </w:r>
          </w:p>
          <w:p w:rsidR="00564481" w:rsidRPr="00C62A13" w:rsidRDefault="00564481" w:rsidP="002B142D">
            <w:pPr>
              <w:pStyle w:val="TableText0"/>
            </w:pPr>
            <w:r w:rsidRPr="00C62A13">
              <w:t>M17-377</w:t>
            </w:r>
          </w:p>
        </w:tc>
        <w:tc>
          <w:tcPr>
            <w:tcW w:w="3305"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Moderate to Severe Atopic Dermatitis: Evaluation of Upadacitinib in Combination with Topical Corticosteroids in Adolescent and Adult Subjects in Japan.</w:t>
            </w:r>
          </w:p>
        </w:tc>
        <w:tc>
          <w:tcPr>
            <w:tcW w:w="1072"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April 2020</w:t>
            </w:r>
          </w:p>
        </w:tc>
      </w:tr>
      <w:tr w:rsidR="00564481" w:rsidRPr="00C62A13" w:rsidTr="002B142D">
        <w:tc>
          <w:tcPr>
            <w:tcW w:w="623" w:type="pct"/>
            <w:tcBorders>
              <w:top w:val="single" w:sz="4" w:space="0" w:color="auto"/>
              <w:bottom w:val="single" w:sz="4" w:space="0" w:color="auto"/>
            </w:tcBorders>
            <w:vAlign w:val="center"/>
          </w:tcPr>
          <w:p w:rsidR="00564481" w:rsidRPr="00C62A13" w:rsidRDefault="00564481" w:rsidP="002B142D">
            <w:pPr>
              <w:pStyle w:val="TableText0"/>
            </w:pPr>
            <w:r w:rsidRPr="00C62A13">
              <w:t>AD UP:</w:t>
            </w:r>
          </w:p>
          <w:p w:rsidR="00564481" w:rsidRPr="00C62A13" w:rsidRDefault="00564481" w:rsidP="002B142D">
            <w:pPr>
              <w:pStyle w:val="TableText0"/>
            </w:pPr>
            <w:r w:rsidRPr="00C62A13">
              <w:t>M16-047</w:t>
            </w:r>
          </w:p>
        </w:tc>
        <w:tc>
          <w:tcPr>
            <w:tcW w:w="3305"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A Phase 3 Randomized, Placebo-Controlled, Double-Blind Study to Evaluate Upadacitinib in Combination with Topical Corticosteroids in Adolescent and Adult Subjects with Moderate to Severe Atopic Dermatitis.</w:t>
            </w:r>
          </w:p>
        </w:tc>
        <w:tc>
          <w:tcPr>
            <w:tcW w:w="1072"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September 2020</w:t>
            </w:r>
          </w:p>
        </w:tc>
      </w:tr>
      <w:tr w:rsidR="00564481" w:rsidRPr="00C62A13" w:rsidTr="00610BE5">
        <w:tc>
          <w:tcPr>
            <w:tcW w:w="5000" w:type="pct"/>
            <w:gridSpan w:val="3"/>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b/>
              </w:rPr>
              <w:t>DUPI vs PBO</w:t>
            </w:r>
          </w:p>
        </w:tc>
      </w:tr>
      <w:tr w:rsidR="00564481" w:rsidRPr="00C62A13" w:rsidTr="002B142D">
        <w:tc>
          <w:tcPr>
            <w:tcW w:w="623" w:type="pct"/>
            <w:tcBorders>
              <w:top w:val="nil"/>
              <w:left w:val="single" w:sz="4" w:space="0" w:color="auto"/>
              <w:bottom w:val="single" w:sz="4" w:space="0" w:color="auto"/>
              <w:right w:val="single" w:sz="4" w:space="0" w:color="auto"/>
            </w:tcBorders>
            <w:vAlign w:val="center"/>
          </w:tcPr>
          <w:p w:rsidR="00564481" w:rsidRPr="00C62A13" w:rsidRDefault="00564481" w:rsidP="002B142D">
            <w:pPr>
              <w:pStyle w:val="TableText0"/>
            </w:pPr>
            <w:r w:rsidRPr="00C62A13">
              <w:t>SOLO 1</w:t>
            </w:r>
          </w:p>
        </w:tc>
        <w:tc>
          <w:tcPr>
            <w:tcW w:w="3305" w:type="pct"/>
            <w:tcBorders>
              <w:top w:val="nil"/>
              <w:left w:val="single" w:sz="4" w:space="0" w:color="auto"/>
              <w:bottom w:val="single" w:sz="4" w:space="0" w:color="auto"/>
              <w:right w:val="single" w:sz="4" w:space="0" w:color="auto"/>
            </w:tcBorders>
          </w:tcPr>
          <w:p w:rsidR="00564481" w:rsidRPr="00C62A13" w:rsidRDefault="00564481" w:rsidP="002B142D">
            <w:pPr>
              <w:pStyle w:val="TableText0"/>
            </w:pPr>
            <w:r w:rsidRPr="00C62A13">
              <w:t>Simpson EL, Bieber T, Guttman-Yassky E, et al. Two Phase 3 Trials of Dupilumab versus Placebo in Atopic Dermatitis.</w:t>
            </w:r>
          </w:p>
        </w:tc>
        <w:tc>
          <w:tcPr>
            <w:tcW w:w="1072" w:type="pct"/>
            <w:tcBorders>
              <w:top w:val="nil"/>
              <w:left w:val="single" w:sz="4" w:space="0" w:color="auto"/>
              <w:bottom w:val="single" w:sz="4" w:space="0" w:color="auto"/>
              <w:right w:val="single" w:sz="4" w:space="0" w:color="auto"/>
            </w:tcBorders>
          </w:tcPr>
          <w:p w:rsidR="00564481" w:rsidRPr="00C62A13" w:rsidRDefault="00564481" w:rsidP="002B142D">
            <w:pPr>
              <w:pStyle w:val="TableText0"/>
              <w:rPr>
                <w:szCs w:val="18"/>
              </w:rPr>
            </w:pPr>
            <w:r w:rsidRPr="00C62A13">
              <w:t>N Engl J Med. 2016 Dec 15;375(24):2335-2348.</w:t>
            </w:r>
          </w:p>
        </w:tc>
      </w:tr>
      <w:tr w:rsidR="00564481" w:rsidRPr="00C62A13" w:rsidTr="002B142D">
        <w:tc>
          <w:tcPr>
            <w:tcW w:w="623" w:type="pct"/>
            <w:tcBorders>
              <w:top w:val="nil"/>
              <w:left w:val="single" w:sz="4" w:space="0" w:color="auto"/>
              <w:bottom w:val="single" w:sz="4" w:space="0" w:color="auto"/>
              <w:right w:val="single" w:sz="4" w:space="0" w:color="auto"/>
            </w:tcBorders>
            <w:vAlign w:val="center"/>
          </w:tcPr>
          <w:p w:rsidR="00564481" w:rsidRPr="00C62A13" w:rsidRDefault="00564481" w:rsidP="002B142D">
            <w:pPr>
              <w:pStyle w:val="TableText0"/>
            </w:pPr>
            <w:r w:rsidRPr="00C62A13">
              <w:t>SOLO 2</w:t>
            </w:r>
          </w:p>
        </w:tc>
        <w:tc>
          <w:tcPr>
            <w:tcW w:w="3305" w:type="pct"/>
            <w:tcBorders>
              <w:top w:val="nil"/>
              <w:left w:val="single" w:sz="4" w:space="0" w:color="auto"/>
              <w:right w:val="single" w:sz="4" w:space="0" w:color="auto"/>
            </w:tcBorders>
          </w:tcPr>
          <w:p w:rsidR="00564481" w:rsidRPr="00C62A13" w:rsidRDefault="00564481" w:rsidP="002B142D">
            <w:pPr>
              <w:pStyle w:val="TableText0"/>
              <w:rPr>
                <w:szCs w:val="18"/>
              </w:rPr>
            </w:pPr>
            <w:r w:rsidRPr="00C62A13">
              <w:t>Simpson EL, Bieber T, Guttman-Yassky E, et al. Two Phase 3 Trials of Dupilumab versus Placebo in Atopic Dermatitis.</w:t>
            </w:r>
          </w:p>
        </w:tc>
        <w:tc>
          <w:tcPr>
            <w:tcW w:w="1072" w:type="pct"/>
            <w:tcBorders>
              <w:top w:val="nil"/>
              <w:left w:val="single" w:sz="4" w:space="0" w:color="auto"/>
              <w:bottom w:val="single" w:sz="4" w:space="0" w:color="auto"/>
              <w:right w:val="single" w:sz="4" w:space="0" w:color="auto"/>
            </w:tcBorders>
          </w:tcPr>
          <w:p w:rsidR="00564481" w:rsidRPr="00C62A13" w:rsidRDefault="00564481" w:rsidP="002B142D">
            <w:pPr>
              <w:pStyle w:val="TableText0"/>
              <w:rPr>
                <w:szCs w:val="18"/>
              </w:rPr>
            </w:pPr>
            <w:r w:rsidRPr="00C62A13">
              <w:t>N Engl J Med. 2016 Dec 15;375(24):2335-2348.</w:t>
            </w:r>
          </w:p>
        </w:tc>
      </w:tr>
      <w:tr w:rsidR="00564481" w:rsidRPr="00C62A13" w:rsidTr="002B142D">
        <w:tc>
          <w:tcPr>
            <w:tcW w:w="623" w:type="pct"/>
            <w:tcBorders>
              <w:top w:val="single" w:sz="4" w:space="0" w:color="auto"/>
              <w:bottom w:val="single" w:sz="4" w:space="0" w:color="auto"/>
            </w:tcBorders>
            <w:vAlign w:val="center"/>
          </w:tcPr>
          <w:p w:rsidR="00564481" w:rsidRPr="00C62A13" w:rsidRDefault="00564481" w:rsidP="002B142D">
            <w:pPr>
              <w:pStyle w:val="TableText0"/>
            </w:pPr>
            <w:r w:rsidRPr="00C62A13">
              <w:t>LIBERTY AD ADOL</w:t>
            </w:r>
          </w:p>
        </w:tc>
        <w:tc>
          <w:tcPr>
            <w:tcW w:w="3305"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Simpson EL, Paller AS, Siegfried EC, et al. Efficacy and safety of dupilumab in adolescents with uncontrolled moderate to severe atopic dermatitis.</w:t>
            </w:r>
          </w:p>
        </w:tc>
        <w:tc>
          <w:tcPr>
            <w:tcW w:w="1072"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JAMA Dermatol 2020; 156(1): 44-56.</w:t>
            </w:r>
          </w:p>
        </w:tc>
      </w:tr>
      <w:tr w:rsidR="00564481" w:rsidRPr="00C62A13" w:rsidTr="002B142D">
        <w:tc>
          <w:tcPr>
            <w:tcW w:w="623" w:type="pct"/>
            <w:tcBorders>
              <w:top w:val="nil"/>
              <w:left w:val="single" w:sz="4" w:space="0" w:color="auto"/>
              <w:bottom w:val="single" w:sz="4" w:space="0" w:color="auto"/>
              <w:right w:val="single" w:sz="4" w:space="0" w:color="auto"/>
            </w:tcBorders>
            <w:vAlign w:val="center"/>
          </w:tcPr>
          <w:p w:rsidR="00564481" w:rsidRPr="00C62A13" w:rsidRDefault="00564481" w:rsidP="002B142D">
            <w:pPr>
              <w:pStyle w:val="TableText0"/>
            </w:pPr>
            <w:r w:rsidRPr="00C62A13">
              <w:t>Study 1021</w:t>
            </w:r>
          </w:p>
        </w:tc>
        <w:tc>
          <w:tcPr>
            <w:tcW w:w="3305" w:type="pct"/>
            <w:tcBorders>
              <w:top w:val="nil"/>
              <w:left w:val="single" w:sz="4" w:space="0" w:color="auto"/>
              <w:bottom w:val="single" w:sz="4" w:space="0" w:color="auto"/>
              <w:right w:val="single" w:sz="4" w:space="0" w:color="auto"/>
            </w:tcBorders>
            <w:vAlign w:val="center"/>
          </w:tcPr>
          <w:p w:rsidR="00564481" w:rsidRPr="00C62A13" w:rsidRDefault="00564481" w:rsidP="002B142D">
            <w:pPr>
              <w:pStyle w:val="TableText0"/>
            </w:pPr>
            <w:r w:rsidRPr="00C62A13">
              <w:t>Thaci D, Simpson EL, Beck LA et al. Efficacy and safety of dupilumab in adults with moderate-to-severe atopic dermatitis inadequately controlled by topical treatments: a randomised, placebo-controlled, dose-ranging phase 2b trial.</w:t>
            </w:r>
          </w:p>
        </w:tc>
        <w:tc>
          <w:tcPr>
            <w:tcW w:w="1072" w:type="pct"/>
            <w:tcBorders>
              <w:top w:val="nil"/>
              <w:left w:val="single" w:sz="4" w:space="0" w:color="auto"/>
              <w:bottom w:val="single" w:sz="4" w:space="0" w:color="auto"/>
              <w:right w:val="single" w:sz="4" w:space="0" w:color="auto"/>
            </w:tcBorders>
            <w:vAlign w:val="center"/>
          </w:tcPr>
          <w:p w:rsidR="00564481" w:rsidRPr="00C62A13" w:rsidRDefault="00564481" w:rsidP="002B142D">
            <w:pPr>
              <w:pStyle w:val="TableText0"/>
              <w:rPr>
                <w:szCs w:val="18"/>
              </w:rPr>
            </w:pPr>
            <w:r w:rsidRPr="00C62A13">
              <w:t>Lancet 2016; 387:40-52.</w:t>
            </w:r>
          </w:p>
        </w:tc>
      </w:tr>
      <w:tr w:rsidR="00564481" w:rsidRPr="00C62A13" w:rsidTr="002B142D">
        <w:tc>
          <w:tcPr>
            <w:tcW w:w="623" w:type="pct"/>
            <w:tcBorders>
              <w:top w:val="single" w:sz="4" w:space="0" w:color="auto"/>
              <w:bottom w:val="single" w:sz="4" w:space="0" w:color="auto"/>
            </w:tcBorders>
            <w:vAlign w:val="center"/>
          </w:tcPr>
          <w:p w:rsidR="00564481" w:rsidRPr="00C62A13" w:rsidRDefault="00564481" w:rsidP="002B142D">
            <w:pPr>
              <w:pStyle w:val="TableText0"/>
            </w:pPr>
            <w:r w:rsidRPr="00C62A13">
              <w:t>CAFÉ</w:t>
            </w:r>
          </w:p>
        </w:tc>
        <w:tc>
          <w:tcPr>
            <w:tcW w:w="3305" w:type="pct"/>
            <w:tcBorders>
              <w:top w:val="nil"/>
              <w:bottom w:val="single" w:sz="4" w:space="0" w:color="auto"/>
            </w:tcBorders>
          </w:tcPr>
          <w:p w:rsidR="00564481" w:rsidRPr="00C62A13" w:rsidRDefault="00564481" w:rsidP="002B142D">
            <w:pPr>
              <w:pStyle w:val="TableText0"/>
            </w:pPr>
            <w:r w:rsidRPr="00C62A13">
              <w:t>de Bruin-Weller M, Gadkari A, Simpson E et al.</w:t>
            </w:r>
            <w:r w:rsidR="00C62A13">
              <w:t xml:space="preserve"> </w:t>
            </w:r>
            <w:r w:rsidRPr="00C62A13">
              <w:t>Dupilumab improves patient-reported outcomes in atopic dermatitis inadequately controlled, intolerant, or inadvisable for cyclosporine-A. Annals of Allergy, Asthma and Immunology.</w:t>
            </w:r>
          </w:p>
        </w:tc>
        <w:tc>
          <w:tcPr>
            <w:tcW w:w="1072" w:type="pct"/>
            <w:tcBorders>
              <w:top w:val="nil"/>
              <w:bottom w:val="single" w:sz="4" w:space="0" w:color="auto"/>
            </w:tcBorders>
          </w:tcPr>
          <w:p w:rsidR="00564481" w:rsidRPr="00C62A13" w:rsidRDefault="00564481" w:rsidP="002B142D">
            <w:pPr>
              <w:pStyle w:val="TableText0"/>
              <w:rPr>
                <w:szCs w:val="18"/>
              </w:rPr>
            </w:pPr>
            <w:r w:rsidRPr="00C62A13">
              <w:t>Annals of Allergy, Asthma and Immunology 2017; 119(5S1):S94-S95.</w:t>
            </w:r>
          </w:p>
        </w:tc>
      </w:tr>
      <w:tr w:rsidR="00564481" w:rsidRPr="00C62A13" w:rsidTr="002B142D">
        <w:tc>
          <w:tcPr>
            <w:tcW w:w="623" w:type="pct"/>
            <w:tcBorders>
              <w:top w:val="single" w:sz="4" w:space="0" w:color="auto"/>
              <w:bottom w:val="single" w:sz="4" w:space="0" w:color="auto"/>
            </w:tcBorders>
            <w:vAlign w:val="center"/>
          </w:tcPr>
          <w:p w:rsidR="00564481" w:rsidRPr="00C62A13" w:rsidRDefault="00564481" w:rsidP="002B142D">
            <w:pPr>
              <w:pStyle w:val="TableText0"/>
            </w:pPr>
            <w:r w:rsidRPr="00C62A13">
              <w:t>CHRONOS</w:t>
            </w:r>
          </w:p>
        </w:tc>
        <w:tc>
          <w:tcPr>
            <w:tcW w:w="3305" w:type="pct"/>
            <w:tcBorders>
              <w:top w:val="single" w:sz="4" w:space="0" w:color="auto"/>
              <w:bottom w:val="single" w:sz="4" w:space="0" w:color="auto"/>
            </w:tcBorders>
          </w:tcPr>
          <w:p w:rsidR="00564481" w:rsidRPr="00C62A13" w:rsidRDefault="00564481" w:rsidP="002B142D">
            <w:pPr>
              <w:pStyle w:val="TableText0"/>
              <w:rPr>
                <w:szCs w:val="18"/>
              </w:rPr>
            </w:pPr>
            <w:r w:rsidRPr="00C62A13">
              <w:t>Blauvelt A, Bruin-Weller M, Gooderham M et al. Long-term management of moderate-to-severe atopic dermatitis with dupilumab and concomitant topical corticosteroids (LIBERTY AD CHRONOS): a 1-year, randomised, double-blinded, placebo-controlled, phase 3 trial.</w:t>
            </w:r>
          </w:p>
        </w:tc>
        <w:tc>
          <w:tcPr>
            <w:tcW w:w="1072"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t>Lancet. 2017; 389:2287-303.</w:t>
            </w:r>
          </w:p>
        </w:tc>
      </w:tr>
      <w:tr w:rsidR="00564481" w:rsidRPr="00C62A13" w:rsidTr="002B142D">
        <w:tc>
          <w:tcPr>
            <w:tcW w:w="623" w:type="pct"/>
            <w:tcBorders>
              <w:top w:val="single" w:sz="4" w:space="0" w:color="auto"/>
            </w:tcBorders>
            <w:vAlign w:val="center"/>
          </w:tcPr>
          <w:p w:rsidR="00564481" w:rsidRPr="00C62A13" w:rsidRDefault="00564481" w:rsidP="002B142D">
            <w:pPr>
              <w:pStyle w:val="TableText0"/>
            </w:pPr>
            <w:r w:rsidRPr="00C62A13">
              <w:t>JADE COMPARE</w:t>
            </w:r>
          </w:p>
        </w:tc>
        <w:tc>
          <w:tcPr>
            <w:tcW w:w="3305"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Thaci D, Bieber T, Simpson EL et al. A phase 3 study to investigate the efficacy and safety of abrocitinib and dupilumab in comparison with placebo in adults with moderate-to-severe atopic dermatitis.</w:t>
            </w:r>
          </w:p>
        </w:tc>
        <w:tc>
          <w:tcPr>
            <w:tcW w:w="1072" w:type="pct"/>
            <w:tcBorders>
              <w:top w:val="single" w:sz="4" w:space="0" w:color="auto"/>
              <w:bottom w:val="single" w:sz="4" w:space="0" w:color="auto"/>
            </w:tcBorders>
            <w:vAlign w:val="center"/>
          </w:tcPr>
          <w:p w:rsidR="00564481" w:rsidRPr="00C62A13" w:rsidRDefault="00564481" w:rsidP="002B142D">
            <w:pPr>
              <w:pStyle w:val="TableText0"/>
              <w:rPr>
                <w:szCs w:val="18"/>
              </w:rPr>
            </w:pPr>
            <w:r w:rsidRPr="00C62A13">
              <w:rPr>
                <w:szCs w:val="18"/>
              </w:rPr>
              <w:t>29</w:t>
            </w:r>
            <w:r w:rsidRPr="00C62A13">
              <w:rPr>
                <w:szCs w:val="18"/>
                <w:vertAlign w:val="superscript"/>
              </w:rPr>
              <w:t>th</w:t>
            </w:r>
            <w:r w:rsidRPr="00C62A13">
              <w:rPr>
                <w:szCs w:val="18"/>
              </w:rPr>
              <w:t xml:space="preserve"> EADV Congress; October 28-November 1 2020.</w:t>
            </w:r>
          </w:p>
        </w:tc>
      </w:tr>
    </w:tbl>
    <w:p w:rsidR="00610BE5" w:rsidRPr="00C62A13" w:rsidRDefault="00564481" w:rsidP="00610BE5">
      <w:pPr>
        <w:pStyle w:val="TableFooter"/>
      </w:pPr>
      <w:r w:rsidRPr="00C62A13">
        <w:t>Only main publications have been reported in this table.</w:t>
      </w:r>
    </w:p>
    <w:p w:rsidR="00564481" w:rsidRPr="00C62A13" w:rsidRDefault="00564481" w:rsidP="00610BE5">
      <w:pPr>
        <w:pStyle w:val="TableFooter"/>
        <w:spacing w:after="120"/>
      </w:pPr>
      <w:r w:rsidRPr="00C62A13">
        <w:t>Source: Table 2-3, pp43-45 of the submission.</w:t>
      </w:r>
    </w:p>
    <w:p w:rsidR="00564481" w:rsidRPr="00C62A13" w:rsidRDefault="00564481" w:rsidP="00564481">
      <w:pPr>
        <w:pStyle w:val="3-BodyText"/>
      </w:pPr>
      <w:r w:rsidRPr="00C62A13">
        <w:t>Table 3 presents the key features of the included randomised trials.</w:t>
      </w:r>
    </w:p>
    <w:p w:rsidR="00564481" w:rsidRPr="00C62A13" w:rsidRDefault="00564481" w:rsidP="002B142D">
      <w:pPr>
        <w:pStyle w:val="TableFigureHeading"/>
        <w:rPr>
          <w:rStyle w:val="CommentReference"/>
          <w:b/>
          <w:szCs w:val="24"/>
        </w:rPr>
      </w:pPr>
      <w:r w:rsidRPr="00C62A13">
        <w:rPr>
          <w:rStyle w:val="CommentReference"/>
          <w:b/>
          <w:szCs w:val="24"/>
        </w:rPr>
        <w:t>Table 3: Key features of the included evidence</w:t>
      </w:r>
    </w:p>
    <w:tbl>
      <w:tblPr>
        <w:tblW w:w="50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895"/>
        <w:gridCol w:w="394"/>
        <w:gridCol w:w="2393"/>
        <w:gridCol w:w="578"/>
        <w:gridCol w:w="2114"/>
        <w:gridCol w:w="1281"/>
        <w:gridCol w:w="1402"/>
      </w:tblGrid>
      <w:tr w:rsidR="00564481" w:rsidRPr="00C62A13" w:rsidTr="00C51802">
        <w:trPr>
          <w:cantSplit/>
          <w:trHeight w:val="446"/>
          <w:tblHeader/>
        </w:trPr>
        <w:tc>
          <w:tcPr>
            <w:tcW w:w="494" w:type="pct"/>
            <w:shd w:val="clear" w:color="auto" w:fill="auto"/>
            <w:vAlign w:val="center"/>
          </w:tcPr>
          <w:p w:rsidR="00564481" w:rsidRPr="00C62A13" w:rsidRDefault="00564481" w:rsidP="002B142D">
            <w:pPr>
              <w:pStyle w:val="In-tableHeading"/>
              <w:widowControl w:val="0"/>
              <w:rPr>
                <w:lang w:val="en-AU"/>
              </w:rPr>
            </w:pPr>
            <w:r w:rsidRPr="00C62A13">
              <w:rPr>
                <w:lang w:val="en-AU"/>
              </w:rPr>
              <w:t>Trial</w:t>
            </w:r>
          </w:p>
        </w:tc>
        <w:tc>
          <w:tcPr>
            <w:tcW w:w="218" w:type="pct"/>
            <w:shd w:val="clear" w:color="auto" w:fill="auto"/>
            <w:vAlign w:val="center"/>
          </w:tcPr>
          <w:p w:rsidR="00564481" w:rsidRPr="00C62A13" w:rsidRDefault="00564481" w:rsidP="002B142D">
            <w:pPr>
              <w:pStyle w:val="In-tableHeading"/>
              <w:widowControl w:val="0"/>
              <w:jc w:val="center"/>
              <w:rPr>
                <w:lang w:val="en-AU"/>
              </w:rPr>
            </w:pPr>
            <w:r w:rsidRPr="00C62A13">
              <w:rPr>
                <w:lang w:val="en-AU"/>
              </w:rPr>
              <w:t>N</w:t>
            </w:r>
          </w:p>
        </w:tc>
        <w:tc>
          <w:tcPr>
            <w:tcW w:w="1321" w:type="pct"/>
            <w:shd w:val="clear" w:color="auto" w:fill="auto"/>
            <w:vAlign w:val="center"/>
          </w:tcPr>
          <w:p w:rsidR="00564481" w:rsidRPr="00C62A13" w:rsidRDefault="00564481" w:rsidP="002B142D">
            <w:pPr>
              <w:pStyle w:val="In-tableHeading"/>
              <w:widowControl w:val="0"/>
              <w:jc w:val="center"/>
              <w:rPr>
                <w:lang w:val="en-AU"/>
              </w:rPr>
            </w:pPr>
            <w:r w:rsidRPr="00C62A13">
              <w:rPr>
                <w:lang w:val="en-AU"/>
              </w:rPr>
              <w:t>Design/duration</w:t>
            </w:r>
          </w:p>
        </w:tc>
        <w:tc>
          <w:tcPr>
            <w:tcW w:w="319" w:type="pct"/>
            <w:shd w:val="clear" w:color="auto" w:fill="auto"/>
            <w:vAlign w:val="center"/>
          </w:tcPr>
          <w:p w:rsidR="00564481" w:rsidRPr="00C62A13" w:rsidRDefault="00564481" w:rsidP="002B142D">
            <w:pPr>
              <w:pStyle w:val="In-tableHeading"/>
              <w:widowControl w:val="0"/>
              <w:jc w:val="center"/>
              <w:rPr>
                <w:lang w:val="en-AU"/>
              </w:rPr>
            </w:pPr>
            <w:r w:rsidRPr="00C62A13">
              <w:rPr>
                <w:lang w:val="en-AU"/>
              </w:rPr>
              <w:t>Bias</w:t>
            </w:r>
          </w:p>
        </w:tc>
        <w:tc>
          <w:tcPr>
            <w:tcW w:w="1167" w:type="pct"/>
            <w:shd w:val="clear" w:color="auto" w:fill="auto"/>
            <w:vAlign w:val="center"/>
          </w:tcPr>
          <w:p w:rsidR="00564481" w:rsidRPr="00C62A13" w:rsidRDefault="00564481" w:rsidP="002B142D">
            <w:pPr>
              <w:pStyle w:val="In-tableHeading"/>
              <w:widowControl w:val="0"/>
              <w:jc w:val="center"/>
              <w:rPr>
                <w:lang w:val="en-AU"/>
              </w:rPr>
            </w:pPr>
            <w:r w:rsidRPr="00C62A13">
              <w:rPr>
                <w:lang w:val="en-AU"/>
              </w:rPr>
              <w:t>Relevant comparison</w:t>
            </w:r>
          </w:p>
        </w:tc>
        <w:tc>
          <w:tcPr>
            <w:tcW w:w="707" w:type="pct"/>
            <w:shd w:val="clear" w:color="auto" w:fill="auto"/>
            <w:vAlign w:val="center"/>
          </w:tcPr>
          <w:p w:rsidR="00564481" w:rsidRPr="00C62A13" w:rsidRDefault="00564481" w:rsidP="002B142D">
            <w:pPr>
              <w:pStyle w:val="In-tableHeading"/>
              <w:widowControl w:val="0"/>
              <w:jc w:val="center"/>
              <w:rPr>
                <w:lang w:val="en-AU"/>
              </w:rPr>
            </w:pPr>
            <w:r w:rsidRPr="00C62A13">
              <w:rPr>
                <w:lang w:val="en-AU"/>
              </w:rPr>
              <w:t>Patient population</w:t>
            </w:r>
          </w:p>
        </w:tc>
        <w:tc>
          <w:tcPr>
            <w:tcW w:w="774" w:type="pct"/>
            <w:shd w:val="clear" w:color="auto" w:fill="auto"/>
            <w:vAlign w:val="center"/>
          </w:tcPr>
          <w:p w:rsidR="00564481" w:rsidRPr="00C62A13" w:rsidRDefault="00564481" w:rsidP="002B142D">
            <w:pPr>
              <w:pStyle w:val="In-tableHeading"/>
              <w:widowControl w:val="0"/>
              <w:jc w:val="center"/>
              <w:rPr>
                <w:lang w:val="en-AU"/>
              </w:rPr>
            </w:pPr>
            <w:r w:rsidRPr="00C62A13">
              <w:rPr>
                <w:lang w:val="en-AU"/>
              </w:rPr>
              <w:t>Primary outcome(s)</w:t>
            </w:r>
          </w:p>
        </w:tc>
      </w:tr>
      <w:tr w:rsidR="00564481" w:rsidRPr="00C62A13" w:rsidTr="005F61AA">
        <w:trPr>
          <w:cantSplit/>
          <w:trHeight w:val="210"/>
        </w:trPr>
        <w:tc>
          <w:tcPr>
            <w:tcW w:w="5000" w:type="pct"/>
            <w:gridSpan w:val="7"/>
            <w:shd w:val="clear" w:color="auto" w:fill="auto"/>
            <w:vAlign w:val="center"/>
          </w:tcPr>
          <w:p w:rsidR="00564481" w:rsidRPr="00C62A13" w:rsidRDefault="00564481" w:rsidP="002B142D">
            <w:pPr>
              <w:pStyle w:val="In-tableHeading"/>
              <w:widowControl w:val="0"/>
              <w:rPr>
                <w:lang w:val="en-AU"/>
              </w:rPr>
            </w:pPr>
            <w:r w:rsidRPr="00C62A13">
              <w:rPr>
                <w:lang w:val="en-AU"/>
              </w:rPr>
              <w:t>UPA trials</w:t>
            </w:r>
          </w:p>
        </w:tc>
      </w:tr>
      <w:tr w:rsidR="00564481" w:rsidRPr="00C62A13" w:rsidTr="00C51802">
        <w:trPr>
          <w:cantSplit/>
          <w:trHeight w:val="60"/>
        </w:trPr>
        <w:tc>
          <w:tcPr>
            <w:tcW w:w="494" w:type="pct"/>
            <w:vMerge w:val="restart"/>
            <w:shd w:val="clear" w:color="auto" w:fill="auto"/>
            <w:vAlign w:val="center"/>
          </w:tcPr>
          <w:p w:rsidR="00564481" w:rsidRPr="00C62A13" w:rsidRDefault="00564481" w:rsidP="002B142D">
            <w:pPr>
              <w:pStyle w:val="TableText0"/>
              <w:widowControl w:val="0"/>
            </w:pPr>
            <w:r w:rsidRPr="00C62A13">
              <w:t>HEADS UP</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692</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24wk (+OL 52wk), rescue therapy^</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30</w:t>
            </w:r>
            <w:r w:rsidR="00C51802" w:rsidRPr="00C62A13">
              <w:t xml:space="preserve"> </w:t>
            </w:r>
            <w:r w:rsidRPr="00C62A13">
              <w:t>mg D</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EASI 75 at Wk16</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bottom w:val="single" w:sz="4" w:space="0" w:color="auto"/>
            </w:tcBorders>
            <w:shd w:val="clear" w:color="auto" w:fill="auto"/>
            <w:vAlign w:val="center"/>
          </w:tcPr>
          <w:p w:rsidR="00564481" w:rsidRPr="00C62A13" w:rsidRDefault="00564481" w:rsidP="002B142D">
            <w:pPr>
              <w:keepNext/>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DUPI 300</w:t>
            </w:r>
            <w:r w:rsidR="00C51802"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Q2W</w:t>
            </w:r>
            <w:r w:rsidRPr="00C62A13">
              <w:rPr>
                <w:rFonts w:ascii="Arial Narrow" w:hAnsi="Arial Narrow"/>
                <w:iCs/>
                <w:snapToGrid w:val="0"/>
                <w:sz w:val="20"/>
                <w:szCs w:val="20"/>
                <w:vertAlign w:val="superscript"/>
                <w:lang w:eastAsia="en-US"/>
              </w:rPr>
              <w:t>†</w:t>
            </w:r>
          </w:p>
        </w:tc>
        <w:tc>
          <w:tcPr>
            <w:tcW w:w="707"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233"/>
        </w:trPr>
        <w:tc>
          <w:tcPr>
            <w:tcW w:w="494" w:type="pct"/>
            <w:vMerge w:val="restart"/>
            <w:shd w:val="clear" w:color="auto" w:fill="auto"/>
            <w:vAlign w:val="center"/>
          </w:tcPr>
          <w:p w:rsidR="00564481" w:rsidRPr="00C62A13" w:rsidRDefault="00564481" w:rsidP="002B142D">
            <w:pPr>
              <w:pStyle w:val="TableText0"/>
              <w:widowControl w:val="0"/>
            </w:pPr>
            <w:r w:rsidRPr="00C62A13">
              <w:t>MEASURE UP 1</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847</w:t>
            </w:r>
          </w:p>
        </w:tc>
        <w:tc>
          <w:tcPr>
            <w:tcW w:w="1321" w:type="pct"/>
            <w:vMerge w:val="restart"/>
            <w:tcBorders>
              <w:right w:val="single" w:sz="4" w:space="0" w:color="auto"/>
            </w:tcBorders>
            <w:shd w:val="clear" w:color="auto" w:fill="auto"/>
            <w:vAlign w:val="center"/>
          </w:tcPr>
          <w:p w:rsidR="00564481" w:rsidRPr="00C62A13" w:rsidRDefault="00564481" w:rsidP="002B142D">
            <w:pPr>
              <w:pStyle w:val="TableText0"/>
              <w:widowControl w:val="0"/>
              <w:jc w:val="center"/>
            </w:pPr>
            <w:r w:rsidRPr="00C62A13">
              <w:t>P3, R, MC, DB, PC 16wk (BE</w:t>
            </w:r>
            <w:r w:rsidRPr="00C62A13">
              <w:rPr>
                <w:vertAlign w:val="superscript"/>
              </w:rPr>
              <w:t>a</w:t>
            </w:r>
            <w:r w:rsidRPr="00C62A13">
              <w:t xml:space="preserve"> to 136wk), rescue therapy^</w:t>
            </w:r>
          </w:p>
        </w:tc>
        <w:tc>
          <w:tcPr>
            <w:tcW w:w="31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top w:val="single" w:sz="4" w:space="0" w:color="auto"/>
              <w:left w:val="single" w:sz="4" w:space="0" w:color="auto"/>
              <w:bottom w:val="dashSmallGap" w:sz="4" w:space="0" w:color="auto"/>
            </w:tcBorders>
            <w:shd w:val="clear" w:color="auto" w:fill="auto"/>
            <w:vAlign w:val="center"/>
          </w:tcPr>
          <w:p w:rsidR="00564481" w:rsidRPr="00C62A13" w:rsidRDefault="00564481" w:rsidP="002B142D">
            <w:pPr>
              <w:keepNext/>
              <w:widowControl w:val="0"/>
              <w:jc w:val="center"/>
              <w:rPr>
                <w:rFonts w:ascii="Arial Narrow" w:hAnsi="Arial Narrow"/>
                <w:iCs/>
                <w:snapToGrid w:val="0"/>
                <w:sz w:val="20"/>
                <w:szCs w:val="20"/>
                <w:lang w:eastAsia="en-US"/>
              </w:rPr>
            </w:pPr>
            <w:r w:rsidRPr="00C62A13">
              <w:rPr>
                <w:rFonts w:ascii="Arial Narrow" w:hAnsi="Arial Narrow"/>
                <w:sz w:val="20"/>
                <w:szCs w:val="20"/>
              </w:rPr>
              <w:t>UPA 15</w:t>
            </w:r>
            <w:r w:rsidR="00C51802" w:rsidRPr="00C62A13">
              <w:rPr>
                <w:rFonts w:ascii="Arial Narrow" w:hAnsi="Arial Narrow"/>
                <w:sz w:val="20"/>
                <w:szCs w:val="20"/>
              </w:rPr>
              <w:t xml:space="preserve"> </w:t>
            </w:r>
            <w:r w:rsidRPr="00C62A13">
              <w:rPr>
                <w:rFonts w:ascii="Arial Narrow" w:hAnsi="Arial Narrow"/>
                <w:sz w:val="20"/>
                <w:szCs w:val="20"/>
              </w:rPr>
              <w:t>mg D</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 and adolescents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EASI 75 &amp; IGA of 0 or 1</w:t>
            </w:r>
            <w:r w:rsidRPr="00C62A13">
              <w:rPr>
                <w:vertAlign w:val="superscript"/>
              </w:rPr>
              <w:t>c</w:t>
            </w:r>
            <w:r w:rsidRPr="00C62A13">
              <w:t xml:space="preserve"> at Wk16</w:t>
            </w:r>
          </w:p>
        </w:tc>
      </w:tr>
      <w:tr w:rsidR="00564481" w:rsidRPr="00C62A13" w:rsidTr="00C51802">
        <w:trPr>
          <w:cantSplit/>
          <w:trHeight w:val="71"/>
        </w:trPr>
        <w:tc>
          <w:tcPr>
            <w:tcW w:w="494" w:type="pct"/>
            <w:vMerge/>
            <w:shd w:val="clear" w:color="auto" w:fill="auto"/>
            <w:vAlign w:val="center"/>
          </w:tcPr>
          <w:p w:rsidR="00564481" w:rsidRPr="00C62A13" w:rsidRDefault="00564481" w:rsidP="002B142D">
            <w:pPr>
              <w:pStyle w:val="TableText0"/>
              <w:widowControl w:val="0"/>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tcBorders>
              <w:right w:val="single" w:sz="4" w:space="0" w:color="auto"/>
            </w:tcBorders>
            <w:shd w:val="clear" w:color="auto" w:fill="auto"/>
            <w:vAlign w:val="center"/>
          </w:tcPr>
          <w:p w:rsidR="00564481" w:rsidRPr="00C62A13" w:rsidRDefault="00564481" w:rsidP="002B142D">
            <w:pPr>
              <w:pStyle w:val="TableText0"/>
              <w:widowControl w:val="0"/>
              <w:jc w:val="center"/>
            </w:pPr>
          </w:p>
        </w:tc>
        <w:tc>
          <w:tcPr>
            <w:tcW w:w="319" w:type="pct"/>
            <w:vMerge/>
            <w:tcBorders>
              <w:top w:val="nil"/>
              <w:left w:val="single" w:sz="4" w:space="0" w:color="auto"/>
              <w:bottom w:val="single" w:sz="4" w:space="0" w:color="auto"/>
              <w:right w:val="single" w:sz="4" w:space="0" w:color="auto"/>
            </w:tcBorders>
            <w:shd w:val="clear" w:color="auto" w:fill="auto"/>
            <w:vAlign w:val="center"/>
          </w:tcPr>
          <w:p w:rsidR="00564481" w:rsidRPr="00C62A13" w:rsidRDefault="00564481" w:rsidP="002B142D">
            <w:pPr>
              <w:pStyle w:val="TableText0"/>
              <w:widowControl w:val="0"/>
              <w:jc w:val="center"/>
              <w:rPr>
                <w:i/>
              </w:rPr>
            </w:pPr>
          </w:p>
        </w:tc>
        <w:tc>
          <w:tcPr>
            <w:tcW w:w="1167" w:type="pct"/>
            <w:tcBorders>
              <w:top w:val="dashSmallGap" w:sz="4" w:space="0" w:color="auto"/>
              <w:left w:val="single" w:sz="4" w:space="0" w:color="auto"/>
              <w:bottom w:val="dashSmallGap" w:sz="4" w:space="0" w:color="auto"/>
              <w:right w:val="single" w:sz="4" w:space="0" w:color="auto"/>
            </w:tcBorders>
            <w:shd w:val="clear" w:color="auto" w:fill="auto"/>
            <w:vAlign w:val="center"/>
          </w:tcPr>
          <w:p w:rsidR="00564481" w:rsidRPr="00C62A13" w:rsidRDefault="00564481" w:rsidP="002B142D">
            <w:pPr>
              <w:keepNext/>
              <w:widowControl w:val="0"/>
              <w:jc w:val="center"/>
              <w:rPr>
                <w:rFonts w:ascii="Arial Narrow" w:hAnsi="Arial Narrow"/>
                <w:iCs/>
                <w:snapToGrid w:val="0"/>
                <w:sz w:val="20"/>
                <w:szCs w:val="20"/>
                <w:lang w:eastAsia="en-US"/>
              </w:rPr>
            </w:pPr>
            <w:r w:rsidRPr="00C62A13">
              <w:rPr>
                <w:rFonts w:ascii="Arial Narrow" w:hAnsi="Arial Narrow"/>
                <w:sz w:val="20"/>
                <w:szCs w:val="20"/>
              </w:rPr>
              <w:t>UPA 30</w:t>
            </w:r>
            <w:r w:rsidR="00C51802" w:rsidRPr="00C62A13">
              <w:rPr>
                <w:rFonts w:ascii="Arial Narrow" w:hAnsi="Arial Narrow"/>
                <w:sz w:val="20"/>
                <w:szCs w:val="20"/>
              </w:rPr>
              <w:t xml:space="preserve"> </w:t>
            </w:r>
            <w:r w:rsidRPr="00C62A13">
              <w:rPr>
                <w:rFonts w:ascii="Arial Narrow" w:hAnsi="Arial Narrow"/>
                <w:sz w:val="20"/>
                <w:szCs w:val="20"/>
              </w:rPr>
              <w:t>mg D</w:t>
            </w:r>
          </w:p>
        </w:tc>
        <w:tc>
          <w:tcPr>
            <w:tcW w:w="707" w:type="pct"/>
            <w:vMerge/>
            <w:tcBorders>
              <w:left w:val="single" w:sz="4" w:space="0" w:color="auto"/>
            </w:tcBorders>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tcBorders>
              <w:right w:val="single" w:sz="4" w:space="0" w:color="auto"/>
            </w:tcBorders>
            <w:shd w:val="clear" w:color="auto" w:fill="auto"/>
            <w:vAlign w:val="center"/>
          </w:tcPr>
          <w:p w:rsidR="00564481" w:rsidRPr="00C62A13" w:rsidRDefault="00564481" w:rsidP="002B142D">
            <w:pPr>
              <w:pStyle w:val="TableText0"/>
              <w:widowControl w:val="0"/>
              <w:jc w:val="center"/>
            </w:pPr>
          </w:p>
        </w:tc>
        <w:tc>
          <w:tcPr>
            <w:tcW w:w="319" w:type="pct"/>
            <w:vMerge/>
            <w:tcBorders>
              <w:top w:val="nil"/>
              <w:left w:val="single" w:sz="4" w:space="0" w:color="auto"/>
              <w:bottom w:val="single" w:sz="4" w:space="0" w:color="auto"/>
              <w:right w:val="single" w:sz="4" w:space="0" w:color="auto"/>
            </w:tcBorders>
            <w:shd w:val="clear" w:color="auto" w:fill="auto"/>
            <w:vAlign w:val="center"/>
          </w:tcPr>
          <w:p w:rsidR="00564481" w:rsidRPr="00C62A13" w:rsidRDefault="00564481" w:rsidP="002B142D">
            <w:pPr>
              <w:pStyle w:val="TableText0"/>
              <w:widowControl w:val="0"/>
              <w:jc w:val="center"/>
              <w:rPr>
                <w:i/>
              </w:rPr>
            </w:pPr>
          </w:p>
        </w:tc>
        <w:tc>
          <w:tcPr>
            <w:tcW w:w="1167" w:type="pct"/>
            <w:tcBorders>
              <w:top w:val="dashSmallGap" w:sz="4" w:space="0" w:color="auto"/>
              <w:left w:val="single" w:sz="4" w:space="0" w:color="auto"/>
              <w:bottom w:val="single" w:sz="4" w:space="0" w:color="auto"/>
            </w:tcBorders>
            <w:shd w:val="clear" w:color="auto" w:fill="auto"/>
            <w:vAlign w:val="center"/>
          </w:tcPr>
          <w:p w:rsidR="00564481" w:rsidRPr="00C62A13" w:rsidRDefault="00564481" w:rsidP="002B142D">
            <w:pPr>
              <w:keepNext/>
              <w:widowControl w:val="0"/>
              <w:jc w:val="center"/>
              <w:rPr>
                <w:rFonts w:ascii="Arial Narrow" w:hAnsi="Arial Narrow"/>
                <w:iCs/>
                <w:snapToGrid w:val="0"/>
                <w:sz w:val="20"/>
                <w:szCs w:val="20"/>
                <w:lang w:eastAsia="en-US"/>
              </w:rPr>
            </w:pPr>
            <w:r w:rsidRPr="00C62A13">
              <w:rPr>
                <w:rFonts w:ascii="Arial Narrow" w:hAnsi="Arial Narrow"/>
                <w:sz w:val="20"/>
                <w:szCs w:val="20"/>
              </w:rPr>
              <w:t>PBO</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val="restart"/>
            <w:shd w:val="clear" w:color="auto" w:fill="auto"/>
            <w:vAlign w:val="center"/>
          </w:tcPr>
          <w:p w:rsidR="00564481" w:rsidRPr="00C62A13" w:rsidRDefault="00564481" w:rsidP="002B142D">
            <w:pPr>
              <w:pStyle w:val="TableText0"/>
              <w:widowControl w:val="0"/>
            </w:pPr>
            <w:r w:rsidRPr="00C62A13">
              <w:rPr>
                <w:iCs/>
                <w:szCs w:val="18"/>
              </w:rPr>
              <w:t>MEASURE UP 2</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836</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16wk (BE</w:t>
            </w:r>
            <w:r w:rsidRPr="00C62A13">
              <w:rPr>
                <w:vertAlign w:val="superscript"/>
              </w:rPr>
              <w:t>a</w:t>
            </w:r>
            <w:r w:rsidRPr="00C62A13">
              <w:t xml:space="preserve"> up to 136wk), rescue therapy^</w:t>
            </w:r>
          </w:p>
        </w:tc>
        <w:tc>
          <w:tcPr>
            <w:tcW w:w="319" w:type="pct"/>
            <w:vMerge w:val="restart"/>
            <w:tcBorders>
              <w:top w:val="single" w:sz="4" w:space="0" w:color="auto"/>
            </w:tcBorders>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15</w:t>
            </w:r>
            <w:r w:rsidR="00C51802" w:rsidRPr="00C62A13">
              <w:t xml:space="preserve"> </w:t>
            </w:r>
            <w:r w:rsidRPr="00C62A13">
              <w:t>mg D</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 and adolescents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EASI 75 &amp; IGA of 0 or 1</w:t>
            </w:r>
            <w:r w:rsidRPr="00C62A13">
              <w:rPr>
                <w:vertAlign w:val="superscript"/>
              </w:rPr>
              <w:t>c</w:t>
            </w:r>
            <w:r w:rsidRPr="00C62A13">
              <w:t xml:space="preserve"> at Wk16</w:t>
            </w:r>
          </w:p>
        </w:tc>
      </w:tr>
      <w:tr w:rsidR="00564481" w:rsidRPr="00C62A13" w:rsidTr="00C51802">
        <w:trPr>
          <w:cantSplit/>
          <w:trHeight w:val="60"/>
        </w:trPr>
        <w:tc>
          <w:tcPr>
            <w:tcW w:w="494" w:type="pct"/>
            <w:vMerge/>
            <w:tcBorders>
              <w:bottom w:val="single" w:sz="4" w:space="0" w:color="auto"/>
            </w:tcBorders>
            <w:shd w:val="clear" w:color="auto" w:fill="auto"/>
            <w:vAlign w:val="center"/>
          </w:tcPr>
          <w:p w:rsidR="00564481" w:rsidRPr="00C62A13" w:rsidRDefault="00564481" w:rsidP="002B142D">
            <w:pPr>
              <w:pStyle w:val="TableText0"/>
              <w:widowControl w:val="0"/>
            </w:pPr>
          </w:p>
        </w:tc>
        <w:tc>
          <w:tcPr>
            <w:tcW w:w="218"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c>
          <w:tcPr>
            <w:tcW w:w="1321"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c>
          <w:tcPr>
            <w:tcW w:w="319"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30</w:t>
            </w:r>
            <w:r w:rsidR="00C51802" w:rsidRPr="00C62A13">
              <w:t xml:space="preserve"> </w:t>
            </w:r>
            <w:r w:rsidRPr="00C62A13">
              <w:t>mg D</w:t>
            </w:r>
          </w:p>
        </w:tc>
        <w:tc>
          <w:tcPr>
            <w:tcW w:w="707"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c>
          <w:tcPr>
            <w:tcW w:w="774" w:type="pct"/>
            <w:vMerge/>
            <w:tcBorders>
              <w:bottom w:val="single" w:sz="4" w:space="0" w:color="auto"/>
            </w:tcBorders>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val="restart"/>
            <w:shd w:val="clear" w:color="auto" w:fill="auto"/>
            <w:vAlign w:val="center"/>
          </w:tcPr>
          <w:p w:rsidR="00564481" w:rsidRPr="00C62A13" w:rsidRDefault="00564481" w:rsidP="002B142D">
            <w:pPr>
              <w:pStyle w:val="TableText0"/>
              <w:widowControl w:val="0"/>
            </w:pPr>
            <w:r w:rsidRPr="00C62A13">
              <w:t>M16-048</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167*</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16wk, PC (BE</w:t>
            </w:r>
            <w:r w:rsidRPr="00C62A13">
              <w:rPr>
                <w:vertAlign w:val="superscript"/>
              </w:rPr>
              <w:t>b</w:t>
            </w:r>
            <w:r w:rsidRPr="00C62A13">
              <w:t xml:space="preserve"> to 88wk), no rescue therapy^^</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15</w:t>
            </w:r>
            <w:r w:rsidR="00C51802" w:rsidRPr="00C62A13">
              <w:t xml:space="preserve"> </w:t>
            </w:r>
            <w:r w:rsidRPr="00C62A13">
              <w:t>mg D</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 change in EASI</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30</w:t>
            </w:r>
            <w:r w:rsidR="00C51802" w:rsidRPr="00C62A13">
              <w:t xml:space="preserve"> </w:t>
            </w:r>
            <w:r w:rsidRPr="00C62A13">
              <w:t>mg D</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117"/>
        </w:trPr>
        <w:tc>
          <w:tcPr>
            <w:tcW w:w="494" w:type="pct"/>
            <w:vMerge w:val="restart"/>
            <w:shd w:val="clear" w:color="auto" w:fill="auto"/>
            <w:vAlign w:val="center"/>
          </w:tcPr>
          <w:p w:rsidR="00564481" w:rsidRPr="00C62A13" w:rsidRDefault="00564481" w:rsidP="002B142D">
            <w:pPr>
              <w:pStyle w:val="TableText0"/>
              <w:widowControl w:val="0"/>
              <w:rPr>
                <w:iCs/>
                <w:szCs w:val="18"/>
              </w:rPr>
            </w:pPr>
            <w:r w:rsidRPr="00C62A13">
              <w:rPr>
                <w:iCs/>
                <w:szCs w:val="18"/>
              </w:rPr>
              <w:t>AD UP</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901</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16wk (BE</w:t>
            </w:r>
            <w:r w:rsidRPr="00C62A13">
              <w:rPr>
                <w:vertAlign w:val="superscript"/>
              </w:rPr>
              <w:t>a</w:t>
            </w:r>
            <w:r w:rsidRPr="00C62A13">
              <w:t xml:space="preserve"> to 136wk), rescue therapy^</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15</w:t>
            </w:r>
            <w:r w:rsidR="00C51802" w:rsidRPr="00C62A13">
              <w:t xml:space="preserve"> </w:t>
            </w:r>
            <w:r w:rsidRPr="00C62A13">
              <w:t>mg D + TCS</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 and adolescents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EASI 75 &amp; IGA of 0 or 1</w:t>
            </w:r>
            <w:r w:rsidRPr="00C62A13">
              <w:rPr>
                <w:vertAlign w:val="superscript"/>
              </w:rPr>
              <w:t>c</w:t>
            </w:r>
            <w:r w:rsidRPr="00C62A13">
              <w:t xml:space="preserve"> at Wk16</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30</w:t>
            </w:r>
            <w:r w:rsidR="00C51802" w:rsidRPr="00C62A13">
              <w:t xml:space="preserve"> </w:t>
            </w:r>
            <w:r w:rsidRPr="00C62A13">
              <w:t>mg D + TCS</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 + TCS</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val="restart"/>
            <w:shd w:val="clear" w:color="auto" w:fill="auto"/>
            <w:vAlign w:val="center"/>
          </w:tcPr>
          <w:p w:rsidR="00564481" w:rsidRPr="00C62A13" w:rsidRDefault="00564481" w:rsidP="002B142D">
            <w:pPr>
              <w:pStyle w:val="TableText0"/>
              <w:widowControl w:val="0"/>
              <w:rPr>
                <w:iCs/>
                <w:szCs w:val="18"/>
              </w:rPr>
            </w:pPr>
            <w:r w:rsidRPr="00C62A13">
              <w:rPr>
                <w:iCs/>
                <w:szCs w:val="18"/>
              </w:rPr>
              <w:t>RISING UP</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272</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16wk (BE</w:t>
            </w:r>
            <w:r w:rsidRPr="00C62A13">
              <w:rPr>
                <w:vertAlign w:val="superscript"/>
              </w:rPr>
              <w:t>a</w:t>
            </w:r>
            <w:r w:rsidRPr="00C62A13">
              <w:t>/ OL to 136wk), rescue therapy^</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15</w:t>
            </w:r>
            <w:r w:rsidR="00C51802" w:rsidRPr="00C62A13">
              <w:t xml:space="preserve"> </w:t>
            </w:r>
            <w:r w:rsidRPr="00C62A13">
              <w:t>mg D + TCS</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 and adolescents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Safety</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rPr>
                <w:i/>
              </w:rPr>
            </w:pP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UPA 30</w:t>
            </w:r>
            <w:r w:rsidR="00C51802" w:rsidRPr="00C62A13">
              <w:t xml:space="preserve"> </w:t>
            </w:r>
            <w:r w:rsidRPr="00C62A13">
              <w:t>mg D + TCS</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rPr>
                <w:i/>
              </w:rPr>
            </w:pP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 + TCS</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5F61AA">
        <w:trPr>
          <w:cantSplit/>
          <w:trHeight w:val="288"/>
        </w:trPr>
        <w:tc>
          <w:tcPr>
            <w:tcW w:w="5000" w:type="pct"/>
            <w:gridSpan w:val="7"/>
            <w:shd w:val="clear" w:color="auto" w:fill="auto"/>
            <w:vAlign w:val="center"/>
          </w:tcPr>
          <w:p w:rsidR="00564481" w:rsidRPr="00C62A13" w:rsidRDefault="00564481" w:rsidP="002B142D">
            <w:pPr>
              <w:pStyle w:val="TableText0"/>
              <w:widowControl w:val="0"/>
              <w:rPr>
                <w:b/>
              </w:rPr>
            </w:pPr>
            <w:r w:rsidRPr="00C62A13">
              <w:rPr>
                <w:b/>
                <w:iCs/>
                <w:szCs w:val="18"/>
              </w:rPr>
              <w:t>DUPI trials</w:t>
            </w:r>
          </w:p>
        </w:tc>
      </w:tr>
      <w:tr w:rsidR="00564481" w:rsidRPr="00C62A13" w:rsidTr="00C51802">
        <w:trPr>
          <w:cantSplit/>
          <w:trHeight w:val="60"/>
        </w:trPr>
        <w:tc>
          <w:tcPr>
            <w:tcW w:w="494" w:type="pct"/>
            <w:vMerge w:val="restart"/>
            <w:shd w:val="clear" w:color="auto" w:fill="auto"/>
            <w:vAlign w:val="center"/>
          </w:tcPr>
          <w:p w:rsidR="00564481" w:rsidRPr="00C62A13" w:rsidRDefault="00564481" w:rsidP="002B142D">
            <w:pPr>
              <w:pStyle w:val="TableText0"/>
              <w:widowControl w:val="0"/>
            </w:pPr>
            <w:r w:rsidRPr="00C62A13">
              <w:rPr>
                <w:iCs/>
                <w:szCs w:val="18"/>
              </w:rPr>
              <w:t>Study 1021</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125*</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P2b, R, MC, DB, PC 16wk, rescue therapy^</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DUPI 300</w:t>
            </w:r>
            <w:r w:rsidR="00C51802" w:rsidRPr="00C62A13">
              <w:t xml:space="preserve"> </w:t>
            </w:r>
            <w:r w:rsidRPr="00C62A13">
              <w:t>mg Q2W</w:t>
            </w:r>
            <w:r w:rsidRPr="00C62A13">
              <w:rPr>
                <w:vertAlign w:val="superscript"/>
              </w:rPr>
              <w:t>†</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 change in EASI at wk16</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shd w:val="clear" w:color="auto" w:fill="auto"/>
            <w:vAlign w:val="center"/>
          </w:tcPr>
          <w:p w:rsidR="00564481" w:rsidRPr="00C62A13" w:rsidRDefault="00564481" w:rsidP="002B142D">
            <w:pPr>
              <w:pStyle w:val="TableText0"/>
              <w:widowControl w:val="0"/>
            </w:pPr>
            <w:r w:rsidRPr="00C62A13">
              <w:rPr>
                <w:iCs/>
                <w:szCs w:val="18"/>
              </w:rPr>
              <w:t>SOLO 1</w:t>
            </w:r>
          </w:p>
        </w:tc>
        <w:tc>
          <w:tcPr>
            <w:tcW w:w="218" w:type="pct"/>
            <w:shd w:val="clear" w:color="auto" w:fill="auto"/>
            <w:vAlign w:val="center"/>
          </w:tcPr>
          <w:p w:rsidR="00564481" w:rsidRPr="00C62A13" w:rsidRDefault="00564481" w:rsidP="002B142D">
            <w:pPr>
              <w:pStyle w:val="TableText0"/>
              <w:widowControl w:val="0"/>
              <w:jc w:val="center"/>
            </w:pPr>
            <w:r w:rsidRPr="00C62A13">
              <w:t>448*</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16wk, rescue therapy^</w:t>
            </w:r>
          </w:p>
        </w:tc>
        <w:tc>
          <w:tcPr>
            <w:tcW w:w="319" w:type="pc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DUPI 300</w:t>
            </w:r>
            <w:r w:rsidR="00C51802" w:rsidRPr="00C62A13">
              <w:t xml:space="preserve"> </w:t>
            </w:r>
            <w:r w:rsidRPr="00C62A13">
              <w:t>mg Q2W</w:t>
            </w:r>
            <w:r w:rsidRPr="00C62A13">
              <w:rPr>
                <w:vertAlign w:val="superscript"/>
              </w:rPr>
              <w:t>†</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IGA of 0 or 1</w:t>
            </w:r>
            <w:r w:rsidRPr="00C62A13">
              <w:rPr>
                <w:vertAlign w:val="superscript"/>
              </w:rPr>
              <w:t>c</w:t>
            </w:r>
            <w:r w:rsidRPr="00C62A13">
              <w:t xml:space="preserve"> &amp; EASI 75</w:t>
            </w:r>
            <w:r w:rsidRPr="00C62A13">
              <w:rPr>
                <w:vertAlign w:val="superscript"/>
              </w:rPr>
              <w:t>§</w:t>
            </w:r>
            <w:r w:rsidRPr="00C62A13">
              <w:t xml:space="preserve"> at wk16</w:t>
            </w:r>
            <w:r w:rsidRPr="00C62A13">
              <w:rPr>
                <w:vertAlign w:val="superscript"/>
              </w:rPr>
              <w:t xml:space="preserve"> </w:t>
            </w:r>
          </w:p>
        </w:tc>
      </w:tr>
      <w:tr w:rsidR="00564481" w:rsidRPr="00C62A13" w:rsidTr="00C51802">
        <w:trPr>
          <w:cantSplit/>
          <w:trHeight w:val="60"/>
        </w:trPr>
        <w:tc>
          <w:tcPr>
            <w:tcW w:w="494" w:type="pct"/>
            <w:shd w:val="clear" w:color="auto" w:fill="auto"/>
            <w:vAlign w:val="center"/>
          </w:tcPr>
          <w:p w:rsidR="00564481" w:rsidRPr="00C62A13" w:rsidRDefault="00564481" w:rsidP="002B142D">
            <w:pPr>
              <w:pStyle w:val="TableText0"/>
              <w:widowControl w:val="0"/>
            </w:pPr>
            <w:r w:rsidRPr="00C62A13">
              <w:rPr>
                <w:iCs/>
                <w:szCs w:val="18"/>
              </w:rPr>
              <w:t>SOLO 2</w:t>
            </w:r>
          </w:p>
        </w:tc>
        <w:tc>
          <w:tcPr>
            <w:tcW w:w="218" w:type="pct"/>
            <w:shd w:val="clear" w:color="auto" w:fill="auto"/>
            <w:vAlign w:val="center"/>
          </w:tcPr>
          <w:p w:rsidR="00564481" w:rsidRPr="00C62A13" w:rsidRDefault="00564481" w:rsidP="002B142D">
            <w:pPr>
              <w:pStyle w:val="TableText0"/>
              <w:widowControl w:val="0"/>
              <w:jc w:val="center"/>
            </w:pPr>
            <w:r w:rsidRPr="00C62A13">
              <w:t>469*</w:t>
            </w: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117"/>
        </w:trPr>
        <w:tc>
          <w:tcPr>
            <w:tcW w:w="494" w:type="pct"/>
            <w:vMerge w:val="restart"/>
            <w:shd w:val="clear" w:color="auto" w:fill="auto"/>
            <w:vAlign w:val="center"/>
          </w:tcPr>
          <w:p w:rsidR="00564481" w:rsidRPr="00C62A13" w:rsidRDefault="00564481" w:rsidP="002B142D">
            <w:pPr>
              <w:pStyle w:val="TableText0"/>
              <w:widowControl w:val="0"/>
              <w:rPr>
                <w:iCs/>
                <w:szCs w:val="18"/>
              </w:rPr>
            </w:pPr>
            <w:r w:rsidRPr="00C62A13">
              <w:rPr>
                <w:iCs/>
                <w:szCs w:val="18"/>
              </w:rPr>
              <w:t>LIBERTY AD ADOL</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215</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AC 16wk, rescue therapy allowed^</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DUPI 200/300</w:t>
            </w:r>
            <w:r w:rsidR="00C51802" w:rsidRPr="00C62A13">
              <w:t xml:space="preserve"> </w:t>
            </w:r>
            <w:r w:rsidRPr="00C62A13">
              <w:t>mg Q2W</w:t>
            </w:r>
            <w:r w:rsidRPr="00C62A13">
              <w:rPr>
                <w:vertAlign w:val="superscript"/>
              </w:rPr>
              <w:t>†</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adolescents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IGA of 0 or 1</w:t>
            </w:r>
            <w:r w:rsidRPr="00C62A13">
              <w:rPr>
                <w:vertAlign w:val="superscript"/>
              </w:rPr>
              <w:t>c</w:t>
            </w:r>
            <w:r w:rsidRPr="00C62A13">
              <w:t xml:space="preserve"> &amp; EASI 75 at wk16</w:t>
            </w:r>
            <w:r w:rsidRPr="00C62A13">
              <w:rPr>
                <w:vertAlign w:val="superscript"/>
              </w:rPr>
              <w:t xml:space="preserve"> </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pPr>
          </w:p>
        </w:tc>
        <w:tc>
          <w:tcPr>
            <w:tcW w:w="1167" w:type="pct"/>
            <w:tcBorders>
              <w:top w:val="dashSmallGap" w:sz="4" w:space="0" w:color="auto"/>
            </w:tcBorders>
            <w:shd w:val="clear" w:color="auto" w:fill="auto"/>
            <w:vAlign w:val="center"/>
          </w:tcPr>
          <w:p w:rsidR="00564481" w:rsidRPr="00C62A13" w:rsidRDefault="00564481" w:rsidP="002B142D">
            <w:pPr>
              <w:pStyle w:val="TableText0"/>
              <w:widowControl w:val="0"/>
              <w:jc w:val="center"/>
            </w:pPr>
            <w:r w:rsidRPr="00C62A13">
              <w:t>PBO</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60"/>
        </w:trPr>
        <w:tc>
          <w:tcPr>
            <w:tcW w:w="494" w:type="pct"/>
            <w:vMerge w:val="restart"/>
            <w:shd w:val="clear" w:color="auto" w:fill="auto"/>
            <w:vAlign w:val="center"/>
          </w:tcPr>
          <w:p w:rsidR="00564481" w:rsidRPr="00C62A13" w:rsidRDefault="00564481" w:rsidP="002B142D">
            <w:pPr>
              <w:pStyle w:val="TableText0"/>
              <w:widowControl w:val="0"/>
            </w:pPr>
            <w:r w:rsidRPr="00C62A13">
              <w:rPr>
                <w:iCs/>
                <w:szCs w:val="18"/>
              </w:rPr>
              <w:t xml:space="preserve">CAFÉ </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215</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16wk, rescue therapy allowed^</w:t>
            </w:r>
          </w:p>
        </w:tc>
        <w:tc>
          <w:tcPr>
            <w:tcW w:w="319" w:type="pct"/>
            <w:vMerge w:val="restart"/>
            <w:shd w:val="clear" w:color="auto" w:fill="auto"/>
            <w:vAlign w:val="center"/>
          </w:tcPr>
          <w:p w:rsidR="00564481" w:rsidRPr="00C62A13" w:rsidRDefault="00564481" w:rsidP="002B142D">
            <w:pPr>
              <w:pStyle w:val="TableText0"/>
              <w:widowControl w:val="0"/>
              <w:jc w:val="center"/>
              <w:rPr>
                <w:highlight w:val="yellow"/>
              </w:rPr>
            </w:pPr>
            <w:r w:rsidRPr="00C62A13">
              <w:t>Low</w:t>
            </w:r>
          </w:p>
        </w:tc>
        <w:tc>
          <w:tcPr>
            <w:tcW w:w="1167" w:type="pct"/>
            <w:tcBorders>
              <w:top w:val="single" w:sz="4" w:space="0" w:color="auto"/>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DUPI 300</w:t>
            </w:r>
            <w:r w:rsidR="00C51802" w:rsidRPr="00C62A13">
              <w:t xml:space="preserve"> </w:t>
            </w:r>
            <w:r w:rsidRPr="00C62A13">
              <w:t>mg Q2W</w:t>
            </w:r>
            <w:r w:rsidRPr="00C62A13">
              <w:rPr>
                <w:vertAlign w:val="superscript"/>
              </w:rPr>
              <w:t>†</w:t>
            </w:r>
            <w:r w:rsidRPr="00C62A13">
              <w:t xml:space="preserve"> </w:t>
            </w:r>
            <w:r w:rsidRPr="00C62A13">
              <w:rPr>
                <w:rFonts w:eastAsia="Times New Roman" w:cs="Arial"/>
                <w:iCs/>
                <w:szCs w:val="18"/>
              </w:rPr>
              <w:t>+TCS</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EASI</w:t>
            </w:r>
            <w:r w:rsidR="00960A92" w:rsidRPr="00C62A13">
              <w:t xml:space="preserve"> </w:t>
            </w:r>
            <w:r w:rsidRPr="00C62A13">
              <w:t>75 at wk16</w:t>
            </w:r>
          </w:p>
        </w:tc>
      </w:tr>
      <w:tr w:rsidR="00564481" w:rsidRPr="00C62A13" w:rsidTr="00C51802">
        <w:trPr>
          <w:cantSplit/>
          <w:trHeight w:val="60"/>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rPr>
                <w:highlight w:val="yellow"/>
              </w:rPr>
            </w:pPr>
          </w:p>
        </w:tc>
        <w:tc>
          <w:tcPr>
            <w:tcW w:w="1167" w:type="pct"/>
            <w:tcBorders>
              <w:top w:val="dashSmallGap" w:sz="4" w:space="0" w:color="auto"/>
              <w:bottom w:val="single" w:sz="4" w:space="0" w:color="auto"/>
            </w:tcBorders>
            <w:shd w:val="clear" w:color="auto" w:fill="auto"/>
            <w:vAlign w:val="center"/>
          </w:tcPr>
          <w:p w:rsidR="00564481" w:rsidRPr="00C62A13" w:rsidRDefault="00564481" w:rsidP="002B142D">
            <w:pPr>
              <w:pStyle w:val="TableText0"/>
              <w:widowControl w:val="0"/>
              <w:jc w:val="center"/>
            </w:pPr>
            <w:r w:rsidRPr="00C62A13">
              <w:t xml:space="preserve">PBO </w:t>
            </w:r>
            <w:r w:rsidRPr="00C62A13">
              <w:rPr>
                <w:rFonts w:eastAsia="Times New Roman" w:cs="Arial"/>
                <w:iCs/>
                <w:szCs w:val="18"/>
              </w:rPr>
              <w:t>+TCS</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C51802">
        <w:trPr>
          <w:cantSplit/>
          <w:trHeight w:val="86"/>
        </w:trPr>
        <w:tc>
          <w:tcPr>
            <w:tcW w:w="494" w:type="pct"/>
            <w:vMerge w:val="restart"/>
            <w:shd w:val="clear" w:color="auto" w:fill="auto"/>
            <w:vAlign w:val="center"/>
          </w:tcPr>
          <w:p w:rsidR="00564481" w:rsidRPr="00C62A13" w:rsidRDefault="00564481" w:rsidP="002B142D">
            <w:pPr>
              <w:pStyle w:val="TableText0"/>
              <w:widowControl w:val="0"/>
            </w:pPr>
            <w:r w:rsidRPr="00C62A13">
              <w:rPr>
                <w:iCs/>
                <w:szCs w:val="18"/>
              </w:rPr>
              <w:t>CHRONOS</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421</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P3, R, MC, DB, PC 52wk, rescue therapy &gt; wk2</w:t>
            </w:r>
          </w:p>
        </w:tc>
        <w:tc>
          <w:tcPr>
            <w:tcW w:w="319" w:type="pct"/>
            <w:vMerge w:val="restart"/>
            <w:shd w:val="clear" w:color="auto" w:fill="auto"/>
            <w:vAlign w:val="center"/>
          </w:tcPr>
          <w:p w:rsidR="00564481" w:rsidRPr="00C62A13" w:rsidRDefault="00564481" w:rsidP="002B142D">
            <w:pPr>
              <w:pStyle w:val="TableText0"/>
              <w:widowControl w:val="0"/>
              <w:jc w:val="center"/>
              <w:rPr>
                <w:highlight w:val="yellow"/>
              </w:rPr>
            </w:pPr>
            <w:r w:rsidRPr="00C62A13">
              <w:t>Low</w:t>
            </w:r>
          </w:p>
        </w:tc>
        <w:tc>
          <w:tcPr>
            <w:tcW w:w="1167" w:type="pct"/>
            <w:tcBorders>
              <w:top w:val="single" w:sz="4" w:space="0" w:color="auto"/>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DUPI 300</w:t>
            </w:r>
            <w:r w:rsidR="00C51802" w:rsidRPr="00C62A13">
              <w:t xml:space="preserve"> </w:t>
            </w:r>
            <w:r w:rsidRPr="00C62A13">
              <w:t>mg Q2W</w:t>
            </w:r>
            <w:r w:rsidRPr="00C62A13">
              <w:rPr>
                <w:vertAlign w:val="superscript"/>
              </w:rPr>
              <w:t>†</w:t>
            </w:r>
            <w:r w:rsidRPr="00C62A13">
              <w:t xml:space="preserve"> </w:t>
            </w:r>
            <w:r w:rsidRPr="00C62A13">
              <w:rPr>
                <w:rFonts w:eastAsia="Times New Roman" w:cs="Arial"/>
                <w:iCs/>
                <w:szCs w:val="18"/>
              </w:rPr>
              <w:t>+TCS</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IGA of 0 or 1</w:t>
            </w:r>
            <w:r w:rsidRPr="00C62A13">
              <w:rPr>
                <w:vertAlign w:val="superscript"/>
              </w:rPr>
              <w:t>c</w:t>
            </w:r>
            <w:r w:rsidRPr="00C62A13">
              <w:t xml:space="preserve"> and </w:t>
            </w:r>
          </w:p>
          <w:p w:rsidR="00564481" w:rsidRPr="00C62A13" w:rsidRDefault="00564481" w:rsidP="002B142D">
            <w:pPr>
              <w:pStyle w:val="TableText0"/>
              <w:widowControl w:val="0"/>
              <w:jc w:val="center"/>
            </w:pPr>
            <w:r w:rsidRPr="00C62A13">
              <w:t>EASI</w:t>
            </w:r>
            <w:r w:rsidR="00960A92" w:rsidRPr="00C62A13">
              <w:t xml:space="preserve"> </w:t>
            </w:r>
            <w:r w:rsidRPr="00C62A13">
              <w:t>75 at wk16</w:t>
            </w:r>
          </w:p>
        </w:tc>
      </w:tr>
      <w:tr w:rsidR="00564481" w:rsidRPr="00C62A13" w:rsidTr="00C51802">
        <w:trPr>
          <w:cantSplit/>
          <w:trHeight w:val="194"/>
        </w:trPr>
        <w:tc>
          <w:tcPr>
            <w:tcW w:w="494" w:type="pct"/>
            <w:vMerge/>
            <w:shd w:val="clear" w:color="auto" w:fill="auto"/>
            <w:vAlign w:val="center"/>
          </w:tcPr>
          <w:p w:rsidR="00564481" w:rsidRPr="00C62A13" w:rsidRDefault="00564481" w:rsidP="002B142D">
            <w:pPr>
              <w:pStyle w:val="TableText0"/>
              <w:widowControl w:val="0"/>
              <w:rPr>
                <w:iCs/>
                <w:szCs w:val="18"/>
              </w:rPr>
            </w:pPr>
          </w:p>
        </w:tc>
        <w:tc>
          <w:tcPr>
            <w:tcW w:w="218" w:type="pct"/>
            <w:vMerge/>
            <w:shd w:val="clear" w:color="auto" w:fill="auto"/>
            <w:vAlign w:val="center"/>
          </w:tcPr>
          <w:p w:rsidR="00564481" w:rsidRPr="00C62A13" w:rsidRDefault="00564481" w:rsidP="002B142D">
            <w:pPr>
              <w:pStyle w:val="TableText0"/>
              <w:widowControl w:val="0"/>
              <w:jc w:val="center"/>
            </w:pPr>
          </w:p>
        </w:tc>
        <w:tc>
          <w:tcPr>
            <w:tcW w:w="1321" w:type="pct"/>
            <w:vMerge/>
            <w:shd w:val="clear" w:color="auto" w:fill="auto"/>
            <w:vAlign w:val="center"/>
          </w:tcPr>
          <w:p w:rsidR="00564481" w:rsidRPr="00C62A13" w:rsidRDefault="00564481" w:rsidP="002B142D">
            <w:pPr>
              <w:pStyle w:val="TableText0"/>
              <w:widowControl w:val="0"/>
              <w:jc w:val="center"/>
            </w:pPr>
          </w:p>
        </w:tc>
        <w:tc>
          <w:tcPr>
            <w:tcW w:w="319" w:type="pct"/>
            <w:vMerge/>
            <w:shd w:val="clear" w:color="auto" w:fill="auto"/>
            <w:vAlign w:val="center"/>
          </w:tcPr>
          <w:p w:rsidR="00564481" w:rsidRPr="00C62A13" w:rsidRDefault="00564481" w:rsidP="002B142D">
            <w:pPr>
              <w:pStyle w:val="TableText0"/>
              <w:widowControl w:val="0"/>
              <w:jc w:val="center"/>
              <w:rPr>
                <w:highlight w:val="yellow"/>
              </w:rPr>
            </w:pPr>
          </w:p>
        </w:tc>
        <w:tc>
          <w:tcPr>
            <w:tcW w:w="1167" w:type="pct"/>
            <w:tcBorders>
              <w:top w:val="dashSmallGap" w:sz="4" w:space="0" w:color="auto"/>
              <w:bottom w:val="single" w:sz="4" w:space="0" w:color="auto"/>
            </w:tcBorders>
            <w:shd w:val="clear" w:color="auto" w:fill="auto"/>
            <w:vAlign w:val="center"/>
          </w:tcPr>
          <w:p w:rsidR="00564481" w:rsidRPr="00C62A13" w:rsidRDefault="00564481" w:rsidP="002B142D">
            <w:pPr>
              <w:pStyle w:val="TableText0"/>
              <w:widowControl w:val="0"/>
              <w:jc w:val="center"/>
            </w:pPr>
            <w:r w:rsidRPr="00C62A13">
              <w:t xml:space="preserve">PBO </w:t>
            </w:r>
            <w:r w:rsidRPr="00C62A13">
              <w:rPr>
                <w:rFonts w:eastAsia="Times New Roman" w:cs="Arial"/>
                <w:iCs/>
                <w:szCs w:val="18"/>
              </w:rPr>
              <w:t>+TCS</w:t>
            </w:r>
          </w:p>
        </w:tc>
        <w:tc>
          <w:tcPr>
            <w:tcW w:w="707" w:type="pct"/>
            <w:vMerge/>
            <w:shd w:val="clear" w:color="auto" w:fill="auto"/>
            <w:vAlign w:val="center"/>
          </w:tcPr>
          <w:p w:rsidR="00564481" w:rsidRPr="00C62A13" w:rsidRDefault="00564481" w:rsidP="002B142D">
            <w:pPr>
              <w:pStyle w:val="TableText0"/>
              <w:widowControl w:val="0"/>
              <w:jc w:val="center"/>
            </w:pPr>
          </w:p>
        </w:tc>
        <w:tc>
          <w:tcPr>
            <w:tcW w:w="774" w:type="pct"/>
            <w:vMerge/>
            <w:shd w:val="clear" w:color="auto" w:fill="auto"/>
            <w:vAlign w:val="center"/>
          </w:tcPr>
          <w:p w:rsidR="00564481" w:rsidRPr="00C62A13" w:rsidRDefault="00564481" w:rsidP="002B142D">
            <w:pPr>
              <w:pStyle w:val="TableText0"/>
              <w:widowControl w:val="0"/>
              <w:jc w:val="center"/>
            </w:pPr>
          </w:p>
        </w:tc>
      </w:tr>
      <w:tr w:rsidR="00564481" w:rsidRPr="00C62A13" w:rsidTr="002B142D">
        <w:trPr>
          <w:cantSplit/>
          <w:trHeight w:val="60"/>
        </w:trPr>
        <w:tc>
          <w:tcPr>
            <w:tcW w:w="494" w:type="pct"/>
            <w:vMerge w:val="restart"/>
            <w:shd w:val="clear" w:color="auto" w:fill="auto"/>
            <w:vAlign w:val="center"/>
          </w:tcPr>
          <w:p w:rsidR="00564481" w:rsidRPr="00C62A13" w:rsidRDefault="00564481" w:rsidP="002B142D">
            <w:pPr>
              <w:pStyle w:val="TableText0"/>
              <w:widowControl w:val="0"/>
            </w:pPr>
            <w:r w:rsidRPr="00C62A13">
              <w:rPr>
                <w:iCs/>
                <w:szCs w:val="18"/>
              </w:rPr>
              <w:t>JADE Compare</w:t>
            </w:r>
          </w:p>
        </w:tc>
        <w:tc>
          <w:tcPr>
            <w:tcW w:w="218" w:type="pct"/>
            <w:vMerge w:val="restart"/>
            <w:shd w:val="clear" w:color="auto" w:fill="auto"/>
            <w:vAlign w:val="center"/>
          </w:tcPr>
          <w:p w:rsidR="00564481" w:rsidRPr="00C62A13" w:rsidRDefault="00564481" w:rsidP="002B142D">
            <w:pPr>
              <w:pStyle w:val="TableText0"/>
              <w:widowControl w:val="0"/>
              <w:jc w:val="center"/>
            </w:pPr>
            <w:r w:rsidRPr="00C62A13">
              <w:t>373*</w:t>
            </w:r>
          </w:p>
        </w:tc>
        <w:tc>
          <w:tcPr>
            <w:tcW w:w="1321" w:type="pct"/>
            <w:vMerge w:val="restart"/>
            <w:shd w:val="clear" w:color="auto" w:fill="auto"/>
            <w:vAlign w:val="center"/>
          </w:tcPr>
          <w:p w:rsidR="00564481" w:rsidRPr="00C62A13" w:rsidRDefault="00564481" w:rsidP="002B142D">
            <w:pPr>
              <w:pStyle w:val="TableText0"/>
              <w:widowControl w:val="0"/>
              <w:jc w:val="center"/>
            </w:pPr>
            <w:r w:rsidRPr="00C62A13">
              <w:t xml:space="preserve">P3, R, MC, DB, DD, PC, AC 16wk, </w:t>
            </w:r>
            <w:r w:rsidRPr="002B142D">
              <w:t>rescue therapy NR</w:t>
            </w:r>
          </w:p>
        </w:tc>
        <w:tc>
          <w:tcPr>
            <w:tcW w:w="319" w:type="pct"/>
            <w:vMerge w:val="restart"/>
            <w:shd w:val="clear" w:color="auto" w:fill="auto"/>
            <w:vAlign w:val="center"/>
          </w:tcPr>
          <w:p w:rsidR="00564481" w:rsidRPr="00C62A13" w:rsidRDefault="00564481" w:rsidP="002B142D">
            <w:pPr>
              <w:pStyle w:val="TableText0"/>
              <w:widowControl w:val="0"/>
              <w:jc w:val="center"/>
            </w:pPr>
            <w:r w:rsidRPr="00C62A13">
              <w:t>Low</w:t>
            </w:r>
          </w:p>
        </w:tc>
        <w:tc>
          <w:tcPr>
            <w:tcW w:w="1167" w:type="pct"/>
            <w:tcBorders>
              <w:top w:val="single" w:sz="4" w:space="0" w:color="auto"/>
              <w:bottom w:val="dashSmallGap" w:sz="4" w:space="0" w:color="auto"/>
            </w:tcBorders>
            <w:shd w:val="clear" w:color="auto" w:fill="auto"/>
            <w:vAlign w:val="center"/>
          </w:tcPr>
          <w:p w:rsidR="00564481" w:rsidRPr="00C62A13" w:rsidRDefault="00564481" w:rsidP="002B142D">
            <w:pPr>
              <w:pStyle w:val="TableText0"/>
              <w:widowControl w:val="0"/>
              <w:jc w:val="center"/>
            </w:pPr>
            <w:r w:rsidRPr="00C62A13">
              <w:t>DUPI 300</w:t>
            </w:r>
            <w:r w:rsidR="00C51802" w:rsidRPr="00C62A13">
              <w:t xml:space="preserve"> </w:t>
            </w:r>
            <w:r w:rsidRPr="00C62A13">
              <w:t xml:space="preserve">mg Q2W </w:t>
            </w:r>
            <w:r w:rsidRPr="00C62A13">
              <w:rPr>
                <w:rFonts w:eastAsia="Times New Roman" w:cs="Arial"/>
                <w:iCs/>
                <w:szCs w:val="18"/>
              </w:rPr>
              <w:t>+TCS</w:t>
            </w:r>
          </w:p>
        </w:tc>
        <w:tc>
          <w:tcPr>
            <w:tcW w:w="707" w:type="pct"/>
            <w:vMerge w:val="restart"/>
            <w:shd w:val="clear" w:color="auto" w:fill="auto"/>
            <w:vAlign w:val="center"/>
          </w:tcPr>
          <w:p w:rsidR="00564481" w:rsidRPr="00C62A13" w:rsidRDefault="00564481" w:rsidP="002B142D">
            <w:pPr>
              <w:pStyle w:val="TableText0"/>
              <w:widowControl w:val="0"/>
              <w:jc w:val="center"/>
            </w:pPr>
            <w:r w:rsidRPr="00C62A13">
              <w:t>M-S AD; adults</w:t>
            </w:r>
          </w:p>
        </w:tc>
        <w:tc>
          <w:tcPr>
            <w:tcW w:w="774" w:type="pct"/>
            <w:vMerge w:val="restart"/>
            <w:shd w:val="clear" w:color="auto" w:fill="auto"/>
            <w:vAlign w:val="center"/>
          </w:tcPr>
          <w:p w:rsidR="00564481" w:rsidRPr="00C62A13" w:rsidRDefault="00564481" w:rsidP="002B142D">
            <w:pPr>
              <w:pStyle w:val="TableText0"/>
              <w:widowControl w:val="0"/>
              <w:jc w:val="center"/>
            </w:pPr>
            <w:r w:rsidRPr="00C62A13">
              <w:t>IGA of 0 or 1</w:t>
            </w:r>
            <w:r w:rsidRPr="00C62A13">
              <w:rPr>
                <w:vertAlign w:val="superscript"/>
              </w:rPr>
              <w:t>c</w:t>
            </w:r>
            <w:r w:rsidRPr="00C62A13">
              <w:t xml:space="preserve"> and </w:t>
            </w:r>
          </w:p>
          <w:p w:rsidR="00564481" w:rsidRPr="00C62A13" w:rsidRDefault="00564481" w:rsidP="002B142D">
            <w:pPr>
              <w:pStyle w:val="TableText0"/>
              <w:widowControl w:val="0"/>
              <w:jc w:val="center"/>
            </w:pPr>
            <w:r w:rsidRPr="00C62A13">
              <w:t>EASI</w:t>
            </w:r>
            <w:r w:rsidR="00960A92" w:rsidRPr="00C62A13">
              <w:t xml:space="preserve"> </w:t>
            </w:r>
            <w:r w:rsidRPr="00C62A13">
              <w:t>75 at wk12</w:t>
            </w:r>
          </w:p>
        </w:tc>
      </w:tr>
      <w:tr w:rsidR="00564481" w:rsidRPr="00C62A13" w:rsidTr="002B142D">
        <w:trPr>
          <w:cantSplit/>
          <w:trHeight w:val="82"/>
        </w:trPr>
        <w:tc>
          <w:tcPr>
            <w:tcW w:w="494" w:type="pct"/>
            <w:vMerge/>
            <w:shd w:val="clear" w:color="auto" w:fill="auto"/>
            <w:vAlign w:val="center"/>
          </w:tcPr>
          <w:p w:rsidR="00564481" w:rsidRPr="00C62A13" w:rsidRDefault="00564481" w:rsidP="005F61AA">
            <w:pPr>
              <w:pStyle w:val="TableText0"/>
              <w:keepNext w:val="0"/>
              <w:widowControl w:val="0"/>
              <w:rPr>
                <w:iCs/>
                <w:szCs w:val="18"/>
              </w:rPr>
            </w:pPr>
          </w:p>
        </w:tc>
        <w:tc>
          <w:tcPr>
            <w:tcW w:w="218" w:type="pct"/>
            <w:vMerge/>
            <w:shd w:val="clear" w:color="auto" w:fill="auto"/>
            <w:vAlign w:val="center"/>
          </w:tcPr>
          <w:p w:rsidR="00564481" w:rsidRPr="00C62A13" w:rsidRDefault="00564481" w:rsidP="005F61AA">
            <w:pPr>
              <w:pStyle w:val="TableText0"/>
              <w:keepNext w:val="0"/>
              <w:widowControl w:val="0"/>
              <w:jc w:val="center"/>
            </w:pPr>
          </w:p>
        </w:tc>
        <w:tc>
          <w:tcPr>
            <w:tcW w:w="1321" w:type="pct"/>
            <w:vMerge/>
            <w:shd w:val="clear" w:color="auto" w:fill="auto"/>
            <w:vAlign w:val="center"/>
          </w:tcPr>
          <w:p w:rsidR="00564481" w:rsidRPr="00C62A13" w:rsidRDefault="00564481" w:rsidP="005F61AA">
            <w:pPr>
              <w:pStyle w:val="TableText0"/>
              <w:keepNext w:val="0"/>
              <w:widowControl w:val="0"/>
              <w:jc w:val="center"/>
            </w:pPr>
          </w:p>
        </w:tc>
        <w:tc>
          <w:tcPr>
            <w:tcW w:w="319" w:type="pct"/>
            <w:vMerge/>
            <w:shd w:val="clear" w:color="auto" w:fill="auto"/>
            <w:vAlign w:val="center"/>
          </w:tcPr>
          <w:p w:rsidR="00564481" w:rsidRPr="00C62A13" w:rsidRDefault="00564481" w:rsidP="005F61AA">
            <w:pPr>
              <w:pStyle w:val="TableText0"/>
              <w:keepNext w:val="0"/>
              <w:widowControl w:val="0"/>
              <w:jc w:val="center"/>
              <w:rPr>
                <w:i/>
              </w:rPr>
            </w:pPr>
          </w:p>
        </w:tc>
        <w:tc>
          <w:tcPr>
            <w:tcW w:w="1167" w:type="pct"/>
            <w:tcBorders>
              <w:top w:val="dashSmallGap" w:sz="4" w:space="0" w:color="auto"/>
              <w:bottom w:val="single" w:sz="4" w:space="0" w:color="auto"/>
            </w:tcBorders>
            <w:shd w:val="clear" w:color="auto" w:fill="auto"/>
            <w:vAlign w:val="center"/>
          </w:tcPr>
          <w:p w:rsidR="00564481" w:rsidRPr="00C62A13" w:rsidRDefault="00564481" w:rsidP="005F61AA">
            <w:pPr>
              <w:pStyle w:val="TableText0"/>
              <w:keepNext w:val="0"/>
              <w:widowControl w:val="0"/>
              <w:jc w:val="center"/>
            </w:pPr>
            <w:r w:rsidRPr="00C62A13">
              <w:t xml:space="preserve">PBO </w:t>
            </w:r>
            <w:r w:rsidRPr="00C62A13">
              <w:rPr>
                <w:rFonts w:eastAsia="Times New Roman" w:cs="Arial"/>
                <w:iCs/>
                <w:szCs w:val="18"/>
              </w:rPr>
              <w:t>+TCS</w:t>
            </w:r>
          </w:p>
        </w:tc>
        <w:tc>
          <w:tcPr>
            <w:tcW w:w="707" w:type="pct"/>
            <w:vMerge/>
            <w:shd w:val="clear" w:color="auto" w:fill="auto"/>
            <w:vAlign w:val="center"/>
          </w:tcPr>
          <w:p w:rsidR="00564481" w:rsidRPr="00C62A13" w:rsidRDefault="00564481" w:rsidP="005F61AA">
            <w:pPr>
              <w:pStyle w:val="TableText0"/>
              <w:keepNext w:val="0"/>
              <w:widowControl w:val="0"/>
              <w:jc w:val="center"/>
            </w:pPr>
          </w:p>
        </w:tc>
        <w:tc>
          <w:tcPr>
            <w:tcW w:w="774" w:type="pct"/>
            <w:vMerge/>
            <w:shd w:val="clear" w:color="auto" w:fill="auto"/>
            <w:vAlign w:val="center"/>
          </w:tcPr>
          <w:p w:rsidR="00564481" w:rsidRPr="00C62A13" w:rsidRDefault="00564481" w:rsidP="005F61AA">
            <w:pPr>
              <w:pStyle w:val="TableText0"/>
              <w:keepNext w:val="0"/>
              <w:widowControl w:val="0"/>
              <w:jc w:val="center"/>
            </w:pPr>
          </w:p>
        </w:tc>
      </w:tr>
    </w:tbl>
    <w:p w:rsidR="00564481" w:rsidRPr="00C62A13" w:rsidRDefault="00564481" w:rsidP="00564481">
      <w:pPr>
        <w:pStyle w:val="TableFigureFooter"/>
        <w:widowControl w:val="0"/>
      </w:pPr>
      <w:r w:rsidRPr="00C62A13">
        <w:t>Source: Tables 2-7, pp57-60 of the submission, and related publications/CSRs.</w:t>
      </w:r>
    </w:p>
    <w:p w:rsidR="00564481" w:rsidRPr="00C62A13" w:rsidRDefault="00564481" w:rsidP="00564481">
      <w:pPr>
        <w:pStyle w:val="TableFigureFooter"/>
        <w:widowControl w:val="0"/>
      </w:pPr>
      <w:r w:rsidRPr="00C62A13">
        <w:t>P2/3</w:t>
      </w:r>
      <w:r w:rsidR="0092701E">
        <w:t xml:space="preserve"> </w:t>
      </w:r>
      <w:r w:rsidRPr="00C62A13">
        <w:t>=</w:t>
      </w:r>
      <w:r w:rsidR="0092701E">
        <w:t xml:space="preserve"> </w:t>
      </w:r>
      <w:r w:rsidRPr="00C62A13">
        <w:t>phase 2 or 3; BE</w:t>
      </w:r>
      <w:r w:rsidR="0092701E">
        <w:t xml:space="preserve"> </w:t>
      </w:r>
      <w:r w:rsidRPr="00C62A13">
        <w:t>=</w:t>
      </w:r>
      <w:r w:rsidR="0092701E">
        <w:t xml:space="preserve"> </w:t>
      </w:r>
      <w:r w:rsidRPr="00C62A13">
        <w:t>blinded extension; DB</w:t>
      </w:r>
      <w:r w:rsidR="0092701E">
        <w:t xml:space="preserve"> </w:t>
      </w:r>
      <w:r w:rsidRPr="00C62A13">
        <w:t>=</w:t>
      </w:r>
      <w:r w:rsidR="0092701E">
        <w:t xml:space="preserve"> </w:t>
      </w:r>
      <w:r w:rsidRPr="00C62A13">
        <w:t>double blind; DD</w:t>
      </w:r>
      <w:r w:rsidR="0092701E">
        <w:t xml:space="preserve"> </w:t>
      </w:r>
      <w:r w:rsidRPr="00C62A13">
        <w:t>=</w:t>
      </w:r>
      <w:r w:rsidR="0092701E">
        <w:t xml:space="preserve"> </w:t>
      </w:r>
      <w:r w:rsidRPr="00C62A13">
        <w:t>double dummy; MC</w:t>
      </w:r>
      <w:r w:rsidR="0092701E">
        <w:t xml:space="preserve"> </w:t>
      </w:r>
      <w:r w:rsidRPr="00C62A13">
        <w:t>=</w:t>
      </w:r>
      <w:r w:rsidR="0092701E">
        <w:t xml:space="preserve"> </w:t>
      </w:r>
      <w:r w:rsidRPr="00C62A13">
        <w:t>multi-centre; R</w:t>
      </w:r>
      <w:r w:rsidR="0092701E">
        <w:t xml:space="preserve"> </w:t>
      </w:r>
      <w:r w:rsidRPr="00C62A13">
        <w:t>=</w:t>
      </w:r>
      <w:r w:rsidR="0092701E">
        <w:t xml:space="preserve"> </w:t>
      </w:r>
      <w:r w:rsidRPr="00C62A13">
        <w:t>randomised; OL</w:t>
      </w:r>
      <w:r w:rsidR="0092701E">
        <w:t xml:space="preserve"> </w:t>
      </w:r>
      <w:r w:rsidRPr="00C62A13">
        <w:t>=</w:t>
      </w:r>
      <w:r w:rsidR="0092701E">
        <w:t xml:space="preserve"> </w:t>
      </w:r>
      <w:r w:rsidRPr="00C62A13">
        <w:t>open-label; PC</w:t>
      </w:r>
      <w:r w:rsidR="0092701E">
        <w:t xml:space="preserve"> </w:t>
      </w:r>
      <w:r w:rsidRPr="00C62A13">
        <w:t>=</w:t>
      </w:r>
      <w:r w:rsidR="0092701E">
        <w:t xml:space="preserve"> </w:t>
      </w:r>
      <w:r w:rsidRPr="00C62A13">
        <w:t>placebo-controlled; AC</w:t>
      </w:r>
      <w:r w:rsidR="0092701E">
        <w:t xml:space="preserve"> </w:t>
      </w:r>
      <w:r w:rsidRPr="00C62A13">
        <w:t>=</w:t>
      </w:r>
      <w:r w:rsidR="0092701E">
        <w:t xml:space="preserve"> </w:t>
      </w:r>
      <w:r w:rsidRPr="00C62A13">
        <w:t>active control; SOC</w:t>
      </w:r>
      <w:r w:rsidR="0092701E">
        <w:t xml:space="preserve"> </w:t>
      </w:r>
      <w:r w:rsidRPr="00C62A13">
        <w:t>=</w:t>
      </w:r>
      <w:r w:rsidR="0092701E">
        <w:t xml:space="preserve"> </w:t>
      </w:r>
      <w:r w:rsidRPr="00C62A13">
        <w:t>standard-of-care; TCS</w:t>
      </w:r>
      <w:r w:rsidR="0092701E">
        <w:t xml:space="preserve"> </w:t>
      </w:r>
      <w:r w:rsidRPr="00C62A13">
        <w:t>=</w:t>
      </w:r>
      <w:r w:rsidR="0092701E">
        <w:t xml:space="preserve"> </w:t>
      </w:r>
      <w:r w:rsidRPr="00C62A13">
        <w:t xml:space="preserve">topical corticosteroids; </w:t>
      </w:r>
      <w:r w:rsidR="009A3C05" w:rsidRPr="00C62A13">
        <w:t>wk</w:t>
      </w:r>
      <w:r w:rsidR="0092701E">
        <w:t xml:space="preserve"> </w:t>
      </w:r>
      <w:r w:rsidR="009A3C05" w:rsidRPr="00C62A13">
        <w:t>=</w:t>
      </w:r>
      <w:r w:rsidR="0092701E">
        <w:t xml:space="preserve"> </w:t>
      </w:r>
      <w:r w:rsidR="009A3C05" w:rsidRPr="00C62A13">
        <w:t>week</w:t>
      </w:r>
      <w:r w:rsidRPr="00C62A13">
        <w:t>; DUPI</w:t>
      </w:r>
      <w:r w:rsidR="0092701E">
        <w:t xml:space="preserve"> </w:t>
      </w:r>
      <w:r w:rsidRPr="00C62A13">
        <w:t>=</w:t>
      </w:r>
      <w:r w:rsidR="0092701E">
        <w:t xml:space="preserve"> </w:t>
      </w:r>
      <w:r w:rsidRPr="00C62A13">
        <w:t>dupilumab; PBO</w:t>
      </w:r>
      <w:r w:rsidR="0092701E">
        <w:t xml:space="preserve"> </w:t>
      </w:r>
      <w:r w:rsidRPr="00C62A13">
        <w:t>=</w:t>
      </w:r>
      <w:r w:rsidR="0092701E">
        <w:t xml:space="preserve"> </w:t>
      </w:r>
      <w:r w:rsidRPr="00C62A13">
        <w:t>placebo; UPA</w:t>
      </w:r>
      <w:r w:rsidR="0092701E">
        <w:t xml:space="preserve"> </w:t>
      </w:r>
      <w:r w:rsidRPr="00C62A13">
        <w:t>=</w:t>
      </w:r>
      <w:r w:rsidR="0092701E">
        <w:t xml:space="preserve"> </w:t>
      </w:r>
      <w:r w:rsidRPr="00C62A13">
        <w:t>upadacitinib; D</w:t>
      </w:r>
      <w:r w:rsidR="0092701E">
        <w:t xml:space="preserve"> </w:t>
      </w:r>
      <w:r w:rsidRPr="00C62A13">
        <w:t>=</w:t>
      </w:r>
      <w:r w:rsidR="0092701E">
        <w:t xml:space="preserve"> </w:t>
      </w:r>
      <w:r w:rsidRPr="00C62A13">
        <w:t>once daily; Q2W</w:t>
      </w:r>
      <w:r w:rsidR="0092701E">
        <w:t xml:space="preserve"> </w:t>
      </w:r>
      <w:r w:rsidRPr="00C62A13">
        <w:t>=</w:t>
      </w:r>
      <w:r w:rsidR="0092701E">
        <w:t xml:space="preserve"> </w:t>
      </w:r>
      <w:r w:rsidRPr="00C62A13">
        <w:t>once every 2</w:t>
      </w:r>
      <w:r w:rsidR="00C62A13">
        <w:t xml:space="preserve"> </w:t>
      </w:r>
      <w:r w:rsidRPr="00C62A13">
        <w:t>weeks; IGA = investigator’s global assessment; EASI</w:t>
      </w:r>
      <w:r w:rsidR="0092701E">
        <w:t xml:space="preserve"> </w:t>
      </w:r>
      <w:r w:rsidRPr="00C62A13">
        <w:t>= Eczema Area and Severity Index; EASI</w:t>
      </w:r>
      <w:r w:rsidR="005C4E5C" w:rsidRPr="00C62A13">
        <w:t xml:space="preserve"> </w:t>
      </w:r>
      <w:r w:rsidRPr="00C62A13">
        <w:t>50/75 = improvement of at least 50/75% from baseline in Eczema Area and Severity Index; NR</w:t>
      </w:r>
      <w:r w:rsidR="0092701E">
        <w:t xml:space="preserve"> </w:t>
      </w:r>
      <w:r w:rsidRPr="00C62A13">
        <w:t>=</w:t>
      </w:r>
      <w:r w:rsidR="0092701E">
        <w:t xml:space="preserve"> </w:t>
      </w:r>
      <w:r w:rsidRPr="00C62A13">
        <w:t>not reported; M-S</w:t>
      </w:r>
      <w:r w:rsidR="0092701E">
        <w:t xml:space="preserve"> </w:t>
      </w:r>
      <w:r w:rsidRPr="00C62A13">
        <w:t>=</w:t>
      </w:r>
      <w:r w:rsidR="0092701E">
        <w:t xml:space="preserve"> </w:t>
      </w:r>
      <w:r w:rsidRPr="00C62A13">
        <w:t>moderate to severe.</w:t>
      </w:r>
    </w:p>
    <w:p w:rsidR="00564481" w:rsidRPr="00C62A13" w:rsidRDefault="00564481" w:rsidP="00564481">
      <w:pPr>
        <w:pStyle w:val="TableFigureFooter"/>
        <w:widowControl w:val="0"/>
        <w:tabs>
          <w:tab w:val="left" w:pos="142"/>
        </w:tabs>
        <w:ind w:left="135" w:hanging="135"/>
      </w:pPr>
      <w:r w:rsidRPr="00C62A13">
        <w:rPr>
          <w:vertAlign w:val="superscript"/>
        </w:rPr>
        <w:t>a</w:t>
      </w:r>
      <w:r w:rsidRPr="00C62A13">
        <w:tab/>
        <w:t>At Week 16, subjects in the placebo group were re-randomised to receive UPA 30</w:t>
      </w:r>
      <w:r w:rsidR="001E11A3" w:rsidRPr="00C62A13">
        <w:t xml:space="preserve"> </w:t>
      </w:r>
      <w:r w:rsidRPr="00C62A13">
        <w:t>mg or UPA 15</w:t>
      </w:r>
      <w:r w:rsidR="001E11A3" w:rsidRPr="00C62A13">
        <w:t xml:space="preserve"> </w:t>
      </w:r>
      <w:r w:rsidRPr="00C62A13">
        <w:t>mg in the BE period. Subjects originally randomised to UPA were to continue UPA at the same dose.</w:t>
      </w:r>
    </w:p>
    <w:p w:rsidR="00564481" w:rsidRPr="00C62A13" w:rsidRDefault="00564481" w:rsidP="00564481">
      <w:pPr>
        <w:pStyle w:val="TableFigureFooter"/>
        <w:widowControl w:val="0"/>
        <w:tabs>
          <w:tab w:val="left" w:pos="142"/>
        </w:tabs>
        <w:ind w:left="135" w:hanging="135"/>
      </w:pPr>
      <w:r w:rsidRPr="00C62A13">
        <w:rPr>
          <w:vertAlign w:val="superscript"/>
        </w:rPr>
        <w:t>b</w:t>
      </w:r>
      <w:r w:rsidRPr="00C62A13">
        <w:tab/>
        <w:t>M16-048: At Week 16, subjects who completed the first 16-week double-blind period (Period 1) were re-randomised into a 72-week double-blind, PBO-controlled treatment period (Period 2), at the same UPA dose as Period 1. PBO patients in Period 1 were re-randomised to receive UPA 30 mg daily or PBO in Period 2.</w:t>
      </w:r>
    </w:p>
    <w:p w:rsidR="00564481" w:rsidRPr="00C62A13" w:rsidRDefault="00564481" w:rsidP="00564481">
      <w:pPr>
        <w:pStyle w:val="TableFigureFooter"/>
        <w:widowControl w:val="0"/>
        <w:tabs>
          <w:tab w:val="left" w:pos="142"/>
        </w:tabs>
        <w:ind w:left="135" w:hanging="135"/>
      </w:pPr>
      <w:r w:rsidRPr="00C62A13">
        <w:rPr>
          <w:vertAlign w:val="superscript"/>
        </w:rPr>
        <w:t>c</w:t>
      </w:r>
      <w:r w:rsidRPr="00C62A13">
        <w:tab/>
        <w:t>Proportion of patients achieving IGA of 0 or 1 with a ≥2-point improvement (i.e.: from a baseline of 3 or 4 on the 5-point IGA scale)</w:t>
      </w:r>
    </w:p>
    <w:p w:rsidR="00564481" w:rsidRPr="00C62A13" w:rsidRDefault="00564481" w:rsidP="00564481">
      <w:pPr>
        <w:pStyle w:val="TableFigureFooter"/>
        <w:widowControl w:val="0"/>
        <w:tabs>
          <w:tab w:val="left" w:pos="142"/>
        </w:tabs>
        <w:ind w:left="135" w:hanging="135"/>
      </w:pPr>
      <w:r w:rsidRPr="00C62A13">
        <w:t>*</w:t>
      </w:r>
      <w:r w:rsidRPr="00C62A13">
        <w:tab/>
        <w:t>Excluding patients randomised to the following treatment arms: UPA 7.5</w:t>
      </w:r>
      <w:r w:rsidR="001E11A3" w:rsidRPr="00C62A13">
        <w:t xml:space="preserve"> </w:t>
      </w:r>
      <w:r w:rsidRPr="00C62A13">
        <w:t>mg, DUPI 300</w:t>
      </w:r>
      <w:r w:rsidR="001E11A3" w:rsidRPr="00C62A13">
        <w:t xml:space="preserve"> </w:t>
      </w:r>
      <w:r w:rsidRPr="00C62A13">
        <w:t>mg weekly/200mg every 2 weeks/100</w:t>
      </w:r>
      <w:r w:rsidR="001E11A3" w:rsidRPr="00C62A13">
        <w:t xml:space="preserve"> </w:t>
      </w:r>
      <w:r w:rsidRPr="00C62A13">
        <w:t>mg every 4 weeks or abrocitinib 100 or 200</w:t>
      </w:r>
      <w:r w:rsidR="001E11A3" w:rsidRPr="00C62A13">
        <w:t xml:space="preserve"> </w:t>
      </w:r>
      <w:r w:rsidRPr="00C62A13">
        <w:t>mg daily.</w:t>
      </w:r>
    </w:p>
    <w:p w:rsidR="00564481" w:rsidRPr="00C62A13" w:rsidRDefault="00564481" w:rsidP="00564481">
      <w:pPr>
        <w:pStyle w:val="TableFigureFooter"/>
        <w:widowControl w:val="0"/>
        <w:tabs>
          <w:tab w:val="left" w:pos="142"/>
        </w:tabs>
        <w:ind w:left="135" w:hanging="135"/>
      </w:pPr>
      <w:r w:rsidRPr="00C62A13">
        <w:rPr>
          <w:vertAlign w:val="superscript"/>
        </w:rPr>
        <w:t>†</w:t>
      </w:r>
      <w:r w:rsidRPr="00C62A13">
        <w:tab/>
        <w:t>‘DUPI 300</w:t>
      </w:r>
      <w:r w:rsidR="001E11A3" w:rsidRPr="00C62A13">
        <w:t xml:space="preserve"> </w:t>
      </w:r>
      <w:r w:rsidRPr="00C62A13">
        <w:t>mg Q2W’ comprised 600</w:t>
      </w:r>
      <w:r w:rsidR="001E11A3" w:rsidRPr="00C62A13">
        <w:t xml:space="preserve"> </w:t>
      </w:r>
      <w:r w:rsidRPr="00C62A13">
        <w:t>mg loading, then 300</w:t>
      </w:r>
      <w:r w:rsidR="001E11A3" w:rsidRPr="00C62A13">
        <w:t xml:space="preserve"> </w:t>
      </w:r>
      <w:r w:rsidRPr="00C62A13">
        <w:t>mg every 2 weeks thereafter; ‘DUPI 200</w:t>
      </w:r>
      <w:r w:rsidR="001E11A3" w:rsidRPr="00C62A13">
        <w:t xml:space="preserve"> </w:t>
      </w:r>
      <w:r w:rsidRPr="00C62A13">
        <w:t>mg Q2W’ comprised 400 mg loading, then 200</w:t>
      </w:r>
      <w:r w:rsidR="001E11A3" w:rsidRPr="00C62A13">
        <w:t xml:space="preserve"> </w:t>
      </w:r>
      <w:r w:rsidRPr="00C62A13">
        <w:t>mg every two weeks thereafter.</w:t>
      </w:r>
    </w:p>
    <w:p w:rsidR="00564481" w:rsidRPr="00C62A13" w:rsidRDefault="00564481" w:rsidP="00564481">
      <w:pPr>
        <w:pStyle w:val="TableFigureFooter"/>
        <w:widowControl w:val="0"/>
        <w:tabs>
          <w:tab w:val="left" w:pos="142"/>
        </w:tabs>
        <w:ind w:left="135" w:hanging="135"/>
      </w:pPr>
      <w:r w:rsidRPr="00C62A13">
        <w:rPr>
          <w:vertAlign w:val="superscript"/>
        </w:rPr>
        <w:t>§</w:t>
      </w:r>
      <w:r w:rsidRPr="00C62A13">
        <w:tab/>
        <w:t>EASI 75 was a coprimary outcome in EU and Japan and a key secondary outcome elsewhere.</w:t>
      </w:r>
    </w:p>
    <w:p w:rsidR="00564481" w:rsidRPr="00C62A13" w:rsidRDefault="00564481" w:rsidP="00564481">
      <w:pPr>
        <w:pStyle w:val="TableFigureFooter"/>
        <w:widowControl w:val="0"/>
        <w:tabs>
          <w:tab w:val="left" w:pos="142"/>
        </w:tabs>
        <w:ind w:left="135" w:hanging="135"/>
      </w:pPr>
      <w:r w:rsidRPr="00C62A13">
        <w:t>^</w:t>
      </w:r>
      <w:r w:rsidRPr="00C62A13">
        <w:tab/>
        <w:t xml:space="preserve">Protocols allowed investigators to rescue patients who were experiencing unacceptable or worsening of symptoms. Patients who received rescue therapy were discontinued from study treatment and considered non-responders. </w:t>
      </w:r>
    </w:p>
    <w:p w:rsidR="00564481" w:rsidRPr="00C62A13" w:rsidRDefault="00564481" w:rsidP="00564481">
      <w:pPr>
        <w:pStyle w:val="TableFigureFooter"/>
        <w:widowControl w:val="0"/>
        <w:tabs>
          <w:tab w:val="left" w:pos="142"/>
        </w:tabs>
        <w:ind w:left="135" w:hanging="135"/>
      </w:pPr>
      <w:r w:rsidRPr="00C62A13">
        <w:t>^^</w:t>
      </w:r>
      <w:r w:rsidRPr="00C62A13">
        <w:tab/>
        <w:t xml:space="preserve">M16-048: Period 1 was a 16-week randomised, double-blind, placebo-controlled period. Rescue therapy was allowed at the Week 20 visit (4 weeks after re-randomisation into Period 2). </w:t>
      </w:r>
    </w:p>
    <w:p w:rsidR="00564481" w:rsidRPr="00C62A13" w:rsidRDefault="00564481" w:rsidP="00604738">
      <w:pPr>
        <w:pStyle w:val="3-BodyText"/>
      </w:pPr>
      <w:r w:rsidRPr="00C62A13">
        <w:t xml:space="preserve">All trials were multicentre, randomised, placebo and/or active controlled, parallel group with a double-blind phase of at least 16 weeks. Patients had moderate-to-severe AD and were required to have experienced an inadequate response to TCS or </w:t>
      </w:r>
      <w:r w:rsidR="00B02951" w:rsidRPr="00C62A13">
        <w:t>topical calcineurin inhibitors (</w:t>
      </w:r>
      <w:r w:rsidRPr="00C62A13">
        <w:t>TCIs</w:t>
      </w:r>
      <w:r w:rsidR="00B02951" w:rsidRPr="00C62A13">
        <w:t>)</w:t>
      </w:r>
      <w:r w:rsidRPr="00C62A13">
        <w:t xml:space="preserve">. Most trials measured the primary endpoint at week 16 </w:t>
      </w:r>
      <w:r w:rsidR="00604738" w:rsidRPr="00C62A13">
        <w:t xml:space="preserve">with treatment response defined according to the </w:t>
      </w:r>
      <w:r w:rsidRPr="00C62A13">
        <w:t xml:space="preserve">Eczema Area and Severity Index (EASI) and/or </w:t>
      </w:r>
      <w:r w:rsidR="00604738" w:rsidRPr="00C62A13">
        <w:t xml:space="preserve">the Investigator’s Global Assessment </w:t>
      </w:r>
      <w:r w:rsidRPr="00C62A13">
        <w:t>(IGA). Most trials also allowed rescue therapy during the double-blind phase, but patients who received rescue therapy were considered non-responders for the primary endpoint (and other categorical outcomes).</w:t>
      </w:r>
    </w:p>
    <w:p w:rsidR="00FC6DC4" w:rsidRPr="00C62A13" w:rsidRDefault="00FC6DC4" w:rsidP="007C1FC8">
      <w:pPr>
        <w:pStyle w:val="3-BodyText"/>
      </w:pPr>
      <w:r w:rsidRPr="00C62A13">
        <w:rPr>
          <w:iCs/>
        </w:rPr>
        <w:t>The selection criteria were broadly similar across the UPA and DUPI trials with a key exception being age</w:t>
      </w:r>
      <w:r w:rsidRPr="00C62A13">
        <w:t>, as some trials enrolled adults, adolescents or both.</w:t>
      </w:r>
      <w:r w:rsidR="008E2F92" w:rsidRPr="00C62A13">
        <w:t xml:space="preserve"> </w:t>
      </w:r>
      <w:r w:rsidRPr="00C62A13">
        <w:rPr>
          <w:rFonts w:eastAsia="TimesNewRoman"/>
          <w:iCs/>
        </w:rPr>
        <w:t xml:space="preserve">Overall, </w:t>
      </w:r>
      <w:r w:rsidRPr="00C62A13">
        <w:rPr>
          <w:iCs/>
        </w:rPr>
        <w:t>baseline characteristics were balanced between treatment arms within trials (with the exception of some characteristics in M16-048, a relatively small trial) and are representative of patients with moderate-to-severe AD</w:t>
      </w:r>
      <w:r w:rsidR="008E2F92" w:rsidRPr="00C62A13">
        <w:rPr>
          <w:iCs/>
        </w:rPr>
        <w:t xml:space="preserve">, with mean </w:t>
      </w:r>
      <w:r w:rsidRPr="00C62A13">
        <w:rPr>
          <w:rFonts w:eastAsia="TimesNewRoman"/>
        </w:rPr>
        <w:t xml:space="preserve">EASI </w:t>
      </w:r>
      <w:r w:rsidR="008E2F92" w:rsidRPr="00C62A13">
        <w:rPr>
          <w:rFonts w:eastAsia="TimesNewRoman"/>
        </w:rPr>
        <w:t xml:space="preserve">of </w:t>
      </w:r>
      <w:r w:rsidRPr="00C62A13">
        <w:rPr>
          <w:rFonts w:eastAsia="TimesNewRoman"/>
        </w:rPr>
        <w:t xml:space="preserve">28-36 </w:t>
      </w:r>
      <w:r w:rsidR="007C1FC8" w:rsidRPr="00C62A13">
        <w:rPr>
          <w:rFonts w:eastAsia="TimesNewRoman"/>
        </w:rPr>
        <w:t>at baseline and approximately half (</w:t>
      </w:r>
      <w:r w:rsidRPr="00C62A13">
        <w:rPr>
          <w:rFonts w:eastAsia="TimesNewRoman"/>
        </w:rPr>
        <w:t xml:space="preserve">45.8% to 55.3%) </w:t>
      </w:r>
      <w:r w:rsidR="007C1FC8" w:rsidRPr="00C62A13">
        <w:rPr>
          <w:rFonts w:eastAsia="TimesNewRoman"/>
        </w:rPr>
        <w:t xml:space="preserve">with IGA of 4. </w:t>
      </w:r>
      <w:r w:rsidRPr="00C62A13">
        <w:rPr>
          <w:rFonts w:eastAsia="TimesNewRoman"/>
        </w:rPr>
        <w:t xml:space="preserve">As more of the UPA trials enrolled adolescents compared to the DUPI trials, there were slight differences in </w:t>
      </w:r>
      <w:r w:rsidR="007C1FC8" w:rsidRPr="00C62A13">
        <w:rPr>
          <w:rFonts w:eastAsia="TimesNewRoman"/>
        </w:rPr>
        <w:t xml:space="preserve">age-related </w:t>
      </w:r>
      <w:r w:rsidRPr="00C62A13">
        <w:rPr>
          <w:rFonts w:eastAsia="TimesNewRoman"/>
        </w:rPr>
        <w:t>characteristics across the two sets of trials. Ove</w:t>
      </w:r>
      <w:r w:rsidR="007C1FC8" w:rsidRPr="00C62A13">
        <w:rPr>
          <w:rFonts w:eastAsia="TimesNewRoman"/>
        </w:rPr>
        <w:t xml:space="preserve">rall, these differences are </w:t>
      </w:r>
      <w:r w:rsidRPr="00C62A13">
        <w:rPr>
          <w:rFonts w:eastAsia="TimesNewRoman"/>
        </w:rPr>
        <w:t xml:space="preserve">unlikely to be </w:t>
      </w:r>
      <w:r w:rsidR="007C1FC8" w:rsidRPr="00C62A13">
        <w:rPr>
          <w:rFonts w:eastAsia="TimesNewRoman"/>
        </w:rPr>
        <w:t>important</w:t>
      </w:r>
      <w:r w:rsidRPr="00C62A13">
        <w:rPr>
          <w:rFonts w:eastAsia="TimesNewRoman"/>
        </w:rPr>
        <w:t>, particularly when controlling for age (</w:t>
      </w:r>
      <w:r w:rsidRPr="00C62A13">
        <w:rPr>
          <w:rFonts w:eastAsia="TimesNewRoman" w:cs="Calibri"/>
        </w:rPr>
        <w:t>≥</w:t>
      </w:r>
      <w:r w:rsidRPr="00C62A13">
        <w:rPr>
          <w:rFonts w:eastAsia="TimesNewRoman"/>
        </w:rPr>
        <w:t>18 years and 12-17 years).</w:t>
      </w:r>
    </w:p>
    <w:p w:rsidR="00796346" w:rsidRPr="00C62A13" w:rsidRDefault="00796346" w:rsidP="00C57FFC">
      <w:pPr>
        <w:pStyle w:val="3-BodyText"/>
      </w:pPr>
      <w:r w:rsidRPr="00C62A13">
        <w:t xml:space="preserve">Under the requested </w:t>
      </w:r>
      <w:r w:rsidR="00C57FFC" w:rsidRPr="00C62A13">
        <w:t>restriction</w:t>
      </w:r>
      <w:r w:rsidRPr="00C62A13">
        <w:t xml:space="preserve">, patients </w:t>
      </w:r>
      <w:r w:rsidR="00551AFC" w:rsidRPr="00C62A13">
        <w:t xml:space="preserve">are required to meet </w:t>
      </w:r>
      <w:r w:rsidRPr="00C62A13">
        <w:t>different eligibility and response criteria depending on the affected area.</w:t>
      </w:r>
    </w:p>
    <w:p w:rsidR="00796346" w:rsidRPr="00C62A13" w:rsidRDefault="00796346" w:rsidP="008A3974">
      <w:pPr>
        <w:pStyle w:val="3-BodyText"/>
        <w:numPr>
          <w:ilvl w:val="0"/>
          <w:numId w:val="8"/>
        </w:numPr>
        <w:ind w:left="1134"/>
      </w:pPr>
      <w:r w:rsidRPr="00C62A13">
        <w:t xml:space="preserve">For patients with severe AD affecting the whole body, initial treatment requires a Physicians Global Assessment (PGA) score of 4 and an EASI score </w:t>
      </w:r>
      <w:r w:rsidRPr="00C62A13">
        <w:rPr>
          <w:rFonts w:cs="Calibri"/>
        </w:rPr>
        <w:t>≥</w:t>
      </w:r>
      <w:r w:rsidRPr="00C62A13">
        <w:t xml:space="preserve">20, and continuing treatment requires </w:t>
      </w:r>
      <w:r w:rsidRPr="00C62A13">
        <w:rPr>
          <w:rFonts w:cs="Calibri"/>
        </w:rPr>
        <w:t>a ≥</w:t>
      </w:r>
      <w:r w:rsidRPr="00C62A13">
        <w:t xml:space="preserve">50% improvement from baseline in EASI (i.e. EASI 50) and an improvement from baseline in DLQI </w:t>
      </w:r>
      <w:r w:rsidRPr="00C62A13">
        <w:rPr>
          <w:rFonts w:cs="Calibri"/>
        </w:rPr>
        <w:t>≥</w:t>
      </w:r>
      <w:r w:rsidRPr="00C62A13">
        <w:t>4 points.</w:t>
      </w:r>
    </w:p>
    <w:p w:rsidR="00796346" w:rsidRPr="00C62A13" w:rsidRDefault="00796346" w:rsidP="008A3974">
      <w:pPr>
        <w:pStyle w:val="3-BodyText"/>
        <w:numPr>
          <w:ilvl w:val="0"/>
          <w:numId w:val="8"/>
        </w:numPr>
        <w:ind w:left="1134"/>
      </w:pPr>
      <w:r w:rsidRPr="00C62A13">
        <w:t xml:space="preserve">For patients with severe AD affecting the face/palm of hands, initial treatment requires </w:t>
      </w:r>
      <w:r w:rsidRPr="00C62A13">
        <w:rPr>
          <w:rFonts w:cstheme="minorHAnsi"/>
        </w:rPr>
        <w:t>≥</w:t>
      </w:r>
      <w:r w:rsidRPr="00C62A13">
        <w:t xml:space="preserve">2 of the EASI symptom sub-scores (i.e. erythema, oedema/papulation, excoriation, lichenification) rated as severe or ≥30% surface area of the face/hands affected, and continuing treatment requires </w:t>
      </w:r>
      <w:r w:rsidRPr="00C62A13">
        <w:rPr>
          <w:rFonts w:cstheme="minorHAnsi"/>
        </w:rPr>
        <w:t>≥</w:t>
      </w:r>
      <w:r w:rsidRPr="00C62A13">
        <w:t xml:space="preserve">3 of the EASI symptom sub-scores rated as mild or none or </w:t>
      </w:r>
      <w:r w:rsidRPr="00C62A13">
        <w:rPr>
          <w:rFonts w:cstheme="minorHAnsi"/>
        </w:rPr>
        <w:t>≥</w:t>
      </w:r>
      <w:r w:rsidRPr="00C62A13">
        <w:t xml:space="preserve">75% reduction in the skin area affected compared to baseline, and an improvement from baseline in DLQI </w:t>
      </w:r>
      <w:r w:rsidRPr="00C62A13">
        <w:rPr>
          <w:rFonts w:cs="Calibri"/>
        </w:rPr>
        <w:t>≥</w:t>
      </w:r>
      <w:r w:rsidRPr="00C62A13">
        <w:t>4 points.</w:t>
      </w:r>
    </w:p>
    <w:p w:rsidR="00C57FFC" w:rsidRPr="00C62A13" w:rsidRDefault="00C57FFC" w:rsidP="00724ADF">
      <w:pPr>
        <w:pStyle w:val="3-BodyText"/>
      </w:pPr>
      <w:r w:rsidRPr="00C62A13">
        <w:t xml:space="preserve">The PBAC has previously considered EASI (marker of lesions) and DLQI outcomes (patient impact) as being key patient relevant outcomes for the treatment of AD; and accepted that [for patients with AD affecting the whole body] an EASI 50 response combined with a DLQI improvement of </w:t>
      </w:r>
      <w:r w:rsidRPr="00C62A13">
        <w:rPr>
          <w:rFonts w:cs="Calibri"/>
        </w:rPr>
        <w:t>≥</w:t>
      </w:r>
      <w:r w:rsidRPr="00C62A13">
        <w:t>4 points are likely to be clinically reasonable and able to capture patients with a meaningful response to treatment (para 7.4, DUPI PSD March 2020 PBAC meeting).</w:t>
      </w:r>
      <w:r w:rsidR="005E5409" w:rsidRPr="00C62A13">
        <w:t xml:space="preserve"> </w:t>
      </w:r>
      <w:r w:rsidRPr="00C62A13">
        <w:t xml:space="preserve">The PBAC also considered that it would be clinically appropriate for a separate listing in patients with AD affecting the face and hands, who would not be eligible under the whole body criteria due to the relatively small body surface area involved. The PBAC </w:t>
      </w:r>
      <w:r w:rsidR="00C66A83" w:rsidRPr="00C62A13">
        <w:t xml:space="preserve">previously </w:t>
      </w:r>
      <w:r w:rsidRPr="00C62A13">
        <w:t>agreed that listing for these patients should include improvement in DLQI as a criterion for continuing treatment (para 7.5, DUPI PSD March 2020 PBAC meeting).</w:t>
      </w:r>
    </w:p>
    <w:p w:rsidR="00564481" w:rsidRPr="00C62A13" w:rsidRDefault="00564481" w:rsidP="00564481">
      <w:pPr>
        <w:pStyle w:val="3-BodyText"/>
        <w:rPr>
          <w:i/>
        </w:rPr>
      </w:pPr>
      <w:r w:rsidRPr="00C62A13">
        <w:rPr>
          <w:iCs/>
        </w:rPr>
        <w:t>Table 4 summarises the primary and key secondary/exploratory endpoints measured across trials, which included EASI</w:t>
      </w:r>
      <w:r w:rsidR="00C57FFC" w:rsidRPr="00C62A13">
        <w:rPr>
          <w:iCs/>
        </w:rPr>
        <w:t xml:space="preserve"> </w:t>
      </w:r>
      <w:r w:rsidRPr="00C62A13">
        <w:rPr>
          <w:iCs/>
        </w:rPr>
        <w:t xml:space="preserve">50 response and DLQI </w:t>
      </w:r>
      <w:r w:rsidRPr="00C62A13">
        <w:rPr>
          <w:rFonts w:cstheme="minorHAnsi"/>
          <w:iCs/>
        </w:rPr>
        <w:t>≥</w:t>
      </w:r>
      <w:r w:rsidRPr="00C62A13">
        <w:rPr>
          <w:iCs/>
        </w:rPr>
        <w:t>4 at 16 weeks.</w:t>
      </w:r>
    </w:p>
    <w:p w:rsidR="00564481" w:rsidRPr="00C62A13" w:rsidRDefault="00564481" w:rsidP="00564481">
      <w:pPr>
        <w:keepNext/>
        <w:jc w:val="left"/>
        <w:rPr>
          <w:rFonts w:ascii="Arial Narrow" w:hAnsi="Arial Narrow" w:cs="Times New Roman"/>
          <w:b/>
          <w:iCs/>
          <w:sz w:val="20"/>
          <w:szCs w:val="22"/>
          <w:lang w:eastAsia="en-US"/>
        </w:rPr>
      </w:pPr>
      <w:r w:rsidRPr="00C62A13">
        <w:rPr>
          <w:rFonts w:ascii="Arial Narrow" w:hAnsi="Arial Narrow" w:cs="Times New Roman"/>
          <w:b/>
          <w:iCs/>
          <w:sz w:val="20"/>
          <w:szCs w:val="22"/>
          <w:lang w:eastAsia="en-US"/>
        </w:rPr>
        <w:t>Table 4: Primary (</w:t>
      </w:r>
      <w:r w:rsidRPr="00C62A13">
        <w:rPr>
          <w:rFonts w:ascii="Arial Narrow" w:hAnsi="Arial Narrow" w:cs="Times New Roman"/>
          <w:b/>
          <w:iCs/>
          <w:sz w:val="20"/>
          <w:szCs w:val="20"/>
          <w:lang w:eastAsia="en-US"/>
        </w:rPr>
        <w:t>1°)</w:t>
      </w:r>
      <w:r w:rsidRPr="00C62A13">
        <w:rPr>
          <w:rFonts w:ascii="Arial Narrow" w:hAnsi="Arial Narrow" w:cs="Times New Roman"/>
          <w:b/>
          <w:iCs/>
          <w:sz w:val="20"/>
          <w:szCs w:val="22"/>
          <w:lang w:eastAsia="en-US"/>
        </w:rPr>
        <w:t>, key secondary (</w:t>
      </w:r>
      <w:r w:rsidRPr="00C62A13">
        <w:rPr>
          <w:rFonts w:ascii="Arial Narrow" w:hAnsi="Arial Narrow" w:cs="Times New Roman"/>
          <w:b/>
          <w:iCs/>
          <w:sz w:val="20"/>
          <w:szCs w:val="20"/>
          <w:lang w:eastAsia="en-US"/>
        </w:rPr>
        <w:t>2°)</w:t>
      </w:r>
      <w:r w:rsidRPr="00C62A13">
        <w:rPr>
          <w:rFonts w:ascii="Arial Narrow" w:hAnsi="Arial Narrow" w:cs="Times New Roman"/>
          <w:b/>
          <w:iCs/>
          <w:sz w:val="20"/>
          <w:szCs w:val="22"/>
          <w:lang w:eastAsia="en-US"/>
        </w:rPr>
        <w:t xml:space="preserve"> and other secondary/exploratory/post-hoc (</w:t>
      </w:r>
      <w:r w:rsidRPr="00C62A13">
        <w:rPr>
          <w:rFonts w:ascii="Arial Narrow" w:hAnsi="Arial Narrow"/>
          <w:b/>
          <w:sz w:val="20"/>
          <w:szCs w:val="20"/>
        </w:rPr>
        <w:sym w:font="Wingdings" w:char="F0FC"/>
      </w:r>
      <w:r w:rsidRPr="00C62A13">
        <w:rPr>
          <w:rFonts w:ascii="Arial Narrow" w:hAnsi="Arial Narrow" w:cs="Times New Roman"/>
          <w:b/>
          <w:iCs/>
          <w:sz w:val="20"/>
          <w:szCs w:val="22"/>
          <w:lang w:eastAsia="en-US"/>
        </w:rPr>
        <w:t>) outcomes reported at Week 16 (unless otherwise indicated)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63"/>
        <w:gridCol w:w="943"/>
        <w:gridCol w:w="945"/>
        <w:gridCol w:w="943"/>
        <w:gridCol w:w="945"/>
        <w:gridCol w:w="943"/>
        <w:gridCol w:w="945"/>
        <w:gridCol w:w="943"/>
        <w:gridCol w:w="947"/>
      </w:tblGrid>
      <w:tr w:rsidR="00304F2C" w:rsidRPr="00C62A13" w:rsidTr="00304F2C">
        <w:trPr>
          <w:trHeight w:val="312"/>
        </w:trPr>
        <w:tc>
          <w:tcPr>
            <w:tcW w:w="811" w:type="pct"/>
            <w:vAlign w:val="center"/>
          </w:tcPr>
          <w:p w:rsidR="00304F2C" w:rsidRPr="00C62A13" w:rsidRDefault="00304F2C" w:rsidP="005F61AA">
            <w:pPr>
              <w:jc w:val="left"/>
              <w:rPr>
                <w:rFonts w:ascii="Arial Narrow" w:hAnsi="Arial Narrow" w:cs="Times New Roman"/>
                <w:b/>
                <w:iCs/>
                <w:sz w:val="20"/>
                <w:szCs w:val="20"/>
                <w:lang w:eastAsia="en-US"/>
              </w:rPr>
            </w:pPr>
            <w:r w:rsidRPr="00C62A13">
              <w:rPr>
                <w:rFonts w:ascii="Arial Narrow" w:hAnsi="Arial Narrow" w:cs="Times New Roman"/>
                <w:b/>
                <w:iCs/>
                <w:sz w:val="20"/>
                <w:szCs w:val="20"/>
                <w:lang w:eastAsia="en-US"/>
              </w:rPr>
              <w:t>Trials</w:t>
            </w:r>
          </w:p>
        </w:tc>
        <w:tc>
          <w:tcPr>
            <w:tcW w:w="523" w:type="pct"/>
            <w:vAlign w:val="center"/>
          </w:tcPr>
          <w:p w:rsidR="00304F2C" w:rsidRPr="00C62A13" w:rsidRDefault="00304F2C" w:rsidP="005F61AA">
            <w:pPr>
              <w:jc w:val="center"/>
              <w:rPr>
                <w:rFonts w:ascii="Arial Narrow" w:hAnsi="Arial Narrow" w:cs="Times New Roman"/>
                <w:b/>
                <w:iCs/>
                <w:sz w:val="20"/>
                <w:szCs w:val="20"/>
                <w:lang w:eastAsia="en-US"/>
              </w:rPr>
            </w:pPr>
            <w:r w:rsidRPr="00C62A13">
              <w:rPr>
                <w:rFonts w:ascii="Arial Narrow" w:hAnsi="Arial Narrow"/>
                <w:b/>
                <w:sz w:val="20"/>
                <w:szCs w:val="20"/>
              </w:rPr>
              <w:t>EASI 50</w:t>
            </w:r>
            <w:r w:rsidRPr="00C62A13">
              <w:rPr>
                <w:rFonts w:ascii="Arial Narrow" w:hAnsi="Arial Narrow"/>
                <w:b/>
                <w:sz w:val="20"/>
                <w:szCs w:val="20"/>
                <w:vertAlign w:val="superscript"/>
              </w:rPr>
              <w:t>a</w:t>
            </w:r>
          </w:p>
        </w:tc>
        <w:tc>
          <w:tcPr>
            <w:tcW w:w="524" w:type="pct"/>
            <w:vAlign w:val="center"/>
          </w:tcPr>
          <w:p w:rsidR="00304F2C" w:rsidRPr="00C62A13" w:rsidRDefault="00304F2C" w:rsidP="005F61AA">
            <w:pPr>
              <w:jc w:val="center"/>
              <w:rPr>
                <w:rFonts w:ascii="Arial Narrow" w:hAnsi="Arial Narrow" w:cs="Times New Roman"/>
                <w:b/>
                <w:iCs/>
                <w:sz w:val="20"/>
                <w:szCs w:val="20"/>
                <w:lang w:eastAsia="en-US"/>
              </w:rPr>
            </w:pPr>
            <w:r w:rsidRPr="00C62A13">
              <w:rPr>
                <w:rFonts w:ascii="Arial Narrow" w:hAnsi="Arial Narrow"/>
                <w:b/>
                <w:sz w:val="20"/>
                <w:szCs w:val="20"/>
              </w:rPr>
              <w:t>EASI 75</w:t>
            </w:r>
            <w:r w:rsidRPr="00C62A13">
              <w:rPr>
                <w:rFonts w:ascii="Arial Narrow" w:hAnsi="Arial Narrow"/>
                <w:b/>
                <w:sz w:val="20"/>
                <w:szCs w:val="20"/>
                <w:vertAlign w:val="superscript"/>
              </w:rPr>
              <w:t>a</w:t>
            </w:r>
          </w:p>
        </w:tc>
        <w:tc>
          <w:tcPr>
            <w:tcW w:w="523" w:type="pct"/>
            <w:vAlign w:val="center"/>
          </w:tcPr>
          <w:p w:rsidR="00304F2C" w:rsidRPr="00C62A13" w:rsidRDefault="00304F2C" w:rsidP="005F61AA">
            <w:pPr>
              <w:jc w:val="center"/>
              <w:rPr>
                <w:rFonts w:ascii="Arial Narrow" w:hAnsi="Arial Narrow"/>
                <w:b/>
                <w:sz w:val="20"/>
                <w:szCs w:val="20"/>
              </w:rPr>
            </w:pPr>
            <w:r w:rsidRPr="00C62A13">
              <w:rPr>
                <w:rFonts w:ascii="Arial Narrow" w:hAnsi="Arial Narrow"/>
                <w:b/>
                <w:sz w:val="20"/>
                <w:szCs w:val="20"/>
              </w:rPr>
              <w:t>EASI 90</w:t>
            </w:r>
            <w:r w:rsidRPr="00C62A13">
              <w:rPr>
                <w:rFonts w:ascii="Arial Narrow" w:hAnsi="Arial Narrow"/>
                <w:b/>
                <w:sz w:val="20"/>
                <w:szCs w:val="20"/>
                <w:vertAlign w:val="superscript"/>
              </w:rPr>
              <w:t>a</w:t>
            </w:r>
          </w:p>
        </w:tc>
        <w:tc>
          <w:tcPr>
            <w:tcW w:w="524" w:type="pct"/>
            <w:vAlign w:val="center"/>
          </w:tcPr>
          <w:p w:rsidR="00304F2C" w:rsidRPr="00C62A13" w:rsidRDefault="00304F2C" w:rsidP="005F61AA">
            <w:pPr>
              <w:jc w:val="center"/>
              <w:rPr>
                <w:rFonts w:ascii="Arial Narrow" w:hAnsi="Arial Narrow"/>
                <w:b/>
                <w:sz w:val="20"/>
                <w:szCs w:val="20"/>
              </w:rPr>
            </w:pPr>
            <w:r w:rsidRPr="00C62A13">
              <w:rPr>
                <w:rFonts w:ascii="Arial Narrow" w:hAnsi="Arial Narrow" w:cs="Times New Roman"/>
                <w:b/>
                <w:iCs/>
                <w:sz w:val="20"/>
                <w:szCs w:val="20"/>
                <w:lang w:eastAsia="en-US"/>
              </w:rPr>
              <w:t>% change EASI</w:t>
            </w:r>
            <w:r w:rsidRPr="00C62A13">
              <w:rPr>
                <w:rFonts w:ascii="Arial Narrow" w:hAnsi="Arial Narrow" w:cs="Times New Roman"/>
                <w:b/>
                <w:iCs/>
                <w:sz w:val="20"/>
                <w:szCs w:val="20"/>
                <w:vertAlign w:val="superscript"/>
                <w:lang w:eastAsia="en-US"/>
              </w:rPr>
              <w:t>b</w:t>
            </w:r>
          </w:p>
        </w:tc>
        <w:tc>
          <w:tcPr>
            <w:tcW w:w="523" w:type="pct"/>
            <w:vAlign w:val="center"/>
          </w:tcPr>
          <w:p w:rsidR="00304F2C" w:rsidRPr="00C62A13" w:rsidRDefault="00304F2C" w:rsidP="005F61AA">
            <w:pPr>
              <w:jc w:val="center"/>
              <w:rPr>
                <w:rFonts w:ascii="Arial Narrow" w:hAnsi="Arial Narrow" w:cs="Times New Roman"/>
                <w:b/>
                <w:iCs/>
                <w:sz w:val="20"/>
                <w:szCs w:val="20"/>
                <w:lang w:eastAsia="en-US"/>
              </w:rPr>
            </w:pPr>
            <w:r w:rsidRPr="00C62A13">
              <w:rPr>
                <w:rFonts w:ascii="Arial Narrow" w:hAnsi="Arial Narrow"/>
                <w:b/>
                <w:sz w:val="20"/>
                <w:szCs w:val="20"/>
              </w:rPr>
              <w:t>IGA of 0 or 1</w:t>
            </w:r>
            <w:r w:rsidRPr="00C62A13">
              <w:rPr>
                <w:rFonts w:ascii="Arial Narrow" w:hAnsi="Arial Narrow"/>
                <w:b/>
                <w:sz w:val="20"/>
                <w:szCs w:val="20"/>
                <w:vertAlign w:val="superscript"/>
              </w:rPr>
              <w:t>c</w:t>
            </w:r>
          </w:p>
        </w:tc>
        <w:tc>
          <w:tcPr>
            <w:tcW w:w="524" w:type="pct"/>
            <w:vAlign w:val="center"/>
          </w:tcPr>
          <w:p w:rsidR="00304F2C" w:rsidRPr="00C62A13" w:rsidRDefault="00304F2C" w:rsidP="005F61AA">
            <w:pPr>
              <w:jc w:val="center"/>
              <w:rPr>
                <w:rFonts w:ascii="Arial Narrow" w:hAnsi="Arial Narrow" w:cs="Times New Roman"/>
                <w:b/>
                <w:iCs/>
                <w:sz w:val="20"/>
                <w:szCs w:val="20"/>
                <w:lang w:eastAsia="en-US"/>
              </w:rPr>
            </w:pPr>
            <w:r w:rsidRPr="00C62A13">
              <w:rPr>
                <w:rFonts w:ascii="Arial Narrow" w:hAnsi="Arial Narrow" w:cs="Times New Roman"/>
                <w:b/>
                <w:iCs/>
                <w:sz w:val="20"/>
                <w:szCs w:val="20"/>
                <w:lang w:eastAsia="en-US"/>
              </w:rPr>
              <w:t>DLQI ≥ 4</w:t>
            </w:r>
            <w:r w:rsidRPr="00C62A13">
              <w:rPr>
                <w:rFonts w:ascii="Arial Narrow" w:hAnsi="Arial Narrow" w:cs="Times New Roman"/>
                <w:b/>
                <w:iCs/>
                <w:sz w:val="20"/>
                <w:szCs w:val="20"/>
                <w:vertAlign w:val="superscript"/>
                <w:lang w:eastAsia="en-US"/>
              </w:rPr>
              <w:t>d</w:t>
            </w:r>
          </w:p>
        </w:tc>
        <w:tc>
          <w:tcPr>
            <w:tcW w:w="523" w:type="pct"/>
            <w:vAlign w:val="center"/>
          </w:tcPr>
          <w:p w:rsidR="00304F2C" w:rsidRPr="00C62A13" w:rsidRDefault="00304F2C" w:rsidP="005F61AA">
            <w:pPr>
              <w:jc w:val="center"/>
              <w:rPr>
                <w:rFonts w:ascii="Arial Narrow" w:hAnsi="Arial Narrow" w:cs="Times New Roman"/>
                <w:b/>
                <w:iCs/>
                <w:sz w:val="20"/>
                <w:szCs w:val="20"/>
                <w:lang w:eastAsia="en-US"/>
              </w:rPr>
            </w:pPr>
            <w:r w:rsidRPr="00C62A13">
              <w:rPr>
                <w:rFonts w:ascii="Arial Narrow" w:hAnsi="Arial Narrow" w:cs="Times New Roman"/>
                <w:b/>
                <w:iCs/>
                <w:sz w:val="20"/>
                <w:szCs w:val="20"/>
                <w:lang w:eastAsia="en-US"/>
              </w:rPr>
              <w:t>DLQI 0/1</w:t>
            </w:r>
            <w:r w:rsidRPr="00C62A13">
              <w:rPr>
                <w:rFonts w:ascii="Arial Narrow" w:hAnsi="Arial Narrow" w:cs="Times New Roman"/>
                <w:b/>
                <w:iCs/>
                <w:sz w:val="20"/>
                <w:szCs w:val="20"/>
                <w:vertAlign w:val="superscript"/>
                <w:lang w:eastAsia="en-US"/>
              </w:rPr>
              <w:t>e</w:t>
            </w:r>
          </w:p>
        </w:tc>
        <w:tc>
          <w:tcPr>
            <w:tcW w:w="525" w:type="pct"/>
            <w:vAlign w:val="center"/>
          </w:tcPr>
          <w:p w:rsidR="00304F2C" w:rsidRPr="00C62A13" w:rsidRDefault="00304F2C" w:rsidP="005F61AA">
            <w:pPr>
              <w:jc w:val="center"/>
              <w:rPr>
                <w:rFonts w:ascii="Arial Narrow" w:hAnsi="Arial Narrow" w:cs="Times New Roman"/>
                <w:b/>
                <w:iCs/>
                <w:sz w:val="20"/>
                <w:szCs w:val="20"/>
                <w:lang w:eastAsia="en-US"/>
              </w:rPr>
            </w:pPr>
            <w:r w:rsidRPr="00C62A13">
              <w:rPr>
                <w:rFonts w:ascii="Arial Narrow" w:hAnsi="Arial Narrow" w:cs="Times New Roman"/>
                <w:b/>
                <w:iCs/>
                <w:sz w:val="20"/>
                <w:szCs w:val="20"/>
                <w:lang w:eastAsia="en-US"/>
              </w:rPr>
              <w:t>Change DLQI or CDLQI</w:t>
            </w:r>
            <w:r w:rsidRPr="00C62A13">
              <w:rPr>
                <w:rFonts w:ascii="Arial Narrow" w:hAnsi="Arial Narrow" w:cs="Times New Roman"/>
                <w:b/>
                <w:iCs/>
                <w:sz w:val="20"/>
                <w:szCs w:val="20"/>
                <w:vertAlign w:val="superscript"/>
                <w:lang w:eastAsia="en-US"/>
              </w:rPr>
              <w:t>f</w:t>
            </w:r>
          </w:p>
        </w:tc>
      </w:tr>
      <w:tr w:rsidR="00304F2C" w:rsidRPr="00C62A13" w:rsidTr="00304F2C">
        <w:trPr>
          <w:trHeight w:val="99"/>
        </w:trPr>
        <w:tc>
          <w:tcPr>
            <w:tcW w:w="5000" w:type="pct"/>
            <w:gridSpan w:val="9"/>
            <w:vAlign w:val="center"/>
          </w:tcPr>
          <w:p w:rsidR="00304F2C" w:rsidRPr="00C62A13" w:rsidRDefault="00304F2C" w:rsidP="005F61AA">
            <w:pPr>
              <w:jc w:val="left"/>
              <w:rPr>
                <w:rFonts w:ascii="Arial Narrow" w:eastAsia="MS Gothic" w:hAnsi="Arial Narrow" w:cs="Times New Roman"/>
                <w:bCs/>
                <w:sz w:val="20"/>
              </w:rPr>
            </w:pPr>
            <w:r w:rsidRPr="00C62A13">
              <w:rPr>
                <w:rFonts w:ascii="Arial Narrow" w:hAnsi="Arial Narrow"/>
                <w:b/>
                <w:bCs/>
                <w:iCs/>
                <w:snapToGrid w:val="0"/>
                <w:sz w:val="20"/>
                <w:szCs w:val="20"/>
                <w:lang w:eastAsia="en-US"/>
              </w:rPr>
              <w:t>UPA trials</w:t>
            </w: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HEADS UP</w:t>
            </w:r>
          </w:p>
        </w:tc>
        <w:tc>
          <w:tcPr>
            <w:tcW w:w="523" w:type="pct"/>
            <w:vAlign w:val="center"/>
          </w:tcPr>
          <w:p w:rsidR="00304F2C" w:rsidRPr="00C62A13" w:rsidRDefault="00304F2C" w:rsidP="005F61AA">
            <w:pPr>
              <w:jc w:val="center"/>
              <w:rPr>
                <w:rFonts w:ascii="Arial Narrow" w:hAnsi="Arial Narrow"/>
                <w:sz w:val="20"/>
                <w:szCs w:val="20"/>
              </w:rPr>
            </w:pP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p>
        </w:tc>
        <w:tc>
          <w:tcPr>
            <w:tcW w:w="524" w:type="pct"/>
            <w:vAlign w:val="center"/>
          </w:tcPr>
          <w:p w:rsidR="00304F2C" w:rsidRPr="00C62A13" w:rsidRDefault="00304F2C" w:rsidP="005F61AA">
            <w:pPr>
              <w:jc w:val="center"/>
              <w:rPr>
                <w:rFonts w:ascii="Arial Narrow" w:eastAsia="MS Gothic" w:hAnsi="Arial Narrow" w:cs="Times New Roman"/>
                <w:bCs/>
                <w:sz w:val="20"/>
              </w:rPr>
            </w:pPr>
          </w:p>
        </w:tc>
        <w:tc>
          <w:tcPr>
            <w:tcW w:w="523" w:type="pct"/>
            <w:vAlign w:val="center"/>
          </w:tcPr>
          <w:p w:rsidR="00304F2C" w:rsidRPr="00C62A13" w:rsidRDefault="00304F2C" w:rsidP="005F61AA">
            <w:pPr>
              <w:jc w:val="center"/>
              <w:rPr>
                <w:rFonts w:ascii="Arial Narrow" w:eastAsia="MS Gothic" w:hAnsi="Arial Narrow" w:cs="Times New Roman"/>
                <w:bCs/>
                <w:sz w:val="20"/>
              </w:rPr>
            </w:pPr>
          </w:p>
        </w:tc>
        <w:tc>
          <w:tcPr>
            <w:tcW w:w="525" w:type="pct"/>
            <w:vAlign w:val="center"/>
          </w:tcPr>
          <w:p w:rsidR="00304F2C" w:rsidRPr="00C62A13" w:rsidRDefault="00304F2C" w:rsidP="005F61AA">
            <w:pPr>
              <w:jc w:val="center"/>
              <w:rPr>
                <w:rFonts w:ascii="Arial Narrow" w:eastAsia="MS Gothic" w:hAnsi="Arial Narrow" w:cs="Times New Roman"/>
                <w:bCs/>
                <w:sz w:val="20"/>
              </w:rPr>
            </w:pPr>
          </w:p>
        </w:tc>
      </w:tr>
      <w:tr w:rsidR="00304F2C" w:rsidRPr="00C62A13" w:rsidTr="00304F2C">
        <w:trPr>
          <w:trHeight w:val="99"/>
        </w:trPr>
        <w:tc>
          <w:tcPr>
            <w:tcW w:w="811" w:type="pct"/>
            <w:vAlign w:val="center"/>
          </w:tcPr>
          <w:p w:rsidR="00304F2C" w:rsidRPr="00C62A13" w:rsidRDefault="00C62A13" w:rsidP="005F61AA">
            <w:pPr>
              <w:jc w:val="left"/>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MEASURE</w:t>
            </w:r>
            <w:r w:rsidR="00304F2C" w:rsidRPr="00C62A13">
              <w:rPr>
                <w:rFonts w:ascii="Arial Narrow" w:hAnsi="Arial Narrow"/>
                <w:bCs/>
                <w:iCs/>
                <w:snapToGrid w:val="0"/>
                <w:sz w:val="20"/>
                <w:szCs w:val="20"/>
                <w:lang w:eastAsia="en-US"/>
              </w:rPr>
              <w:t xml:space="preserve"> UP 1</w:t>
            </w:r>
          </w:p>
        </w:tc>
        <w:tc>
          <w:tcPr>
            <w:tcW w:w="523"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4"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sz w:val="20"/>
                <w:szCs w:val="20"/>
              </w:rPr>
              <w:sym w:font="Wingdings" w:char="F0FC"/>
            </w:r>
          </w:p>
        </w:tc>
        <w:tc>
          <w:tcPr>
            <w:tcW w:w="525" w:type="pct"/>
            <w:vAlign w:val="center"/>
          </w:tcPr>
          <w:p w:rsidR="00304F2C" w:rsidRPr="00C62A13" w:rsidRDefault="00304F2C" w:rsidP="005F61AA">
            <w:pPr>
              <w:jc w:val="center"/>
              <w:rPr>
                <w:rFonts w:ascii="Arial Narrow" w:eastAsia="MS Gothic" w:hAnsi="Arial Narrow" w:cs="Times New Roman"/>
                <w:bCs/>
                <w:sz w:val="20"/>
              </w:rPr>
            </w:pP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MEASURE UP 2</w:t>
            </w:r>
          </w:p>
        </w:tc>
        <w:tc>
          <w:tcPr>
            <w:tcW w:w="523"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4"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sz w:val="20"/>
                <w:szCs w:val="20"/>
              </w:rPr>
              <w:sym w:font="Wingdings" w:char="F0FC"/>
            </w:r>
          </w:p>
        </w:tc>
        <w:tc>
          <w:tcPr>
            <w:tcW w:w="525" w:type="pct"/>
            <w:vAlign w:val="center"/>
          </w:tcPr>
          <w:p w:rsidR="00304F2C" w:rsidRPr="00C62A13" w:rsidRDefault="00304F2C" w:rsidP="005F61AA">
            <w:pPr>
              <w:jc w:val="center"/>
              <w:rPr>
                <w:rFonts w:ascii="Arial Narrow" w:eastAsia="MS Gothic" w:hAnsi="Arial Narrow" w:cs="Times New Roman"/>
                <w:bCs/>
                <w:sz w:val="20"/>
              </w:rPr>
            </w:pP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RISING UP</w:t>
            </w:r>
          </w:p>
        </w:tc>
        <w:tc>
          <w:tcPr>
            <w:tcW w:w="523"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eastAsia="MS Gothic" w:hAnsi="Arial Narrow" w:cs="Times New Roman"/>
                <w:bCs/>
                <w:sz w:val="20"/>
              </w:rPr>
            </w:pPr>
          </w:p>
        </w:tc>
        <w:tc>
          <w:tcPr>
            <w:tcW w:w="523" w:type="pct"/>
            <w:vAlign w:val="center"/>
          </w:tcPr>
          <w:p w:rsidR="00304F2C" w:rsidRPr="00C62A13" w:rsidRDefault="00304F2C" w:rsidP="005F61AA">
            <w:pPr>
              <w:jc w:val="center"/>
              <w:rPr>
                <w:rFonts w:ascii="Arial Narrow" w:eastAsia="MS Gothic" w:hAnsi="Arial Narrow" w:cs="Times New Roman"/>
                <w:bCs/>
                <w:sz w:val="20"/>
              </w:rPr>
            </w:pPr>
          </w:p>
        </w:tc>
        <w:tc>
          <w:tcPr>
            <w:tcW w:w="525" w:type="pct"/>
            <w:vAlign w:val="center"/>
          </w:tcPr>
          <w:p w:rsidR="00304F2C" w:rsidRPr="00C62A13" w:rsidRDefault="00304F2C" w:rsidP="005F61AA">
            <w:pPr>
              <w:jc w:val="center"/>
              <w:rPr>
                <w:rFonts w:ascii="Arial Narrow" w:eastAsia="MS Gothic" w:hAnsi="Arial Narrow" w:cs="Times New Roman"/>
                <w:bCs/>
                <w:sz w:val="20"/>
              </w:rPr>
            </w:pP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AD UP</w:t>
            </w:r>
          </w:p>
        </w:tc>
        <w:tc>
          <w:tcPr>
            <w:tcW w:w="523"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4"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sz w:val="20"/>
                <w:szCs w:val="20"/>
              </w:rPr>
              <w:sym w:font="Wingdings" w:char="F0FC"/>
            </w:r>
            <w:r w:rsidRPr="00C62A13">
              <w:rPr>
                <w:rFonts w:ascii="Arial Narrow" w:hAnsi="Arial Narrow"/>
                <w:sz w:val="20"/>
                <w:szCs w:val="20"/>
              </w:rPr>
              <w:t xml:space="preserve"> </w:t>
            </w:r>
          </w:p>
        </w:tc>
        <w:tc>
          <w:tcPr>
            <w:tcW w:w="523"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sz w:val="20"/>
                <w:szCs w:val="20"/>
              </w:rPr>
              <w:sym w:font="Wingdings" w:char="F0FC"/>
            </w:r>
            <w:r w:rsidRPr="00C62A13">
              <w:rPr>
                <w:rFonts w:ascii="Arial Narrow" w:hAnsi="Arial Narrow"/>
                <w:sz w:val="20"/>
                <w:szCs w:val="20"/>
              </w:rPr>
              <w:t xml:space="preserve"> </w:t>
            </w:r>
          </w:p>
        </w:tc>
        <w:tc>
          <w:tcPr>
            <w:tcW w:w="525" w:type="pct"/>
            <w:vAlign w:val="center"/>
          </w:tcPr>
          <w:p w:rsidR="00304F2C" w:rsidRPr="00C62A13" w:rsidRDefault="00304F2C" w:rsidP="005F61AA">
            <w:pPr>
              <w:jc w:val="center"/>
              <w:rPr>
                <w:rFonts w:ascii="Arial Narrow" w:eastAsia="MS Gothic" w:hAnsi="Arial Narrow" w:cs="Times New Roman"/>
                <w:bCs/>
                <w:sz w:val="20"/>
              </w:rPr>
            </w:pP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M16-048</w:t>
            </w:r>
          </w:p>
        </w:tc>
        <w:tc>
          <w:tcPr>
            <w:tcW w:w="523"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eastAsia="MS Gothic" w:hAnsi="Arial Narrow" w:cs="Times New Roman"/>
                <w:bCs/>
                <w:sz w:val="20"/>
              </w:rPr>
            </w:pPr>
          </w:p>
        </w:tc>
        <w:tc>
          <w:tcPr>
            <w:tcW w:w="523"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cs="Times New Roman"/>
                <w:iCs/>
                <w:sz w:val="20"/>
                <w:szCs w:val="20"/>
                <w:lang w:eastAsia="en-US"/>
              </w:rPr>
              <w:t>2°</w:t>
            </w:r>
          </w:p>
        </w:tc>
        <w:tc>
          <w:tcPr>
            <w:tcW w:w="525"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sz w:val="20"/>
                <w:szCs w:val="20"/>
              </w:rPr>
              <w:sym w:font="Wingdings" w:char="F0FC"/>
            </w:r>
            <w:r w:rsidRPr="00C62A13">
              <w:rPr>
                <w:rFonts w:ascii="Arial Narrow" w:hAnsi="Arial Narrow" w:cs="Times New Roman"/>
                <w:iCs/>
                <w:sz w:val="20"/>
                <w:szCs w:val="20"/>
                <w:lang w:eastAsia="en-US"/>
              </w:rPr>
              <w:t>2°</w:t>
            </w:r>
          </w:p>
        </w:tc>
      </w:tr>
      <w:tr w:rsidR="00304F2C" w:rsidRPr="00C62A13" w:rsidTr="00304F2C">
        <w:trPr>
          <w:trHeight w:val="99"/>
        </w:trPr>
        <w:tc>
          <w:tcPr>
            <w:tcW w:w="5000" w:type="pct"/>
            <w:gridSpan w:val="9"/>
            <w:vAlign w:val="center"/>
          </w:tcPr>
          <w:p w:rsidR="00304F2C" w:rsidRPr="00C62A13" w:rsidRDefault="00304F2C" w:rsidP="005F61AA">
            <w:pPr>
              <w:jc w:val="left"/>
              <w:rPr>
                <w:rFonts w:ascii="Arial Narrow" w:eastAsia="MS Gothic" w:hAnsi="Arial Narrow" w:cs="Times New Roman"/>
                <w:bCs/>
                <w:sz w:val="20"/>
              </w:rPr>
            </w:pPr>
            <w:r w:rsidRPr="00C62A13">
              <w:rPr>
                <w:rFonts w:ascii="Arial Narrow" w:hAnsi="Arial Narrow"/>
                <w:b/>
                <w:bCs/>
                <w:iCs/>
                <w:snapToGrid w:val="0"/>
                <w:sz w:val="20"/>
                <w:szCs w:val="20"/>
                <w:lang w:eastAsia="en-US"/>
              </w:rPr>
              <w:t>DUPI trials</w:t>
            </w: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iCs/>
                <w:sz w:val="20"/>
                <w:szCs w:val="20"/>
                <w:lang w:eastAsia="en-US"/>
              </w:rPr>
              <w:t>Study 1021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p>
        </w:tc>
        <w:tc>
          <w:tcPr>
            <w:tcW w:w="525"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r>
      <w:tr w:rsidR="00304F2C" w:rsidRPr="00C62A13" w:rsidTr="00304F2C">
        <w:trPr>
          <w:trHeight w:val="111"/>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iCs/>
                <w:snapToGrid w:val="0"/>
                <w:sz w:val="20"/>
                <w:szCs w:val="20"/>
                <w:lang w:eastAsia="en-US"/>
              </w:rPr>
              <w:t>SOLO 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 / 2°</w:t>
            </w:r>
            <w:r w:rsidRPr="00C62A13">
              <w:rPr>
                <w:rFonts w:ascii="Arial Narrow" w:hAnsi="Arial Narrow" w:cs="Times New Roman"/>
                <w:iCs/>
                <w:sz w:val="20"/>
                <w:szCs w:val="20"/>
                <w:vertAlign w:val="superscript"/>
                <w:lang w:eastAsia="en-US"/>
              </w:rPr>
              <w:t>g</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 / 2°</w:t>
            </w:r>
            <w:r w:rsidRPr="00C62A13">
              <w:rPr>
                <w:rFonts w:ascii="Arial Narrow" w:hAnsi="Arial Narrow" w:cs="Times New Roman"/>
                <w:iCs/>
                <w:sz w:val="20"/>
                <w:szCs w:val="20"/>
                <w:vertAlign w:val="superscript"/>
                <w:lang w:eastAsia="en-US"/>
              </w:rPr>
              <w:t>g</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p>
        </w:tc>
        <w:tc>
          <w:tcPr>
            <w:tcW w:w="525"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iCs/>
                <w:snapToGrid w:val="0"/>
                <w:sz w:val="20"/>
                <w:szCs w:val="20"/>
                <w:lang w:eastAsia="en-US"/>
              </w:rPr>
              <w:t>SOLO 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 / 2°</w:t>
            </w:r>
            <w:r w:rsidRPr="00C62A13">
              <w:rPr>
                <w:rFonts w:ascii="Arial Narrow" w:hAnsi="Arial Narrow" w:cs="Times New Roman"/>
                <w:iCs/>
                <w:sz w:val="20"/>
                <w:szCs w:val="20"/>
                <w:vertAlign w:val="superscript"/>
                <w:lang w:eastAsia="en-US"/>
              </w:rPr>
              <w:t>g</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 / 2°</w:t>
            </w:r>
            <w:r w:rsidRPr="00C62A13">
              <w:rPr>
                <w:rFonts w:ascii="Arial Narrow" w:hAnsi="Arial Narrow" w:cs="Times New Roman"/>
                <w:iCs/>
                <w:sz w:val="20"/>
                <w:szCs w:val="20"/>
                <w:vertAlign w:val="superscript"/>
                <w:lang w:eastAsia="en-US"/>
              </w:rPr>
              <w:t>g</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p>
        </w:tc>
        <w:tc>
          <w:tcPr>
            <w:tcW w:w="525"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r>
      <w:tr w:rsidR="00304F2C" w:rsidRPr="00C62A13" w:rsidTr="00304F2C">
        <w:trPr>
          <w:trHeight w:val="99"/>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iCs/>
                <w:snapToGrid w:val="0"/>
                <w:sz w:val="20"/>
                <w:szCs w:val="20"/>
                <w:lang w:eastAsia="en-US"/>
              </w:rPr>
              <w:t xml:space="preserve">CAFÉ </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p>
        </w:tc>
        <w:tc>
          <w:tcPr>
            <w:tcW w:w="524"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eastAsia="MS Gothic" w:hAnsi="Arial Narrow" w:cs="Times New Roman"/>
                <w:bCs/>
                <w:sz w:val="20"/>
              </w:rPr>
            </w:pPr>
          </w:p>
        </w:tc>
        <w:tc>
          <w:tcPr>
            <w:tcW w:w="525" w:type="pct"/>
            <w:vAlign w:val="center"/>
          </w:tcPr>
          <w:p w:rsidR="00304F2C" w:rsidRPr="00C62A13" w:rsidRDefault="00304F2C" w:rsidP="005F61AA">
            <w:pPr>
              <w:jc w:val="center"/>
              <w:rPr>
                <w:rFonts w:ascii="Arial Narrow" w:eastAsia="MS Gothic" w:hAnsi="Arial Narrow" w:cs="Times New Roman"/>
                <w:bCs/>
                <w:sz w:val="20"/>
              </w:rPr>
            </w:pPr>
            <w:r w:rsidRPr="00C62A13">
              <w:rPr>
                <w:rFonts w:ascii="Arial Narrow" w:hAnsi="Arial Narrow" w:cs="Times New Roman"/>
                <w:iCs/>
                <w:sz w:val="20"/>
                <w:szCs w:val="20"/>
                <w:lang w:eastAsia="en-US"/>
              </w:rPr>
              <w:t>2°</w:t>
            </w:r>
          </w:p>
        </w:tc>
      </w:tr>
      <w:tr w:rsidR="00304F2C" w:rsidRPr="00C62A13" w:rsidTr="00304F2C">
        <w:trPr>
          <w:trHeight w:val="209"/>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cs="Times New Roman"/>
                <w:iCs/>
                <w:sz w:val="20"/>
                <w:szCs w:val="20"/>
                <w:lang w:eastAsia="en-US"/>
              </w:rPr>
              <w:t xml:space="preserve">CHRONOS </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1°</w:t>
            </w:r>
          </w:p>
        </w:tc>
        <w:tc>
          <w:tcPr>
            <w:tcW w:w="524" w:type="pct"/>
            <w:vAlign w:val="center"/>
          </w:tcPr>
          <w:p w:rsidR="00304F2C" w:rsidRPr="00C62A13" w:rsidRDefault="00304F2C" w:rsidP="005F61AA">
            <w:pPr>
              <w:widowControl w:val="0"/>
              <w:jc w:val="center"/>
              <w:rPr>
                <w:rFonts w:ascii="Arial Narrow" w:eastAsia="MS Gothic" w:hAnsi="Arial Narrow" w:cs="Times New Roman"/>
                <w:bCs/>
                <w:sz w:val="20"/>
              </w:rPr>
            </w:pPr>
            <w:r w:rsidRPr="00C62A13">
              <w:rPr>
                <w:rFonts w:ascii="Arial Narrow" w:hAnsi="Arial Narrow"/>
                <w:sz w:val="20"/>
                <w:szCs w:val="20"/>
              </w:rPr>
              <w:sym w:font="Wingdings" w:char="F0FC"/>
            </w:r>
          </w:p>
        </w:tc>
        <w:tc>
          <w:tcPr>
            <w:tcW w:w="523" w:type="pct"/>
            <w:vAlign w:val="center"/>
          </w:tcPr>
          <w:p w:rsidR="00304F2C" w:rsidRPr="00C62A13" w:rsidRDefault="00304F2C" w:rsidP="005F61AA">
            <w:pPr>
              <w:widowControl w:val="0"/>
              <w:jc w:val="center"/>
              <w:rPr>
                <w:rFonts w:ascii="Arial Narrow" w:eastAsia="MS Gothic" w:hAnsi="Arial Narrow" w:cs="Times New Roman"/>
                <w:bCs/>
                <w:sz w:val="20"/>
              </w:rPr>
            </w:pPr>
          </w:p>
        </w:tc>
        <w:tc>
          <w:tcPr>
            <w:tcW w:w="525" w:type="pct"/>
            <w:vAlign w:val="center"/>
          </w:tcPr>
          <w:p w:rsidR="00304F2C" w:rsidRPr="00C62A13" w:rsidRDefault="00304F2C" w:rsidP="005F61AA">
            <w:pPr>
              <w:widowControl w:val="0"/>
              <w:jc w:val="center"/>
              <w:rPr>
                <w:rFonts w:ascii="Arial Narrow" w:eastAsia="MS Gothic" w:hAnsi="Arial Narrow" w:cs="Times New Roman"/>
                <w:bCs/>
                <w:sz w:val="20"/>
              </w:rPr>
            </w:pPr>
          </w:p>
        </w:tc>
      </w:tr>
      <w:tr w:rsidR="00304F2C" w:rsidRPr="00C62A13" w:rsidTr="00304F2C">
        <w:trPr>
          <w:trHeight w:val="209"/>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cs="Times New Roman"/>
                <w:iCs/>
                <w:sz w:val="20"/>
                <w:szCs w:val="20"/>
                <w:lang w:eastAsia="en-US"/>
              </w:rPr>
              <w:t>JADE Compare</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16"/>
                <w:szCs w:val="20"/>
              </w:rPr>
            </w:pPr>
            <w:r w:rsidRPr="00C62A13">
              <w:rPr>
                <w:rFonts w:ascii="Arial Narrow" w:hAnsi="Arial Narrow" w:cs="Times New Roman"/>
                <w:iCs/>
                <w:sz w:val="20"/>
                <w:szCs w:val="20"/>
                <w:lang w:eastAsia="en-US"/>
              </w:rPr>
              <w:t>1°</w:t>
            </w:r>
            <w:r w:rsidRPr="00C62A13">
              <w:rPr>
                <w:rFonts w:ascii="Arial Narrow" w:hAnsi="Arial Narrow"/>
                <w:sz w:val="20"/>
                <w:szCs w:val="20"/>
              </w:rPr>
              <w:t xml:space="preserve"> </w:t>
            </w:r>
            <w:r w:rsidRPr="00C62A13">
              <w:rPr>
                <w:rFonts w:ascii="Arial Narrow" w:hAnsi="Arial Narrow"/>
                <w:sz w:val="16"/>
                <w:szCs w:val="20"/>
              </w:rPr>
              <w:t>(Wk12)</w:t>
            </w:r>
          </w:p>
          <w:p w:rsidR="00304F2C" w:rsidRPr="00C62A13" w:rsidRDefault="00304F2C" w:rsidP="005F61AA">
            <w:pPr>
              <w:jc w:val="center"/>
              <w:rPr>
                <w:rFonts w:ascii="Arial Narrow" w:hAnsi="Arial Narrow"/>
                <w:sz w:val="16"/>
                <w:szCs w:val="20"/>
              </w:rPr>
            </w:pPr>
            <w:r w:rsidRPr="00C62A13">
              <w:rPr>
                <w:rFonts w:ascii="Arial Narrow" w:hAnsi="Arial Narrow" w:cs="Times New Roman"/>
                <w:iCs/>
                <w:sz w:val="20"/>
                <w:szCs w:val="20"/>
                <w:lang w:eastAsia="en-US"/>
              </w:rPr>
              <w:t>2°</w:t>
            </w:r>
            <w:r w:rsidRPr="00C62A13">
              <w:rPr>
                <w:rFonts w:ascii="Arial Narrow" w:hAnsi="Arial Narrow"/>
                <w:sz w:val="20"/>
                <w:szCs w:val="20"/>
              </w:rPr>
              <w:t xml:space="preserve"> </w:t>
            </w:r>
            <w:r w:rsidRPr="00C62A13">
              <w:rPr>
                <w:rFonts w:ascii="Arial Narrow" w:hAnsi="Arial Narrow"/>
                <w:sz w:val="16"/>
                <w:szCs w:val="20"/>
              </w:rPr>
              <w:t>(Wk16)</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20"/>
                <w:szCs w:val="20"/>
              </w:rPr>
            </w:pPr>
          </w:p>
        </w:tc>
        <w:tc>
          <w:tcPr>
            <w:tcW w:w="523" w:type="pct"/>
            <w:vAlign w:val="center"/>
          </w:tcPr>
          <w:p w:rsidR="00304F2C" w:rsidRPr="00C62A13" w:rsidRDefault="00304F2C" w:rsidP="005F61AA">
            <w:pPr>
              <w:jc w:val="center"/>
              <w:rPr>
                <w:rFonts w:ascii="Arial Narrow" w:hAnsi="Arial Narrow"/>
                <w:sz w:val="16"/>
                <w:szCs w:val="20"/>
              </w:rPr>
            </w:pPr>
            <w:r w:rsidRPr="00C62A13">
              <w:rPr>
                <w:rFonts w:ascii="Arial Narrow" w:hAnsi="Arial Narrow" w:cs="Times New Roman"/>
                <w:iCs/>
                <w:sz w:val="20"/>
                <w:szCs w:val="20"/>
                <w:lang w:eastAsia="en-US"/>
              </w:rPr>
              <w:t>1°</w:t>
            </w:r>
            <w:r w:rsidRPr="00C62A13">
              <w:rPr>
                <w:rFonts w:ascii="Arial Narrow" w:hAnsi="Arial Narrow"/>
                <w:sz w:val="20"/>
                <w:szCs w:val="20"/>
              </w:rPr>
              <w:t xml:space="preserve"> </w:t>
            </w:r>
            <w:r w:rsidRPr="00C62A13">
              <w:rPr>
                <w:rFonts w:ascii="Arial Narrow" w:hAnsi="Arial Narrow"/>
                <w:sz w:val="16"/>
                <w:szCs w:val="20"/>
              </w:rPr>
              <w:t>(Wk12)</w:t>
            </w:r>
          </w:p>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cs="Times New Roman"/>
                <w:iCs/>
                <w:sz w:val="20"/>
                <w:szCs w:val="20"/>
                <w:lang w:eastAsia="en-US"/>
              </w:rPr>
              <w:t>2°</w:t>
            </w:r>
            <w:r w:rsidRPr="00C62A13">
              <w:rPr>
                <w:rFonts w:ascii="Arial Narrow" w:hAnsi="Arial Narrow"/>
                <w:sz w:val="20"/>
                <w:szCs w:val="20"/>
              </w:rPr>
              <w:t xml:space="preserve"> </w:t>
            </w:r>
            <w:r w:rsidRPr="00C62A13">
              <w:rPr>
                <w:rFonts w:ascii="Arial Narrow" w:hAnsi="Arial Narrow"/>
                <w:sz w:val="16"/>
                <w:szCs w:val="20"/>
              </w:rPr>
              <w:t>(Wk16)</w:t>
            </w:r>
          </w:p>
        </w:tc>
        <w:tc>
          <w:tcPr>
            <w:tcW w:w="524" w:type="pct"/>
            <w:vAlign w:val="center"/>
          </w:tcPr>
          <w:p w:rsidR="00304F2C" w:rsidRPr="00C62A13" w:rsidRDefault="00304F2C" w:rsidP="005F61AA">
            <w:pPr>
              <w:widowControl w:val="0"/>
              <w:jc w:val="center"/>
              <w:rPr>
                <w:rFonts w:ascii="Arial Narrow" w:eastAsia="MS Gothic" w:hAnsi="Arial Narrow" w:cs="Times New Roman"/>
                <w:bCs/>
                <w:sz w:val="20"/>
              </w:rPr>
            </w:pPr>
          </w:p>
        </w:tc>
        <w:tc>
          <w:tcPr>
            <w:tcW w:w="523" w:type="pct"/>
            <w:vAlign w:val="center"/>
          </w:tcPr>
          <w:p w:rsidR="00304F2C" w:rsidRPr="00C62A13" w:rsidRDefault="00304F2C" w:rsidP="005F61AA">
            <w:pPr>
              <w:widowControl w:val="0"/>
              <w:jc w:val="center"/>
              <w:rPr>
                <w:rFonts w:ascii="Arial Narrow" w:eastAsia="MS Gothic" w:hAnsi="Arial Narrow" w:cs="Times New Roman"/>
                <w:bCs/>
                <w:sz w:val="20"/>
              </w:rPr>
            </w:pPr>
          </w:p>
        </w:tc>
        <w:tc>
          <w:tcPr>
            <w:tcW w:w="525" w:type="pct"/>
            <w:vAlign w:val="center"/>
          </w:tcPr>
          <w:p w:rsidR="00304F2C" w:rsidRPr="00C62A13" w:rsidRDefault="00304F2C" w:rsidP="005F61AA">
            <w:pPr>
              <w:widowControl w:val="0"/>
              <w:jc w:val="center"/>
              <w:rPr>
                <w:rFonts w:ascii="Arial Narrow" w:eastAsia="MS Gothic" w:hAnsi="Arial Narrow" w:cs="Times New Roman"/>
                <w:bCs/>
                <w:sz w:val="20"/>
              </w:rPr>
            </w:pPr>
            <w:r w:rsidRPr="00C62A13">
              <w:rPr>
                <w:rFonts w:ascii="Arial Narrow" w:hAnsi="Arial Narrow"/>
                <w:sz w:val="20"/>
                <w:szCs w:val="20"/>
              </w:rPr>
              <w:sym w:font="Wingdings" w:char="F0FC"/>
            </w:r>
          </w:p>
        </w:tc>
      </w:tr>
      <w:tr w:rsidR="00304F2C" w:rsidRPr="00C62A13" w:rsidTr="00304F2C">
        <w:trPr>
          <w:trHeight w:val="209"/>
        </w:trPr>
        <w:tc>
          <w:tcPr>
            <w:tcW w:w="811" w:type="pct"/>
            <w:vAlign w:val="center"/>
          </w:tcPr>
          <w:p w:rsidR="00304F2C" w:rsidRPr="00C62A13" w:rsidRDefault="00304F2C" w:rsidP="005F61AA">
            <w:pPr>
              <w:jc w:val="left"/>
              <w:rPr>
                <w:rFonts w:ascii="Arial Narrow" w:hAnsi="Arial Narrow" w:cs="Times New Roman"/>
                <w:iCs/>
                <w:sz w:val="20"/>
                <w:szCs w:val="20"/>
                <w:lang w:eastAsia="en-US"/>
              </w:rPr>
            </w:pPr>
            <w:r w:rsidRPr="00C62A13">
              <w:rPr>
                <w:rFonts w:ascii="Arial Narrow" w:hAnsi="Arial Narrow" w:cs="Times New Roman"/>
                <w:iCs/>
                <w:sz w:val="20"/>
                <w:szCs w:val="20"/>
                <w:lang w:eastAsia="en-US"/>
              </w:rPr>
              <w:t>LIBERTY AD ADOL</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cs="Times New Roman"/>
                <w:iCs/>
                <w:sz w:val="20"/>
                <w:szCs w:val="20"/>
                <w:lang w:eastAsia="en-US"/>
              </w:rPr>
              <w:t>1°</w:t>
            </w:r>
          </w:p>
        </w:tc>
        <w:tc>
          <w:tcPr>
            <w:tcW w:w="523" w:type="pct"/>
            <w:vAlign w:val="center"/>
          </w:tcPr>
          <w:p w:rsidR="00304F2C" w:rsidRPr="00C62A13" w:rsidRDefault="00304F2C" w:rsidP="005F61AA">
            <w:pPr>
              <w:jc w:val="center"/>
              <w:rPr>
                <w:rFonts w:ascii="Arial Narrow" w:hAnsi="Arial Narrow" w:cs="Times New Roman"/>
                <w:iCs/>
                <w:sz w:val="20"/>
                <w:szCs w:val="20"/>
                <w:lang w:eastAsia="en-US"/>
              </w:rPr>
            </w:pPr>
            <w:r w:rsidRPr="00C62A13">
              <w:rPr>
                <w:rFonts w:ascii="Arial Narrow" w:hAnsi="Arial Narrow"/>
                <w:sz w:val="20"/>
                <w:szCs w:val="20"/>
              </w:rPr>
              <w:sym w:font="Wingdings" w:char="F0FC"/>
            </w:r>
          </w:p>
        </w:tc>
        <w:tc>
          <w:tcPr>
            <w:tcW w:w="524"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cs="Times New Roman"/>
                <w:iCs/>
                <w:sz w:val="20"/>
                <w:szCs w:val="20"/>
                <w:lang w:eastAsia="en-US"/>
              </w:rPr>
              <w:t>2°</w:t>
            </w:r>
          </w:p>
        </w:tc>
        <w:tc>
          <w:tcPr>
            <w:tcW w:w="523" w:type="pct"/>
            <w:vAlign w:val="center"/>
          </w:tcPr>
          <w:p w:rsidR="00304F2C" w:rsidRPr="00C62A13" w:rsidRDefault="00304F2C" w:rsidP="005F61AA">
            <w:pPr>
              <w:jc w:val="center"/>
              <w:rPr>
                <w:rFonts w:ascii="Arial Narrow" w:hAnsi="Arial Narrow"/>
                <w:sz w:val="20"/>
                <w:szCs w:val="20"/>
              </w:rPr>
            </w:pPr>
            <w:r w:rsidRPr="00C62A13">
              <w:rPr>
                <w:rFonts w:ascii="Arial Narrow" w:hAnsi="Arial Narrow" w:cs="Times New Roman"/>
                <w:iCs/>
                <w:sz w:val="20"/>
                <w:szCs w:val="20"/>
                <w:lang w:eastAsia="en-US"/>
              </w:rPr>
              <w:t>1°</w:t>
            </w:r>
          </w:p>
        </w:tc>
        <w:tc>
          <w:tcPr>
            <w:tcW w:w="524" w:type="pct"/>
            <w:vAlign w:val="center"/>
          </w:tcPr>
          <w:p w:rsidR="00304F2C" w:rsidRPr="00C62A13" w:rsidRDefault="00304F2C" w:rsidP="005F61AA">
            <w:pPr>
              <w:widowControl w:val="0"/>
              <w:jc w:val="center"/>
              <w:rPr>
                <w:rFonts w:ascii="Arial Narrow" w:eastAsia="MS Gothic" w:hAnsi="Arial Narrow" w:cs="Times New Roman"/>
                <w:bCs/>
                <w:sz w:val="20"/>
              </w:rPr>
            </w:pPr>
          </w:p>
        </w:tc>
        <w:tc>
          <w:tcPr>
            <w:tcW w:w="523" w:type="pct"/>
            <w:vAlign w:val="center"/>
          </w:tcPr>
          <w:p w:rsidR="00304F2C" w:rsidRPr="00C62A13" w:rsidRDefault="00304F2C" w:rsidP="005F61AA">
            <w:pPr>
              <w:widowControl w:val="0"/>
              <w:jc w:val="center"/>
              <w:rPr>
                <w:rFonts w:ascii="Arial Narrow" w:eastAsia="MS Gothic" w:hAnsi="Arial Narrow" w:cs="Times New Roman"/>
                <w:bCs/>
                <w:sz w:val="20"/>
              </w:rPr>
            </w:pPr>
          </w:p>
        </w:tc>
        <w:tc>
          <w:tcPr>
            <w:tcW w:w="525" w:type="pct"/>
            <w:vAlign w:val="center"/>
          </w:tcPr>
          <w:p w:rsidR="00304F2C" w:rsidRPr="00C62A13" w:rsidRDefault="00304F2C" w:rsidP="005F61AA">
            <w:pPr>
              <w:widowControl w:val="0"/>
              <w:jc w:val="center"/>
              <w:rPr>
                <w:rFonts w:ascii="Arial Narrow" w:eastAsia="MS Gothic" w:hAnsi="Arial Narrow" w:cs="Times New Roman"/>
                <w:bCs/>
                <w:sz w:val="20"/>
              </w:rPr>
            </w:pPr>
            <w:r w:rsidRPr="00C62A13">
              <w:rPr>
                <w:rFonts w:ascii="Arial Narrow" w:hAnsi="Arial Narrow"/>
                <w:sz w:val="20"/>
                <w:szCs w:val="20"/>
              </w:rPr>
              <w:sym w:font="Wingdings" w:char="F0FC"/>
            </w:r>
          </w:p>
        </w:tc>
      </w:tr>
    </w:tbl>
    <w:p w:rsidR="00564481" w:rsidRPr="00C62A13" w:rsidRDefault="00564481" w:rsidP="00564481">
      <w:pPr>
        <w:widowControl w:val="0"/>
        <w:rPr>
          <w:rFonts w:ascii="Arial Narrow" w:hAnsi="Arial Narrow"/>
          <w:iCs/>
          <w:snapToGrid w:val="0"/>
          <w:sz w:val="18"/>
          <w:szCs w:val="18"/>
          <w:lang w:eastAsia="en-US"/>
        </w:rPr>
      </w:pPr>
      <w:r w:rsidRPr="00C62A13">
        <w:rPr>
          <w:rFonts w:ascii="Arial Narrow" w:hAnsi="Arial Narrow"/>
          <w:iCs/>
          <w:snapToGrid w:val="0"/>
          <w:sz w:val="18"/>
          <w:szCs w:val="18"/>
          <w:lang w:eastAsia="en-US"/>
        </w:rPr>
        <w:t>Source: Compiled during evaluation with reference to Table 2.4-8 of the submission and related CSRs/protocols.</w:t>
      </w:r>
    </w:p>
    <w:p w:rsidR="00564481" w:rsidRPr="00C62A13" w:rsidRDefault="00564481" w:rsidP="00564481">
      <w:pPr>
        <w:rPr>
          <w:rFonts w:ascii="Arial Narrow" w:hAnsi="Arial Narrow"/>
          <w:sz w:val="18"/>
          <w:szCs w:val="18"/>
        </w:rPr>
      </w:pPr>
      <w:r w:rsidRPr="00C62A13">
        <w:rPr>
          <w:rFonts w:ascii="Arial Narrow" w:hAnsi="Arial Narrow"/>
          <w:sz w:val="18"/>
          <w:szCs w:val="18"/>
        </w:rPr>
        <w:t>CDLQI</w:t>
      </w:r>
      <w:r w:rsidR="0092701E">
        <w:rPr>
          <w:rFonts w:ascii="Arial Narrow" w:hAnsi="Arial Narrow"/>
          <w:sz w:val="18"/>
          <w:szCs w:val="18"/>
        </w:rPr>
        <w:t xml:space="preserve"> </w:t>
      </w:r>
      <w:r w:rsidRPr="00C62A13">
        <w:rPr>
          <w:rFonts w:ascii="Arial Narrow" w:hAnsi="Arial Narrow"/>
          <w:sz w:val="18"/>
          <w:szCs w:val="18"/>
        </w:rPr>
        <w:t>=</w:t>
      </w:r>
      <w:r w:rsidR="0092701E">
        <w:rPr>
          <w:rFonts w:ascii="Arial Narrow" w:hAnsi="Arial Narrow"/>
          <w:sz w:val="18"/>
          <w:szCs w:val="18"/>
        </w:rPr>
        <w:t xml:space="preserve"> </w:t>
      </w:r>
      <w:r w:rsidRPr="00C62A13">
        <w:rPr>
          <w:rFonts w:ascii="Arial Narrow" w:hAnsi="Arial Narrow"/>
          <w:sz w:val="18"/>
          <w:szCs w:val="18"/>
        </w:rPr>
        <w:t>Children’s Dermatology Life Quality Index; DLQI</w:t>
      </w:r>
      <w:r w:rsidR="0092701E">
        <w:rPr>
          <w:rFonts w:ascii="Arial Narrow" w:hAnsi="Arial Narrow"/>
          <w:sz w:val="18"/>
          <w:szCs w:val="18"/>
        </w:rPr>
        <w:t xml:space="preserve"> </w:t>
      </w:r>
      <w:r w:rsidRPr="00C62A13">
        <w:rPr>
          <w:rFonts w:ascii="Arial Narrow" w:hAnsi="Arial Narrow"/>
          <w:sz w:val="18"/>
          <w:szCs w:val="18"/>
        </w:rPr>
        <w:t>=</w:t>
      </w:r>
      <w:r w:rsidR="0092701E">
        <w:rPr>
          <w:rFonts w:ascii="Arial Narrow" w:hAnsi="Arial Narrow"/>
          <w:sz w:val="18"/>
          <w:szCs w:val="18"/>
        </w:rPr>
        <w:t xml:space="preserve"> </w:t>
      </w:r>
      <w:r w:rsidRPr="00C62A13">
        <w:rPr>
          <w:rFonts w:ascii="Arial Narrow" w:hAnsi="Arial Narrow"/>
          <w:sz w:val="18"/>
          <w:szCs w:val="18"/>
        </w:rPr>
        <w:t>Dermatology Life Quality Index.; EASI</w:t>
      </w:r>
      <w:r w:rsidR="0092701E">
        <w:rPr>
          <w:rFonts w:ascii="Arial Narrow" w:hAnsi="Arial Narrow"/>
          <w:sz w:val="18"/>
          <w:szCs w:val="18"/>
        </w:rPr>
        <w:t xml:space="preserve"> </w:t>
      </w:r>
      <w:r w:rsidRPr="00C62A13">
        <w:rPr>
          <w:rFonts w:ascii="Arial Narrow" w:hAnsi="Arial Narrow"/>
          <w:sz w:val="18"/>
          <w:szCs w:val="18"/>
        </w:rPr>
        <w:t>=</w:t>
      </w:r>
      <w:r w:rsidR="0092701E">
        <w:rPr>
          <w:rFonts w:ascii="Arial Narrow" w:hAnsi="Arial Narrow"/>
          <w:sz w:val="18"/>
          <w:szCs w:val="18"/>
        </w:rPr>
        <w:t xml:space="preserve"> </w:t>
      </w:r>
      <w:r w:rsidRPr="00C62A13">
        <w:rPr>
          <w:rFonts w:ascii="Arial Narrow" w:hAnsi="Arial Narrow"/>
          <w:sz w:val="18"/>
          <w:szCs w:val="18"/>
        </w:rPr>
        <w:t>Eczema Area and Severity Index; IGA</w:t>
      </w:r>
      <w:r w:rsidR="0092701E">
        <w:rPr>
          <w:rFonts w:ascii="Arial Narrow" w:hAnsi="Arial Narrow"/>
          <w:sz w:val="18"/>
          <w:szCs w:val="18"/>
        </w:rPr>
        <w:t xml:space="preserve"> </w:t>
      </w:r>
      <w:r w:rsidRPr="00C62A13">
        <w:rPr>
          <w:rFonts w:ascii="Arial Narrow" w:hAnsi="Arial Narrow"/>
          <w:sz w:val="18"/>
          <w:szCs w:val="18"/>
        </w:rPr>
        <w:t>=</w:t>
      </w:r>
      <w:r w:rsidR="0092701E">
        <w:rPr>
          <w:rFonts w:ascii="Arial Narrow" w:hAnsi="Arial Narrow"/>
          <w:sz w:val="18"/>
          <w:szCs w:val="18"/>
        </w:rPr>
        <w:t xml:space="preserve"> </w:t>
      </w:r>
      <w:r w:rsidRPr="00C62A13">
        <w:rPr>
          <w:rFonts w:ascii="Arial Narrow" w:hAnsi="Arial Narrow"/>
          <w:sz w:val="18"/>
          <w:szCs w:val="18"/>
        </w:rPr>
        <w:t>Investigator’s Global Assessment</w:t>
      </w:r>
    </w:p>
    <w:p w:rsidR="00564481" w:rsidRPr="00C62A13" w:rsidRDefault="00564481" w:rsidP="00564481">
      <w:pPr>
        <w:widowControl w:val="0"/>
        <w:spacing w:after="120"/>
        <w:contextualSpacing/>
        <w:rPr>
          <w:rFonts w:ascii="Arial Narrow" w:hAnsi="Arial Narrow"/>
          <w:snapToGrid w:val="0"/>
          <w:sz w:val="18"/>
          <w:szCs w:val="18"/>
        </w:rPr>
      </w:pPr>
      <w:r w:rsidRPr="00C62A13">
        <w:rPr>
          <w:rFonts w:ascii="Arial Narrow" w:hAnsi="Arial Narrow"/>
          <w:snapToGrid w:val="0"/>
          <w:sz w:val="18"/>
          <w:szCs w:val="18"/>
          <w:vertAlign w:val="superscript"/>
        </w:rPr>
        <w:t xml:space="preserve">a </w:t>
      </w:r>
      <w:r w:rsidRPr="00C62A13">
        <w:rPr>
          <w:rFonts w:ascii="Arial Narrow" w:hAnsi="Arial Narrow"/>
          <w:snapToGrid w:val="0"/>
          <w:sz w:val="18"/>
          <w:szCs w:val="18"/>
        </w:rPr>
        <w:t xml:space="preserve">At least 50/75/90% improvement/reduction from baseline in EASI score. </w:t>
      </w:r>
    </w:p>
    <w:p w:rsidR="00564481" w:rsidRPr="00C62A13" w:rsidRDefault="00564481" w:rsidP="00564481">
      <w:pPr>
        <w:widowControl w:val="0"/>
        <w:spacing w:after="120"/>
        <w:contextualSpacing/>
        <w:rPr>
          <w:rFonts w:ascii="Arial Narrow" w:hAnsi="Arial Narrow"/>
          <w:snapToGrid w:val="0"/>
          <w:sz w:val="18"/>
          <w:szCs w:val="18"/>
          <w:vertAlign w:val="superscript"/>
        </w:rPr>
      </w:pPr>
      <w:r w:rsidRPr="00C62A13">
        <w:rPr>
          <w:rFonts w:ascii="Arial Narrow" w:hAnsi="Arial Narrow"/>
          <w:snapToGrid w:val="0"/>
          <w:sz w:val="18"/>
          <w:szCs w:val="18"/>
          <w:vertAlign w:val="superscript"/>
        </w:rPr>
        <w:t xml:space="preserve">b </w:t>
      </w:r>
      <w:r w:rsidRPr="00C62A13">
        <w:rPr>
          <w:rFonts w:ascii="Arial Narrow" w:hAnsi="Arial Narrow"/>
          <w:snapToGrid w:val="0"/>
          <w:sz w:val="18"/>
          <w:szCs w:val="18"/>
        </w:rPr>
        <w:t>% change from baseline in EASI score.</w:t>
      </w:r>
      <w:r w:rsidRPr="00C62A13">
        <w:rPr>
          <w:rFonts w:ascii="Arial Narrow" w:hAnsi="Arial Narrow"/>
          <w:snapToGrid w:val="0"/>
          <w:sz w:val="18"/>
          <w:szCs w:val="18"/>
          <w:vertAlign w:val="superscript"/>
        </w:rPr>
        <w:t xml:space="preserve"> </w:t>
      </w:r>
    </w:p>
    <w:p w:rsidR="00564481" w:rsidRPr="00C62A13" w:rsidRDefault="00564481" w:rsidP="00564481">
      <w:pPr>
        <w:widowControl w:val="0"/>
        <w:spacing w:after="120"/>
        <w:contextualSpacing/>
        <w:rPr>
          <w:rFonts w:ascii="Arial Narrow" w:hAnsi="Arial Narrow"/>
          <w:snapToGrid w:val="0"/>
          <w:sz w:val="18"/>
          <w:szCs w:val="18"/>
        </w:rPr>
      </w:pPr>
      <w:r w:rsidRPr="00C62A13">
        <w:rPr>
          <w:rFonts w:ascii="Arial Narrow" w:hAnsi="Arial Narrow"/>
          <w:snapToGrid w:val="0"/>
          <w:sz w:val="18"/>
          <w:szCs w:val="18"/>
          <w:vertAlign w:val="superscript"/>
        </w:rPr>
        <w:t>c</w:t>
      </w:r>
      <w:r w:rsidRPr="00C62A13">
        <w:rPr>
          <w:rFonts w:ascii="Arial Narrow" w:hAnsi="Arial Narrow"/>
          <w:snapToGrid w:val="0"/>
          <w:sz w:val="18"/>
          <w:szCs w:val="18"/>
        </w:rPr>
        <w:t xml:space="preserve"> Proportion of patients achieving IGA of 0 or 1 with a ≥2-point improvement (i.e.: from a baseline of 3 or 4 on the 5-point IGA scale).</w:t>
      </w:r>
    </w:p>
    <w:p w:rsidR="00564481" w:rsidRPr="00C62A13" w:rsidRDefault="00564481" w:rsidP="00564481">
      <w:pPr>
        <w:widowControl w:val="0"/>
        <w:spacing w:after="120"/>
        <w:contextualSpacing/>
        <w:rPr>
          <w:rFonts w:ascii="Arial Narrow" w:hAnsi="Arial Narrow"/>
          <w:snapToGrid w:val="0"/>
          <w:sz w:val="18"/>
          <w:szCs w:val="18"/>
          <w:vertAlign w:val="superscript"/>
        </w:rPr>
      </w:pPr>
      <w:r w:rsidRPr="00C62A13">
        <w:rPr>
          <w:rFonts w:ascii="Arial Narrow" w:hAnsi="Arial Narrow"/>
          <w:snapToGrid w:val="0"/>
          <w:sz w:val="18"/>
          <w:szCs w:val="18"/>
          <w:vertAlign w:val="superscript"/>
        </w:rPr>
        <w:t xml:space="preserve">d </w:t>
      </w:r>
      <w:r w:rsidRPr="00C62A13">
        <w:rPr>
          <w:rFonts w:ascii="Arial Narrow" w:hAnsi="Arial Narrow"/>
          <w:snapToGrid w:val="0"/>
          <w:sz w:val="18"/>
          <w:szCs w:val="18"/>
        </w:rPr>
        <w:t xml:space="preserve">Proportion of patients achieving an improvement (reduction) in DLQI ≥ 4. </w:t>
      </w:r>
    </w:p>
    <w:p w:rsidR="00564481" w:rsidRPr="00C62A13" w:rsidRDefault="00564481" w:rsidP="00564481">
      <w:pPr>
        <w:widowControl w:val="0"/>
        <w:spacing w:after="120"/>
        <w:contextualSpacing/>
        <w:rPr>
          <w:rFonts w:ascii="Arial Narrow" w:hAnsi="Arial Narrow"/>
          <w:snapToGrid w:val="0"/>
          <w:sz w:val="18"/>
          <w:szCs w:val="18"/>
        </w:rPr>
      </w:pPr>
      <w:r w:rsidRPr="00C62A13">
        <w:rPr>
          <w:rFonts w:ascii="Arial Narrow" w:hAnsi="Arial Narrow"/>
          <w:snapToGrid w:val="0"/>
          <w:sz w:val="18"/>
          <w:szCs w:val="18"/>
          <w:vertAlign w:val="superscript"/>
        </w:rPr>
        <w:t>e</w:t>
      </w:r>
      <w:r w:rsidRPr="00C62A13">
        <w:rPr>
          <w:rFonts w:ascii="Arial Narrow" w:hAnsi="Arial Narrow"/>
          <w:snapToGrid w:val="0"/>
          <w:sz w:val="18"/>
          <w:szCs w:val="18"/>
        </w:rPr>
        <w:t xml:space="preserve"> Proportion of patients achieving DLQI score of 0/1 for patients with a DLQI score &gt; 1 at baseline.</w:t>
      </w:r>
    </w:p>
    <w:p w:rsidR="00564481" w:rsidRPr="00C62A13" w:rsidRDefault="00564481" w:rsidP="00564481">
      <w:pPr>
        <w:widowControl w:val="0"/>
        <w:spacing w:after="120"/>
        <w:contextualSpacing/>
        <w:rPr>
          <w:rFonts w:ascii="Arial Narrow" w:hAnsi="Arial Narrow"/>
          <w:snapToGrid w:val="0"/>
          <w:sz w:val="18"/>
          <w:szCs w:val="18"/>
        </w:rPr>
      </w:pPr>
      <w:r w:rsidRPr="00C62A13">
        <w:rPr>
          <w:rFonts w:ascii="Arial Narrow" w:hAnsi="Arial Narrow"/>
          <w:snapToGrid w:val="0"/>
          <w:sz w:val="18"/>
          <w:szCs w:val="18"/>
          <w:vertAlign w:val="superscript"/>
        </w:rPr>
        <w:t xml:space="preserve">f  </w:t>
      </w:r>
      <w:r w:rsidRPr="00C62A13">
        <w:rPr>
          <w:rFonts w:ascii="Arial Narrow" w:hAnsi="Arial Narrow"/>
          <w:snapToGrid w:val="0"/>
          <w:sz w:val="18"/>
          <w:szCs w:val="18"/>
        </w:rPr>
        <w:t>Mean change or absolute and percentage change from baseline in the DLQI total scores.</w:t>
      </w:r>
    </w:p>
    <w:p w:rsidR="00304F2C" w:rsidRPr="00C62A13" w:rsidRDefault="00564481" w:rsidP="00564481">
      <w:pPr>
        <w:widowControl w:val="0"/>
        <w:spacing w:after="120"/>
        <w:contextualSpacing/>
        <w:rPr>
          <w:rFonts w:ascii="Arial Narrow" w:eastAsia="Calibri" w:hAnsi="Arial Narrow" w:cs="Times New Roman"/>
          <w:sz w:val="18"/>
          <w:szCs w:val="18"/>
          <w:lang w:eastAsia="en-US"/>
        </w:rPr>
      </w:pPr>
      <w:r w:rsidRPr="00C62A13">
        <w:rPr>
          <w:rFonts w:ascii="Arial Narrow" w:eastAsia="Calibri" w:hAnsi="Arial Narrow" w:cs="Times New Roman"/>
          <w:sz w:val="18"/>
          <w:szCs w:val="18"/>
          <w:vertAlign w:val="superscript"/>
          <w:lang w:eastAsia="en-US"/>
        </w:rPr>
        <w:t>g</w:t>
      </w:r>
      <w:r w:rsidRPr="00C62A13">
        <w:rPr>
          <w:rFonts w:ascii="Arial Narrow" w:eastAsia="Calibri" w:hAnsi="Arial Narrow" w:cs="Times New Roman"/>
          <w:sz w:val="18"/>
          <w:szCs w:val="18"/>
          <w:lang w:eastAsia="en-US"/>
        </w:rPr>
        <w:t xml:space="preserve"> EASI 75 was a co-primary outcome in Europe and Japan and a key secondary outcome elsewhere.</w:t>
      </w:r>
    </w:p>
    <w:p w:rsidR="005E5409" w:rsidRPr="00C62A13" w:rsidRDefault="00304F2C" w:rsidP="00644515">
      <w:pPr>
        <w:pStyle w:val="3-BodyText"/>
        <w:rPr>
          <w:iCs/>
        </w:rPr>
      </w:pPr>
      <w:bookmarkStart w:id="15" w:name="_Toc22897641"/>
      <w:r w:rsidRPr="00C62A13">
        <w:rPr>
          <w:iCs/>
        </w:rPr>
        <w:t>The trials provide clinical evidence for patients with AD affecting the whole body</w:t>
      </w:r>
      <w:r w:rsidR="005E5409" w:rsidRPr="00C62A13">
        <w:rPr>
          <w:iCs/>
        </w:rPr>
        <w:t xml:space="preserve"> (</w:t>
      </w:r>
      <w:r w:rsidR="00576660" w:rsidRPr="00C62A13">
        <w:rPr>
          <w:iCs/>
        </w:rPr>
        <w:t xml:space="preserve">as </w:t>
      </w:r>
      <w:r w:rsidR="005E5409" w:rsidRPr="00C62A13">
        <w:rPr>
          <w:iCs/>
        </w:rPr>
        <w:t>none of the trial</w:t>
      </w:r>
      <w:r w:rsidR="006A2B23" w:rsidRPr="00C62A13">
        <w:rPr>
          <w:iCs/>
        </w:rPr>
        <w:t>s</w:t>
      </w:r>
      <w:r w:rsidR="005E5409" w:rsidRPr="00C62A13">
        <w:rPr>
          <w:iCs/>
        </w:rPr>
        <w:t xml:space="preserve"> enrolled patients with AD exclusively affecting the face and hands)</w:t>
      </w:r>
      <w:r w:rsidRPr="00C62A13">
        <w:rPr>
          <w:iCs/>
        </w:rPr>
        <w:t xml:space="preserve">, </w:t>
      </w:r>
      <w:r w:rsidR="00C66A83" w:rsidRPr="00C62A13">
        <w:rPr>
          <w:iCs/>
        </w:rPr>
        <w:t xml:space="preserve">and </w:t>
      </w:r>
      <w:r w:rsidR="009600B2" w:rsidRPr="00C62A13">
        <w:rPr>
          <w:iCs/>
        </w:rPr>
        <w:t xml:space="preserve">neither </w:t>
      </w:r>
      <w:r w:rsidRPr="00C62A13">
        <w:rPr>
          <w:iCs/>
        </w:rPr>
        <w:t xml:space="preserve">the PBS response criteria (i.e. EASI 50 </w:t>
      </w:r>
      <w:r w:rsidRPr="00C62A13">
        <w:rPr>
          <w:b/>
          <w:bCs/>
          <w:iCs/>
        </w:rPr>
        <w:t>and</w:t>
      </w:r>
      <w:r w:rsidRPr="00C62A13">
        <w:rPr>
          <w:iCs/>
        </w:rPr>
        <w:t xml:space="preserve"> DLQI </w:t>
      </w:r>
      <w:r w:rsidRPr="00C62A13">
        <w:rPr>
          <w:rFonts w:cstheme="minorHAnsi"/>
          <w:iCs/>
        </w:rPr>
        <w:t>≥</w:t>
      </w:r>
      <w:r w:rsidRPr="00C62A13">
        <w:rPr>
          <w:iCs/>
        </w:rPr>
        <w:t xml:space="preserve">4) </w:t>
      </w:r>
      <w:r w:rsidR="009600B2" w:rsidRPr="00C62A13">
        <w:rPr>
          <w:iCs/>
        </w:rPr>
        <w:t xml:space="preserve">nor the </w:t>
      </w:r>
      <w:r w:rsidRPr="00C62A13">
        <w:rPr>
          <w:iCs/>
        </w:rPr>
        <w:t xml:space="preserve">PBS population (i.e. severe AD, defined as EASI score ≥20 </w:t>
      </w:r>
      <w:r w:rsidRPr="00C62A13">
        <w:rPr>
          <w:b/>
          <w:bCs/>
          <w:iCs/>
        </w:rPr>
        <w:t>and</w:t>
      </w:r>
      <w:r w:rsidRPr="00C62A13">
        <w:rPr>
          <w:iCs/>
        </w:rPr>
        <w:t xml:space="preserve"> PGA score =4) w</w:t>
      </w:r>
      <w:r w:rsidR="009600B2" w:rsidRPr="00C62A13">
        <w:rPr>
          <w:iCs/>
        </w:rPr>
        <w:t>ere</w:t>
      </w:r>
      <w:r w:rsidRPr="00C62A13">
        <w:rPr>
          <w:iCs/>
        </w:rPr>
        <w:t xml:space="preserve"> pre-specified </w:t>
      </w:r>
      <w:r w:rsidR="009600B2" w:rsidRPr="00C62A13">
        <w:rPr>
          <w:iCs/>
        </w:rPr>
        <w:t>analyses</w:t>
      </w:r>
      <w:r w:rsidRPr="00C62A13">
        <w:rPr>
          <w:iCs/>
        </w:rPr>
        <w:t xml:space="preserve"> in any of the trials.</w:t>
      </w:r>
    </w:p>
    <w:p w:rsidR="00CF1BF2" w:rsidRPr="00C62A13" w:rsidRDefault="00304F2C" w:rsidP="00CF1BF2">
      <w:pPr>
        <w:pStyle w:val="3-BodyText"/>
        <w:rPr>
          <w:iCs/>
        </w:rPr>
      </w:pPr>
      <w:r w:rsidRPr="00C62A13">
        <w:rPr>
          <w:iCs/>
        </w:rPr>
        <w:t>The submission did not provide any evidence to support listing of UPA in patients with severe AD affecting the face and hands</w:t>
      </w:r>
      <w:r w:rsidR="005E5409" w:rsidRPr="00C62A13">
        <w:rPr>
          <w:iCs/>
        </w:rPr>
        <w:t xml:space="preserve">, but argued that </w:t>
      </w:r>
      <w:r w:rsidRPr="00C62A13">
        <w:rPr>
          <w:iCs/>
        </w:rPr>
        <w:t>it is biologically plausible that UPA is effective across all anatomical regions.</w:t>
      </w:r>
      <w:r w:rsidR="005E5409" w:rsidRPr="00C62A13">
        <w:rPr>
          <w:iCs/>
        </w:rPr>
        <w:t xml:space="preserve"> For DUPI, the decision to extend listing to patients with disease affecting the face and hands was based on a post-hoc analysis indicating similar and statistically significant improvements in EASI score for all body areas assessed, including head &amp; neck, trunk, upper limbs, lower limbs (para 3.4, DUPI PSD March 2020 PBAC meeting).</w:t>
      </w:r>
      <w:r w:rsidR="00CF1BF2" w:rsidRPr="00C62A13">
        <w:rPr>
          <w:iCs/>
        </w:rPr>
        <w:t xml:space="preserve"> The PSCR provided</w:t>
      </w:r>
      <w:r w:rsidR="007235BF" w:rsidRPr="00C62A13">
        <w:rPr>
          <w:iCs/>
        </w:rPr>
        <w:t xml:space="preserve"> </w:t>
      </w:r>
      <w:r w:rsidR="007235BF" w:rsidRPr="00C62A13">
        <w:rPr>
          <w:rFonts w:cstheme="minorHAnsi"/>
        </w:rPr>
        <w:t xml:space="preserve">a post-hoc analysis of response rates across body regions captured in the EASI score (head and neck, upper extremities, lower extremities, trunk) from the HEADS UP trial. The results showed similar improvements across all body regions with UPA compared with DUPI. </w:t>
      </w:r>
      <w:r w:rsidR="00CF1BF2" w:rsidRPr="00C62A13">
        <w:rPr>
          <w:rFonts w:cstheme="minorHAnsi"/>
        </w:rPr>
        <w:t>The ESC considered this was in line with the evidence presented for DUPI to justify the additional restriction.</w:t>
      </w:r>
      <w:r w:rsidR="00CF1BF2" w:rsidRPr="00C62A13">
        <w:rPr>
          <w:rFonts w:cstheme="minorHAnsi"/>
          <w:i/>
        </w:rPr>
        <w:t xml:space="preserve"> </w:t>
      </w:r>
    </w:p>
    <w:p w:rsidR="00304F2C" w:rsidRPr="00C62A13" w:rsidRDefault="00304F2C" w:rsidP="00CF1BF2">
      <w:pPr>
        <w:pStyle w:val="3-BodyText"/>
        <w:numPr>
          <w:ilvl w:val="0"/>
          <w:numId w:val="0"/>
        </w:numPr>
      </w:pPr>
    </w:p>
    <w:p w:rsidR="006D7D3A" w:rsidRPr="00C62A13" w:rsidRDefault="00B60939" w:rsidP="006D7D3A">
      <w:pPr>
        <w:pStyle w:val="4-SubsectionHeading"/>
      </w:pPr>
      <w:bookmarkStart w:id="16" w:name="_Toc72315501"/>
      <w:r w:rsidRPr="00C62A13">
        <w:t>Comparative effectiveness</w:t>
      </w:r>
      <w:bookmarkEnd w:id="15"/>
      <w:bookmarkEnd w:id="16"/>
    </w:p>
    <w:p w:rsidR="006D7D3A" w:rsidRPr="00C62A13" w:rsidRDefault="006D7D3A" w:rsidP="009600B2">
      <w:pPr>
        <w:spacing w:before="120" w:after="120"/>
        <w:rPr>
          <w:b/>
          <w:bCs/>
        </w:rPr>
      </w:pPr>
      <w:r w:rsidRPr="00C62A13">
        <w:rPr>
          <w:b/>
          <w:bCs/>
        </w:rPr>
        <w:t>Initial response: direct evidence</w:t>
      </w:r>
    </w:p>
    <w:p w:rsidR="006D7D3A" w:rsidRPr="00C62A13" w:rsidRDefault="006D7D3A" w:rsidP="006D7D3A">
      <w:pPr>
        <w:pStyle w:val="3-BodyText"/>
      </w:pPr>
      <w:r w:rsidRPr="00C62A13">
        <w:t>Table 5 shows the primary and key secondary outcomes in HEADS UP</w:t>
      </w:r>
      <w:r w:rsidR="009600B2" w:rsidRPr="00C62A13">
        <w:t xml:space="preserve"> in the ITT population,</w:t>
      </w:r>
      <w:r w:rsidRPr="00C62A13">
        <w:t xml:space="preserve"> </w:t>
      </w:r>
      <w:r w:rsidR="009600B2" w:rsidRPr="00C62A13">
        <w:t>comparing</w:t>
      </w:r>
      <w:r w:rsidRPr="00C62A13">
        <w:t xml:space="preserve"> UPA 30</w:t>
      </w:r>
      <w:r w:rsidR="00D67557" w:rsidRPr="00C62A13">
        <w:t xml:space="preserve"> </w:t>
      </w:r>
      <w:r w:rsidRPr="00C62A13">
        <w:t xml:space="preserve">mg </w:t>
      </w:r>
      <w:r w:rsidR="009600B2" w:rsidRPr="00C62A13">
        <w:t xml:space="preserve">directly to </w:t>
      </w:r>
      <w:r w:rsidRPr="00C62A13">
        <w:t>DUPI 300</w:t>
      </w:r>
      <w:r w:rsidR="00D67557" w:rsidRPr="00C62A13">
        <w:t xml:space="preserve"> </w:t>
      </w:r>
      <w:r w:rsidRPr="00C62A13">
        <w:t>mg.</w:t>
      </w:r>
    </w:p>
    <w:p w:rsidR="006D7D3A" w:rsidRPr="00C62A13" w:rsidRDefault="006D7D3A" w:rsidP="00F01444">
      <w:pPr>
        <w:keepNext/>
        <w:keepLines/>
        <w:widowControl w:val="0"/>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Table 5: Primary and key secondary outcomes in HEADS UP trial (ITT)</w:t>
      </w:r>
    </w:p>
    <w:tbl>
      <w:tblPr>
        <w:tblStyle w:val="TableGrid"/>
        <w:tblW w:w="5000" w:type="pct"/>
        <w:tblCellMar>
          <w:left w:w="28" w:type="dxa"/>
          <w:right w:w="28" w:type="dxa"/>
        </w:tblCellMar>
        <w:tblLook w:val="04A0" w:firstRow="1" w:lastRow="0" w:firstColumn="1" w:lastColumn="0" w:noHBand="0" w:noVBand="1"/>
        <w:tblCaption w:val="Table 5: Primary and key secondary outcomes in HEADS UP trial (ITT)"/>
      </w:tblPr>
      <w:tblGrid>
        <w:gridCol w:w="2831"/>
        <w:gridCol w:w="1699"/>
        <w:gridCol w:w="1701"/>
        <w:gridCol w:w="1841"/>
        <w:gridCol w:w="945"/>
      </w:tblGrid>
      <w:tr w:rsidR="006D7D3A" w:rsidRPr="00C62A13" w:rsidTr="0079789B">
        <w:trPr>
          <w:trHeight w:val="257"/>
          <w:tblHeader/>
        </w:trPr>
        <w:tc>
          <w:tcPr>
            <w:tcW w:w="1570" w:type="pct"/>
            <w:vMerge w:val="restart"/>
            <w:vAlign w:val="center"/>
          </w:tcPr>
          <w:p w:rsidR="006D7D3A" w:rsidRPr="00C62A13" w:rsidRDefault="006D7D3A" w:rsidP="00F01444">
            <w:pPr>
              <w:keepNext/>
              <w:keepLines/>
              <w:widowControl w:val="0"/>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Outcome</w:t>
            </w:r>
          </w:p>
        </w:tc>
        <w:tc>
          <w:tcPr>
            <w:tcW w:w="942"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UPA 30</w:t>
            </w:r>
            <w:r w:rsidR="006A2B23" w:rsidRPr="00C62A13">
              <w:rPr>
                <w:rFonts w:ascii="Arial Narrow" w:hAnsi="Arial Narrow"/>
                <w:b/>
                <w:bCs/>
                <w:snapToGrid w:val="0"/>
                <w:sz w:val="20"/>
                <w:szCs w:val="20"/>
                <w:lang w:eastAsia="en-US"/>
              </w:rPr>
              <w:t xml:space="preserve"> </w:t>
            </w:r>
            <w:r w:rsidRPr="00C62A13">
              <w:rPr>
                <w:rFonts w:ascii="Arial Narrow" w:hAnsi="Arial Narrow"/>
                <w:b/>
                <w:bCs/>
                <w:snapToGrid w:val="0"/>
                <w:sz w:val="20"/>
                <w:szCs w:val="20"/>
                <w:lang w:eastAsia="en-US"/>
              </w:rPr>
              <w:t>mg</w:t>
            </w:r>
          </w:p>
        </w:tc>
        <w:tc>
          <w:tcPr>
            <w:tcW w:w="943"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DUPI 300</w:t>
            </w:r>
            <w:r w:rsidR="00C45C9D" w:rsidRPr="00C62A13">
              <w:rPr>
                <w:rFonts w:ascii="Arial Narrow" w:hAnsi="Arial Narrow"/>
                <w:b/>
                <w:bCs/>
                <w:snapToGrid w:val="0"/>
                <w:sz w:val="20"/>
                <w:szCs w:val="20"/>
                <w:lang w:eastAsia="en-US"/>
              </w:rPr>
              <w:t xml:space="preserve"> </w:t>
            </w:r>
            <w:r w:rsidRPr="00C62A13">
              <w:rPr>
                <w:rFonts w:ascii="Arial Narrow" w:hAnsi="Arial Narrow"/>
                <w:b/>
                <w:bCs/>
                <w:snapToGrid w:val="0"/>
                <w:sz w:val="20"/>
                <w:szCs w:val="20"/>
                <w:lang w:eastAsia="en-US"/>
              </w:rPr>
              <w:t>mg</w:t>
            </w:r>
          </w:p>
        </w:tc>
        <w:tc>
          <w:tcPr>
            <w:tcW w:w="1545" w:type="pct"/>
            <w:gridSpan w:val="2"/>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UPA 30</w:t>
            </w:r>
            <w:r w:rsidR="006A2B23" w:rsidRPr="00C62A13">
              <w:rPr>
                <w:rFonts w:ascii="Arial Narrow" w:hAnsi="Arial Narrow"/>
                <w:b/>
                <w:bCs/>
                <w:snapToGrid w:val="0"/>
                <w:sz w:val="20"/>
                <w:szCs w:val="20"/>
                <w:lang w:eastAsia="en-US"/>
              </w:rPr>
              <w:t xml:space="preserve"> </w:t>
            </w:r>
            <w:r w:rsidRPr="00C62A13">
              <w:rPr>
                <w:rFonts w:ascii="Arial Narrow" w:hAnsi="Arial Narrow"/>
                <w:b/>
                <w:bCs/>
                <w:snapToGrid w:val="0"/>
                <w:sz w:val="20"/>
                <w:szCs w:val="20"/>
                <w:lang w:eastAsia="en-US"/>
              </w:rPr>
              <w:t>mg vs DUPI 300</w:t>
            </w:r>
            <w:r w:rsidR="006A2B23" w:rsidRPr="00C62A13">
              <w:rPr>
                <w:rFonts w:ascii="Arial Narrow" w:hAnsi="Arial Narrow"/>
                <w:b/>
                <w:bCs/>
                <w:snapToGrid w:val="0"/>
                <w:sz w:val="20"/>
                <w:szCs w:val="20"/>
                <w:lang w:eastAsia="en-US"/>
              </w:rPr>
              <w:t xml:space="preserve"> </w:t>
            </w:r>
            <w:r w:rsidRPr="00C62A13">
              <w:rPr>
                <w:rFonts w:ascii="Arial Narrow" w:hAnsi="Arial Narrow"/>
                <w:b/>
                <w:bCs/>
                <w:snapToGrid w:val="0"/>
                <w:sz w:val="20"/>
                <w:szCs w:val="20"/>
                <w:lang w:eastAsia="en-US"/>
              </w:rPr>
              <w:t>mg</w:t>
            </w:r>
          </w:p>
        </w:tc>
      </w:tr>
      <w:tr w:rsidR="006D7D3A" w:rsidRPr="00C62A13" w:rsidTr="0079789B">
        <w:trPr>
          <w:trHeight w:val="257"/>
          <w:tblHeader/>
        </w:trPr>
        <w:tc>
          <w:tcPr>
            <w:tcW w:w="1570" w:type="pct"/>
            <w:vMerge/>
            <w:vAlign w:val="center"/>
          </w:tcPr>
          <w:p w:rsidR="006D7D3A" w:rsidRPr="00C62A13" w:rsidRDefault="006D7D3A" w:rsidP="00F01444">
            <w:pPr>
              <w:keepNext/>
              <w:keepLines/>
              <w:widowControl w:val="0"/>
              <w:rPr>
                <w:rFonts w:ascii="Arial Narrow" w:hAnsi="Arial Narrow"/>
                <w:b/>
                <w:bCs/>
                <w:snapToGrid w:val="0"/>
                <w:sz w:val="20"/>
                <w:szCs w:val="20"/>
                <w:lang w:eastAsia="en-US"/>
              </w:rPr>
            </w:pPr>
          </w:p>
        </w:tc>
        <w:tc>
          <w:tcPr>
            <w:tcW w:w="1885" w:type="pct"/>
            <w:gridSpan w:val="2"/>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Point-estimate (95%CI)</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Diff. (95%CI)</w:t>
            </w:r>
          </w:p>
        </w:tc>
        <w:tc>
          <w:tcPr>
            <w:tcW w:w="524"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Multiplicity adjusted</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EASI 75, Wk 16</w:t>
            </w:r>
          </w:p>
        </w:tc>
        <w:tc>
          <w:tcPr>
            <w:tcW w:w="942" w:type="pct"/>
            <w:vAlign w:val="center"/>
          </w:tcPr>
          <w:p w:rsidR="006D7D3A" w:rsidRPr="00C62A13" w:rsidRDefault="006D7D3A" w:rsidP="00F01444">
            <w:pPr>
              <w:keepNext/>
              <w:keepLines/>
              <w:widowControl w:val="0"/>
              <w:jc w:val="center"/>
              <w:rPr>
                <w:rFonts w:ascii="Arial Narrow" w:hAnsi="Arial Narrow"/>
                <w:bCs/>
                <w:snapToGrid w:val="0"/>
                <w:sz w:val="20"/>
                <w:szCs w:val="20"/>
                <w:lang w:eastAsia="en-US"/>
              </w:rPr>
            </w:pPr>
            <w:r w:rsidRPr="00C62A13">
              <w:rPr>
                <w:rFonts w:ascii="Arial Narrow" w:hAnsi="Arial Narrow"/>
                <w:bCs/>
                <w:snapToGrid w:val="0"/>
                <w:sz w:val="20"/>
                <w:szCs w:val="20"/>
                <w:lang w:eastAsia="en-US"/>
              </w:rPr>
              <w:t>71.0% (66.2,75.8)</w:t>
            </w:r>
          </w:p>
        </w:tc>
        <w:tc>
          <w:tcPr>
            <w:tcW w:w="943" w:type="pct"/>
            <w:vAlign w:val="center"/>
          </w:tcPr>
          <w:p w:rsidR="006D7D3A" w:rsidRPr="00C62A13" w:rsidRDefault="006D7D3A" w:rsidP="00F01444">
            <w:pPr>
              <w:keepNext/>
              <w:keepLines/>
              <w:widowControl w:val="0"/>
              <w:jc w:val="center"/>
              <w:rPr>
                <w:rFonts w:ascii="Arial Narrow" w:hAnsi="Arial Narrow"/>
                <w:bCs/>
                <w:snapToGrid w:val="0"/>
                <w:sz w:val="20"/>
                <w:szCs w:val="20"/>
                <w:lang w:eastAsia="en-US"/>
              </w:rPr>
            </w:pPr>
            <w:r w:rsidRPr="00C62A13">
              <w:rPr>
                <w:rFonts w:ascii="Arial Narrow" w:hAnsi="Arial Narrow"/>
                <w:bCs/>
                <w:snapToGrid w:val="0"/>
                <w:sz w:val="20"/>
                <w:szCs w:val="20"/>
                <w:lang w:eastAsia="en-US"/>
              </w:rPr>
              <w:t>61.1% (55.9,66.2)</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10.0% (2.9,17.0)</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Worst Pruritus NRS, Δ BL to Wk16</w:t>
            </w:r>
          </w:p>
        </w:tc>
        <w:tc>
          <w:tcPr>
            <w:tcW w:w="942" w:type="pct"/>
            <w:vAlign w:val="center"/>
          </w:tcPr>
          <w:p w:rsidR="006D7D3A" w:rsidRPr="00C62A13" w:rsidRDefault="006D7D3A" w:rsidP="00F01444">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-66.88 (-70.59,-63.17)</w:t>
            </w:r>
          </w:p>
        </w:tc>
        <w:tc>
          <w:tcPr>
            <w:tcW w:w="943" w:type="pct"/>
            <w:vAlign w:val="center"/>
          </w:tcPr>
          <w:p w:rsidR="006D7D3A" w:rsidRPr="00C62A13" w:rsidRDefault="006D7D3A" w:rsidP="00F01444">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-49.04 (-52.87,-45.22)</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-17.84 (-23.17,-12.50)</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EASI 100, Wk 16</w:t>
            </w:r>
          </w:p>
        </w:tc>
        <w:tc>
          <w:tcPr>
            <w:tcW w:w="942" w:type="pct"/>
            <w:vAlign w:val="center"/>
          </w:tcPr>
          <w:p w:rsidR="006D7D3A" w:rsidRPr="00C62A13" w:rsidRDefault="006D7D3A" w:rsidP="00F01444">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27.9% (23.2,32.6)</w:t>
            </w:r>
          </w:p>
        </w:tc>
        <w:tc>
          <w:tcPr>
            <w:tcW w:w="943" w:type="pct"/>
            <w:vAlign w:val="center"/>
          </w:tcPr>
          <w:p w:rsidR="006D7D3A" w:rsidRPr="00C62A13" w:rsidRDefault="006D7D3A" w:rsidP="00F01444">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7.6% (4.8,10.4)</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20.3% (14.9,25.8)</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EASI 90, Wk 16</w:t>
            </w:r>
          </w:p>
        </w:tc>
        <w:tc>
          <w:tcPr>
            <w:tcW w:w="942"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60.6% (55.4, 65.7)</w:t>
            </w:r>
          </w:p>
        </w:tc>
        <w:tc>
          <w:tcPr>
            <w:tcW w:w="943"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38.8% (33.6, 43.9)</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21.8% (14.5, 29.1)</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Worst Pruritus NRS, Δ BL to Wk4</w:t>
            </w:r>
          </w:p>
        </w:tc>
        <w:tc>
          <w:tcPr>
            <w:tcW w:w="942"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-59.49 (-63.76, -55.21)</w:t>
            </w:r>
          </w:p>
        </w:tc>
        <w:tc>
          <w:tcPr>
            <w:tcW w:w="943"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-31.73 (-36.11, -27.34)</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-27.76 (-33.88, -21.64)</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EASI 75, Wk 2</w:t>
            </w:r>
          </w:p>
        </w:tc>
        <w:tc>
          <w:tcPr>
            <w:tcW w:w="942"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43.6% (38.4, 48.8)</w:t>
            </w:r>
          </w:p>
        </w:tc>
        <w:tc>
          <w:tcPr>
            <w:tcW w:w="943"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17.5% (13.5, 21.5)</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26.0% (19.5, 32.6)</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Worst Pruritus NRS, Δ BL to Wk1</w:t>
            </w:r>
          </w:p>
        </w:tc>
        <w:tc>
          <w:tcPr>
            <w:tcW w:w="942"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-31.44 (-34.86, -28.02)</w:t>
            </w:r>
          </w:p>
        </w:tc>
        <w:tc>
          <w:tcPr>
            <w:tcW w:w="943" w:type="pct"/>
            <w:vAlign w:val="center"/>
          </w:tcPr>
          <w:p w:rsidR="006D7D3A" w:rsidRPr="00C62A13" w:rsidRDefault="006D7D3A" w:rsidP="00F0144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-8.76 (-12.26, -5.27)</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-22.68 (-27.56, -17.79)</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r w:rsidR="006D7D3A" w:rsidRPr="00C62A13" w:rsidTr="002B142D">
        <w:tc>
          <w:tcPr>
            <w:tcW w:w="1570" w:type="pct"/>
          </w:tcPr>
          <w:p w:rsidR="006D7D3A" w:rsidRPr="00C62A13" w:rsidRDefault="006D7D3A" w:rsidP="00F01444">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Worst Pruritus NRS, Δ BL to Wk16 ≥4</w:t>
            </w:r>
          </w:p>
        </w:tc>
        <w:tc>
          <w:tcPr>
            <w:tcW w:w="942" w:type="pct"/>
            <w:vAlign w:val="center"/>
          </w:tcPr>
          <w:p w:rsidR="006D7D3A" w:rsidRPr="00C62A13" w:rsidRDefault="006D7D3A" w:rsidP="00F01444">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55.2% (49.9, 60.5)</w:t>
            </w:r>
          </w:p>
        </w:tc>
        <w:tc>
          <w:tcPr>
            <w:tcW w:w="943" w:type="pct"/>
            <w:vAlign w:val="center"/>
          </w:tcPr>
          <w:p w:rsidR="006D7D3A" w:rsidRPr="00C62A13" w:rsidRDefault="006D7D3A" w:rsidP="00F01444">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35.9% (30.7, 41.0)</w:t>
            </w:r>
          </w:p>
        </w:tc>
        <w:tc>
          <w:tcPr>
            <w:tcW w:w="1021" w:type="pct"/>
            <w:vAlign w:val="center"/>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19.3% (11.9, 26.7)</w:t>
            </w:r>
          </w:p>
        </w:tc>
        <w:tc>
          <w:tcPr>
            <w:tcW w:w="524" w:type="pct"/>
          </w:tcPr>
          <w:p w:rsidR="006D7D3A" w:rsidRPr="00C62A13" w:rsidRDefault="006D7D3A" w:rsidP="00F01444">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p&lt;0.05</w:t>
            </w:r>
          </w:p>
        </w:tc>
      </w:tr>
    </w:tbl>
    <w:p w:rsidR="006D7D3A" w:rsidRPr="00C62A13" w:rsidRDefault="006D7D3A" w:rsidP="00F01444">
      <w:pPr>
        <w:pStyle w:val="TableFigureFooter"/>
        <w:keepNext/>
        <w:keepLines/>
        <w:widowControl w:val="0"/>
        <w:tabs>
          <w:tab w:val="left" w:pos="142"/>
        </w:tabs>
        <w:ind w:left="135" w:hanging="135"/>
      </w:pPr>
      <w:r w:rsidRPr="00C62A13">
        <w:t>Source: Table 14.2_1 p614 of CSR M16046</w:t>
      </w:r>
    </w:p>
    <w:p w:rsidR="006D7D3A" w:rsidRPr="00C62A13" w:rsidRDefault="006D7D3A" w:rsidP="00F01444">
      <w:pPr>
        <w:pStyle w:val="TableFigureFooter"/>
        <w:keepNext/>
        <w:keepLines/>
        <w:widowControl w:val="0"/>
        <w:tabs>
          <w:tab w:val="left" w:pos="142"/>
        </w:tabs>
        <w:ind w:left="135" w:hanging="135"/>
      </w:pPr>
      <w:r w:rsidRPr="00C62A13">
        <w:t xml:space="preserve">BL = baseline; EASI = Eczema Area and Severity Index; NRS =Numerical Rating Scale; DUPI = dupilumab; UPA = upadacitinib. </w:t>
      </w:r>
    </w:p>
    <w:p w:rsidR="006D7D3A" w:rsidRPr="00C62A13" w:rsidRDefault="006D7D3A" w:rsidP="006D7D3A">
      <w:pPr>
        <w:pStyle w:val="3-BodyText"/>
        <w:rPr>
          <w:iCs/>
        </w:rPr>
      </w:pPr>
      <w:r w:rsidRPr="00C62A13">
        <w:rPr>
          <w:iCs/>
        </w:rPr>
        <w:t xml:space="preserve">The </w:t>
      </w:r>
      <w:r w:rsidR="006162B1" w:rsidRPr="00C62A13">
        <w:rPr>
          <w:iCs/>
        </w:rPr>
        <w:t xml:space="preserve">results </w:t>
      </w:r>
      <w:r w:rsidRPr="00C62A13">
        <w:rPr>
          <w:iCs/>
        </w:rPr>
        <w:t xml:space="preserve">demonstrated a significantly larger proportion of patients achieved </w:t>
      </w:r>
      <w:r w:rsidR="00D67557" w:rsidRPr="00C62A13">
        <w:rPr>
          <w:iCs/>
        </w:rPr>
        <w:t>EASI </w:t>
      </w:r>
      <w:r w:rsidRPr="00C62A13">
        <w:rPr>
          <w:iCs/>
        </w:rPr>
        <w:t xml:space="preserve">75 at Week 16 </w:t>
      </w:r>
      <w:r w:rsidR="00A76C51" w:rsidRPr="00C62A13">
        <w:rPr>
          <w:iCs/>
        </w:rPr>
        <w:t>with UPA 30</w:t>
      </w:r>
      <w:r w:rsidR="006A2B23" w:rsidRPr="00C62A13">
        <w:rPr>
          <w:iCs/>
        </w:rPr>
        <w:t xml:space="preserve"> </w:t>
      </w:r>
      <w:r w:rsidR="00A76C51" w:rsidRPr="00C62A13">
        <w:rPr>
          <w:iCs/>
        </w:rPr>
        <w:t xml:space="preserve">mg </w:t>
      </w:r>
      <w:r w:rsidRPr="00C62A13">
        <w:rPr>
          <w:iCs/>
        </w:rPr>
        <w:t>compared to DUPI, and superiority of UPA 30</w:t>
      </w:r>
      <w:r w:rsidR="006A2B23" w:rsidRPr="00C62A13">
        <w:rPr>
          <w:iCs/>
        </w:rPr>
        <w:t xml:space="preserve"> </w:t>
      </w:r>
      <w:r w:rsidRPr="00C62A13">
        <w:rPr>
          <w:iCs/>
        </w:rPr>
        <w:t>mg was demonstrated in all pre-specified ranked secondary endpoints.</w:t>
      </w:r>
    </w:p>
    <w:p w:rsidR="006D7D3A" w:rsidRPr="00C62A13" w:rsidRDefault="006D7D3A" w:rsidP="006D7D3A">
      <w:pPr>
        <w:pStyle w:val="3-BodyText"/>
        <w:rPr>
          <w:i/>
          <w:iCs/>
        </w:rPr>
      </w:pPr>
      <w:r w:rsidRPr="00C62A13">
        <w:t xml:space="preserve">Figure 1 shows the proportion of patients </w:t>
      </w:r>
      <w:r w:rsidR="00A76C51" w:rsidRPr="00C62A13">
        <w:t>with</w:t>
      </w:r>
      <w:r w:rsidRPr="00C62A13">
        <w:t xml:space="preserve"> EASI 75 in HEAD</w:t>
      </w:r>
      <w:r w:rsidR="00A76C51" w:rsidRPr="00C62A13">
        <w:t>S</w:t>
      </w:r>
      <w:r w:rsidRPr="00C62A13">
        <w:t xml:space="preserve"> UP</w:t>
      </w:r>
      <w:r w:rsidR="00A76C51" w:rsidRPr="00C62A13">
        <w:t xml:space="preserve"> by visit</w:t>
      </w:r>
      <w:r w:rsidRPr="00C62A13">
        <w:t>.</w:t>
      </w:r>
    </w:p>
    <w:p w:rsidR="006D7D3A" w:rsidRPr="00C62A13" w:rsidRDefault="006D7D3A" w:rsidP="006D7D3A">
      <w:pPr>
        <w:keepNext/>
        <w:widowControl w:val="0"/>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 xml:space="preserve">Figure 1: EASI 75 in HEADS UP, by visit to Week 24 </w:t>
      </w:r>
    </w:p>
    <w:p w:rsidR="006D7D3A" w:rsidRPr="00C62A13" w:rsidRDefault="006D7D3A" w:rsidP="005C2D6C">
      <w:pPr>
        <w:pStyle w:val="TableFigureFooter"/>
        <w:widowControl w:val="0"/>
        <w:tabs>
          <w:tab w:val="left" w:pos="142"/>
        </w:tabs>
        <w:ind w:left="135" w:hanging="135"/>
      </w:pPr>
      <w:r w:rsidRPr="00C62A13">
        <w:rPr>
          <w:noProof/>
        </w:rPr>
        <w:drawing>
          <wp:inline distT="0" distB="0" distL="0" distR="0" wp14:anchorId="1E3F511E" wp14:editId="7E17A67D">
            <wp:extent cx="5731510" cy="2349500"/>
            <wp:effectExtent l="0" t="0" r="2540" b="0"/>
            <wp:docPr id="6" name="Picture 6" title="Figure 1: EASI 75 in HEADS UP, by visit to Week 24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4686" cy="2350802"/>
                    </a:xfrm>
                    <a:prstGeom prst="rect">
                      <a:avLst/>
                    </a:prstGeom>
                  </pic:spPr>
                </pic:pic>
              </a:graphicData>
            </a:graphic>
          </wp:inline>
        </w:drawing>
      </w:r>
    </w:p>
    <w:p w:rsidR="006D7D3A" w:rsidRPr="00C62A13" w:rsidRDefault="006D7D3A" w:rsidP="005C2D6C">
      <w:pPr>
        <w:pStyle w:val="TableFigureFooter"/>
        <w:widowControl w:val="0"/>
        <w:tabs>
          <w:tab w:val="left" w:pos="142"/>
        </w:tabs>
        <w:ind w:left="135" w:hanging="135"/>
      </w:pPr>
      <w:r w:rsidRPr="00C62A13">
        <w:t>Source: Figure 2.9, p93 of the submission</w:t>
      </w:r>
    </w:p>
    <w:p w:rsidR="00E51DD4" w:rsidRPr="00C62A13" w:rsidRDefault="00E51DD4" w:rsidP="005C2D6C">
      <w:pPr>
        <w:pStyle w:val="TableFigureFooter"/>
        <w:widowControl w:val="0"/>
        <w:tabs>
          <w:tab w:val="left" w:pos="142"/>
        </w:tabs>
        <w:ind w:left="135" w:hanging="135"/>
      </w:pPr>
      <w:r w:rsidRPr="00C62A13">
        <w:t>EASI = Eczema Area and Severity Index.</w:t>
      </w:r>
    </w:p>
    <w:p w:rsidR="006D7D3A" w:rsidRPr="00C62A13" w:rsidRDefault="006D7D3A" w:rsidP="006D7D3A">
      <w:pPr>
        <w:pStyle w:val="3-BodyText"/>
        <w:rPr>
          <w:iCs/>
        </w:rPr>
      </w:pPr>
      <w:r w:rsidRPr="00C62A13">
        <w:rPr>
          <w:iCs/>
        </w:rPr>
        <w:t>The results indicated that the statistically significant treatment difference observed at Week 16 disappeared by Week 24. The submission (p92) claimed that the modest downward trend observed in the UPA 30</w:t>
      </w:r>
      <w:r w:rsidR="006A2B23" w:rsidRPr="00C62A13">
        <w:rPr>
          <w:iCs/>
        </w:rPr>
        <w:t xml:space="preserve"> </w:t>
      </w:r>
      <w:r w:rsidRPr="00C62A13">
        <w:rPr>
          <w:iCs/>
        </w:rPr>
        <w:t>mg arm after Week 16 is largely owing to some patients receiving rescue TCS and being classified as non-responders</w:t>
      </w:r>
      <w:r w:rsidR="00A76C51" w:rsidRPr="00C62A13">
        <w:rPr>
          <w:iCs/>
        </w:rPr>
        <w:t xml:space="preserve">. </w:t>
      </w:r>
      <w:r w:rsidRPr="00C62A13">
        <w:rPr>
          <w:iCs/>
        </w:rPr>
        <w:t>A higher proportion of patients on DUPI had received rescue therapy at Week 16</w:t>
      </w:r>
      <w:r w:rsidR="00A76C51" w:rsidRPr="00C62A13">
        <w:rPr>
          <w:iCs/>
        </w:rPr>
        <w:t xml:space="preserve"> compared to UPA 30</w:t>
      </w:r>
      <w:r w:rsidR="006A2B23" w:rsidRPr="00C62A13">
        <w:rPr>
          <w:iCs/>
        </w:rPr>
        <w:t xml:space="preserve"> </w:t>
      </w:r>
      <w:r w:rsidR="00A76C51" w:rsidRPr="00C62A13">
        <w:rPr>
          <w:iCs/>
        </w:rPr>
        <w:t>mg (who were therefore classified as non-responders)</w:t>
      </w:r>
      <w:r w:rsidRPr="00C62A13">
        <w:rPr>
          <w:iCs/>
        </w:rPr>
        <w:t xml:space="preserve">, </w:t>
      </w:r>
      <w:r w:rsidR="00A76C51" w:rsidRPr="00C62A13">
        <w:rPr>
          <w:iCs/>
        </w:rPr>
        <w:t xml:space="preserve">but the </w:t>
      </w:r>
      <w:r w:rsidRPr="00C62A13">
        <w:rPr>
          <w:iCs/>
        </w:rPr>
        <w:t xml:space="preserve">proportions </w:t>
      </w:r>
      <w:r w:rsidR="00230914" w:rsidRPr="00C62A13">
        <w:rPr>
          <w:iCs/>
        </w:rPr>
        <w:t xml:space="preserve">rescued </w:t>
      </w:r>
      <w:r w:rsidR="00A76C51" w:rsidRPr="00C62A13">
        <w:rPr>
          <w:iCs/>
        </w:rPr>
        <w:t xml:space="preserve">were similar </w:t>
      </w:r>
      <w:r w:rsidRPr="00C62A13">
        <w:rPr>
          <w:iCs/>
        </w:rPr>
        <w:t xml:space="preserve">at Week 24. Given rescue therapy (i.e. topical or other systemic treatments) is commonly used in practice and would not disqualify patients from PBS treatment with UPA, </w:t>
      </w:r>
      <w:r w:rsidR="005C2D6C" w:rsidRPr="00C62A13">
        <w:rPr>
          <w:iCs/>
        </w:rPr>
        <w:t>it was unclear whether the difference observed in the trial outcome would translate to practice.</w:t>
      </w:r>
      <w:r w:rsidR="002E3456" w:rsidRPr="00C62A13">
        <w:rPr>
          <w:iCs/>
        </w:rPr>
        <w:t xml:space="preserve"> The ESC considered that these results appeared to show that patients treated with UPA tended to respond to treatment faster than patients treated with DUPI, however beyond 16 weeks </w:t>
      </w:r>
      <w:r w:rsidR="00086C66" w:rsidRPr="00C62A13">
        <w:rPr>
          <w:iCs/>
        </w:rPr>
        <w:t xml:space="preserve">the </w:t>
      </w:r>
      <w:r w:rsidR="002E3456" w:rsidRPr="00C62A13">
        <w:rPr>
          <w:iCs/>
        </w:rPr>
        <w:t xml:space="preserve">difference in EASI 75 response between UPA and DUPI </w:t>
      </w:r>
      <w:r w:rsidR="00086C66" w:rsidRPr="00C62A13">
        <w:rPr>
          <w:iCs/>
        </w:rPr>
        <w:t>was not statistically significant</w:t>
      </w:r>
      <w:r w:rsidR="002E3456" w:rsidRPr="00C62A13">
        <w:rPr>
          <w:iCs/>
        </w:rPr>
        <w:t xml:space="preserve">. </w:t>
      </w:r>
    </w:p>
    <w:p w:rsidR="00A76C51" w:rsidRPr="00C62A13" w:rsidRDefault="00E901FE" w:rsidP="00F93DE1">
      <w:pPr>
        <w:pStyle w:val="3-BodyText"/>
        <w:rPr>
          <w:rFonts w:ascii="Calibri" w:hAnsi="Calibri"/>
          <w:snapToGrid/>
          <w:u w:val="single"/>
        </w:rPr>
      </w:pPr>
      <w:bookmarkStart w:id="17" w:name="_Ref78549388"/>
      <w:r w:rsidRPr="00C62A13">
        <w:rPr>
          <w:iCs/>
        </w:rPr>
        <w:t xml:space="preserve">As </w:t>
      </w:r>
      <w:r w:rsidR="009219F6" w:rsidRPr="00C62A13">
        <w:rPr>
          <w:iCs/>
        </w:rPr>
        <w:t>noted</w:t>
      </w:r>
      <w:r w:rsidRPr="00C62A13">
        <w:rPr>
          <w:iCs/>
        </w:rPr>
        <w:t xml:space="preserve"> above, the submission relied on the results of an indirect comparison over the direct evidence because HEADS UP did not measure the DLQI. However, the trial did measure IGA and EASI at baseline (</w:t>
      </w:r>
      <w:r w:rsidR="009219F6" w:rsidRPr="00C62A13">
        <w:rPr>
          <w:iCs/>
        </w:rPr>
        <w:t xml:space="preserve">i.e. the criteria used to identify the PBS subgroup in the other trials, EASI score ≥20 and IGA score = 4) and the change in EASI score at Week 16 (where EASI 50 is one component of the PBS response criteria). </w:t>
      </w:r>
      <w:r w:rsidR="002E3456" w:rsidRPr="00C62A13">
        <w:rPr>
          <w:iCs/>
        </w:rPr>
        <w:t xml:space="preserve">In the PSCR, the sponsor provided this </w:t>
      </w:r>
      <w:r w:rsidR="00DF3537" w:rsidRPr="00C62A13">
        <w:rPr>
          <w:iCs/>
        </w:rPr>
        <w:t>post-</w:t>
      </w:r>
      <w:r w:rsidR="002E3456" w:rsidRPr="00C62A13">
        <w:rPr>
          <w:iCs/>
        </w:rPr>
        <w:t>hoc analysis t</w:t>
      </w:r>
      <w:r w:rsidR="009219F6" w:rsidRPr="00C62A13">
        <w:rPr>
          <w:iCs/>
        </w:rPr>
        <w:t>o reduce uncertainty around the magnitude of the estimated treatment difference</w:t>
      </w:r>
      <w:r w:rsidR="00DB2E10" w:rsidRPr="00C62A13">
        <w:rPr>
          <w:iCs/>
        </w:rPr>
        <w:t>, noting the limitations of this analysis</w:t>
      </w:r>
      <w:r w:rsidR="002E3456" w:rsidRPr="00C62A13">
        <w:rPr>
          <w:iCs/>
        </w:rPr>
        <w:t xml:space="preserve">. </w:t>
      </w:r>
      <w:r w:rsidR="00DB2E10" w:rsidRPr="00C62A13">
        <w:rPr>
          <w:iCs/>
        </w:rPr>
        <w:t>The ESC noted that the outcome of EASI 50 was numerically but not statistically significantly different between UPA and DUPI at 16 weeks (76.3% vs 68.9% respectively, RR=1.11 95%CI: 0.97, 1.27), but otherwise outcomes were consistent with the primary outcome</w:t>
      </w:r>
      <w:r w:rsidR="00DF3537" w:rsidRPr="00C62A13">
        <w:rPr>
          <w:iCs/>
        </w:rPr>
        <w:t xml:space="preserve">. </w:t>
      </w:r>
      <w:r w:rsidR="003F417B" w:rsidRPr="00C62A13">
        <w:rPr>
          <w:iCs/>
        </w:rPr>
        <w:t xml:space="preserve">The PSCR also noted that </w:t>
      </w:r>
      <w:r w:rsidR="00DB2E10" w:rsidRPr="00C62A13">
        <w:rPr>
          <w:iCs/>
        </w:rPr>
        <w:t xml:space="preserve">EASI 75, 90 and 100 were significantly superior for UPA at 16 weeks but at 24 weeks only EASI 100 </w:t>
      </w:r>
      <w:r w:rsidR="00C37DE5" w:rsidRPr="00C62A13">
        <w:rPr>
          <w:iCs/>
        </w:rPr>
        <w:t xml:space="preserve">(complete skin clearance) </w:t>
      </w:r>
      <w:r w:rsidR="00DB2E10" w:rsidRPr="00C62A13">
        <w:rPr>
          <w:iCs/>
        </w:rPr>
        <w:t>remained significantly different from DUPI.</w:t>
      </w:r>
      <w:bookmarkEnd w:id="17"/>
      <w:r w:rsidR="00DB2E10" w:rsidRPr="00C62A13">
        <w:rPr>
          <w:iCs/>
        </w:rPr>
        <w:t xml:space="preserve"> </w:t>
      </w:r>
    </w:p>
    <w:p w:rsidR="006D7D3A" w:rsidRPr="00C62A13" w:rsidRDefault="006D7D3A" w:rsidP="008E3852">
      <w:pPr>
        <w:spacing w:before="120" w:after="120"/>
        <w:rPr>
          <w:b/>
          <w:bCs/>
        </w:rPr>
      </w:pPr>
      <w:r w:rsidRPr="00C62A13">
        <w:rPr>
          <w:b/>
          <w:bCs/>
        </w:rPr>
        <w:t>Initial response: indirect treatment comparisons</w:t>
      </w:r>
    </w:p>
    <w:p w:rsidR="006D7D3A" w:rsidRPr="00C62A13" w:rsidRDefault="006D7D3A" w:rsidP="006D7D3A">
      <w:pPr>
        <w:pStyle w:val="3-BodyText"/>
      </w:pPr>
      <w:r w:rsidRPr="00C62A13">
        <w:t xml:space="preserve">The submission presented a series of indirect treatment comparisons at Week 16 </w:t>
      </w:r>
      <w:r w:rsidR="004507F7" w:rsidRPr="00C62A13">
        <w:t xml:space="preserve">comparing </w:t>
      </w:r>
      <w:r w:rsidRPr="00C62A13">
        <w:t>UPA 15</w:t>
      </w:r>
      <w:r w:rsidR="006A2B23" w:rsidRPr="00C62A13">
        <w:t xml:space="preserve"> </w:t>
      </w:r>
      <w:r w:rsidRPr="00C62A13">
        <w:t>mg and UPA 30</w:t>
      </w:r>
      <w:r w:rsidR="006A2B23" w:rsidRPr="00C62A13">
        <w:t xml:space="preserve"> </w:t>
      </w:r>
      <w:r w:rsidRPr="00C62A13">
        <w:t>mg versus DUPI (using PBO as a common comparator) in the PBS subgroup (i.e. severe AD</w:t>
      </w:r>
      <w:r w:rsidR="00351DFD" w:rsidRPr="00C62A13">
        <w:t xml:space="preserve">, defined as </w:t>
      </w:r>
      <w:r w:rsidR="00351DFD" w:rsidRPr="00C62A13">
        <w:rPr>
          <w:iCs/>
        </w:rPr>
        <w:t>EASI score ≥20 and IGA score =4 at baseline</w:t>
      </w:r>
      <w:r w:rsidRPr="00C62A13">
        <w:t>) and the ITT population (i.e. moderate-to-severe AD).</w:t>
      </w:r>
    </w:p>
    <w:p w:rsidR="00334DA9" w:rsidRPr="00C62A13" w:rsidRDefault="00334DA9" w:rsidP="006D7D3A">
      <w:pPr>
        <w:pStyle w:val="3-BodyText"/>
      </w:pPr>
      <w:r w:rsidRPr="00C62A13">
        <w:t xml:space="preserve">For the PBS subgroup, the submission presented post-hoc results in adult patients from the UPA trials to match limited data reported for DUPI. </w:t>
      </w:r>
      <w:r w:rsidR="0038573F" w:rsidRPr="00C62A13">
        <w:t>Data in the DUPI PSD cited t</w:t>
      </w:r>
      <w:r w:rsidRPr="00C62A13">
        <w:t>he proportion of patients who met the PBS response criteria (</w:t>
      </w:r>
      <w:r w:rsidR="0038573F" w:rsidRPr="00C62A13">
        <w:rPr>
          <w:iCs/>
        </w:rPr>
        <w:t xml:space="preserve">EASI 50 </w:t>
      </w:r>
      <w:r w:rsidR="0038573F" w:rsidRPr="00C62A13">
        <w:rPr>
          <w:iCs/>
          <w:u w:val="single"/>
        </w:rPr>
        <w:t>and</w:t>
      </w:r>
      <w:r w:rsidR="0038573F" w:rsidRPr="00C62A13">
        <w:rPr>
          <w:iCs/>
        </w:rPr>
        <w:t xml:space="preserve"> </w:t>
      </w:r>
      <w:r w:rsidR="00D67557" w:rsidRPr="00C62A13">
        <w:rPr>
          <w:iCs/>
        </w:rPr>
        <w:t>DLQI </w:t>
      </w:r>
      <w:r w:rsidR="0038573F" w:rsidRPr="00C62A13">
        <w:rPr>
          <w:rFonts w:cstheme="minorHAnsi"/>
          <w:iCs/>
        </w:rPr>
        <w:t>≥</w:t>
      </w:r>
      <w:r w:rsidR="0038573F" w:rsidRPr="00C62A13">
        <w:rPr>
          <w:iCs/>
        </w:rPr>
        <w:t>4</w:t>
      </w:r>
      <w:r w:rsidRPr="00C62A13">
        <w:t xml:space="preserve">) </w:t>
      </w:r>
      <w:r w:rsidR="0038573F" w:rsidRPr="00C62A13">
        <w:t xml:space="preserve">in the PBS subgroup by prior </w:t>
      </w:r>
      <w:r w:rsidR="00973E50" w:rsidRPr="00C62A13">
        <w:t xml:space="preserve">CsA </w:t>
      </w:r>
      <w:r w:rsidR="0038573F" w:rsidRPr="00C62A13">
        <w:t xml:space="preserve">treatment pooled across </w:t>
      </w:r>
      <w:r w:rsidRPr="00C62A13">
        <w:t>monotherapy and combination therapy trials</w:t>
      </w:r>
      <w:r w:rsidR="0038573F" w:rsidRPr="00C62A13">
        <w:t xml:space="preserve"> </w:t>
      </w:r>
      <w:r w:rsidR="00CC258E" w:rsidRPr="00C62A13">
        <w:t xml:space="preserve">(Table 9, DUPI </w:t>
      </w:r>
      <w:r w:rsidR="0038573F" w:rsidRPr="00C62A13">
        <w:t>PSD</w:t>
      </w:r>
      <w:r w:rsidR="00CC258E" w:rsidRPr="00C62A13">
        <w:t xml:space="preserve"> March 2020 PBAC meeting</w:t>
      </w:r>
      <w:r w:rsidR="0038573F" w:rsidRPr="00C62A13">
        <w:t>)</w:t>
      </w:r>
      <w:r w:rsidRPr="00C62A13">
        <w:t>. Given the limitations of these analyses and the post-hoc nature of the PBS criteria and subgroup, the submission also presented indirect comparisons for other efficacy outcomes in the ITT populations.</w:t>
      </w:r>
    </w:p>
    <w:p w:rsidR="006D7D3A" w:rsidRPr="00C62A13" w:rsidRDefault="006D7D3A" w:rsidP="006D7D3A">
      <w:pPr>
        <w:pStyle w:val="3-BodyText"/>
      </w:pPr>
      <w:r w:rsidRPr="00C62A13">
        <w:t xml:space="preserve">Table 6 presents results of the PBS response outcome in the PBS subgroup </w:t>
      </w:r>
      <w:r w:rsidR="00106E56" w:rsidRPr="00C62A13">
        <w:t>in the PBO-controlled trials.</w:t>
      </w:r>
    </w:p>
    <w:p w:rsidR="006D7D3A" w:rsidRPr="00C62A13" w:rsidRDefault="006D7D3A" w:rsidP="00D67557">
      <w:pPr>
        <w:keepNext/>
        <w:keepLines/>
        <w:widowControl w:val="0"/>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 xml:space="preserve">Table 6: PBS response (i.e. EASI-50 AND DLQI 4) at Week 16 in PBS </w:t>
      </w:r>
      <w:r w:rsidRPr="00C62A13">
        <w:rPr>
          <w:rFonts w:ascii="Arial Narrow" w:hAnsi="Arial Narrow"/>
          <w:b/>
          <w:bCs/>
          <w:snapToGrid w:val="0"/>
          <w:sz w:val="20"/>
          <w:szCs w:val="20"/>
          <w:u w:val="single"/>
          <w:lang w:eastAsia="en-US"/>
        </w:rPr>
        <w:t>adult</w:t>
      </w:r>
      <w:r w:rsidRPr="00C62A13">
        <w:rPr>
          <w:rFonts w:ascii="Arial Narrow" w:hAnsi="Arial Narrow"/>
          <w:b/>
          <w:bCs/>
          <w:snapToGrid w:val="0"/>
          <w:sz w:val="20"/>
          <w:szCs w:val="20"/>
          <w:lang w:eastAsia="en-US"/>
        </w:rPr>
        <w:t xml:space="preserve"> population (i.e. severe AD defined as IGA=4 AND EASI ≥20 at baseline)</w:t>
      </w:r>
    </w:p>
    <w:tbl>
      <w:tblPr>
        <w:tblStyle w:val="TableGrid"/>
        <w:tblW w:w="5000" w:type="pct"/>
        <w:tblLayout w:type="fixed"/>
        <w:tblCellMar>
          <w:left w:w="28" w:type="dxa"/>
          <w:right w:w="28" w:type="dxa"/>
        </w:tblCellMar>
        <w:tblLook w:val="04A0" w:firstRow="1" w:lastRow="0" w:firstColumn="1" w:lastColumn="0" w:noHBand="0" w:noVBand="1"/>
        <w:tblCaption w:val="Table 6: PBS response (i.e. EASI-50 AND DLQI 4) at Week 16 in PBS adult population (i.e. severe AD defined as IGA=4 AND EASI ≥20 at baseline)"/>
      </w:tblPr>
      <w:tblGrid>
        <w:gridCol w:w="2957"/>
        <w:gridCol w:w="1141"/>
        <w:gridCol w:w="1142"/>
        <w:gridCol w:w="1470"/>
        <w:gridCol w:w="1470"/>
        <w:gridCol w:w="837"/>
      </w:tblGrid>
      <w:tr w:rsidR="006D7D3A" w:rsidRPr="00C62A13" w:rsidTr="0079789B">
        <w:trPr>
          <w:tblHeader/>
        </w:trPr>
        <w:tc>
          <w:tcPr>
            <w:tcW w:w="1640"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Trial</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Drug</w:t>
            </w:r>
          </w:p>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n/N (%)</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Control</w:t>
            </w:r>
          </w:p>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n/N (%)</w:t>
            </w:r>
          </w:p>
        </w:tc>
        <w:tc>
          <w:tcPr>
            <w:tcW w:w="815" w:type="pct"/>
            <w:tcBorders>
              <w:top w:val="single" w:sz="4" w:space="0" w:color="auto"/>
              <w:left w:val="single" w:sz="4" w:space="0" w:color="auto"/>
              <w:bottom w:val="single" w:sz="4" w:space="0" w:color="auto"/>
              <w:right w:val="single" w:sz="4" w:space="0" w:color="auto"/>
            </w:tcBorders>
            <w:vAlign w:val="center"/>
          </w:tcPr>
          <w:p w:rsidR="00014049" w:rsidRPr="00C62A13" w:rsidRDefault="006D7D3A" w:rsidP="00014049">
            <w:pPr>
              <w:keepNext/>
              <w:keepLines/>
              <w:widowControl w:val="0"/>
              <w:jc w:val="center"/>
              <w:rPr>
                <w:rFonts w:ascii="Arial Narrow" w:hAnsi="Arial Narrow"/>
                <w:b/>
                <w:bCs/>
                <w:snapToGrid w:val="0"/>
                <w:sz w:val="20"/>
                <w:szCs w:val="20"/>
                <w:vertAlign w:val="superscript"/>
                <w:lang w:eastAsia="en-US"/>
              </w:rPr>
            </w:pPr>
            <w:r w:rsidRPr="00C62A13">
              <w:rPr>
                <w:rFonts w:ascii="Arial Narrow" w:hAnsi="Arial Narrow"/>
                <w:b/>
                <w:bCs/>
                <w:snapToGrid w:val="0"/>
                <w:sz w:val="20"/>
                <w:szCs w:val="20"/>
                <w:lang w:eastAsia="en-US"/>
              </w:rPr>
              <w:t>RR</w:t>
            </w:r>
          </w:p>
          <w:p w:rsidR="006D7D3A" w:rsidRPr="00C62A13" w:rsidRDefault="006D7D3A" w:rsidP="00014049">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(95%CI)</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vertAlign w:val="superscript"/>
                <w:lang w:eastAsia="en-US"/>
              </w:rPr>
            </w:pPr>
            <w:r w:rsidRPr="00C62A13">
              <w:rPr>
                <w:rFonts w:ascii="Arial Narrow" w:hAnsi="Arial Narrow"/>
                <w:b/>
                <w:bCs/>
                <w:snapToGrid w:val="0"/>
                <w:sz w:val="20"/>
                <w:szCs w:val="20"/>
                <w:lang w:eastAsia="en-US"/>
              </w:rPr>
              <w:t>RD</w:t>
            </w:r>
          </w:p>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(95%CI)</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vertAlign w:val="superscript"/>
                <w:lang w:eastAsia="en-US"/>
              </w:rPr>
            </w:pPr>
            <w:r w:rsidRPr="00C62A13">
              <w:rPr>
                <w:rFonts w:ascii="Arial Narrow" w:hAnsi="Arial Narrow"/>
                <w:b/>
                <w:bCs/>
                <w:snapToGrid w:val="0"/>
                <w:sz w:val="20"/>
                <w:szCs w:val="20"/>
                <w:lang w:eastAsia="en-US"/>
              </w:rPr>
              <w:t>NNT</w:t>
            </w:r>
          </w:p>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(95%CI)</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color w:val="FF0000"/>
                <w:sz w:val="20"/>
                <w:szCs w:val="20"/>
                <w:lang w:eastAsia="en-US"/>
              </w:rPr>
              <w:t>CsA Naive</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UPA 15 mg ± TCS v PBO ± TCS</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53/76 (69.7)</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15/75 (20.0)</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3.49 (2.17,5.61)</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0.50 (0.36,0.63)</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(2,3)</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47/72 (65.3)</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15/73 (20.5)</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3.18 (1.96,5.14)</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0.45 (0.30,0.59)</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(2,3)</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AD UP</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67/91 (73.6)</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31/98 (31.6)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iCs/>
                <w:snapToGrid w:val="0"/>
                <w:sz w:val="20"/>
                <w:szCs w:val="20"/>
                <w:lang w:eastAsia="en-US"/>
              </w:rPr>
            </w:pPr>
            <w:r w:rsidRPr="00C62A13">
              <w:rPr>
                <w:rFonts w:ascii="Arial Narrow" w:hAnsi="Arial Narrow"/>
                <w:b/>
                <w:bCs/>
                <w:iCs/>
                <w:snapToGrid w:val="0"/>
                <w:sz w:val="20"/>
                <w:szCs w:val="20"/>
                <w:lang w:eastAsia="en-US"/>
              </w:rPr>
              <w:t>2.33 (1.70,3.19)</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iCs/>
                <w:snapToGrid w:val="0"/>
                <w:sz w:val="20"/>
                <w:szCs w:val="20"/>
                <w:lang w:eastAsia="en-US"/>
              </w:rPr>
            </w:pPr>
            <w:r w:rsidRPr="00C62A13">
              <w:rPr>
                <w:rFonts w:ascii="Arial Narrow" w:hAnsi="Arial Narrow"/>
                <w:b/>
                <w:bCs/>
                <w:iCs/>
                <w:snapToGrid w:val="0"/>
                <w:sz w:val="20"/>
                <w:szCs w:val="20"/>
                <w:lang w:eastAsia="en-US"/>
              </w:rPr>
              <w:t>0.42 (0.29,0.55)</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
                <w:snapToGrid w:val="0"/>
                <w:sz w:val="20"/>
                <w:szCs w:val="20"/>
                <w:lang w:eastAsia="en-US"/>
              </w:rPr>
            </w:pPr>
            <w:r w:rsidRPr="00C62A13">
              <w:rPr>
                <w:rFonts w:ascii="Arial Narrow" w:hAnsi="Arial Narrow"/>
                <w:snapToGrid w:val="0"/>
                <w:sz w:val="20"/>
                <w:szCs w:val="20"/>
                <w:lang w:eastAsia="en-US"/>
              </w:rPr>
              <w:t>2 (2,3)</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snapToGrid w:val="0"/>
                <w:sz w:val="20"/>
                <w:szCs w:val="20"/>
                <w:lang w:eastAsia="en-US"/>
              </w:rPr>
            </w:pPr>
            <w:r w:rsidRPr="00C62A13">
              <w:rPr>
                <w:rFonts w:ascii="Arial Narrow" w:hAnsi="Arial Narrow"/>
                <w:bCs/>
                <w:snapToGrid w:val="0"/>
                <w:sz w:val="20"/>
                <w:szCs w:val="20"/>
                <w:lang w:eastAsia="en-US"/>
              </w:rPr>
              <w:t>Meta-analysis UPA 15</w:t>
            </w:r>
            <w:r w:rsidR="001E11A3" w:rsidRPr="00C62A13">
              <w:rPr>
                <w:rFonts w:ascii="Arial Narrow" w:hAnsi="Arial Narrow"/>
                <w:bCs/>
                <w:snapToGrid w:val="0"/>
                <w:sz w:val="20"/>
                <w:szCs w:val="20"/>
                <w:lang w:eastAsia="en-US"/>
              </w:rPr>
              <w:t xml:space="preserve"> </w:t>
            </w:r>
            <w:r w:rsidRPr="00C62A13">
              <w:rPr>
                <w:rFonts w:ascii="Arial Narrow" w:hAnsi="Arial Narrow"/>
                <w:bCs/>
                <w:snapToGrid w:val="0"/>
                <w:sz w:val="20"/>
                <w:szCs w:val="20"/>
                <w:lang w:eastAsia="en-US"/>
              </w:rPr>
              <w:t>mg v PBO</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167/239 (69.9)</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61/246 (24.8)</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iCs/>
                <w:snapToGrid w:val="0"/>
                <w:sz w:val="20"/>
                <w:szCs w:val="20"/>
                <w:lang w:eastAsia="en-US"/>
              </w:rPr>
            </w:pPr>
            <w:r w:rsidRPr="00C62A13">
              <w:rPr>
                <w:rFonts w:ascii="Arial Narrow" w:hAnsi="Arial Narrow"/>
                <w:b/>
                <w:bCs/>
                <w:iCs/>
                <w:snapToGrid w:val="0"/>
                <w:sz w:val="20"/>
                <w:szCs w:val="20"/>
                <w:lang w:eastAsia="en-US"/>
              </w:rPr>
              <w:t>2.79 (2.15,3.62)</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iCs/>
                <w:snapToGrid w:val="0"/>
                <w:sz w:val="20"/>
                <w:szCs w:val="20"/>
                <w:lang w:eastAsia="en-US"/>
              </w:rPr>
            </w:pPr>
            <w:r w:rsidRPr="00C62A13">
              <w:rPr>
                <w:rFonts w:ascii="Arial Narrow" w:hAnsi="Arial Narrow"/>
                <w:b/>
                <w:bCs/>
                <w:iCs/>
                <w:snapToGrid w:val="0"/>
                <w:sz w:val="20"/>
                <w:szCs w:val="20"/>
                <w:lang w:eastAsia="en-US"/>
              </w:rPr>
              <w:t>0.45 (0.37,0.53)</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(2,3)</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UPA 30 mg ± TCS v PBO ± TCS</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70/85 (82.4)</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15/75 (20.0)</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4.12 (2.59,6.54)</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0.62 (0.50,0.75)</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(1,2)</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i/>
                <w:snapToGrid w:val="0"/>
                <w:sz w:val="20"/>
                <w:szCs w:val="20"/>
                <w:lang w:eastAsia="en-US"/>
              </w:rPr>
            </w:pPr>
            <w:r w:rsidRPr="00C62A13">
              <w:rPr>
                <w:rFonts w:ascii="Arial Narrow" w:hAnsi="Arial Narrow"/>
                <w:snapToGrid w:val="0"/>
                <w:sz w:val="20"/>
                <w:szCs w:val="20"/>
                <w:lang w:eastAsia="en-US"/>
              </w:rPr>
              <w:t>MEASURE UP 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68/85 (80.0)</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15/73 (20.5)</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snapToGrid w:val="0"/>
                <w:sz w:val="20"/>
                <w:szCs w:val="20"/>
                <w:lang w:eastAsia="en-US"/>
              </w:rPr>
            </w:pPr>
            <w:r w:rsidRPr="00C62A13">
              <w:rPr>
                <w:rFonts w:ascii="Arial Narrow" w:hAnsi="Arial Narrow"/>
                <w:b/>
                <w:snapToGrid w:val="0"/>
                <w:sz w:val="20"/>
                <w:szCs w:val="20"/>
                <w:lang w:eastAsia="en-US"/>
              </w:rPr>
              <w:t>3.89 (2.45,6.19)</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iCs/>
                <w:snapToGrid w:val="0"/>
                <w:sz w:val="20"/>
                <w:szCs w:val="20"/>
                <w:lang w:eastAsia="en-US"/>
              </w:rPr>
            </w:pPr>
            <w:r w:rsidRPr="00C62A13">
              <w:rPr>
                <w:rFonts w:ascii="Arial Narrow" w:hAnsi="Arial Narrow"/>
                <w:b/>
                <w:iCs/>
                <w:snapToGrid w:val="0"/>
                <w:sz w:val="20"/>
                <w:szCs w:val="20"/>
                <w:lang w:eastAsia="en-US"/>
              </w:rPr>
              <w:t>0.59 (0.47,0.72)</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
                <w:snapToGrid w:val="0"/>
                <w:sz w:val="20"/>
                <w:szCs w:val="20"/>
                <w:lang w:eastAsia="en-US"/>
              </w:rPr>
            </w:pPr>
            <w:r w:rsidRPr="00C62A13">
              <w:rPr>
                <w:rFonts w:ascii="Arial Narrow" w:hAnsi="Arial Narrow"/>
                <w:snapToGrid w:val="0"/>
                <w:sz w:val="20"/>
                <w:szCs w:val="20"/>
                <w:lang w:eastAsia="en-US"/>
              </w:rPr>
              <w:t>2 (1,2)</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i/>
                <w:snapToGrid w:val="0"/>
                <w:sz w:val="20"/>
                <w:szCs w:val="20"/>
                <w:lang w:eastAsia="en-US"/>
              </w:rPr>
            </w:pPr>
            <w:r w:rsidRPr="00C62A13">
              <w:rPr>
                <w:rFonts w:ascii="Arial Narrow" w:hAnsi="Arial Narrow"/>
                <w:bCs/>
                <w:iCs/>
                <w:snapToGrid w:val="0"/>
                <w:sz w:val="20"/>
                <w:szCs w:val="20"/>
                <w:lang w:eastAsia="en-US"/>
              </w:rPr>
              <w:t>AD UP</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76/95 (80.0)</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31/98 (31.6)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snapToGrid w:val="0"/>
                <w:sz w:val="20"/>
                <w:szCs w:val="20"/>
                <w:lang w:eastAsia="en-US"/>
              </w:rPr>
            </w:pPr>
            <w:r w:rsidRPr="00C62A13">
              <w:rPr>
                <w:rFonts w:ascii="Arial Narrow" w:hAnsi="Arial Narrow"/>
                <w:b/>
                <w:snapToGrid w:val="0"/>
                <w:sz w:val="20"/>
                <w:szCs w:val="20"/>
                <w:lang w:eastAsia="en-US"/>
              </w:rPr>
              <w:t>2.53 (1.86,3.44)</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iCs/>
                <w:snapToGrid w:val="0"/>
                <w:sz w:val="20"/>
                <w:szCs w:val="20"/>
                <w:lang w:eastAsia="en-US"/>
              </w:rPr>
            </w:pPr>
            <w:r w:rsidRPr="00C62A13">
              <w:rPr>
                <w:rFonts w:ascii="Arial Narrow" w:hAnsi="Arial Narrow"/>
                <w:b/>
                <w:iCs/>
                <w:snapToGrid w:val="0"/>
                <w:sz w:val="20"/>
                <w:szCs w:val="20"/>
                <w:lang w:eastAsia="en-US"/>
              </w:rPr>
              <w:t>0.48 (0.36,0.61)</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
                <w:snapToGrid w:val="0"/>
                <w:sz w:val="20"/>
                <w:szCs w:val="20"/>
                <w:lang w:eastAsia="en-US"/>
              </w:rPr>
            </w:pPr>
            <w:r w:rsidRPr="00C62A13">
              <w:rPr>
                <w:rFonts w:ascii="Arial Narrow" w:hAnsi="Arial Narrow"/>
                <w:snapToGrid w:val="0"/>
                <w:sz w:val="20"/>
                <w:szCs w:val="20"/>
                <w:lang w:eastAsia="en-US"/>
              </w:rPr>
              <w:t>2 (2,3)</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rPr>
                <w:rFonts w:ascii="Arial Narrow" w:hAnsi="Arial Narrow"/>
                <w:bCs/>
                <w:snapToGrid w:val="0"/>
                <w:sz w:val="20"/>
                <w:szCs w:val="20"/>
                <w:lang w:eastAsia="en-US"/>
              </w:rPr>
            </w:pPr>
            <w:r w:rsidRPr="00C62A13">
              <w:rPr>
                <w:rFonts w:ascii="Arial Narrow" w:hAnsi="Arial Narrow"/>
                <w:bCs/>
                <w:snapToGrid w:val="0"/>
                <w:sz w:val="20"/>
                <w:szCs w:val="20"/>
                <w:lang w:eastAsia="en-US"/>
              </w:rPr>
              <w:t>Meta-analysis UPA 30</w:t>
            </w:r>
            <w:r w:rsidR="001E11A3" w:rsidRPr="00C62A13">
              <w:rPr>
                <w:rFonts w:ascii="Arial Narrow" w:hAnsi="Arial Narrow"/>
                <w:bCs/>
                <w:snapToGrid w:val="0"/>
                <w:sz w:val="20"/>
                <w:szCs w:val="20"/>
                <w:lang w:eastAsia="en-US"/>
              </w:rPr>
              <w:t xml:space="preserve"> </w:t>
            </w:r>
            <w:r w:rsidRPr="00C62A13">
              <w:rPr>
                <w:rFonts w:ascii="Arial Narrow" w:hAnsi="Arial Narrow"/>
                <w:bCs/>
                <w:snapToGrid w:val="0"/>
                <w:sz w:val="20"/>
                <w:szCs w:val="20"/>
                <w:lang w:eastAsia="en-US"/>
              </w:rPr>
              <w:t>mg v PBO</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214/265 (80.8)</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61/246 (24.8)</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iCs/>
                <w:snapToGrid w:val="0"/>
                <w:sz w:val="20"/>
                <w:szCs w:val="20"/>
                <w:lang w:eastAsia="en-US"/>
              </w:rPr>
            </w:pPr>
            <w:r w:rsidRPr="00C62A13">
              <w:rPr>
                <w:rFonts w:ascii="Arial Narrow" w:hAnsi="Arial Narrow"/>
                <w:b/>
                <w:iCs/>
                <w:snapToGrid w:val="0"/>
                <w:sz w:val="20"/>
                <w:szCs w:val="20"/>
                <w:lang w:eastAsia="en-US"/>
              </w:rPr>
              <w:t>3.31 (2.35,4.64)</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iCs/>
                <w:snapToGrid w:val="0"/>
                <w:sz w:val="20"/>
                <w:szCs w:val="20"/>
                <w:lang w:eastAsia="en-US"/>
              </w:rPr>
            </w:pPr>
            <w:r w:rsidRPr="00C62A13">
              <w:rPr>
                <w:rFonts w:ascii="Arial Narrow" w:hAnsi="Arial Narrow"/>
                <w:b/>
                <w:iCs/>
                <w:snapToGrid w:val="0"/>
                <w:sz w:val="20"/>
                <w:szCs w:val="20"/>
                <w:lang w:eastAsia="en-US"/>
              </w:rPr>
              <w:t>0.57 (0.48,0.65)</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(2,2)</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DUPI 300 mg ± TCS v PBO ± TCS</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1021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SOLO 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SOLO 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iCs/>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shd w:val="pct15" w:color="auto" w:fill="FFFFFF"/>
                <w:lang w:eastAsia="en-US"/>
              </w:rPr>
            </w:pPr>
            <w:r w:rsidRPr="00C62A13">
              <w:rPr>
                <w:rFonts w:ascii="Arial Narrow" w:hAnsi="Arial Narrow"/>
                <w:iCs/>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iCs/>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CHRONOS</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Meta-analysis DUPI 300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v PBO</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99/166 (59.6)</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49/246 (19.9)</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2.99 (2.26,3.96)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0.40 (0.31,0.49)</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3 (2,3)</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color w:val="0070C0"/>
                <w:sz w:val="20"/>
                <w:szCs w:val="20"/>
                <w:lang w:eastAsia="en-US"/>
              </w:rPr>
              <w:t>CsA Experienced</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UPA 15 mg ± TCS v PBO ± TCS</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15/26 (57.7)</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1/21 (4.8)</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12.12 (1.74,84.38)</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0.53 (0.32,0.74)</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(1,3)</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30/41 (73.2)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2/43 (4.7)</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15.73 (4.01,61.66)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0.69 (0.54,0.83)</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 (1,2)</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bCs/>
                <w:iCs/>
                <w:snapToGrid w:val="0"/>
                <w:sz w:val="20"/>
                <w:szCs w:val="20"/>
                <w:lang w:eastAsia="en-US"/>
              </w:rPr>
              <w:t>AD UP</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23/31 (74.2)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9/34 (26.5)</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2.80 (1.54,5.09)</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0.48 (0.26,0.69)</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(1,4)</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bCs/>
                <w:snapToGrid w:val="0"/>
                <w:sz w:val="20"/>
                <w:szCs w:val="20"/>
                <w:lang w:eastAsia="en-US"/>
              </w:rPr>
              <w:t>Meta-analysis UPA 15</w:t>
            </w:r>
            <w:r w:rsidR="001E11A3" w:rsidRPr="00C62A13">
              <w:rPr>
                <w:rFonts w:ascii="Arial Narrow" w:hAnsi="Arial Narrow"/>
                <w:bCs/>
                <w:snapToGrid w:val="0"/>
                <w:sz w:val="20"/>
                <w:szCs w:val="20"/>
                <w:lang w:eastAsia="en-US"/>
              </w:rPr>
              <w:t xml:space="preserve"> </w:t>
            </w:r>
            <w:r w:rsidRPr="00C62A13">
              <w:rPr>
                <w:rFonts w:ascii="Arial Narrow" w:hAnsi="Arial Narrow"/>
                <w:bCs/>
                <w:snapToGrid w:val="0"/>
                <w:sz w:val="20"/>
                <w:szCs w:val="20"/>
                <w:lang w:eastAsia="en-US"/>
              </w:rPr>
              <w:t>mg v PBO</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68/98 (69.4)</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12/98 (12.2)</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7.13 (1.63,31.18)</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0.58 (0.45,0.72)</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(1,2)</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UPA 30 mg ± TCS v PBO ± TCS</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16/20 (80.0)</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1/21 (4.8)</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16.80(2.45,115.19)</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0.75 (0.55,0.95)</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 (1,2)</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snapToGrid w:val="0"/>
                <w:sz w:val="20"/>
                <w:szCs w:val="20"/>
                <w:lang w:eastAsia="en-US"/>
              </w:rPr>
              <w:t>MEASURE UP 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26/32 (81.3)</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2/43 (4.7)</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17.47 (4.47,68.30)</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0.77 (0.62,0.92)</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 (1,2)</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snapToGrid w:val="0"/>
                <w:sz w:val="20"/>
                <w:szCs w:val="20"/>
                <w:lang w:eastAsia="en-US"/>
              </w:rPr>
            </w:pPr>
            <w:r w:rsidRPr="00C62A13">
              <w:rPr>
                <w:rFonts w:ascii="Arial Narrow" w:hAnsi="Arial Narrow"/>
                <w:bCs/>
                <w:iCs/>
                <w:snapToGrid w:val="0"/>
                <w:sz w:val="20"/>
                <w:szCs w:val="20"/>
                <w:lang w:eastAsia="en-US"/>
              </w:rPr>
              <w:t>AD UP</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22/27 (81.5)</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9/34 (26.5)</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3.08 (1.71,5.54)</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0.55 (0.34,0.76)</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(1,3)</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bCs/>
                <w:snapToGrid w:val="0"/>
                <w:sz w:val="20"/>
                <w:szCs w:val="20"/>
                <w:lang w:eastAsia="en-US"/>
              </w:rPr>
              <w:t>Meta-analysis UPA 30</w:t>
            </w:r>
            <w:r w:rsidR="001E11A3" w:rsidRPr="00C62A13">
              <w:rPr>
                <w:rFonts w:ascii="Arial Narrow" w:hAnsi="Arial Narrow"/>
                <w:bCs/>
                <w:snapToGrid w:val="0"/>
                <w:sz w:val="20"/>
                <w:szCs w:val="20"/>
                <w:lang w:eastAsia="en-US"/>
              </w:rPr>
              <w:t xml:space="preserve"> </w:t>
            </w:r>
            <w:r w:rsidRPr="00C62A13">
              <w:rPr>
                <w:rFonts w:ascii="Arial Narrow" w:hAnsi="Arial Narrow"/>
                <w:bCs/>
                <w:snapToGrid w:val="0"/>
                <w:sz w:val="20"/>
                <w:szCs w:val="20"/>
                <w:lang w:eastAsia="en-US"/>
              </w:rPr>
              <w:t>mg v PBO</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64/79 (81.0)</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12/98 (12.2)</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8.46 (1.79,39.97)</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0.70 (0.57,0.83)</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 (1,2)</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DUPI 300 mg ± TCS v PBO ± TCS</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i/>
                <w:snapToGrid w:val="0"/>
                <w:sz w:val="20"/>
                <w:szCs w:val="20"/>
                <w:lang w:eastAsia="en-US"/>
              </w:rPr>
            </w:pPr>
            <w:r w:rsidRPr="00C62A13">
              <w:rPr>
                <w:rFonts w:ascii="Arial Narrow" w:hAnsi="Arial Narrow"/>
                <w:snapToGrid w:val="0"/>
                <w:sz w:val="20"/>
                <w:szCs w:val="20"/>
                <w:lang w:eastAsia="en-US"/>
              </w:rPr>
              <w:t>1021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i/>
                <w:snapToGrid w:val="0"/>
                <w:sz w:val="20"/>
                <w:szCs w:val="20"/>
                <w:lang w:eastAsia="en-US"/>
              </w:rPr>
            </w:pPr>
            <w:r w:rsidRPr="00C62A13">
              <w:rPr>
                <w:rFonts w:ascii="Arial Narrow" w:hAnsi="Arial Narrow"/>
                <w:snapToGrid w:val="0"/>
                <w:sz w:val="20"/>
                <w:szCs w:val="20"/>
                <w:lang w:eastAsia="en-US"/>
              </w:rPr>
              <w:t>SOLO 1</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ind w:left="112"/>
              <w:rPr>
                <w:rFonts w:ascii="Arial Narrow" w:hAnsi="Arial Narrow"/>
                <w:bCs/>
                <w:i/>
                <w:snapToGrid w:val="0"/>
                <w:sz w:val="20"/>
                <w:szCs w:val="20"/>
                <w:lang w:eastAsia="en-US"/>
              </w:rPr>
            </w:pPr>
            <w:r w:rsidRPr="00C62A13">
              <w:rPr>
                <w:rFonts w:ascii="Arial Narrow" w:hAnsi="Arial Narrow"/>
                <w:snapToGrid w:val="0"/>
                <w:sz w:val="20"/>
                <w:szCs w:val="20"/>
                <w:lang w:eastAsia="en-US"/>
              </w:rPr>
              <w:t>SOLO 2</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iCs/>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iCs/>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iCs/>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iCs/>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iCs/>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ind w:left="112"/>
              <w:rPr>
                <w:rFonts w:ascii="Arial Narrow" w:hAnsi="Arial Narrow"/>
                <w:bCs/>
                <w:i/>
                <w:snapToGrid w:val="0"/>
                <w:sz w:val="20"/>
                <w:szCs w:val="20"/>
                <w:lang w:eastAsia="en-US"/>
              </w:rPr>
            </w:pPr>
            <w:r w:rsidRPr="00C62A13">
              <w:rPr>
                <w:rFonts w:ascii="Arial Narrow" w:hAnsi="Arial Narrow"/>
                <w:snapToGrid w:val="0"/>
                <w:sz w:val="20"/>
                <w:szCs w:val="20"/>
                <w:lang w:eastAsia="en-US"/>
              </w:rPr>
              <w:t>CHRONOS</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snapToGrid w:val="0"/>
                <w:sz w:val="20"/>
                <w:szCs w:val="20"/>
                <w:lang w:eastAsia="en-US"/>
              </w:rPr>
              <w:t>NR</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NR</w:t>
            </w:r>
          </w:p>
        </w:tc>
      </w:tr>
      <w:tr w:rsidR="006D7D3A" w:rsidRPr="00C62A13" w:rsidTr="002B142D">
        <w:tc>
          <w:tcPr>
            <w:tcW w:w="1640" w:type="pct"/>
            <w:tcBorders>
              <w:top w:val="single" w:sz="4" w:space="0" w:color="auto"/>
              <w:left w:val="single" w:sz="4" w:space="0" w:color="auto"/>
              <w:bottom w:val="single" w:sz="4" w:space="0" w:color="auto"/>
              <w:right w:val="single" w:sz="4" w:space="0" w:color="auto"/>
            </w:tcBorders>
          </w:tcPr>
          <w:p w:rsidR="006D7D3A" w:rsidRPr="00C62A13" w:rsidRDefault="006D7D3A" w:rsidP="00D67557">
            <w:pPr>
              <w:keepNext/>
              <w:keepLines/>
              <w:widowControl w:val="0"/>
              <w:rPr>
                <w:rFonts w:ascii="Arial Narrow" w:hAnsi="Arial Narrow"/>
                <w:bCs/>
                <w:i/>
                <w:snapToGrid w:val="0"/>
                <w:sz w:val="20"/>
                <w:szCs w:val="20"/>
                <w:lang w:eastAsia="en-US"/>
              </w:rPr>
            </w:pPr>
            <w:r w:rsidRPr="00C62A13">
              <w:rPr>
                <w:rFonts w:ascii="Arial Narrow" w:hAnsi="Arial Narrow"/>
                <w:snapToGrid w:val="0"/>
                <w:sz w:val="20"/>
                <w:szCs w:val="20"/>
                <w:lang w:eastAsia="en-US"/>
              </w:rPr>
              <w:t>Meta-analysis DUPI 300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SC v PBO</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91/152 (59.9)</w:t>
            </w:r>
          </w:p>
        </w:tc>
        <w:tc>
          <w:tcPr>
            <w:tcW w:w="633"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25/178 (14.0)</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4.26 (2.90,6.27)</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bCs/>
                <w:snapToGrid w:val="0"/>
                <w:sz w:val="20"/>
                <w:szCs w:val="20"/>
                <w:lang w:eastAsia="en-US"/>
              </w:rPr>
            </w:pPr>
            <w:r w:rsidRPr="00C62A13">
              <w:rPr>
                <w:rFonts w:ascii="Arial Narrow" w:hAnsi="Arial Narrow"/>
                <w:b/>
                <w:bCs/>
                <w:snapToGrid w:val="0"/>
                <w:sz w:val="20"/>
                <w:szCs w:val="20"/>
                <w:lang w:eastAsia="en-US"/>
              </w:rPr>
              <w:t>0.46 (0.37,0.55)</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2 (2,3)</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vAlign w:val="center"/>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sz w:val="20"/>
                <w:szCs w:val="20"/>
                <w:lang w:eastAsia="en-US"/>
              </w:rPr>
              <w:t>Indirect comparisons</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color w:val="FF0000"/>
                <w:sz w:val="20"/>
                <w:szCs w:val="20"/>
                <w:lang w:eastAsia="en-US"/>
              </w:rPr>
              <w:t>CsA Naive</w:t>
            </w:r>
          </w:p>
        </w:tc>
      </w:tr>
      <w:tr w:rsidR="006D7D3A" w:rsidRPr="00C62A13" w:rsidTr="002B142D">
        <w:tc>
          <w:tcPr>
            <w:tcW w:w="2906" w:type="pct"/>
            <w:gridSpan w:val="3"/>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UPA 15</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v DUPI 300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Wk 16</w:t>
            </w:r>
          </w:p>
        </w:tc>
        <w:tc>
          <w:tcPr>
            <w:tcW w:w="815" w:type="pct"/>
            <w:tcBorders>
              <w:top w:val="single" w:sz="4" w:space="0" w:color="auto"/>
              <w:left w:val="single" w:sz="4" w:space="0" w:color="auto"/>
              <w:bottom w:val="single" w:sz="4" w:space="0" w:color="auto"/>
              <w:right w:val="single" w:sz="4" w:space="0" w:color="auto"/>
            </w:tcBorders>
            <w:shd w:val="clear" w:color="auto" w:fill="auto"/>
            <w:vAlign w:val="center"/>
          </w:tcPr>
          <w:p w:rsidR="006D7D3A" w:rsidRPr="00C62A13" w:rsidRDefault="006D7D3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0.93 (0.64,1.37)</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0.05 (-0.07,0.17)</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5A796E"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w:t>
            </w:r>
          </w:p>
        </w:tc>
      </w:tr>
      <w:tr w:rsidR="006D7D3A" w:rsidRPr="00C62A13" w:rsidTr="002B142D">
        <w:tc>
          <w:tcPr>
            <w:tcW w:w="2906" w:type="pct"/>
            <w:gridSpan w:val="3"/>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UPA 30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v DUPI 300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Wk 16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1.11 (0.71,1.72)</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Cs/>
                <w:snapToGrid w:val="0"/>
                <w:sz w:val="20"/>
                <w:szCs w:val="20"/>
                <w:lang w:eastAsia="en-US"/>
              </w:rPr>
            </w:pPr>
            <w:r w:rsidRPr="00C62A13">
              <w:rPr>
                <w:rFonts w:ascii="Arial Narrow" w:hAnsi="Arial Narrow"/>
                <w:b/>
                <w:iCs/>
                <w:snapToGrid w:val="0"/>
                <w:sz w:val="20"/>
                <w:szCs w:val="20"/>
                <w:lang w:eastAsia="en-US"/>
              </w:rPr>
              <w:t>0.17 (0.05,0.29)</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DC4F4A" w:rsidP="00D67557">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6 (3,20)</w:t>
            </w:r>
          </w:p>
        </w:tc>
      </w:tr>
      <w:tr w:rsidR="002B142D" w:rsidRPr="00C62A13" w:rsidTr="002B142D">
        <w:tc>
          <w:tcPr>
            <w:tcW w:w="5000" w:type="pct"/>
            <w:gridSpan w:val="6"/>
            <w:tcBorders>
              <w:top w:val="single" w:sz="4" w:space="0" w:color="auto"/>
              <w:left w:val="single" w:sz="4" w:space="0" w:color="auto"/>
              <w:bottom w:val="single" w:sz="4" w:space="0" w:color="auto"/>
              <w:right w:val="single" w:sz="4" w:space="0" w:color="auto"/>
            </w:tcBorders>
          </w:tcPr>
          <w:p w:rsidR="002B142D" w:rsidRPr="00C62A13" w:rsidRDefault="002B142D" w:rsidP="002B142D">
            <w:pPr>
              <w:keepNext/>
              <w:keepLines/>
              <w:widowControl w:val="0"/>
              <w:jc w:val="left"/>
              <w:rPr>
                <w:rFonts w:ascii="Arial Narrow" w:hAnsi="Arial Narrow"/>
                <w:snapToGrid w:val="0"/>
                <w:sz w:val="20"/>
                <w:szCs w:val="20"/>
                <w:lang w:eastAsia="en-US"/>
              </w:rPr>
            </w:pPr>
            <w:r w:rsidRPr="00C62A13">
              <w:rPr>
                <w:rFonts w:ascii="Arial Narrow" w:hAnsi="Arial Narrow"/>
                <w:b/>
                <w:bCs/>
                <w:snapToGrid w:val="0"/>
                <w:color w:val="0070C0"/>
                <w:sz w:val="20"/>
                <w:szCs w:val="20"/>
                <w:lang w:eastAsia="en-US"/>
              </w:rPr>
              <w:t>CsA Experienced</w:t>
            </w:r>
          </w:p>
        </w:tc>
      </w:tr>
      <w:tr w:rsidR="006D7D3A" w:rsidRPr="00C62A13" w:rsidTr="002B142D">
        <w:tc>
          <w:tcPr>
            <w:tcW w:w="2906" w:type="pct"/>
            <w:gridSpan w:val="3"/>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UPA 15</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v DUPI 300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Wk 16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1.67 (0.36,7.69)</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iCs/>
                <w:snapToGrid w:val="0"/>
                <w:sz w:val="20"/>
                <w:szCs w:val="20"/>
                <w:lang w:eastAsia="en-US"/>
              </w:rPr>
            </w:pPr>
            <w:r w:rsidRPr="00C62A13">
              <w:rPr>
                <w:rFonts w:ascii="Arial Narrow" w:hAnsi="Arial Narrow"/>
                <w:bCs/>
                <w:snapToGrid w:val="0"/>
                <w:sz w:val="20"/>
                <w:szCs w:val="20"/>
                <w:lang w:eastAsia="en-US"/>
              </w:rPr>
              <w:t>0.12 (-0.04,0.28)</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5A796E"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w:t>
            </w:r>
          </w:p>
        </w:tc>
      </w:tr>
      <w:tr w:rsidR="006D7D3A" w:rsidRPr="00C62A13" w:rsidTr="002B142D">
        <w:tc>
          <w:tcPr>
            <w:tcW w:w="2906" w:type="pct"/>
            <w:gridSpan w:val="3"/>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rPr>
                <w:rFonts w:ascii="Arial Narrow" w:hAnsi="Arial Narrow"/>
                <w:snapToGrid w:val="0"/>
                <w:sz w:val="20"/>
                <w:szCs w:val="20"/>
                <w:lang w:eastAsia="en-US"/>
              </w:rPr>
            </w:pPr>
            <w:r w:rsidRPr="00C62A13">
              <w:rPr>
                <w:rFonts w:ascii="Arial Narrow" w:hAnsi="Arial Narrow"/>
                <w:snapToGrid w:val="0"/>
                <w:sz w:val="20"/>
                <w:szCs w:val="20"/>
                <w:lang w:eastAsia="en-US"/>
              </w:rPr>
              <w:t>UPA 30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v DUPI 300</w:t>
            </w:r>
            <w:r w:rsidR="001E11A3" w:rsidRPr="00C62A13">
              <w:rPr>
                <w:rFonts w:ascii="Arial Narrow" w:hAnsi="Arial Narrow"/>
                <w:snapToGrid w:val="0"/>
                <w:sz w:val="20"/>
                <w:szCs w:val="20"/>
                <w:lang w:eastAsia="en-US"/>
              </w:rPr>
              <w:t xml:space="preserve"> </w:t>
            </w:r>
            <w:r w:rsidRPr="00C62A13">
              <w:rPr>
                <w:rFonts w:ascii="Arial Narrow" w:hAnsi="Arial Narrow"/>
                <w:snapToGrid w:val="0"/>
                <w:sz w:val="20"/>
                <w:szCs w:val="20"/>
                <w:lang w:eastAsia="en-US"/>
              </w:rPr>
              <w:t>mg Wk 16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Cs/>
                <w:iCs/>
                <w:snapToGrid w:val="0"/>
                <w:sz w:val="20"/>
                <w:szCs w:val="20"/>
                <w:lang w:eastAsia="en-US"/>
              </w:rPr>
            </w:pPr>
            <w:r w:rsidRPr="00C62A13">
              <w:rPr>
                <w:rFonts w:ascii="Arial Narrow" w:hAnsi="Arial Narrow"/>
                <w:bCs/>
                <w:iCs/>
                <w:snapToGrid w:val="0"/>
                <w:sz w:val="20"/>
                <w:szCs w:val="20"/>
                <w:lang w:eastAsia="en-US"/>
              </w:rPr>
              <w:t>1.99 (0.41,9.56)</w:t>
            </w:r>
          </w:p>
        </w:tc>
        <w:tc>
          <w:tcPr>
            <w:tcW w:w="815" w:type="pct"/>
            <w:tcBorders>
              <w:top w:val="single" w:sz="4" w:space="0" w:color="auto"/>
              <w:left w:val="single" w:sz="4" w:space="0" w:color="auto"/>
              <w:bottom w:val="single" w:sz="4" w:space="0" w:color="auto"/>
              <w:right w:val="single" w:sz="4" w:space="0" w:color="auto"/>
            </w:tcBorders>
            <w:vAlign w:val="center"/>
          </w:tcPr>
          <w:p w:rsidR="006D7D3A" w:rsidRPr="00C62A13" w:rsidRDefault="006D7D3A" w:rsidP="00D67557">
            <w:pPr>
              <w:keepNext/>
              <w:keepLines/>
              <w:widowControl w:val="0"/>
              <w:jc w:val="center"/>
              <w:rPr>
                <w:rFonts w:ascii="Arial Narrow" w:hAnsi="Arial Narrow"/>
                <w:b/>
                <w:iCs/>
                <w:snapToGrid w:val="0"/>
                <w:sz w:val="20"/>
                <w:szCs w:val="20"/>
                <w:lang w:eastAsia="en-US"/>
              </w:rPr>
            </w:pPr>
            <w:r w:rsidRPr="00C62A13">
              <w:rPr>
                <w:rFonts w:ascii="Arial Narrow" w:hAnsi="Arial Narrow"/>
                <w:b/>
                <w:iCs/>
                <w:snapToGrid w:val="0"/>
                <w:sz w:val="20"/>
                <w:szCs w:val="20"/>
                <w:lang w:eastAsia="en-US"/>
              </w:rPr>
              <w:t>0.24 (0.08, 0.40)</w:t>
            </w:r>
          </w:p>
        </w:tc>
        <w:tc>
          <w:tcPr>
            <w:tcW w:w="464" w:type="pct"/>
            <w:tcBorders>
              <w:top w:val="single" w:sz="4" w:space="0" w:color="auto"/>
              <w:left w:val="single" w:sz="4" w:space="0" w:color="auto"/>
              <w:bottom w:val="single" w:sz="4" w:space="0" w:color="auto"/>
              <w:right w:val="single" w:sz="4" w:space="0" w:color="auto"/>
            </w:tcBorders>
            <w:vAlign w:val="center"/>
          </w:tcPr>
          <w:p w:rsidR="006D7D3A" w:rsidRPr="00C62A13" w:rsidRDefault="00DC4F4A" w:rsidP="00D67557">
            <w:pPr>
              <w:keepNext/>
              <w:keepLines/>
              <w:widowControl w:val="0"/>
              <w:jc w:val="center"/>
              <w:rPr>
                <w:rFonts w:ascii="Arial Narrow" w:hAnsi="Arial Narrow"/>
                <w:snapToGrid w:val="0"/>
                <w:sz w:val="20"/>
                <w:szCs w:val="20"/>
                <w:lang w:eastAsia="en-US"/>
              </w:rPr>
            </w:pPr>
            <w:r w:rsidRPr="00C62A13">
              <w:rPr>
                <w:rFonts w:ascii="Arial Narrow" w:hAnsi="Arial Narrow"/>
                <w:snapToGrid w:val="0"/>
                <w:sz w:val="20"/>
                <w:szCs w:val="20"/>
                <w:lang w:eastAsia="en-US"/>
              </w:rPr>
              <w:t>4 (3,13)</w:t>
            </w:r>
          </w:p>
        </w:tc>
      </w:tr>
    </w:tbl>
    <w:p w:rsidR="006D7D3A" w:rsidRPr="00C62A13" w:rsidRDefault="006D7D3A" w:rsidP="00D67557">
      <w:pPr>
        <w:keepNext/>
        <w:keepLines/>
        <w:widowControl w:val="0"/>
        <w:rPr>
          <w:rFonts w:ascii="Arial Narrow" w:hAnsi="Arial Narrow"/>
          <w:snapToGrid w:val="0"/>
          <w:sz w:val="18"/>
          <w:szCs w:val="18"/>
          <w:lang w:eastAsia="en-US"/>
        </w:rPr>
      </w:pPr>
      <w:r w:rsidRPr="00C62A13">
        <w:rPr>
          <w:rFonts w:ascii="Arial Narrow" w:hAnsi="Arial Narrow"/>
          <w:snapToGrid w:val="0"/>
          <w:sz w:val="18"/>
          <w:szCs w:val="18"/>
          <w:lang w:eastAsia="en-US"/>
        </w:rPr>
        <w:t>Source: Table 4.1 of Attachment 8 of the submission; Table 2-30-31, p107 of the submission.</w:t>
      </w:r>
    </w:p>
    <w:p w:rsidR="006D7D3A" w:rsidRDefault="006D7D3A" w:rsidP="00D67557">
      <w:pPr>
        <w:pStyle w:val="TableFigureFooter"/>
        <w:keepNext/>
        <w:keepLines/>
        <w:widowControl w:val="0"/>
        <w:tabs>
          <w:tab w:val="left" w:pos="142"/>
        </w:tabs>
      </w:pPr>
      <w:r w:rsidRPr="00C62A13">
        <w:t>DLQI = Dermatology Life Quality Index; EASI = Eczema Area and Severity Index</w:t>
      </w:r>
      <w:r w:rsidR="00434311" w:rsidRPr="00C62A13">
        <w:t>; CsA = ciclosporin</w:t>
      </w:r>
      <w:r w:rsidR="005476CB" w:rsidRPr="00C62A13">
        <w:t xml:space="preserve"> A</w:t>
      </w:r>
      <w:r w:rsidR="00782535" w:rsidRPr="00C62A13">
        <w:t>; NR = not reported</w:t>
      </w:r>
      <w:r w:rsidR="00E40ABE" w:rsidRPr="00C62A13">
        <w:t>; DUPI = dupilumab; PBO = placebo; TCS = topical corticosteroid; UPA = upadacitinib.</w:t>
      </w:r>
    </w:p>
    <w:p w:rsidR="0001025E" w:rsidRPr="002C1672" w:rsidRDefault="0001025E" w:rsidP="0001025E">
      <w:pPr>
        <w:pStyle w:val="TableFigureFooter"/>
        <w:keepNext/>
        <w:keepLines/>
        <w:widowControl w:val="0"/>
        <w:tabs>
          <w:tab w:val="left" w:pos="142"/>
        </w:tabs>
        <w:rPr>
          <w:i/>
        </w:rPr>
      </w:pPr>
      <w:r w:rsidRPr="002C1672">
        <w:rPr>
          <w:i/>
        </w:rPr>
        <w:t>Note: that the results presented in Table 6 are derived from post-hoc analyses conducted by the applicant specifically for the purposes of informing the PBAC consideration. These analyses were not part of the pre-specified statistical plans for any of the above mentioned studies. Interpretation of the results and their application should therefore be limited to seeking to understand the basis for the PBAC outcome and should not be used for any other purpose.</w:t>
      </w:r>
    </w:p>
    <w:p w:rsidR="0001025E" w:rsidRPr="00C62A13" w:rsidRDefault="0001025E" w:rsidP="00D67557">
      <w:pPr>
        <w:pStyle w:val="TableFigureFooter"/>
        <w:keepNext/>
        <w:keepLines/>
        <w:widowControl w:val="0"/>
        <w:tabs>
          <w:tab w:val="left" w:pos="142"/>
        </w:tabs>
      </w:pPr>
    </w:p>
    <w:p w:rsidR="006D7D3A" w:rsidRPr="00C62A13" w:rsidRDefault="006D7D3A" w:rsidP="001A1A0D">
      <w:pPr>
        <w:pStyle w:val="3-BodyText"/>
      </w:pPr>
      <w:r w:rsidRPr="00C62A13">
        <w:rPr>
          <w:iCs/>
        </w:rPr>
        <w:t xml:space="preserve">The results demonstrated that a significantly larger proportion of patients achieved the </w:t>
      </w:r>
      <w:r w:rsidR="00D71DDA" w:rsidRPr="00C62A13">
        <w:rPr>
          <w:iCs/>
        </w:rPr>
        <w:t xml:space="preserve">PBS </w:t>
      </w:r>
      <w:r w:rsidRPr="00C62A13">
        <w:rPr>
          <w:iCs/>
        </w:rPr>
        <w:t>composite outcome at Week 16 with active treatment (UPA 15</w:t>
      </w:r>
      <w:r w:rsidR="001A1A0D" w:rsidRPr="00C62A13">
        <w:rPr>
          <w:iCs/>
        </w:rPr>
        <w:t xml:space="preserve"> </w:t>
      </w:r>
      <w:r w:rsidRPr="00C62A13">
        <w:rPr>
          <w:iCs/>
        </w:rPr>
        <w:t>mg, UPA 30</w:t>
      </w:r>
      <w:r w:rsidR="001A1A0D" w:rsidRPr="00C62A13">
        <w:rPr>
          <w:iCs/>
        </w:rPr>
        <w:t xml:space="preserve"> </w:t>
      </w:r>
      <w:r w:rsidRPr="00C62A13">
        <w:rPr>
          <w:iCs/>
        </w:rPr>
        <w:t xml:space="preserve">mg or DUPI) compared to PBO, for </w:t>
      </w:r>
      <w:r w:rsidR="00973E50" w:rsidRPr="00C62A13">
        <w:rPr>
          <w:iCs/>
        </w:rPr>
        <w:t>CsA</w:t>
      </w:r>
      <w:r w:rsidRPr="00C62A13">
        <w:rPr>
          <w:iCs/>
        </w:rPr>
        <w:t xml:space="preserve">-naïve or -experienced patients. The indirect treatment comparisons </w:t>
      </w:r>
      <w:r w:rsidR="00632DA3" w:rsidRPr="00C62A13">
        <w:rPr>
          <w:iCs/>
        </w:rPr>
        <w:t xml:space="preserve">found </w:t>
      </w:r>
      <w:r w:rsidRPr="00C62A13">
        <w:rPr>
          <w:iCs/>
        </w:rPr>
        <w:t xml:space="preserve">no </w:t>
      </w:r>
      <w:r w:rsidR="00632DA3" w:rsidRPr="00C62A13">
        <w:rPr>
          <w:iCs/>
        </w:rPr>
        <w:t xml:space="preserve">statistically </w:t>
      </w:r>
      <w:r w:rsidRPr="00C62A13">
        <w:rPr>
          <w:iCs/>
        </w:rPr>
        <w:t>significant differences between UPA 15</w:t>
      </w:r>
      <w:r w:rsidR="008A229C" w:rsidRPr="00C62A13">
        <w:rPr>
          <w:iCs/>
        </w:rPr>
        <w:t> </w:t>
      </w:r>
      <w:r w:rsidRPr="00C62A13">
        <w:rPr>
          <w:iCs/>
        </w:rPr>
        <w:t>mg versus DUPI, but a statistically significant difference in favour of UPA 30</w:t>
      </w:r>
      <w:r w:rsidR="00200219" w:rsidRPr="00C62A13">
        <w:rPr>
          <w:iCs/>
        </w:rPr>
        <w:t> </w:t>
      </w:r>
      <w:r w:rsidRPr="00C62A13">
        <w:rPr>
          <w:iCs/>
        </w:rPr>
        <w:t xml:space="preserve">mg versus DUPI using the </w:t>
      </w:r>
      <w:r w:rsidR="00632DA3" w:rsidRPr="00C62A13">
        <w:rPr>
          <w:iCs/>
        </w:rPr>
        <w:t>risk difference (</w:t>
      </w:r>
      <w:r w:rsidRPr="00C62A13">
        <w:rPr>
          <w:iCs/>
        </w:rPr>
        <w:t>RD</w:t>
      </w:r>
      <w:r w:rsidR="00632DA3" w:rsidRPr="00C62A13">
        <w:rPr>
          <w:iCs/>
        </w:rPr>
        <w:t>)</w:t>
      </w:r>
      <w:r w:rsidRPr="00C62A13">
        <w:rPr>
          <w:iCs/>
        </w:rPr>
        <w:t xml:space="preserve"> statistic</w:t>
      </w:r>
      <w:r w:rsidR="00632DA3" w:rsidRPr="00C62A13">
        <w:rPr>
          <w:iCs/>
        </w:rPr>
        <w:t>,</w:t>
      </w:r>
      <w:r w:rsidRPr="00C62A13">
        <w:rPr>
          <w:iCs/>
        </w:rPr>
        <w:t xml:space="preserve"> irrespective of prior </w:t>
      </w:r>
      <w:r w:rsidR="00973E50" w:rsidRPr="00C62A13">
        <w:rPr>
          <w:iCs/>
        </w:rPr>
        <w:t>CsA</w:t>
      </w:r>
      <w:r w:rsidRPr="00C62A13">
        <w:rPr>
          <w:iCs/>
        </w:rPr>
        <w:t>.</w:t>
      </w:r>
    </w:p>
    <w:p w:rsidR="006D7D3A" w:rsidRPr="00C62A13" w:rsidRDefault="006D7D3A" w:rsidP="006D7D3A">
      <w:pPr>
        <w:pStyle w:val="3-BodyText"/>
      </w:pPr>
      <w:r w:rsidRPr="00C62A13">
        <w:t xml:space="preserve">Table 7 presents a summary of results for the indirect treatment comparisons between UPA </w:t>
      </w:r>
      <w:r w:rsidR="00F063E5" w:rsidRPr="00C62A13">
        <w:t xml:space="preserve">and </w:t>
      </w:r>
      <w:r w:rsidRPr="00C62A13">
        <w:t>DUPI</w:t>
      </w:r>
      <w:r w:rsidR="00F063E5" w:rsidRPr="00C62A13">
        <w:t>,</w:t>
      </w:r>
      <w:r w:rsidRPr="00C62A13">
        <w:t xml:space="preserve"> in the ITT population</w:t>
      </w:r>
      <w:r w:rsidR="00F063E5" w:rsidRPr="00C62A13">
        <w:t>s</w:t>
      </w:r>
      <w:r w:rsidR="000F5191" w:rsidRPr="00C62A13">
        <w:t xml:space="preserve"> (for adults and adolescents separately)</w:t>
      </w:r>
      <w:r w:rsidRPr="00C62A13">
        <w:t>.</w:t>
      </w:r>
      <w:r w:rsidR="00F063E5" w:rsidRPr="00C62A13">
        <w:t xml:space="preserve"> The results </w:t>
      </w:r>
      <w:r w:rsidR="00F86046" w:rsidRPr="00C62A13">
        <w:t xml:space="preserve">presented in the table below </w:t>
      </w:r>
      <w:r w:rsidR="00F063E5" w:rsidRPr="00C62A13">
        <w:t>were estimated during the evaluation</w:t>
      </w:r>
      <w:r w:rsidR="00F86046" w:rsidRPr="00C62A13">
        <w:t xml:space="preserve"> to control for potential age-related differences</w:t>
      </w:r>
      <w:r w:rsidR="00F063E5" w:rsidRPr="00C62A13">
        <w:t>.</w:t>
      </w:r>
    </w:p>
    <w:p w:rsidR="006D7D3A" w:rsidRPr="00C62A13" w:rsidRDefault="006D7D3A" w:rsidP="00D67557">
      <w:pPr>
        <w:pStyle w:val="TableFigureHeading"/>
        <w:keepLines/>
        <w:rPr>
          <w:szCs w:val="20"/>
        </w:rPr>
      </w:pPr>
      <w:r w:rsidRPr="00C62A13">
        <w:rPr>
          <w:rStyle w:val="CommentReference"/>
          <w:b/>
          <w:szCs w:val="24"/>
        </w:rPr>
        <w:t>Table 7:</w:t>
      </w:r>
      <w:r w:rsidRPr="00C62A13">
        <w:rPr>
          <w:rStyle w:val="CommentReference"/>
          <w:szCs w:val="24"/>
        </w:rPr>
        <w:t xml:space="preserve"> </w:t>
      </w:r>
      <w:r w:rsidRPr="00C62A13">
        <w:rPr>
          <w:szCs w:val="20"/>
        </w:rPr>
        <w:t>Summary of results for indirect treatment comparisons</w:t>
      </w:r>
      <w:r w:rsidR="00BC11DB" w:rsidRPr="00C62A13">
        <w:rPr>
          <w:szCs w:val="20"/>
        </w:rPr>
        <w:t xml:space="preserve"> for other response outcomes at Week 16</w:t>
      </w:r>
      <w:r w:rsidRPr="00C62A13">
        <w:rPr>
          <w:szCs w:val="20"/>
        </w:rPr>
        <w:t xml:space="preserve"> for UPA vs DUPI via PBO, in the ITT population</w:t>
      </w:r>
      <w:r w:rsidR="00BC11DB" w:rsidRPr="00C62A13">
        <w:rPr>
          <w:szCs w:val="20"/>
        </w:rPr>
        <w:t xml:space="preserve"> (adults and adolescents presented separately)</w:t>
      </w:r>
    </w:p>
    <w:tbl>
      <w:tblPr>
        <w:tblStyle w:val="TableGrid7"/>
        <w:tblW w:w="5000" w:type="pct"/>
        <w:jc w:val="center"/>
        <w:tblCellMar>
          <w:left w:w="28" w:type="dxa"/>
          <w:right w:w="28" w:type="dxa"/>
        </w:tblCellMar>
        <w:tblLook w:val="04A0" w:firstRow="1" w:lastRow="0" w:firstColumn="1" w:lastColumn="0" w:noHBand="0" w:noVBand="1"/>
        <w:tblCaption w:val="Table 7: Summary of results for indirect treatment comparisons for other response outcomes at Week 16 for UPA vs DUPI via PBO, in the ITT population (adults and adolescents presented separately)"/>
      </w:tblPr>
      <w:tblGrid>
        <w:gridCol w:w="3963"/>
        <w:gridCol w:w="2527"/>
        <w:gridCol w:w="2527"/>
      </w:tblGrid>
      <w:tr w:rsidR="00DC4F4A" w:rsidRPr="00C62A13" w:rsidTr="0079789B">
        <w:trPr>
          <w:trHeight w:val="224"/>
          <w:tblHeader/>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b/>
                <w:bCs/>
                <w:iCs/>
                <w:snapToGrid w:val="0"/>
                <w:sz w:val="20"/>
                <w:szCs w:val="20"/>
              </w:rPr>
            </w:pPr>
            <w:r w:rsidRPr="00C62A13">
              <w:rPr>
                <w:rFonts w:ascii="Arial Narrow" w:hAnsi="Arial Narrow" w:cs="Times New Roman"/>
                <w:b/>
                <w:bCs/>
                <w:iCs/>
                <w:snapToGrid w:val="0"/>
                <w:sz w:val="20"/>
                <w:szCs w:val="20"/>
              </w:rPr>
              <w:t>Outcome &amp; population</w:t>
            </w:r>
          </w:p>
        </w:tc>
        <w:tc>
          <w:tcPr>
            <w:tcW w:w="1401" w:type="pct"/>
            <w:vAlign w:val="center"/>
          </w:tcPr>
          <w:p w:rsidR="00DC4F4A" w:rsidRPr="00C62A13" w:rsidRDefault="00DC4F4A" w:rsidP="00D67557">
            <w:pPr>
              <w:keepNext/>
              <w:keepLines/>
              <w:widowControl w:val="0"/>
              <w:jc w:val="center"/>
              <w:rPr>
                <w:rFonts w:ascii="Arial Narrow" w:hAnsi="Arial Narrow" w:cs="Times New Roman"/>
                <w:b/>
                <w:bCs/>
                <w:snapToGrid w:val="0"/>
                <w:sz w:val="20"/>
                <w:szCs w:val="20"/>
              </w:rPr>
            </w:pPr>
            <w:r w:rsidRPr="00C62A13">
              <w:rPr>
                <w:rFonts w:ascii="Arial Narrow" w:hAnsi="Arial Narrow" w:cs="Times New Roman"/>
                <w:b/>
                <w:bCs/>
                <w:snapToGrid w:val="0"/>
                <w:sz w:val="20"/>
                <w:szCs w:val="20"/>
              </w:rPr>
              <w:t>RR (95%CI)</w:t>
            </w:r>
          </w:p>
        </w:tc>
        <w:tc>
          <w:tcPr>
            <w:tcW w:w="1401" w:type="pct"/>
            <w:vAlign w:val="center"/>
          </w:tcPr>
          <w:p w:rsidR="00DC4F4A" w:rsidRPr="00C62A13" w:rsidRDefault="00DC4F4A" w:rsidP="00D67557">
            <w:pPr>
              <w:keepNext/>
              <w:keepLines/>
              <w:widowControl w:val="0"/>
              <w:jc w:val="center"/>
              <w:rPr>
                <w:rFonts w:ascii="Arial Narrow" w:hAnsi="Arial Narrow" w:cs="Times New Roman"/>
                <w:b/>
                <w:bCs/>
                <w:snapToGrid w:val="0"/>
                <w:sz w:val="20"/>
                <w:szCs w:val="20"/>
              </w:rPr>
            </w:pPr>
            <w:r w:rsidRPr="00C62A13">
              <w:rPr>
                <w:rFonts w:ascii="Arial Narrow" w:hAnsi="Arial Narrow" w:cs="Times New Roman"/>
                <w:b/>
                <w:bCs/>
                <w:snapToGrid w:val="0"/>
                <w:sz w:val="20"/>
                <w:szCs w:val="20"/>
              </w:rPr>
              <w:t>RD (95%CI)</w:t>
            </w:r>
          </w:p>
        </w:tc>
      </w:tr>
      <w:tr w:rsidR="002B142D" w:rsidRPr="00C62A13" w:rsidTr="002B142D">
        <w:trPr>
          <w:trHeight w:val="23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snapToGrid w:val="0"/>
                <w:sz w:val="20"/>
                <w:szCs w:val="20"/>
              </w:rPr>
            </w:pPr>
            <w:r w:rsidRPr="00C62A13">
              <w:rPr>
                <w:rFonts w:ascii="Arial Narrow" w:hAnsi="Arial Narrow" w:cs="Times New Roman"/>
                <w:b/>
                <w:bCs/>
                <w:iCs/>
                <w:snapToGrid w:val="0"/>
                <w:sz w:val="20"/>
                <w:szCs w:val="20"/>
              </w:rPr>
              <w:t>ADULTS</w:t>
            </w:r>
          </w:p>
        </w:tc>
      </w:tr>
      <w:tr w:rsidR="002B142D" w:rsidRPr="00C62A13" w:rsidTr="002B142D">
        <w:trPr>
          <w:trHeight w:val="23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snapToGrid w:val="0"/>
                <w:sz w:val="20"/>
                <w:szCs w:val="20"/>
              </w:rPr>
            </w:pPr>
            <w:r w:rsidRPr="00C62A13">
              <w:rPr>
                <w:rFonts w:ascii="Arial Narrow" w:hAnsi="Arial Narrow" w:cs="Times New Roman"/>
                <w:b/>
                <w:bCs/>
                <w:iCs/>
                <w:snapToGrid w:val="0"/>
                <w:sz w:val="20"/>
                <w:szCs w:val="20"/>
              </w:rPr>
              <w:t>EASI-75 response</w:t>
            </w:r>
          </w:p>
        </w:tc>
      </w:tr>
      <w:tr w:rsidR="002B142D" w:rsidRPr="00C62A13" w:rsidTr="002B142D">
        <w:trPr>
          <w:trHeight w:val="23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snapToGrid w:val="0"/>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22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napToGrid w:val="0"/>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iCs/>
                <w:snapToGrid w:val="0"/>
                <w:sz w:val="20"/>
                <w:szCs w:val="20"/>
              </w:rPr>
              <w:t>1.13 (0.82,1.56)</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0.13 (0.06,0.20)</w:t>
            </w:r>
          </w:p>
        </w:tc>
      </w:tr>
      <w:tr w:rsidR="00DC4F4A" w:rsidRPr="00C62A13" w:rsidTr="002B142D">
        <w:trPr>
          <w:trHeight w:val="22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napToGrid w:val="0"/>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iCs/>
                <w:snapToGrid w:val="0"/>
                <w:sz w:val="20"/>
                <w:szCs w:val="20"/>
              </w:rPr>
              <w:t>1.34 (0.98,1.84)</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iCs/>
                <w:snapToGrid w:val="0"/>
                <w:sz w:val="20"/>
                <w:szCs w:val="20"/>
              </w:rPr>
              <w:t>0.25 (0.18,0.32)</w:t>
            </w:r>
          </w:p>
        </w:tc>
      </w:tr>
      <w:tr w:rsidR="002B142D" w:rsidRPr="00C62A13" w:rsidTr="002B142D">
        <w:trPr>
          <w:trHeight w:val="23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00B050"/>
                <w:sz w:val="20"/>
                <w:szCs w:val="20"/>
              </w:rPr>
              <w:t>Combination therapy</w:t>
            </w:r>
          </w:p>
        </w:tc>
      </w:tr>
      <w:tr w:rsidR="00DC4F4A" w:rsidRPr="00C62A13" w:rsidTr="002B142D">
        <w:trPr>
          <w:trHeight w:val="249"/>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napToGrid w:val="0"/>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 xml:space="preserve">† </w:t>
            </w:r>
            <w:r w:rsidRPr="00C62A13">
              <w:rPr>
                <w:rFonts w:ascii="Arial Narrow" w:hAnsi="Arial Narrow" w:cs="Times New Roman"/>
                <w:snapToGrid w:val="0"/>
                <w:sz w:val="20"/>
                <w:szCs w:val="20"/>
              </w:rPr>
              <w:t>+TCS</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1.14 (0.80,1.61)</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0.04 (-0.06,0.14)</w:t>
            </w:r>
          </w:p>
        </w:tc>
      </w:tr>
      <w:tr w:rsidR="00DC4F4A" w:rsidRPr="00C62A13" w:rsidTr="002B142D">
        <w:trPr>
          <w:trHeight w:val="267"/>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napToGrid w:val="0"/>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snapToGrid w:val="0"/>
                <w:sz w:val="20"/>
                <w:szCs w:val="20"/>
              </w:rPr>
              <w:t xml:space="preserve"> </w:t>
            </w:r>
            <w:r w:rsidRPr="00C62A13">
              <w:rPr>
                <w:rFonts w:ascii="Arial Narrow" w:hAnsi="Arial Narrow" w:cs="Times New Roman"/>
                <w:snapToGrid w:val="0"/>
                <w:sz w:val="20"/>
                <w:szCs w:val="20"/>
              </w:rPr>
              <w:t>+TCS</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Cs/>
                <w:iCs/>
                <w:snapToGrid w:val="0"/>
                <w:sz w:val="20"/>
                <w:szCs w:val="20"/>
              </w:rPr>
              <w:t>1.30 (0.95,1.78)</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0.14 (0.04,0.24)</w:t>
            </w:r>
          </w:p>
        </w:tc>
      </w:tr>
      <w:tr w:rsidR="002B142D" w:rsidRPr="00C62A13" w:rsidTr="002B142D">
        <w:trPr>
          <w:trHeight w:val="125"/>
          <w:jc w:val="center"/>
        </w:trPr>
        <w:tc>
          <w:tcPr>
            <w:tcW w:w="5000" w:type="pct"/>
            <w:gridSpan w:val="3"/>
            <w:vAlign w:val="center"/>
          </w:tcPr>
          <w:p w:rsidR="002B142D" w:rsidRPr="00C62A13" w:rsidRDefault="002B142D" w:rsidP="002B142D">
            <w:pPr>
              <w:keepNext/>
              <w:keepLines/>
              <w:widowControl w:val="0"/>
              <w:jc w:val="left"/>
              <w:rPr>
                <w:rFonts w:ascii="Arial Narrow" w:hAnsi="Arial Narrow"/>
                <w:b/>
                <w:bCs/>
                <w:iCs/>
                <w:snapToGrid w:val="0"/>
                <w:sz w:val="20"/>
                <w:szCs w:val="20"/>
              </w:rPr>
            </w:pPr>
            <w:r w:rsidRPr="00C62A13">
              <w:rPr>
                <w:rFonts w:ascii="Arial Narrow" w:hAnsi="Arial Narrow" w:cs="Times New Roman"/>
                <w:b/>
                <w:bCs/>
                <w:iCs/>
                <w:snapToGrid w:val="0"/>
                <w:sz w:val="20"/>
                <w:szCs w:val="20"/>
              </w:rPr>
              <w:t>EASI-50 response</w:t>
            </w:r>
          </w:p>
        </w:tc>
      </w:tr>
      <w:tr w:rsidR="002B142D" w:rsidRPr="00C62A13" w:rsidTr="002B142D">
        <w:trPr>
          <w:trHeight w:val="60"/>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23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iCs/>
                <w:snapToGrid w:val="0"/>
                <w:sz w:val="20"/>
                <w:szCs w:val="20"/>
              </w:rPr>
              <w:t>0.96 (0.77,1.20)</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0.04 (-0.03,0.11)</w:t>
            </w:r>
          </w:p>
        </w:tc>
      </w:tr>
      <w:tr w:rsidR="00DC4F4A" w:rsidRPr="00C62A13" w:rsidTr="002B142D">
        <w:trPr>
          <w:trHeight w:val="22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iCs/>
                <w:snapToGrid w:val="0"/>
                <w:sz w:val="20"/>
                <w:szCs w:val="20"/>
              </w:rPr>
              <w:t>1.07 (0.86,1.33)</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iCs/>
                <w:snapToGrid w:val="0"/>
                <w:sz w:val="20"/>
                <w:szCs w:val="20"/>
              </w:rPr>
              <w:t>0.12 (0.05,0.19)</w:t>
            </w:r>
          </w:p>
        </w:tc>
      </w:tr>
      <w:tr w:rsidR="002B142D" w:rsidRPr="00C62A13" w:rsidTr="002B142D">
        <w:trPr>
          <w:trHeight w:val="22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00B050"/>
                <w:sz w:val="20"/>
                <w:szCs w:val="20"/>
              </w:rPr>
              <w:t>Combination therapy</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snapToGrid w:val="0"/>
                <w:sz w:val="20"/>
                <w:szCs w:val="20"/>
              </w:rPr>
              <w:t xml:space="preserve"> </w:t>
            </w:r>
            <w:r w:rsidRPr="00C62A13">
              <w:rPr>
                <w:rFonts w:ascii="Arial Narrow" w:hAnsi="Arial Narrow" w:cs="Times New Roman"/>
                <w:snapToGrid w:val="0"/>
                <w:sz w:val="20"/>
                <w:szCs w:val="20"/>
              </w:rPr>
              <w:t>+TCS</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Cs/>
                <w:iCs/>
                <w:snapToGrid w:val="0"/>
                <w:sz w:val="20"/>
                <w:szCs w:val="20"/>
              </w:rPr>
              <w:t>1.31 (0.86,1.99)</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0.11 (-0.05,0.27)</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snapToGrid w:val="0"/>
                <w:sz w:val="20"/>
                <w:szCs w:val="20"/>
              </w:rPr>
              <w:t xml:space="preserve"> </w:t>
            </w:r>
            <w:r w:rsidRPr="00C62A13">
              <w:rPr>
                <w:rFonts w:ascii="Arial Narrow" w:hAnsi="Arial Narrow" w:cs="Times New Roman"/>
                <w:snapToGrid w:val="0"/>
                <w:sz w:val="20"/>
                <w:szCs w:val="20"/>
              </w:rPr>
              <w:t>+TCS</w:t>
            </w:r>
          </w:p>
        </w:tc>
        <w:tc>
          <w:tcPr>
            <w:tcW w:w="1401" w:type="pct"/>
            <w:vAlign w:val="center"/>
          </w:tcPr>
          <w:p w:rsidR="00DC4F4A" w:rsidRPr="00C62A13" w:rsidRDefault="00DC4F4A" w:rsidP="00D67557">
            <w:pPr>
              <w:keepNext/>
              <w:keepLines/>
              <w:widowControl w:val="0"/>
              <w:jc w:val="center"/>
              <w:rPr>
                <w:rFonts w:ascii="Arial Narrow" w:hAnsi="Arial Narrow" w:cs="Times New Roman"/>
                <w:sz w:val="20"/>
                <w:szCs w:val="20"/>
              </w:rPr>
            </w:pPr>
            <w:r w:rsidRPr="00C62A13">
              <w:rPr>
                <w:rFonts w:ascii="Arial Narrow" w:hAnsi="Arial Narrow"/>
                <w:bCs/>
                <w:iCs/>
                <w:snapToGrid w:val="0"/>
                <w:sz w:val="20"/>
                <w:szCs w:val="20"/>
              </w:rPr>
              <w:t>1.36 (0.93,1.98)</w:t>
            </w:r>
          </w:p>
        </w:tc>
        <w:tc>
          <w:tcPr>
            <w:tcW w:w="1401" w:type="pct"/>
            <w:vAlign w:val="center"/>
          </w:tcPr>
          <w:p w:rsidR="00DC4F4A" w:rsidRPr="00C62A13" w:rsidRDefault="00DC4F4A" w:rsidP="00D67557">
            <w:pPr>
              <w:keepNext/>
              <w:keepLines/>
              <w:widowControl w:val="0"/>
              <w:jc w:val="center"/>
              <w:rPr>
                <w:rFonts w:ascii="Arial Narrow" w:hAnsi="Arial Narrow" w:cs="Times New Roman"/>
                <w:sz w:val="20"/>
                <w:szCs w:val="20"/>
              </w:rPr>
            </w:pPr>
            <w:r w:rsidRPr="00C62A13">
              <w:rPr>
                <w:rFonts w:ascii="Arial Narrow" w:hAnsi="Arial Narrow"/>
                <w:b/>
                <w:bCs/>
                <w:iCs/>
                <w:snapToGrid w:val="0"/>
                <w:sz w:val="20"/>
                <w:szCs w:val="20"/>
              </w:rPr>
              <w:t>0.14 (0.01,0.27)</w:t>
            </w:r>
          </w:p>
        </w:tc>
      </w:tr>
      <w:tr w:rsidR="002B142D" w:rsidRPr="00C62A13" w:rsidTr="002B142D">
        <w:trPr>
          <w:trHeight w:val="253"/>
          <w:jc w:val="center"/>
        </w:trPr>
        <w:tc>
          <w:tcPr>
            <w:tcW w:w="5000" w:type="pct"/>
            <w:gridSpan w:val="3"/>
            <w:vAlign w:val="center"/>
          </w:tcPr>
          <w:p w:rsidR="002B142D" w:rsidRPr="00C62A13" w:rsidRDefault="002B142D" w:rsidP="002B142D">
            <w:pPr>
              <w:keepNext/>
              <w:keepLines/>
              <w:widowControl w:val="0"/>
              <w:rPr>
                <w:rFonts w:ascii="Arial Narrow" w:hAnsi="Arial Narrow" w:cs="Times New Roman"/>
                <w:sz w:val="20"/>
                <w:szCs w:val="20"/>
              </w:rPr>
            </w:pPr>
            <w:r w:rsidRPr="00C62A13">
              <w:rPr>
                <w:rFonts w:ascii="Arial Narrow" w:hAnsi="Arial Narrow" w:cs="Times New Roman"/>
                <w:b/>
                <w:sz w:val="20"/>
                <w:szCs w:val="20"/>
              </w:rPr>
              <w:t>vIGA score of 0 or 1 and ≥2-grades improvement</w:t>
            </w:r>
          </w:p>
        </w:tc>
      </w:tr>
      <w:tr w:rsidR="002B142D" w:rsidRPr="00C62A13" w:rsidTr="002B142D">
        <w:trPr>
          <w:trHeight w:val="253"/>
          <w:jc w:val="center"/>
        </w:trPr>
        <w:tc>
          <w:tcPr>
            <w:tcW w:w="5000" w:type="pct"/>
            <w:gridSpan w:val="3"/>
            <w:vAlign w:val="center"/>
          </w:tcPr>
          <w:p w:rsidR="002B142D" w:rsidRPr="00C62A13" w:rsidRDefault="002B142D" w:rsidP="00D67557">
            <w:pPr>
              <w:keepNext/>
              <w:keepLines/>
              <w:widowControl w:val="0"/>
              <w:jc w:val="left"/>
              <w:rPr>
                <w:rFonts w:ascii="Arial Narrow" w:hAnsi="Arial Narrow" w:cs="Times New Roman"/>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iCs/>
                <w:snapToGrid w:val="0"/>
                <w:sz w:val="20"/>
                <w:szCs w:val="20"/>
              </w:rPr>
              <w:t>1.56 (0.95,2.57)</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0.08 (0.001,0.16)</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
                <w:iCs/>
                <w:snapToGrid w:val="0"/>
                <w:sz w:val="20"/>
                <w:szCs w:val="20"/>
              </w:rPr>
              <w:t>1.98 (1.20,3.26)</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iCs/>
                <w:snapToGrid w:val="0"/>
                <w:sz w:val="20"/>
                <w:szCs w:val="20"/>
              </w:rPr>
              <w:t>0.21 (0.15,0.27)</w:t>
            </w:r>
          </w:p>
        </w:tc>
      </w:tr>
      <w:tr w:rsidR="002B142D" w:rsidRPr="00C62A13" w:rsidTr="002B142D">
        <w:trPr>
          <w:trHeight w:val="253"/>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00B050"/>
                <w:sz w:val="20"/>
                <w:szCs w:val="20"/>
              </w:rPr>
              <w:t>Combination therapy</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cs="Times New Roman"/>
                <w:snapToGrid w:val="0"/>
                <w:sz w:val="20"/>
                <w:szCs w:val="20"/>
              </w:rPr>
              <w:t xml:space="preserve"> +TCS</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Cs/>
                <w:iCs/>
                <w:snapToGrid w:val="0"/>
                <w:sz w:val="20"/>
                <w:szCs w:val="20"/>
              </w:rPr>
              <w:t>1.30 (0.82,2.05)</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0.04 (-0.04,0.12)</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cs="Times New Roman"/>
                <w:snapToGrid w:val="0"/>
                <w:sz w:val="20"/>
                <w:szCs w:val="20"/>
              </w:rPr>
              <w:t xml:space="preserve"> +TCS</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
                <w:bCs/>
                <w:iCs/>
                <w:snapToGrid w:val="0"/>
                <w:sz w:val="20"/>
                <w:szCs w:val="20"/>
              </w:rPr>
              <w:t>1.77 (1.17,2.69</w:t>
            </w:r>
            <w:r w:rsidRPr="00C62A13">
              <w:rPr>
                <w:rFonts w:ascii="Arial Narrow" w:hAnsi="Arial Narrow"/>
                <w:bCs/>
                <w:iCs/>
                <w:snapToGrid w:val="0"/>
                <w:sz w:val="20"/>
                <w:szCs w:val="20"/>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0.19 (0.11,0.27)</w:t>
            </w:r>
          </w:p>
        </w:tc>
      </w:tr>
      <w:tr w:rsidR="002B142D" w:rsidRPr="00C62A13" w:rsidTr="002B142D">
        <w:trPr>
          <w:trHeight w:val="70"/>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b/>
                <w:bCs/>
                <w:iCs/>
                <w:snapToGrid w:val="0"/>
                <w:sz w:val="20"/>
                <w:szCs w:val="20"/>
              </w:rPr>
              <w:t>DLQI≥4-point improvement</w:t>
            </w:r>
          </w:p>
        </w:tc>
      </w:tr>
      <w:tr w:rsidR="002B142D" w:rsidRPr="00C62A13" w:rsidTr="002B142D">
        <w:trPr>
          <w:trHeight w:val="70"/>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iCs/>
                <w:snapToGrid w:val="0"/>
                <w:sz w:val="20"/>
                <w:szCs w:val="20"/>
              </w:rPr>
              <w:t>1.08 (0.83,1.42)</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0.06 (-0.06,0.18)</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iCs/>
                <w:snapToGrid w:val="0"/>
                <w:sz w:val="20"/>
                <w:szCs w:val="20"/>
              </w:rPr>
              <w:t>1.18 (0.90,1.54)</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iCs/>
                <w:snapToGrid w:val="0"/>
                <w:sz w:val="20"/>
                <w:szCs w:val="20"/>
              </w:rPr>
              <w:t>0.12 (-0.01,0.25)</w:t>
            </w:r>
          </w:p>
        </w:tc>
      </w:tr>
      <w:tr w:rsidR="002B142D" w:rsidRPr="00C62A13" w:rsidTr="002B142D">
        <w:trPr>
          <w:trHeight w:val="253"/>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00B050"/>
                <w:sz w:val="20"/>
                <w:szCs w:val="20"/>
              </w:rPr>
              <w:t>Combination therapy</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cs="Times New Roman"/>
                <w:snapToGrid w:val="0"/>
                <w:sz w:val="20"/>
                <w:szCs w:val="20"/>
              </w:rPr>
              <w:t xml:space="preserve"> +TCS</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1.03 (0.83,1.26)</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0.00 (-0.11,0.11)</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+TCS v DUPI 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r w:rsidRPr="00C62A13">
              <w:rPr>
                <w:rFonts w:ascii="Arial Narrow" w:hAnsi="Arial Narrow" w:cs="Times New Roman"/>
                <w:snapToGrid w:val="0"/>
                <w:sz w:val="20"/>
                <w:szCs w:val="20"/>
              </w:rPr>
              <w:t xml:space="preserve"> +TCS</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1.07 (0.87,1.31)</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0.03 (-0.08,0.14)</w:t>
            </w:r>
          </w:p>
        </w:tc>
      </w:tr>
      <w:tr w:rsidR="00DC4F4A" w:rsidRPr="00C62A13" w:rsidTr="002B142D">
        <w:trPr>
          <w:trHeight w:val="222"/>
          <w:jc w:val="center"/>
        </w:trPr>
        <w:tc>
          <w:tcPr>
            <w:tcW w:w="5000" w:type="pct"/>
            <w:gridSpan w:val="3"/>
            <w:vAlign w:val="center"/>
          </w:tcPr>
          <w:p w:rsidR="00DC4F4A" w:rsidRPr="00C62A13" w:rsidRDefault="00DC4F4A" w:rsidP="00D67557">
            <w:pPr>
              <w:keepNext/>
              <w:keepLines/>
              <w:widowControl w:val="0"/>
              <w:jc w:val="left"/>
              <w:rPr>
                <w:rFonts w:ascii="Arial Narrow" w:hAnsi="Arial Narrow" w:cs="Times New Roman"/>
                <w:b/>
                <w:bCs/>
                <w:iCs/>
                <w:snapToGrid w:val="0"/>
                <w:sz w:val="20"/>
                <w:szCs w:val="20"/>
              </w:rPr>
            </w:pPr>
            <w:r w:rsidRPr="00C62A13">
              <w:rPr>
                <w:rFonts w:ascii="Arial Narrow" w:hAnsi="Arial Narrow" w:cs="Times New Roman"/>
                <w:b/>
                <w:bCs/>
                <w:iCs/>
                <w:snapToGrid w:val="0"/>
                <w:sz w:val="20"/>
                <w:szCs w:val="20"/>
              </w:rPr>
              <w:t>ADOLESCENTS</w:t>
            </w:r>
          </w:p>
        </w:tc>
      </w:tr>
      <w:tr w:rsidR="002B142D" w:rsidRPr="00C62A13" w:rsidTr="002B142D">
        <w:trPr>
          <w:trHeight w:val="23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snapToGrid w:val="0"/>
                <w:sz w:val="20"/>
                <w:szCs w:val="20"/>
              </w:rPr>
            </w:pPr>
            <w:r w:rsidRPr="00C62A13">
              <w:rPr>
                <w:rFonts w:ascii="Arial Narrow" w:hAnsi="Arial Narrow" w:cs="Times New Roman"/>
                <w:b/>
                <w:bCs/>
                <w:iCs/>
                <w:snapToGrid w:val="0"/>
                <w:sz w:val="20"/>
                <w:szCs w:val="20"/>
              </w:rPr>
              <w:t>EASI-75 response</w:t>
            </w:r>
          </w:p>
        </w:tc>
      </w:tr>
      <w:tr w:rsidR="002B142D" w:rsidRPr="00C62A13" w:rsidTr="002B142D">
        <w:trPr>
          <w:trHeight w:val="23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snapToGrid w:val="0"/>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22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napToGrid w:val="0"/>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200/300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Cs/>
                <w:iCs/>
                <w:snapToGrid w:val="0"/>
                <w:sz w:val="20"/>
                <w:szCs w:val="20"/>
              </w:rPr>
              <w:t>1.23 (0.45,3.38)</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0.27 (0.10,0.44)</w:t>
            </w:r>
          </w:p>
        </w:tc>
      </w:tr>
      <w:tr w:rsidR="00DC4F4A" w:rsidRPr="00C62A13" w:rsidTr="002B142D">
        <w:trPr>
          <w:trHeight w:val="22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napToGrid w:val="0"/>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200/300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iCs/>
                <w:snapToGrid w:val="0"/>
                <w:sz w:val="20"/>
                <w:szCs w:val="20"/>
              </w:rPr>
              <w:t>1.41 (0.50,3.97)</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0.36 (0.16,0.56)</w:t>
            </w:r>
          </w:p>
        </w:tc>
      </w:tr>
      <w:tr w:rsidR="002B142D" w:rsidRPr="00C62A13" w:rsidTr="002B142D">
        <w:trPr>
          <w:trHeight w:val="22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sz w:val="20"/>
                <w:szCs w:val="20"/>
              </w:rPr>
              <w:t>EASI-50 response</w:t>
            </w:r>
          </w:p>
        </w:tc>
      </w:tr>
      <w:tr w:rsidR="002B142D" w:rsidRPr="00C62A13" w:rsidTr="002B142D">
        <w:trPr>
          <w:trHeight w:val="222"/>
          <w:jc w:val="center"/>
        </w:trPr>
        <w:tc>
          <w:tcPr>
            <w:tcW w:w="5000" w:type="pct"/>
            <w:gridSpan w:val="3"/>
            <w:vAlign w:val="center"/>
          </w:tcPr>
          <w:p w:rsidR="002B142D" w:rsidRPr="00C62A13" w:rsidRDefault="002B142D" w:rsidP="002B142D">
            <w:pPr>
              <w:keepNext/>
              <w:keepLines/>
              <w:widowControl w:val="0"/>
              <w:jc w:val="left"/>
              <w:rPr>
                <w:rFonts w:ascii="Arial Narrow" w:hAnsi="Arial Narrow" w:cs="Times New Roman"/>
                <w:b/>
                <w:snapToGrid w:val="0"/>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23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200/300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0.47 (0.24,0.92)</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-0.06 (-0.25,0.13)</w:t>
            </w:r>
          </w:p>
        </w:tc>
      </w:tr>
      <w:tr w:rsidR="00DC4F4A" w:rsidRPr="00C62A13" w:rsidTr="002B142D">
        <w:trPr>
          <w:trHeight w:val="222"/>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200/300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iCs/>
                <w:snapToGrid w:val="0"/>
                <w:sz w:val="20"/>
                <w:szCs w:val="20"/>
              </w:rPr>
              <w:t>0.52 (0.27,1.00)</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0.01 (-0.18,0.20)</w:t>
            </w:r>
          </w:p>
        </w:tc>
      </w:tr>
      <w:tr w:rsidR="002B142D" w:rsidRPr="00C62A13" w:rsidTr="002B142D">
        <w:trPr>
          <w:trHeight w:val="222"/>
          <w:jc w:val="center"/>
        </w:trPr>
        <w:tc>
          <w:tcPr>
            <w:tcW w:w="5000" w:type="pct"/>
            <w:gridSpan w:val="3"/>
            <w:vAlign w:val="center"/>
          </w:tcPr>
          <w:p w:rsidR="002B142D" w:rsidRPr="00C62A13" w:rsidRDefault="002B142D" w:rsidP="002B142D">
            <w:pPr>
              <w:keepNext/>
              <w:keepLines/>
              <w:widowControl w:val="0"/>
              <w:jc w:val="left"/>
              <w:rPr>
                <w:rFonts w:ascii="Arial Narrow" w:hAnsi="Arial Narrow"/>
                <w:bCs/>
                <w:iCs/>
                <w:snapToGrid w:val="0"/>
                <w:sz w:val="20"/>
                <w:szCs w:val="20"/>
              </w:rPr>
            </w:pPr>
            <w:r w:rsidRPr="00C62A13">
              <w:rPr>
                <w:rFonts w:ascii="Arial Narrow" w:hAnsi="Arial Narrow" w:cs="Times New Roman"/>
                <w:b/>
                <w:sz w:val="20"/>
                <w:szCs w:val="20"/>
              </w:rPr>
              <w:t>vIGA score of 0 or 1 and ≥2-grades improvement</w:t>
            </w:r>
          </w:p>
        </w:tc>
      </w:tr>
      <w:tr w:rsidR="002B142D" w:rsidRPr="00C62A13" w:rsidTr="002B142D">
        <w:trPr>
          <w:trHeight w:val="253"/>
          <w:jc w:val="center"/>
        </w:trPr>
        <w:tc>
          <w:tcPr>
            <w:tcW w:w="5000" w:type="pct"/>
            <w:gridSpan w:val="3"/>
            <w:vAlign w:val="center"/>
          </w:tcPr>
          <w:p w:rsidR="002B142D" w:rsidRPr="00C62A13" w:rsidRDefault="002B142D" w:rsidP="00D67557">
            <w:pPr>
              <w:keepNext/>
              <w:keepLines/>
              <w:widowControl w:val="0"/>
              <w:jc w:val="left"/>
              <w:rPr>
                <w:rFonts w:ascii="Arial Narrow" w:hAnsi="Arial Narrow" w:cs="Times New Roman"/>
                <w:sz w:val="20"/>
                <w:szCs w:val="20"/>
              </w:rPr>
            </w:pPr>
            <w:r w:rsidRPr="00C62A13">
              <w:rPr>
                <w:rFonts w:ascii="Arial Narrow" w:hAnsi="Arial Narrow" w:cs="Times New Roman"/>
                <w:b/>
                <w:bCs/>
                <w:iCs/>
                <w:snapToGrid w:val="0"/>
                <w:color w:val="ED7D31"/>
                <w:sz w:val="20"/>
                <w:szCs w:val="20"/>
              </w:rPr>
              <w:t>Monotherapy</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15</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200/300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shd w:val="clear" w:color="auto" w:fill="auto"/>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bCs/>
                <w:iCs/>
                <w:snapToGrid w:val="0"/>
                <w:sz w:val="20"/>
                <w:szCs w:val="20"/>
              </w:rPr>
              <w:t>0.65 (0.11,3.69)</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Cs/>
                <w:iCs/>
                <w:snapToGrid w:val="0"/>
                <w:sz w:val="20"/>
                <w:szCs w:val="20"/>
              </w:rPr>
              <w:t>0.13 (-0.03,0.29)</w:t>
            </w:r>
          </w:p>
        </w:tc>
      </w:tr>
      <w:tr w:rsidR="00DC4F4A" w:rsidRPr="00C62A13" w:rsidTr="002B142D">
        <w:trPr>
          <w:trHeight w:val="80"/>
          <w:jc w:val="center"/>
        </w:trPr>
        <w:tc>
          <w:tcPr>
            <w:tcW w:w="2198" w:type="pct"/>
            <w:vAlign w:val="center"/>
          </w:tcPr>
          <w:p w:rsidR="00DC4F4A" w:rsidRPr="00C62A13" w:rsidRDefault="00DC4F4A" w:rsidP="00D67557">
            <w:pPr>
              <w:keepNext/>
              <w:keepLines/>
              <w:widowControl w:val="0"/>
              <w:jc w:val="left"/>
              <w:rPr>
                <w:rFonts w:ascii="Arial Narrow" w:hAnsi="Arial Narrow" w:cs="Times New Roman"/>
                <w:sz w:val="20"/>
                <w:szCs w:val="20"/>
              </w:rPr>
            </w:pPr>
            <w:r w:rsidRPr="00C62A13">
              <w:rPr>
                <w:rFonts w:ascii="Arial Narrow" w:hAnsi="Arial Narrow" w:cs="Times New Roman"/>
                <w:snapToGrid w:val="0"/>
                <w:sz w:val="20"/>
                <w:szCs w:val="20"/>
              </w:rPr>
              <w:t>UPA 30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 v DUPI 200/300</w:t>
            </w:r>
            <w:r w:rsidR="001E11A3" w:rsidRPr="00C62A13">
              <w:rPr>
                <w:rFonts w:ascii="Arial Narrow" w:hAnsi="Arial Narrow" w:cs="Times New Roman"/>
                <w:snapToGrid w:val="0"/>
                <w:sz w:val="20"/>
                <w:szCs w:val="20"/>
              </w:rPr>
              <w:t xml:space="preserve"> </w:t>
            </w:r>
            <w:r w:rsidRPr="00C62A13">
              <w:rPr>
                <w:rFonts w:ascii="Arial Narrow" w:hAnsi="Arial Narrow" w:cs="Times New Roman"/>
                <w:snapToGrid w:val="0"/>
                <w:sz w:val="20"/>
                <w:szCs w:val="20"/>
              </w:rPr>
              <w:t>mg</w:t>
            </w:r>
            <w:r w:rsidRPr="00C62A13">
              <w:rPr>
                <w:rFonts w:ascii="Arial Narrow" w:hAnsi="Arial Narrow"/>
                <w:snapToGrid w:val="0"/>
                <w:sz w:val="20"/>
                <w:szCs w:val="20"/>
                <w:vertAlign w:val="superscript"/>
              </w:rPr>
              <w:t>†#</w:t>
            </w:r>
          </w:p>
        </w:tc>
        <w:tc>
          <w:tcPr>
            <w:tcW w:w="1401" w:type="pct"/>
            <w:vAlign w:val="center"/>
          </w:tcPr>
          <w:p w:rsidR="00DC4F4A" w:rsidRPr="00C62A13" w:rsidRDefault="00DC4F4A" w:rsidP="00D67557">
            <w:pPr>
              <w:keepNext/>
              <w:keepLines/>
              <w:widowControl w:val="0"/>
              <w:jc w:val="center"/>
              <w:rPr>
                <w:rFonts w:ascii="Arial Narrow" w:hAnsi="Arial Narrow" w:cs="Times New Roman"/>
                <w:snapToGrid w:val="0"/>
                <w:sz w:val="20"/>
                <w:szCs w:val="20"/>
              </w:rPr>
            </w:pPr>
            <w:r w:rsidRPr="00C62A13">
              <w:rPr>
                <w:rFonts w:ascii="Arial Narrow" w:hAnsi="Arial Narrow"/>
                <w:iCs/>
                <w:snapToGrid w:val="0"/>
                <w:sz w:val="20"/>
                <w:szCs w:val="20"/>
              </w:rPr>
              <w:t>1.11 (0.20,6.15)</w:t>
            </w:r>
          </w:p>
        </w:tc>
        <w:tc>
          <w:tcPr>
            <w:tcW w:w="1401" w:type="pct"/>
            <w:vAlign w:val="center"/>
          </w:tcPr>
          <w:p w:rsidR="00DC4F4A" w:rsidRPr="00C62A13" w:rsidRDefault="00DC4F4A" w:rsidP="00D67557">
            <w:pPr>
              <w:keepNext/>
              <w:keepLines/>
              <w:widowControl w:val="0"/>
              <w:jc w:val="center"/>
              <w:rPr>
                <w:rFonts w:ascii="Arial Narrow" w:hAnsi="Arial Narrow" w:cs="Times New Roman"/>
                <w:b/>
                <w:snapToGrid w:val="0"/>
                <w:sz w:val="20"/>
                <w:szCs w:val="20"/>
              </w:rPr>
            </w:pPr>
            <w:r w:rsidRPr="00C62A13">
              <w:rPr>
                <w:rFonts w:ascii="Arial Narrow" w:hAnsi="Arial Narrow"/>
                <w:b/>
                <w:bCs/>
                <w:iCs/>
                <w:snapToGrid w:val="0"/>
                <w:sz w:val="20"/>
                <w:szCs w:val="20"/>
              </w:rPr>
              <w:t>0.39 (0.23,0.55)</w:t>
            </w:r>
          </w:p>
        </w:tc>
      </w:tr>
    </w:tbl>
    <w:p w:rsidR="00603934" w:rsidRPr="00C62A13" w:rsidRDefault="00DC4F4A" w:rsidP="00603934">
      <w:pPr>
        <w:jc w:val="left"/>
        <w:rPr>
          <w:rFonts w:ascii="Arial Narrow" w:hAnsi="Arial Narrow"/>
          <w:iCs/>
          <w:sz w:val="18"/>
          <w:szCs w:val="18"/>
        </w:rPr>
      </w:pPr>
      <w:r w:rsidRPr="00C62A13">
        <w:rPr>
          <w:rFonts w:ascii="Arial Narrow" w:eastAsia="Calibri" w:hAnsi="Arial Narrow" w:cs="Times New Roman"/>
          <w:iCs/>
          <w:sz w:val="18"/>
          <w:szCs w:val="18"/>
          <w:lang w:eastAsia="en-US"/>
        </w:rPr>
        <w:t xml:space="preserve">Source: </w:t>
      </w:r>
      <w:r w:rsidRPr="00C62A13">
        <w:rPr>
          <w:rFonts w:ascii="Arial Narrow" w:eastAsia="Calibri" w:hAnsi="Arial Narrow" w:cs="Times New Roman"/>
          <w:iCs/>
          <w:snapToGrid w:val="0"/>
          <w:sz w:val="18"/>
          <w:szCs w:val="18"/>
          <w:lang w:eastAsia="en-US"/>
        </w:rPr>
        <w:t>related CSRs</w:t>
      </w:r>
      <w:r w:rsidR="00603934" w:rsidRPr="00C62A13">
        <w:rPr>
          <w:rFonts w:ascii="Arial Narrow" w:eastAsia="Calibri" w:hAnsi="Arial Narrow" w:cs="Times New Roman"/>
          <w:iCs/>
          <w:snapToGrid w:val="0"/>
          <w:sz w:val="18"/>
          <w:szCs w:val="18"/>
          <w:lang w:eastAsia="en-US"/>
        </w:rPr>
        <w:t xml:space="preserve"> </w:t>
      </w:r>
      <w:r w:rsidR="00603934" w:rsidRPr="00C62A13">
        <w:rPr>
          <w:rFonts w:ascii="Arial Narrow" w:hAnsi="Arial Narrow"/>
          <w:iCs/>
          <w:sz w:val="18"/>
          <w:szCs w:val="18"/>
        </w:rPr>
        <w:t xml:space="preserve">: Table 14.2_2.2.1 3.1.1, 14.2_6.1.1 of CSR M16045 (MEASURE UP 1), Table 14.2_2.2.1, 14.3.1.1, 14.2_6.1.1 of CSR M18891 (MEASURE UP 2), Table 14.2_1.5, 14.2_1.2.3, 14.2_1.3.1 of CSR M16048, Table 14.2_2.2.1, 14.2_6.1.1 of CSR M16047 (AD UP), Table 14.2_3.1, 14.2_1.1, 14.2_7.1  of CSR M17377 (RISING UP), Table A.1.1 and A.1.2 of Attachment 8 ‘ITC Report Datalytics’; </w:t>
      </w:r>
      <w:r w:rsidR="00603934" w:rsidRPr="00B95E7E">
        <w:rPr>
          <w:rFonts w:ascii="Arial Narrow" w:hAnsi="Arial Narrow"/>
          <w:iCs/>
          <w:sz w:val="18"/>
          <w:szCs w:val="18"/>
        </w:rPr>
        <w:t>https://www.clinicaltrials.gov/ct2/show/results/NCT03720470?term=NCT03720470&amp;draw=2&amp;rank=1</w:t>
      </w:r>
      <w:r w:rsidR="00603934" w:rsidRPr="00C62A13">
        <w:rPr>
          <w:rFonts w:ascii="Arial Narrow" w:hAnsi="Arial Narrow"/>
          <w:iCs/>
          <w:sz w:val="18"/>
          <w:szCs w:val="18"/>
        </w:rPr>
        <w:t xml:space="preserve"> (JADE COMPARE).</w:t>
      </w:r>
    </w:p>
    <w:p w:rsidR="00DC4F4A" w:rsidRPr="00C62A13" w:rsidRDefault="00DC4F4A" w:rsidP="00D67557">
      <w:pPr>
        <w:pStyle w:val="TableFigureFooter"/>
        <w:keepNext/>
        <w:keepLines/>
        <w:spacing w:after="0"/>
        <w:rPr>
          <w:szCs w:val="18"/>
          <w:lang w:eastAsia="en-US"/>
        </w:rPr>
      </w:pPr>
      <w:r w:rsidRPr="00C62A13">
        <w:rPr>
          <w:szCs w:val="18"/>
          <w:lang w:eastAsia="en-US"/>
        </w:rPr>
        <w:t>DUPI</w:t>
      </w:r>
      <w:r w:rsidR="0092701E">
        <w:rPr>
          <w:szCs w:val="18"/>
          <w:lang w:eastAsia="en-US"/>
        </w:rPr>
        <w:t xml:space="preserve"> </w:t>
      </w:r>
      <w:r w:rsidRPr="00C62A13">
        <w:rPr>
          <w:szCs w:val="18"/>
          <w:lang w:eastAsia="en-US"/>
        </w:rPr>
        <w:t>=</w:t>
      </w:r>
      <w:r w:rsidR="0092701E">
        <w:rPr>
          <w:szCs w:val="18"/>
          <w:lang w:eastAsia="en-US"/>
        </w:rPr>
        <w:t xml:space="preserve"> </w:t>
      </w:r>
      <w:r w:rsidRPr="00C62A13">
        <w:rPr>
          <w:szCs w:val="18"/>
          <w:lang w:eastAsia="en-US"/>
        </w:rPr>
        <w:t>dupilumab; PBO</w:t>
      </w:r>
      <w:r w:rsidR="0092701E">
        <w:rPr>
          <w:szCs w:val="18"/>
          <w:lang w:eastAsia="en-US"/>
        </w:rPr>
        <w:t xml:space="preserve"> </w:t>
      </w:r>
      <w:r w:rsidRPr="00C62A13">
        <w:rPr>
          <w:szCs w:val="18"/>
          <w:lang w:eastAsia="en-US"/>
        </w:rPr>
        <w:t>=</w:t>
      </w:r>
      <w:r w:rsidR="0092701E">
        <w:rPr>
          <w:szCs w:val="18"/>
          <w:lang w:eastAsia="en-US"/>
        </w:rPr>
        <w:t xml:space="preserve"> </w:t>
      </w:r>
      <w:r w:rsidRPr="00C62A13">
        <w:rPr>
          <w:szCs w:val="18"/>
          <w:lang w:eastAsia="en-US"/>
        </w:rPr>
        <w:t>placebo; TCS</w:t>
      </w:r>
      <w:r w:rsidR="0092701E">
        <w:rPr>
          <w:szCs w:val="18"/>
          <w:lang w:eastAsia="en-US"/>
        </w:rPr>
        <w:t xml:space="preserve"> </w:t>
      </w:r>
      <w:r w:rsidRPr="00C62A13">
        <w:rPr>
          <w:szCs w:val="18"/>
          <w:lang w:eastAsia="en-US"/>
        </w:rPr>
        <w:t>=</w:t>
      </w:r>
      <w:r w:rsidR="0092701E">
        <w:rPr>
          <w:szCs w:val="18"/>
          <w:lang w:eastAsia="en-US"/>
        </w:rPr>
        <w:t xml:space="preserve"> </w:t>
      </w:r>
      <w:r w:rsidRPr="00C62A13">
        <w:rPr>
          <w:szCs w:val="18"/>
          <w:lang w:eastAsia="en-US"/>
        </w:rPr>
        <w:t xml:space="preserve">topical corticosteroids; </w:t>
      </w:r>
      <w:r w:rsidR="002665B8" w:rsidRPr="00C62A13">
        <w:rPr>
          <w:szCs w:val="18"/>
          <w:lang w:eastAsia="en-US"/>
        </w:rPr>
        <w:t>UPA</w:t>
      </w:r>
      <w:r w:rsidR="0092701E">
        <w:rPr>
          <w:szCs w:val="18"/>
          <w:lang w:eastAsia="en-US"/>
        </w:rPr>
        <w:t xml:space="preserve"> </w:t>
      </w:r>
      <w:r w:rsidR="002665B8" w:rsidRPr="00C62A13">
        <w:rPr>
          <w:szCs w:val="18"/>
          <w:lang w:eastAsia="en-US"/>
        </w:rPr>
        <w:t>=</w:t>
      </w:r>
      <w:r w:rsidR="0092701E">
        <w:rPr>
          <w:szCs w:val="18"/>
          <w:lang w:eastAsia="en-US"/>
        </w:rPr>
        <w:t xml:space="preserve"> </w:t>
      </w:r>
      <w:r w:rsidR="002665B8" w:rsidRPr="00C62A13">
        <w:rPr>
          <w:szCs w:val="18"/>
          <w:lang w:eastAsia="en-US"/>
        </w:rPr>
        <w:t xml:space="preserve">upadacitinib; </w:t>
      </w:r>
      <w:r w:rsidRPr="00C62A13">
        <w:rPr>
          <w:szCs w:val="18"/>
          <w:lang w:eastAsia="en-US"/>
        </w:rPr>
        <w:t>RR</w:t>
      </w:r>
      <w:r w:rsidR="0092701E">
        <w:rPr>
          <w:szCs w:val="18"/>
          <w:lang w:eastAsia="en-US"/>
        </w:rPr>
        <w:t xml:space="preserve"> </w:t>
      </w:r>
      <w:r w:rsidRPr="00C62A13">
        <w:rPr>
          <w:szCs w:val="18"/>
          <w:lang w:eastAsia="en-US"/>
        </w:rPr>
        <w:t>=</w:t>
      </w:r>
      <w:r w:rsidR="0092701E">
        <w:rPr>
          <w:szCs w:val="18"/>
          <w:lang w:eastAsia="en-US"/>
        </w:rPr>
        <w:t xml:space="preserve"> </w:t>
      </w:r>
      <w:r w:rsidRPr="00C62A13">
        <w:rPr>
          <w:szCs w:val="18"/>
          <w:lang w:eastAsia="en-US"/>
        </w:rPr>
        <w:t>relative risk; RD</w:t>
      </w:r>
      <w:r w:rsidR="0092701E">
        <w:rPr>
          <w:szCs w:val="18"/>
          <w:lang w:eastAsia="en-US"/>
        </w:rPr>
        <w:t xml:space="preserve"> </w:t>
      </w:r>
      <w:r w:rsidRPr="00C62A13">
        <w:rPr>
          <w:szCs w:val="18"/>
          <w:lang w:eastAsia="en-US"/>
        </w:rPr>
        <w:t>=</w:t>
      </w:r>
      <w:r w:rsidR="0092701E">
        <w:rPr>
          <w:szCs w:val="18"/>
          <w:lang w:eastAsia="en-US"/>
        </w:rPr>
        <w:t xml:space="preserve"> </w:t>
      </w:r>
      <w:r w:rsidRPr="00C62A13">
        <w:rPr>
          <w:szCs w:val="18"/>
          <w:lang w:eastAsia="en-US"/>
        </w:rPr>
        <w:t xml:space="preserve">risk difference; </w:t>
      </w:r>
      <w:r w:rsidRPr="00C62A13">
        <w:rPr>
          <w:rFonts w:eastAsia="Calibri"/>
          <w:szCs w:val="18"/>
        </w:rPr>
        <w:t>CI</w:t>
      </w:r>
      <w:r w:rsidR="0092701E">
        <w:rPr>
          <w:rFonts w:eastAsia="Calibri"/>
          <w:szCs w:val="18"/>
        </w:rPr>
        <w:t xml:space="preserve"> </w:t>
      </w:r>
      <w:r w:rsidRPr="00C62A13">
        <w:rPr>
          <w:rFonts w:eastAsia="Calibri"/>
          <w:szCs w:val="18"/>
        </w:rPr>
        <w:t>=</w:t>
      </w:r>
      <w:r w:rsidR="0092701E">
        <w:rPr>
          <w:rFonts w:eastAsia="Calibri"/>
          <w:szCs w:val="18"/>
        </w:rPr>
        <w:t xml:space="preserve"> </w:t>
      </w:r>
      <w:r w:rsidRPr="00C62A13">
        <w:rPr>
          <w:rFonts w:eastAsia="Calibri"/>
          <w:szCs w:val="18"/>
        </w:rPr>
        <w:t>confidence interval; EASI</w:t>
      </w:r>
      <w:r w:rsidR="0092701E">
        <w:rPr>
          <w:rFonts w:eastAsia="Calibri"/>
          <w:szCs w:val="18"/>
        </w:rPr>
        <w:t xml:space="preserve"> </w:t>
      </w:r>
      <w:r w:rsidRPr="00C62A13">
        <w:rPr>
          <w:rFonts w:eastAsia="Calibri"/>
          <w:szCs w:val="18"/>
        </w:rPr>
        <w:t>=</w:t>
      </w:r>
      <w:r w:rsidRPr="00C62A13">
        <w:rPr>
          <w:szCs w:val="18"/>
        </w:rPr>
        <w:t xml:space="preserve"> </w:t>
      </w:r>
      <w:r w:rsidRPr="00C62A13">
        <w:rPr>
          <w:rFonts w:eastAsia="Calibri"/>
          <w:szCs w:val="18"/>
        </w:rPr>
        <w:t>Eczema Area and Severity Index; DLQI</w:t>
      </w:r>
      <w:r w:rsidR="0092701E">
        <w:rPr>
          <w:rFonts w:eastAsia="Calibri"/>
          <w:szCs w:val="18"/>
        </w:rPr>
        <w:t xml:space="preserve"> </w:t>
      </w:r>
      <w:r w:rsidRPr="00C62A13">
        <w:rPr>
          <w:rFonts w:eastAsia="Calibri"/>
          <w:szCs w:val="18"/>
        </w:rPr>
        <w:t>=</w:t>
      </w:r>
      <w:r w:rsidR="0092701E">
        <w:rPr>
          <w:rFonts w:eastAsia="Calibri"/>
          <w:szCs w:val="18"/>
        </w:rPr>
        <w:t xml:space="preserve"> </w:t>
      </w:r>
      <w:r w:rsidRPr="00C62A13">
        <w:rPr>
          <w:rFonts w:eastAsia="Calibri"/>
          <w:szCs w:val="18"/>
        </w:rPr>
        <w:t xml:space="preserve">Dermatology Life Quality Index; </w:t>
      </w:r>
      <w:r w:rsidRPr="00C62A13">
        <w:rPr>
          <w:szCs w:val="18"/>
        </w:rPr>
        <w:t xml:space="preserve">vIGA = validated Investigator Global Assessment; </w:t>
      </w:r>
      <w:r w:rsidRPr="00C62A13">
        <w:rPr>
          <w:szCs w:val="18"/>
          <w:lang w:eastAsia="en-US"/>
        </w:rPr>
        <w:t>EASI</w:t>
      </w:r>
      <w:r w:rsidR="005C4E5C" w:rsidRPr="00C62A13">
        <w:rPr>
          <w:szCs w:val="18"/>
          <w:lang w:eastAsia="en-US"/>
        </w:rPr>
        <w:t xml:space="preserve"> </w:t>
      </w:r>
      <w:r w:rsidRPr="00C62A13">
        <w:rPr>
          <w:szCs w:val="18"/>
          <w:lang w:eastAsia="en-US"/>
        </w:rPr>
        <w:t>50/75 = 50/75% improvement/reduction in the EASI score from baseline; IGA score of 0 or 1 and ≥2-point improvement=achievement of a score of 0 or 1 from a baseline of 3 or 4 on the 5-point IGA scale; DLQI≥4=at least 4-point improvement in DLQI from baseline.</w:t>
      </w:r>
    </w:p>
    <w:p w:rsidR="00DC4F4A" w:rsidRPr="00C62A13" w:rsidRDefault="00DC4F4A" w:rsidP="00D67557">
      <w:pPr>
        <w:keepNext/>
        <w:keepLines/>
        <w:widowControl w:val="0"/>
        <w:spacing w:line="259" w:lineRule="auto"/>
        <w:jc w:val="left"/>
        <w:rPr>
          <w:rFonts w:ascii="Arial Narrow" w:eastAsia="Calibri" w:hAnsi="Arial Narrow"/>
          <w:sz w:val="18"/>
          <w:szCs w:val="18"/>
        </w:rPr>
      </w:pPr>
      <w:r w:rsidRPr="00C62A13">
        <w:rPr>
          <w:rFonts w:ascii="Arial Narrow" w:hAnsi="Arial Narrow"/>
          <w:snapToGrid w:val="0"/>
          <w:sz w:val="18"/>
          <w:szCs w:val="18"/>
          <w:lang w:eastAsia="en-US"/>
        </w:rPr>
        <w:t>B</w:t>
      </w:r>
      <w:r w:rsidRPr="00C62A13">
        <w:rPr>
          <w:rFonts w:ascii="Arial Narrow" w:eastAsia="Calibri" w:hAnsi="Arial Narrow"/>
          <w:sz w:val="18"/>
          <w:szCs w:val="18"/>
        </w:rPr>
        <w:t>old</w:t>
      </w:r>
      <w:r w:rsidR="0092701E">
        <w:rPr>
          <w:rFonts w:ascii="Arial Narrow" w:eastAsia="Calibri" w:hAnsi="Arial Narrow"/>
          <w:sz w:val="18"/>
          <w:szCs w:val="18"/>
        </w:rPr>
        <w:t xml:space="preserve"> </w:t>
      </w:r>
      <w:r w:rsidRPr="00C62A13">
        <w:rPr>
          <w:rFonts w:ascii="Arial Narrow" w:eastAsia="Calibri" w:hAnsi="Arial Narrow"/>
          <w:sz w:val="18"/>
          <w:szCs w:val="18"/>
        </w:rPr>
        <w:t>=</w:t>
      </w:r>
      <w:r w:rsidR="0092701E">
        <w:rPr>
          <w:rFonts w:ascii="Arial Narrow" w:eastAsia="Calibri" w:hAnsi="Arial Narrow"/>
          <w:sz w:val="18"/>
          <w:szCs w:val="18"/>
        </w:rPr>
        <w:t xml:space="preserve"> </w:t>
      </w:r>
      <w:r w:rsidRPr="00C62A13">
        <w:rPr>
          <w:rFonts w:ascii="Arial Narrow" w:eastAsia="Calibri" w:hAnsi="Arial Narrow"/>
          <w:sz w:val="18"/>
          <w:szCs w:val="18"/>
        </w:rPr>
        <w:t>statistically significant results. Italics</w:t>
      </w:r>
      <w:r w:rsidR="0092701E">
        <w:rPr>
          <w:rFonts w:ascii="Arial Narrow" w:eastAsia="Calibri" w:hAnsi="Arial Narrow"/>
          <w:sz w:val="18"/>
          <w:szCs w:val="18"/>
        </w:rPr>
        <w:t xml:space="preserve"> </w:t>
      </w:r>
      <w:r w:rsidRPr="00C62A13">
        <w:rPr>
          <w:rFonts w:ascii="Arial Narrow" w:eastAsia="Calibri" w:hAnsi="Arial Narrow"/>
          <w:sz w:val="18"/>
          <w:szCs w:val="18"/>
        </w:rPr>
        <w:t>=</w:t>
      </w:r>
      <w:r w:rsidR="0092701E">
        <w:rPr>
          <w:rFonts w:ascii="Arial Narrow" w:eastAsia="Calibri" w:hAnsi="Arial Narrow"/>
          <w:sz w:val="18"/>
          <w:szCs w:val="18"/>
        </w:rPr>
        <w:t xml:space="preserve"> </w:t>
      </w:r>
      <w:r w:rsidRPr="00C62A13">
        <w:rPr>
          <w:rFonts w:ascii="Arial Narrow" w:eastAsia="Calibri" w:hAnsi="Arial Narrow"/>
          <w:sz w:val="18"/>
          <w:szCs w:val="18"/>
        </w:rPr>
        <w:t>calculated during evaluation.</w:t>
      </w:r>
    </w:p>
    <w:p w:rsidR="00DC4F4A" w:rsidRPr="00C62A13" w:rsidRDefault="00DC4F4A" w:rsidP="00D67557">
      <w:pPr>
        <w:keepNext/>
        <w:keepLines/>
        <w:widowControl w:val="0"/>
        <w:spacing w:line="259" w:lineRule="auto"/>
        <w:jc w:val="left"/>
        <w:rPr>
          <w:rFonts w:ascii="Arial Narrow" w:hAnsi="Arial Narrow"/>
          <w:snapToGrid w:val="0"/>
          <w:sz w:val="18"/>
          <w:szCs w:val="18"/>
        </w:rPr>
      </w:pPr>
      <w:r w:rsidRPr="00C62A13">
        <w:rPr>
          <w:rFonts w:ascii="Arial Narrow" w:hAnsi="Arial Narrow"/>
          <w:snapToGrid w:val="0"/>
          <w:sz w:val="18"/>
          <w:szCs w:val="18"/>
          <w:vertAlign w:val="superscript"/>
        </w:rPr>
        <w:t>†</w:t>
      </w:r>
      <w:r w:rsidRPr="00C62A13">
        <w:rPr>
          <w:rFonts w:ascii="Arial Narrow" w:hAnsi="Arial Narrow"/>
          <w:snapToGrid w:val="0"/>
          <w:sz w:val="18"/>
          <w:szCs w:val="18"/>
        </w:rPr>
        <w:t xml:space="preserve"> DUPI dosing comprised 600mg loading, then 300mg every 2 weeks thereafter.</w:t>
      </w:r>
    </w:p>
    <w:p w:rsidR="00DC4F4A" w:rsidRPr="00C62A13" w:rsidRDefault="00DC4F4A" w:rsidP="00D67557">
      <w:pPr>
        <w:keepNext/>
        <w:keepLines/>
        <w:widowControl w:val="0"/>
        <w:spacing w:after="120" w:line="259" w:lineRule="auto"/>
        <w:jc w:val="left"/>
        <w:rPr>
          <w:rFonts w:ascii="Arial Narrow" w:hAnsi="Arial Narrow"/>
          <w:snapToGrid w:val="0"/>
          <w:sz w:val="18"/>
          <w:szCs w:val="18"/>
        </w:rPr>
      </w:pPr>
      <w:r w:rsidRPr="00C62A13">
        <w:rPr>
          <w:rFonts w:ascii="Arial Narrow" w:hAnsi="Arial Narrow"/>
          <w:snapToGrid w:val="0"/>
          <w:sz w:val="18"/>
          <w:szCs w:val="18"/>
          <w:vertAlign w:val="superscript"/>
        </w:rPr>
        <w:t>#</w:t>
      </w:r>
      <w:r w:rsidRPr="00C62A13">
        <w:rPr>
          <w:rFonts w:ascii="Arial Narrow" w:hAnsi="Arial Narrow"/>
          <w:snapToGrid w:val="0"/>
          <w:sz w:val="18"/>
          <w:szCs w:val="18"/>
        </w:rPr>
        <w:t xml:space="preserve"> DUPI patients weighing &lt; 60kg received 200mg DUPI every 2 weeks (400mg loading dose), patients weighing ≥ 60kg received 300mg DUPI every 2 weeks (600mg loading dose) </w:t>
      </w:r>
    </w:p>
    <w:p w:rsidR="00DC4F4A" w:rsidRPr="00C62A13" w:rsidRDefault="00DC4F4A" w:rsidP="00DC4F4A">
      <w:pPr>
        <w:pStyle w:val="In-tableHeading"/>
        <w:rPr>
          <w:lang w:val="en-AU"/>
        </w:rPr>
      </w:pPr>
    </w:p>
    <w:p w:rsidR="006D7D3A" w:rsidRPr="00C62A13" w:rsidRDefault="00B56272" w:rsidP="006D7D3A">
      <w:pPr>
        <w:pStyle w:val="3-BodyText"/>
      </w:pPr>
      <w:r w:rsidRPr="00C62A13">
        <w:t xml:space="preserve">The results in the ITT population were generally consistent with the </w:t>
      </w:r>
      <w:r w:rsidR="006D7D3A" w:rsidRPr="00C62A13">
        <w:rPr>
          <w:iCs/>
        </w:rPr>
        <w:t>PBS subgroup</w:t>
      </w:r>
      <w:r w:rsidR="00C412CE" w:rsidRPr="00C62A13">
        <w:rPr>
          <w:iCs/>
        </w:rPr>
        <w:t xml:space="preserve">, where the indirect comparisons found </w:t>
      </w:r>
      <w:r w:rsidR="006D7D3A" w:rsidRPr="00C62A13">
        <w:rPr>
          <w:iCs/>
        </w:rPr>
        <w:t>similar efficacy between UPA 15</w:t>
      </w:r>
      <w:r w:rsidR="00D1459E" w:rsidRPr="00C62A13">
        <w:rPr>
          <w:iCs/>
        </w:rPr>
        <w:t xml:space="preserve"> </w:t>
      </w:r>
      <w:r w:rsidR="006D7D3A" w:rsidRPr="00C62A13">
        <w:rPr>
          <w:iCs/>
        </w:rPr>
        <w:t>mg versus DUPI and statistically favour</w:t>
      </w:r>
      <w:r w:rsidR="004507F7" w:rsidRPr="00C62A13">
        <w:rPr>
          <w:iCs/>
        </w:rPr>
        <w:t>ed</w:t>
      </w:r>
      <w:r w:rsidR="006D7D3A" w:rsidRPr="00C62A13">
        <w:rPr>
          <w:iCs/>
        </w:rPr>
        <w:t xml:space="preserve"> UPA 30</w:t>
      </w:r>
      <w:r w:rsidR="00D1459E" w:rsidRPr="00C62A13">
        <w:rPr>
          <w:iCs/>
        </w:rPr>
        <w:t xml:space="preserve"> </w:t>
      </w:r>
      <w:r w:rsidR="006D7D3A" w:rsidRPr="00C62A13">
        <w:rPr>
          <w:iCs/>
        </w:rPr>
        <w:t xml:space="preserve">mg versus DUPI for most outcomes (except DLQI </w:t>
      </w:r>
      <w:r w:rsidR="006D7D3A" w:rsidRPr="00C62A13">
        <w:rPr>
          <w:rFonts w:cs="Calibri"/>
          <w:iCs/>
        </w:rPr>
        <w:t>≥</w:t>
      </w:r>
      <w:r w:rsidR="006D7D3A" w:rsidRPr="00C62A13">
        <w:rPr>
          <w:iCs/>
        </w:rPr>
        <w:t>4 point improvement).</w:t>
      </w:r>
    </w:p>
    <w:p w:rsidR="00AA0C5E" w:rsidRPr="00C62A13" w:rsidRDefault="00AA0C5E" w:rsidP="0033390A">
      <w:pPr>
        <w:pStyle w:val="3-BodyText"/>
      </w:pPr>
      <w:r w:rsidRPr="00C62A13">
        <w:rPr>
          <w:iCs/>
        </w:rPr>
        <w:t>The submission presented evidence that disease severity</w:t>
      </w:r>
      <w:r w:rsidR="0033390A" w:rsidRPr="00C62A13">
        <w:rPr>
          <w:iCs/>
        </w:rPr>
        <w:t xml:space="preserve"> in the PBO-controlled trials</w:t>
      </w:r>
      <w:r w:rsidRPr="00C62A13">
        <w:rPr>
          <w:iCs/>
        </w:rPr>
        <w:t>, defined by the PBS eligibility criteria</w:t>
      </w:r>
      <w:r w:rsidR="0033390A" w:rsidRPr="00C62A13">
        <w:rPr>
          <w:iCs/>
        </w:rPr>
        <w:t>, was not a treatment effect modifier, and therefore evidence for the ITT population was applicable to the PBS population</w:t>
      </w:r>
      <w:r w:rsidR="009139AD" w:rsidRPr="00C62A13">
        <w:rPr>
          <w:iCs/>
        </w:rPr>
        <w:t xml:space="preserve">. </w:t>
      </w:r>
      <w:r w:rsidR="0033390A" w:rsidRPr="00C62A13">
        <w:t>T</w:t>
      </w:r>
      <w:r w:rsidR="009139AD" w:rsidRPr="00C62A13">
        <w:t>he Commentary considered t</w:t>
      </w:r>
      <w:r w:rsidR="0033390A" w:rsidRPr="00C62A13">
        <w:t xml:space="preserve">his was </w:t>
      </w:r>
      <w:r w:rsidR="002E2514" w:rsidRPr="00C62A13">
        <w:t>reasonable and</w:t>
      </w:r>
      <w:r w:rsidR="0033390A" w:rsidRPr="00C62A13">
        <w:t xml:space="preserve"> supported by subgroup data in HEADS UP by baseline severity (IGA 3 vs 4, and EASI &lt; median score vs </w:t>
      </w:r>
      <w:r w:rsidR="0033390A" w:rsidRPr="00C62A13">
        <w:rPr>
          <w:rFonts w:cstheme="minorHAnsi"/>
        </w:rPr>
        <w:t>≥</w:t>
      </w:r>
      <w:r w:rsidR="0033390A" w:rsidRPr="00C62A13">
        <w:t xml:space="preserve"> median score).</w:t>
      </w:r>
    </w:p>
    <w:p w:rsidR="006D7D3A" w:rsidRPr="00C62A13" w:rsidRDefault="00866366" w:rsidP="006D7D3A">
      <w:pPr>
        <w:pStyle w:val="3-BodyText"/>
        <w:rPr>
          <w:iCs/>
        </w:rPr>
      </w:pPr>
      <w:r w:rsidRPr="00C62A13">
        <w:rPr>
          <w:iCs/>
        </w:rPr>
        <w:t xml:space="preserve">In trials that enrolled adolescents and adults, </w:t>
      </w:r>
      <w:r w:rsidR="000F5191" w:rsidRPr="00C62A13">
        <w:rPr>
          <w:iCs/>
        </w:rPr>
        <w:t xml:space="preserve">active treatment was equally effective versus PBO in adolescents and adults. </w:t>
      </w:r>
      <w:r w:rsidR="006D7D3A" w:rsidRPr="00C62A13">
        <w:rPr>
          <w:iCs/>
        </w:rPr>
        <w:t xml:space="preserve">Interpretation of the indirect comparisons </w:t>
      </w:r>
      <w:r w:rsidR="00C412CE" w:rsidRPr="00C62A13">
        <w:rPr>
          <w:iCs/>
        </w:rPr>
        <w:t xml:space="preserve">for adolescents </w:t>
      </w:r>
      <w:r w:rsidR="006D7D3A" w:rsidRPr="00C62A13">
        <w:rPr>
          <w:iCs/>
        </w:rPr>
        <w:t>is however problematic, given the small patient numbers and differences in the PBO response rates</w:t>
      </w:r>
      <w:r w:rsidRPr="00C62A13">
        <w:rPr>
          <w:iCs/>
        </w:rPr>
        <w:t xml:space="preserve"> (</w:t>
      </w:r>
      <w:r w:rsidR="006D7D3A" w:rsidRPr="00C62A13">
        <w:rPr>
          <w:iCs/>
        </w:rPr>
        <w:t>particularly for EASI 50</w:t>
      </w:r>
      <w:r w:rsidRPr="00C62A13">
        <w:rPr>
          <w:iCs/>
        </w:rPr>
        <w:t>)</w:t>
      </w:r>
      <w:r w:rsidR="000F5191" w:rsidRPr="00C62A13">
        <w:rPr>
          <w:iCs/>
        </w:rPr>
        <w:t xml:space="preserve">. </w:t>
      </w:r>
      <w:r w:rsidR="006D7D3A" w:rsidRPr="00C62A13">
        <w:rPr>
          <w:iCs/>
        </w:rPr>
        <w:t xml:space="preserve">Overall, </w:t>
      </w:r>
      <w:r w:rsidR="00C412CE" w:rsidRPr="00C62A13">
        <w:rPr>
          <w:iCs/>
        </w:rPr>
        <w:t xml:space="preserve">there was insufficient evidence to </w:t>
      </w:r>
      <w:r w:rsidR="000F5191" w:rsidRPr="00C62A13">
        <w:rPr>
          <w:iCs/>
        </w:rPr>
        <w:t xml:space="preserve">suggest that the </w:t>
      </w:r>
      <w:r w:rsidR="006D7D3A" w:rsidRPr="00C62A13">
        <w:rPr>
          <w:iCs/>
        </w:rPr>
        <w:t>treatment benefit for UPA 30</w:t>
      </w:r>
      <w:r w:rsidR="00D1459E" w:rsidRPr="00C62A13">
        <w:rPr>
          <w:iCs/>
        </w:rPr>
        <w:t xml:space="preserve"> </w:t>
      </w:r>
      <w:r w:rsidR="006D7D3A" w:rsidRPr="00C62A13">
        <w:rPr>
          <w:iCs/>
        </w:rPr>
        <w:t xml:space="preserve">mg versus DUPI </w:t>
      </w:r>
      <w:r w:rsidR="000F5191" w:rsidRPr="00C62A13">
        <w:rPr>
          <w:iCs/>
        </w:rPr>
        <w:t xml:space="preserve">was dissimilar </w:t>
      </w:r>
      <w:r w:rsidR="006D7D3A" w:rsidRPr="00C62A13">
        <w:rPr>
          <w:iCs/>
        </w:rPr>
        <w:t xml:space="preserve">in adolescents </w:t>
      </w:r>
      <w:r w:rsidR="000F5191" w:rsidRPr="00C62A13">
        <w:rPr>
          <w:iCs/>
        </w:rPr>
        <w:t xml:space="preserve">compared to </w:t>
      </w:r>
      <w:r w:rsidR="006D7D3A" w:rsidRPr="00C62A13">
        <w:rPr>
          <w:iCs/>
        </w:rPr>
        <w:t>adults</w:t>
      </w:r>
      <w:r w:rsidR="009139AD" w:rsidRPr="00C62A13">
        <w:rPr>
          <w:i/>
          <w:iCs/>
        </w:rPr>
        <w:t xml:space="preserve">, </w:t>
      </w:r>
      <w:r w:rsidR="009139AD" w:rsidRPr="00C62A13">
        <w:rPr>
          <w:iCs/>
        </w:rPr>
        <w:t>noting that the draft PI indicated that the 30 mg dose is not recommended in adolescents</w:t>
      </w:r>
      <w:r w:rsidR="006D7D3A" w:rsidRPr="00C62A13">
        <w:rPr>
          <w:iCs/>
        </w:rPr>
        <w:t>.</w:t>
      </w:r>
    </w:p>
    <w:p w:rsidR="006D7D3A" w:rsidRPr="00C62A13" w:rsidRDefault="006D7D3A" w:rsidP="002A7513">
      <w:pPr>
        <w:spacing w:before="120" w:after="120"/>
        <w:rPr>
          <w:u w:val="single"/>
        </w:rPr>
      </w:pPr>
      <w:r w:rsidRPr="00C62A13">
        <w:rPr>
          <w:u w:val="single"/>
        </w:rPr>
        <w:t>Near market comparators</w:t>
      </w:r>
    </w:p>
    <w:p w:rsidR="00557452" w:rsidRPr="00C62A13" w:rsidRDefault="00A14F60" w:rsidP="0053782F">
      <w:pPr>
        <w:pStyle w:val="3-BodyText"/>
        <w:rPr>
          <w:rFonts w:eastAsiaTheme="minorHAnsi" w:cs="Calibri"/>
          <w:lang w:eastAsia="en-US"/>
        </w:rPr>
      </w:pPr>
      <w:r w:rsidRPr="00C62A13">
        <w:t xml:space="preserve">The submission presented several </w:t>
      </w:r>
      <w:r w:rsidR="00907D9A" w:rsidRPr="00C62A13">
        <w:t xml:space="preserve">supplementary indirect treatment comparisons between UPA </w:t>
      </w:r>
      <w:r w:rsidRPr="00C62A13">
        <w:t>and the nominated</w:t>
      </w:r>
      <w:r w:rsidR="00907D9A" w:rsidRPr="00C62A13">
        <w:t xml:space="preserve"> near market comparators </w:t>
      </w:r>
      <w:r w:rsidR="00557452" w:rsidRPr="00C62A13">
        <w:t>baricitinib</w:t>
      </w:r>
      <w:r w:rsidR="00907D9A" w:rsidRPr="00C62A13">
        <w:t>, tralokinumab and abrocitinib</w:t>
      </w:r>
      <w:r w:rsidRPr="00C62A13">
        <w:t>, based on a further twelve PBO-controlled trials. The analyses used all available data (i.e. ITT population including adults and adolescent</w:t>
      </w:r>
      <w:r w:rsidR="006B20AC" w:rsidRPr="00C62A13">
        <w:t>s</w:t>
      </w:r>
      <w:r w:rsidRPr="00C62A13">
        <w:t>) for the different doses investigated</w:t>
      </w:r>
      <w:r w:rsidR="005077E8" w:rsidRPr="00C62A13">
        <w:rPr>
          <w:iCs/>
        </w:rPr>
        <w:t>.</w:t>
      </w:r>
      <w:r w:rsidR="0053782F" w:rsidRPr="00C62A13">
        <w:rPr>
          <w:iCs/>
        </w:rPr>
        <w:t xml:space="preserve"> </w:t>
      </w:r>
    </w:p>
    <w:p w:rsidR="00B4389E" w:rsidRPr="00C62A13" w:rsidRDefault="00A14F60" w:rsidP="00CA2289">
      <w:pPr>
        <w:pStyle w:val="3-BodyText"/>
      </w:pPr>
      <w:r w:rsidRPr="00C62A13">
        <w:t>The results of the indirect comparison for EASI 75, the most commonly reported outcome, were recalculated during the evaluation using results from the DUPI trials (excluding LIBERTY AD ADOL) as a reference</w:t>
      </w:r>
      <w:r w:rsidR="0053782F" w:rsidRPr="00C62A13">
        <w:t xml:space="preserve"> to aid interpretation in the Australian context</w:t>
      </w:r>
      <w:r w:rsidRPr="00C62A13">
        <w:t xml:space="preserve">, </w:t>
      </w:r>
      <w:r w:rsidR="0053782F" w:rsidRPr="00C62A13">
        <w:t xml:space="preserve">summarised in </w:t>
      </w:r>
      <w:r w:rsidR="00557452" w:rsidRPr="00C62A13">
        <w:t>Figure 2</w:t>
      </w:r>
      <w:r w:rsidR="005077E8" w:rsidRPr="00C62A13">
        <w:t>.</w:t>
      </w:r>
      <w:r w:rsidR="0053782F" w:rsidRPr="00C62A13">
        <w:t xml:space="preserve"> The figure illustrates the relatively heterogeneous treatment effects over the range of comparators and doses, with potentially different conclusions being drawn depending on monotherapy versus combination therapy trials. </w:t>
      </w:r>
      <w:r w:rsidR="00CA2289" w:rsidRPr="00C62A13">
        <w:t xml:space="preserve">The PBAC previously considered standard of care includes concomitant TCS, indicating that the results from the ‘combination’ trials are more applicable to practice </w:t>
      </w:r>
      <w:r w:rsidR="00097348" w:rsidRPr="00C62A13">
        <w:t xml:space="preserve">(para 5.1, DUPI PSD July 2018 PBAC meeting). </w:t>
      </w:r>
      <w:r w:rsidR="00B4389E" w:rsidRPr="00C62A13">
        <w:rPr>
          <w:rFonts w:cstheme="minorHAnsi"/>
        </w:rPr>
        <w:t xml:space="preserve">The ESC noted that the difference between DUPI and the JAK inhibitors appeared to be somewhat attenuated in the trials that allowed concomitant TCS. </w:t>
      </w:r>
      <w:r w:rsidR="00B4389E" w:rsidRPr="00C62A13">
        <w:t xml:space="preserve">The ESC considered that in the PBS population TCS use may reduce differences between UPI and DUPA seen </w:t>
      </w:r>
      <w:r w:rsidR="003F417B" w:rsidRPr="00C62A13">
        <w:t>up to 16 weeks</w:t>
      </w:r>
      <w:r w:rsidR="00B4389E" w:rsidRPr="00C62A13">
        <w:t xml:space="preserve"> in the HEADS UP trial (see Figure 1) and the difference at 16 weeks may also be less notable.</w:t>
      </w:r>
    </w:p>
    <w:p w:rsidR="006D7D3A" w:rsidRPr="00C62A13" w:rsidRDefault="0053782F" w:rsidP="00CA2289">
      <w:pPr>
        <w:pStyle w:val="3-BodyText"/>
      </w:pPr>
      <w:r w:rsidRPr="00C62A13">
        <w:t xml:space="preserve">Overall, the data </w:t>
      </w:r>
      <w:r w:rsidR="000570DC" w:rsidRPr="00C62A13">
        <w:t>indicates that</w:t>
      </w:r>
      <w:r w:rsidR="00AA4DF5" w:rsidRPr="00C62A13">
        <w:t xml:space="preserve"> at 12 or 16 weeks</w:t>
      </w:r>
      <w:r w:rsidR="000570DC" w:rsidRPr="00C62A13">
        <w:t xml:space="preserve"> </w:t>
      </w:r>
      <w:r w:rsidRPr="00C62A13">
        <w:t xml:space="preserve">baricitinib </w:t>
      </w:r>
      <w:r w:rsidR="00EA259B" w:rsidRPr="00C62A13">
        <w:t>(</w:t>
      </w:r>
      <w:r w:rsidRPr="00C62A13">
        <w:t>2</w:t>
      </w:r>
      <w:r w:rsidR="00E234DF" w:rsidRPr="00C62A13">
        <w:t xml:space="preserve"> </w:t>
      </w:r>
      <w:r w:rsidRPr="00C62A13">
        <w:t>mg and 4</w:t>
      </w:r>
      <w:r w:rsidR="00E234DF" w:rsidRPr="00C62A13">
        <w:t xml:space="preserve"> </w:t>
      </w:r>
      <w:r w:rsidRPr="00C62A13">
        <w:t>mg</w:t>
      </w:r>
      <w:r w:rsidR="00EA259B" w:rsidRPr="00C62A13">
        <w:t>) and tralokinumab</w:t>
      </w:r>
      <w:r w:rsidRPr="00C62A13">
        <w:t xml:space="preserve"> </w:t>
      </w:r>
      <w:r w:rsidR="00EA259B" w:rsidRPr="00C62A13">
        <w:t>are</w:t>
      </w:r>
      <w:r w:rsidR="000570DC" w:rsidRPr="00C62A13">
        <w:t xml:space="preserve"> the least efficacious and UPA 30</w:t>
      </w:r>
      <w:r w:rsidR="00E234DF" w:rsidRPr="00C62A13">
        <w:t xml:space="preserve"> </w:t>
      </w:r>
      <w:r w:rsidR="000570DC" w:rsidRPr="00C62A13">
        <w:t xml:space="preserve">mg </w:t>
      </w:r>
      <w:r w:rsidR="00EA259B" w:rsidRPr="00C62A13">
        <w:t>is</w:t>
      </w:r>
      <w:r w:rsidR="000570DC" w:rsidRPr="00C62A13">
        <w:t xml:space="preserve"> the most efficacious, with the other </w:t>
      </w:r>
      <w:r w:rsidR="00EA259B" w:rsidRPr="00C62A13">
        <w:t>treatments somewhere in-between.</w:t>
      </w:r>
      <w:r w:rsidR="00B4389E" w:rsidRPr="00C62A13">
        <w:t xml:space="preserve"> </w:t>
      </w:r>
    </w:p>
    <w:p w:rsidR="006D7D3A" w:rsidRPr="00C62A13" w:rsidRDefault="006D7D3A" w:rsidP="00B34A29">
      <w:pPr>
        <w:keepNext/>
        <w:keepLines/>
        <w:widowControl w:val="0"/>
        <w:rPr>
          <w:rFonts w:ascii="Arial Narrow" w:hAnsi="Arial Narrow"/>
          <w:b/>
          <w:bCs/>
          <w:iCs/>
          <w:snapToGrid w:val="0"/>
          <w:sz w:val="20"/>
          <w:szCs w:val="20"/>
          <w:lang w:eastAsia="en-US"/>
        </w:rPr>
      </w:pPr>
      <w:r w:rsidRPr="00C62A13">
        <w:rPr>
          <w:rFonts w:ascii="Arial Narrow" w:hAnsi="Arial Narrow"/>
          <w:b/>
          <w:bCs/>
          <w:iCs/>
          <w:snapToGrid w:val="0"/>
          <w:sz w:val="20"/>
          <w:szCs w:val="20"/>
          <w:lang w:eastAsia="en-US"/>
        </w:rPr>
        <w:t>Figure 2: Indirect treatm</w:t>
      </w:r>
      <w:r w:rsidR="00E21EC4" w:rsidRPr="00C62A13">
        <w:rPr>
          <w:rFonts w:ascii="Arial Narrow" w:hAnsi="Arial Narrow"/>
          <w:b/>
          <w:bCs/>
          <w:iCs/>
          <w:snapToGrid w:val="0"/>
          <w:sz w:val="20"/>
          <w:szCs w:val="20"/>
          <w:lang w:eastAsia="en-US"/>
        </w:rPr>
        <w:t>ent comparison between UPA, baricitinib</w:t>
      </w:r>
      <w:r w:rsidRPr="00C62A13">
        <w:rPr>
          <w:rFonts w:ascii="Arial Narrow" w:hAnsi="Arial Narrow"/>
          <w:b/>
          <w:bCs/>
          <w:iCs/>
          <w:snapToGrid w:val="0"/>
          <w:sz w:val="20"/>
          <w:szCs w:val="20"/>
          <w:lang w:eastAsia="en-US"/>
        </w:rPr>
        <w:t>, tralokinumab and abrocitinib versus DUPI for EASI 75 response at Week 12 or 16</w:t>
      </w:r>
    </w:p>
    <w:p w:rsidR="006D7D3A" w:rsidRPr="00C62A13" w:rsidRDefault="00AD33BB" w:rsidP="00B34A29">
      <w:pPr>
        <w:keepNext/>
        <w:keepLines/>
        <w:rPr>
          <w:i/>
        </w:rPr>
      </w:pPr>
      <w:r w:rsidRPr="00C62A13">
        <w:rPr>
          <w:noProof/>
        </w:rPr>
        <w:drawing>
          <wp:inline distT="0" distB="0" distL="0" distR="0" wp14:anchorId="6C5B0B42" wp14:editId="7BCBDAEF">
            <wp:extent cx="5732145" cy="4788980"/>
            <wp:effectExtent l="0" t="0" r="0" b="0"/>
            <wp:docPr id="216" name="Picture 216" title="Figure 2: Indirect treatment comparison between UPA, baricitinib, tralokinumab and abrocitinib versus DUPI for EASI 75 response at Week 12 or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2145" cy="4788980"/>
                    </a:xfrm>
                    <a:prstGeom prst="rect">
                      <a:avLst/>
                    </a:prstGeom>
                    <a:noFill/>
                  </pic:spPr>
                </pic:pic>
              </a:graphicData>
            </a:graphic>
          </wp:inline>
        </w:drawing>
      </w:r>
    </w:p>
    <w:p w:rsidR="000D09B8" w:rsidRPr="00C62A13" w:rsidRDefault="006D7D3A" w:rsidP="00014049">
      <w:pPr>
        <w:spacing w:after="120"/>
        <w:contextualSpacing/>
        <w:rPr>
          <w:rFonts w:ascii="Arial Narrow" w:hAnsi="Arial Narrow"/>
          <w:sz w:val="18"/>
          <w:szCs w:val="18"/>
        </w:rPr>
      </w:pPr>
      <w:r w:rsidRPr="00C62A13">
        <w:rPr>
          <w:rFonts w:ascii="Arial Narrow" w:hAnsi="Arial Narrow"/>
          <w:sz w:val="18"/>
          <w:szCs w:val="18"/>
        </w:rPr>
        <w:t>Source: co</w:t>
      </w:r>
      <w:r w:rsidR="000D09B8" w:rsidRPr="00C62A13">
        <w:rPr>
          <w:rFonts w:ascii="Arial Narrow" w:hAnsi="Arial Narrow"/>
          <w:sz w:val="18"/>
          <w:szCs w:val="18"/>
        </w:rPr>
        <w:t>nstructed during the evaluation.</w:t>
      </w:r>
    </w:p>
    <w:p w:rsidR="000D09B8" w:rsidRPr="00C62A13" w:rsidRDefault="000D09B8" w:rsidP="00014049">
      <w:pPr>
        <w:spacing w:after="120"/>
        <w:contextualSpacing/>
        <w:rPr>
          <w:rFonts w:ascii="Arial Narrow" w:hAnsi="Arial Narrow"/>
          <w:sz w:val="18"/>
          <w:szCs w:val="18"/>
        </w:rPr>
      </w:pPr>
      <w:r w:rsidRPr="00C62A13">
        <w:rPr>
          <w:rFonts w:ascii="Arial Narrow" w:eastAsia="Calibri" w:hAnsi="Arial Narrow"/>
          <w:iCs/>
          <w:sz w:val="18"/>
          <w:szCs w:val="18"/>
        </w:rPr>
        <w:t>EASI</w:t>
      </w:r>
      <w:r w:rsidR="0092701E">
        <w:rPr>
          <w:rFonts w:ascii="Arial Narrow" w:eastAsia="Calibri" w:hAnsi="Arial Narrow"/>
          <w:iCs/>
          <w:sz w:val="18"/>
          <w:szCs w:val="18"/>
        </w:rPr>
        <w:t xml:space="preserve"> </w:t>
      </w:r>
      <w:r w:rsidRPr="00C62A13">
        <w:rPr>
          <w:rFonts w:ascii="Arial Narrow" w:eastAsia="Calibri" w:hAnsi="Arial Narrow"/>
          <w:iCs/>
          <w:sz w:val="18"/>
          <w:szCs w:val="18"/>
        </w:rPr>
        <w:t>=</w:t>
      </w:r>
      <w:r w:rsidRPr="00C62A13">
        <w:rPr>
          <w:rFonts w:ascii="Arial Narrow" w:hAnsi="Arial Narrow"/>
          <w:iCs/>
          <w:sz w:val="18"/>
          <w:szCs w:val="18"/>
        </w:rPr>
        <w:t xml:space="preserve"> </w:t>
      </w:r>
      <w:r w:rsidRPr="00C62A13">
        <w:rPr>
          <w:rFonts w:ascii="Arial Narrow" w:eastAsia="Calibri" w:hAnsi="Arial Narrow"/>
          <w:iCs/>
          <w:sz w:val="18"/>
          <w:szCs w:val="18"/>
        </w:rPr>
        <w:t>Eczema Area and Severity Index;</w:t>
      </w:r>
      <w:r w:rsidRPr="00C62A13">
        <w:rPr>
          <w:rFonts w:ascii="Arial Narrow" w:hAnsi="Arial Narrow"/>
          <w:iCs/>
          <w:sz w:val="18"/>
          <w:szCs w:val="18"/>
        </w:rPr>
        <w:t xml:space="preserve"> DUPI</w:t>
      </w:r>
      <w:r w:rsidRPr="00C62A13">
        <w:rPr>
          <w:rFonts w:ascii="Arial Narrow" w:hAnsi="Arial Narrow"/>
          <w:sz w:val="18"/>
          <w:szCs w:val="18"/>
        </w:rPr>
        <w:t xml:space="preserve"> = dupilumab; UPA = upadacitinib.</w:t>
      </w:r>
    </w:p>
    <w:p w:rsidR="004B0F36" w:rsidRPr="00C62A13" w:rsidRDefault="00B60939" w:rsidP="004B0F36">
      <w:pPr>
        <w:pStyle w:val="4-SubsectionHeading"/>
      </w:pPr>
      <w:bookmarkStart w:id="18" w:name="_Toc22897642"/>
      <w:bookmarkStart w:id="19" w:name="_Toc72315502"/>
      <w:r w:rsidRPr="00C62A13">
        <w:t>Comparative harms</w:t>
      </w:r>
      <w:bookmarkEnd w:id="18"/>
      <w:bookmarkEnd w:id="19"/>
    </w:p>
    <w:p w:rsidR="004B0F36" w:rsidRDefault="004B0F36" w:rsidP="00543AC8">
      <w:pPr>
        <w:pStyle w:val="3-BodyText"/>
        <w:rPr>
          <w:i/>
        </w:rPr>
      </w:pPr>
      <w:r w:rsidRPr="00C62A13">
        <w:t>Table</w:t>
      </w:r>
      <w:r w:rsidR="00543AC8" w:rsidRPr="00C62A13">
        <w:t>s</w:t>
      </w:r>
      <w:r w:rsidRPr="00C62A13">
        <w:t xml:space="preserve"> </w:t>
      </w:r>
      <w:r w:rsidRPr="00C62A13">
        <w:rPr>
          <w:rFonts w:ascii="Calibri" w:hAnsi="Calibri"/>
          <w:snapToGrid/>
        </w:rPr>
        <w:t>8</w:t>
      </w:r>
      <w:r w:rsidR="00543AC8" w:rsidRPr="00C62A13">
        <w:rPr>
          <w:rFonts w:ascii="Calibri" w:hAnsi="Calibri"/>
          <w:snapToGrid/>
        </w:rPr>
        <w:t xml:space="preserve"> and 9</w:t>
      </w:r>
      <w:r w:rsidRPr="00C62A13">
        <w:rPr>
          <w:rFonts w:ascii="Calibri" w:hAnsi="Calibri"/>
          <w:snapToGrid/>
        </w:rPr>
        <w:t xml:space="preserve"> summarise treatment emergent adverse events (TEAEs) reported in HEADS UP</w:t>
      </w:r>
      <w:r w:rsidR="00543AC8" w:rsidRPr="00C62A13">
        <w:rPr>
          <w:rFonts w:ascii="Calibri" w:hAnsi="Calibri"/>
          <w:snapToGrid/>
        </w:rPr>
        <w:t xml:space="preserve"> (</w:t>
      </w:r>
      <w:r w:rsidRPr="00C62A13">
        <w:rPr>
          <w:rFonts w:ascii="Calibri" w:hAnsi="Calibri"/>
          <w:snapToGrid/>
        </w:rPr>
        <w:t>comparing UPA 30</w:t>
      </w:r>
      <w:r w:rsidR="009248D9" w:rsidRPr="00C62A13">
        <w:rPr>
          <w:rFonts w:ascii="Calibri" w:hAnsi="Calibri"/>
          <w:snapToGrid/>
        </w:rPr>
        <w:t xml:space="preserve"> </w:t>
      </w:r>
      <w:r w:rsidRPr="00C62A13">
        <w:rPr>
          <w:rFonts w:ascii="Calibri" w:hAnsi="Calibri"/>
          <w:snapToGrid/>
        </w:rPr>
        <w:t xml:space="preserve">mg </w:t>
      </w:r>
      <w:r w:rsidR="00543AC8" w:rsidRPr="00C62A13">
        <w:rPr>
          <w:rFonts w:ascii="Calibri" w:hAnsi="Calibri"/>
          <w:snapToGrid/>
        </w:rPr>
        <w:t>directly to DUPI 300</w:t>
      </w:r>
      <w:r w:rsidR="009248D9" w:rsidRPr="00C62A13">
        <w:rPr>
          <w:rFonts w:ascii="Calibri" w:hAnsi="Calibri"/>
          <w:snapToGrid/>
        </w:rPr>
        <w:t xml:space="preserve"> </w:t>
      </w:r>
      <w:r w:rsidR="00543AC8" w:rsidRPr="00C62A13">
        <w:rPr>
          <w:rFonts w:ascii="Calibri" w:hAnsi="Calibri"/>
          <w:snapToGrid/>
        </w:rPr>
        <w:t>mg) and the PBO-controlled trials for UPA (pooled across monotherapy and combination therapy trials), respectively</w:t>
      </w:r>
      <w:r w:rsidR="00543AC8" w:rsidRPr="00C62A13">
        <w:rPr>
          <w:i/>
        </w:rPr>
        <w:t>.</w:t>
      </w:r>
    </w:p>
    <w:p w:rsidR="0079789B" w:rsidRPr="00C62A13" w:rsidRDefault="0079789B" w:rsidP="0079789B">
      <w:pPr>
        <w:pStyle w:val="3-BodyText"/>
        <w:numPr>
          <w:ilvl w:val="0"/>
          <w:numId w:val="0"/>
        </w:numPr>
        <w:rPr>
          <w:i/>
        </w:rPr>
      </w:pPr>
    </w:p>
    <w:p w:rsidR="00EA4E45" w:rsidRPr="00C62A13" w:rsidRDefault="00EA4E45" w:rsidP="004B0F36">
      <w:pPr>
        <w:pStyle w:val="TableFigureHeading"/>
        <w:widowControl w:val="0"/>
      </w:pPr>
    </w:p>
    <w:p w:rsidR="004B0F36" w:rsidRPr="00C62A13" w:rsidRDefault="004B0F36" w:rsidP="004B0F36">
      <w:pPr>
        <w:pStyle w:val="TableFigureHeading"/>
        <w:widowControl w:val="0"/>
      </w:pPr>
      <w:r w:rsidRPr="00C62A13">
        <w:t>Table 8: Summary of TEAEs in HEADS UP trial at Week 24 - UPA 30</w:t>
      </w:r>
      <w:r w:rsidR="009248D9" w:rsidRPr="00C62A13">
        <w:t xml:space="preserve"> </w:t>
      </w:r>
      <w:r w:rsidRPr="00C62A13">
        <w:t>mg daily vs DUPI 300</w:t>
      </w:r>
      <w:r w:rsidR="009248D9" w:rsidRPr="00C62A13">
        <w:t xml:space="preserve"> </w:t>
      </w:r>
      <w:r w:rsidRPr="00C62A13">
        <w:t>mg Q2W</w:t>
      </w:r>
    </w:p>
    <w:tbl>
      <w:tblPr>
        <w:tblStyle w:val="TableGrid"/>
        <w:tblW w:w="5000" w:type="pct"/>
        <w:jc w:val="center"/>
        <w:tblCellMar>
          <w:left w:w="28" w:type="dxa"/>
          <w:right w:w="28" w:type="dxa"/>
        </w:tblCellMar>
        <w:tblLook w:val="04A0" w:firstRow="1" w:lastRow="0" w:firstColumn="1" w:lastColumn="0" w:noHBand="0" w:noVBand="1"/>
        <w:tblCaption w:val="Table 8: Summary of TEAEs in HEADS UP trial at Week 24 - UPA 30 mg daily vs DUPI 300 mg Q2W"/>
      </w:tblPr>
      <w:tblGrid>
        <w:gridCol w:w="2544"/>
        <w:gridCol w:w="1618"/>
        <w:gridCol w:w="1618"/>
        <w:gridCol w:w="1618"/>
        <w:gridCol w:w="1619"/>
      </w:tblGrid>
      <w:tr w:rsidR="004B0F36" w:rsidRPr="00C62A13" w:rsidTr="0079789B">
        <w:trPr>
          <w:trHeight w:val="70"/>
          <w:tblHeader/>
          <w:jc w:val="center"/>
        </w:trPr>
        <w:tc>
          <w:tcPr>
            <w:tcW w:w="1411" w:type="pct"/>
            <w:vAlign w:val="center"/>
          </w:tcPr>
          <w:p w:rsidR="004B0F36" w:rsidRPr="00C62A13" w:rsidRDefault="004B0F36" w:rsidP="00E27F46">
            <w:pPr>
              <w:widowControl w:val="0"/>
              <w:rPr>
                <w:rFonts w:ascii="Arial Narrow" w:hAnsi="Arial Narrow"/>
                <w:b/>
                <w:sz w:val="20"/>
                <w:szCs w:val="20"/>
              </w:rPr>
            </w:pPr>
            <w:r w:rsidRPr="00C62A13">
              <w:rPr>
                <w:rFonts w:ascii="Arial Narrow" w:hAnsi="Arial Narrow"/>
                <w:b/>
                <w:sz w:val="20"/>
                <w:szCs w:val="20"/>
              </w:rPr>
              <w:t>Safety outcome</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UPA 30</w:t>
            </w:r>
            <w:r w:rsidR="009248D9" w:rsidRPr="00C62A13">
              <w:rPr>
                <w:rFonts w:ascii="Arial Narrow" w:hAnsi="Arial Narrow"/>
                <w:b/>
                <w:sz w:val="20"/>
                <w:szCs w:val="20"/>
              </w:rPr>
              <w:t xml:space="preserve"> </w:t>
            </w:r>
            <w:r w:rsidRPr="00C62A13">
              <w:rPr>
                <w:rFonts w:ascii="Arial Narrow" w:hAnsi="Arial Narrow"/>
                <w:b/>
                <w:sz w:val="20"/>
                <w:szCs w:val="20"/>
              </w:rPr>
              <w:t>mg</w:t>
            </w:r>
          </w:p>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n/N (%)</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DUPI 300</w:t>
            </w:r>
            <w:r w:rsidR="009248D9" w:rsidRPr="00C62A13">
              <w:rPr>
                <w:rFonts w:ascii="Arial Narrow" w:hAnsi="Arial Narrow"/>
                <w:b/>
                <w:sz w:val="20"/>
                <w:szCs w:val="20"/>
              </w:rPr>
              <w:t xml:space="preserve"> </w:t>
            </w:r>
            <w:r w:rsidRPr="00C62A13">
              <w:rPr>
                <w:rFonts w:ascii="Arial Narrow" w:hAnsi="Arial Narrow"/>
                <w:b/>
                <w:sz w:val="20"/>
                <w:szCs w:val="20"/>
              </w:rPr>
              <w:t>mg</w:t>
            </w:r>
          </w:p>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n/N (%)</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RR (95% CI)</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RD (95% CI)</w:t>
            </w:r>
          </w:p>
        </w:tc>
      </w:tr>
      <w:tr w:rsidR="004B0F36" w:rsidRPr="00C62A13" w:rsidTr="002B142D">
        <w:trPr>
          <w:trHeight w:val="70"/>
          <w:jc w:val="center"/>
        </w:trPr>
        <w:tc>
          <w:tcPr>
            <w:tcW w:w="1411" w:type="pct"/>
            <w:vAlign w:val="center"/>
          </w:tcPr>
          <w:p w:rsidR="004B0F36" w:rsidRPr="00C62A13" w:rsidRDefault="004B0F36" w:rsidP="00E27F46">
            <w:pPr>
              <w:widowControl w:val="0"/>
              <w:jc w:val="left"/>
              <w:rPr>
                <w:rFonts w:ascii="Arial Narrow" w:hAnsi="Arial Narrow"/>
                <w:bCs/>
                <w:sz w:val="20"/>
                <w:szCs w:val="20"/>
              </w:rPr>
            </w:pPr>
            <w:r w:rsidRPr="00C62A13">
              <w:rPr>
                <w:rFonts w:ascii="Arial Narrow" w:hAnsi="Arial Narrow"/>
                <w:bCs/>
                <w:sz w:val="20"/>
                <w:szCs w:val="20"/>
              </w:rPr>
              <w:t>Any AEs</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271/348 (77.9)</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230/344 (66.9)</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1.16 (1.06, 1.28)</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0.11 (0.04, 0.18)</w:t>
            </w:r>
          </w:p>
        </w:tc>
      </w:tr>
      <w:tr w:rsidR="004B0F36" w:rsidRPr="00C62A13" w:rsidTr="002B142D">
        <w:trPr>
          <w:trHeight w:val="70"/>
          <w:jc w:val="center"/>
        </w:trPr>
        <w:tc>
          <w:tcPr>
            <w:tcW w:w="1411" w:type="pct"/>
            <w:vAlign w:val="center"/>
          </w:tcPr>
          <w:p w:rsidR="004B0F36" w:rsidRPr="00C62A13" w:rsidRDefault="004B0F36" w:rsidP="00E27F46">
            <w:pPr>
              <w:widowControl w:val="0"/>
              <w:jc w:val="left"/>
              <w:rPr>
                <w:rFonts w:ascii="Arial Narrow" w:hAnsi="Arial Narrow"/>
                <w:bCs/>
                <w:sz w:val="20"/>
                <w:szCs w:val="20"/>
              </w:rPr>
            </w:pPr>
            <w:r w:rsidRPr="00C62A13">
              <w:rPr>
                <w:rFonts w:ascii="Arial Narrow" w:hAnsi="Arial Narrow"/>
                <w:bCs/>
                <w:sz w:val="20"/>
                <w:szCs w:val="20"/>
              </w:rPr>
              <w:t>Drug-related AEs</w:t>
            </w:r>
            <w:r w:rsidRPr="00C62A13">
              <w:rPr>
                <w:rFonts w:ascii="Arial Narrow" w:hAnsi="Arial Narrow"/>
                <w:bCs/>
                <w:sz w:val="20"/>
                <w:szCs w:val="20"/>
                <w:vertAlign w:val="superscript"/>
              </w:rPr>
              <w:t>a</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170/348 (48.9)</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129/344 (37.5)</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1.30 (1.09, 1.55)</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0.11 (0.04, 0.19)</w:t>
            </w:r>
          </w:p>
        </w:tc>
      </w:tr>
      <w:tr w:rsidR="004B0F36" w:rsidRPr="00C62A13" w:rsidTr="002B142D">
        <w:trPr>
          <w:trHeight w:val="70"/>
          <w:jc w:val="center"/>
        </w:trPr>
        <w:tc>
          <w:tcPr>
            <w:tcW w:w="1411" w:type="pct"/>
            <w:vAlign w:val="center"/>
          </w:tcPr>
          <w:p w:rsidR="004B0F36" w:rsidRPr="00C62A13" w:rsidRDefault="004B0F36" w:rsidP="00E27F46">
            <w:pPr>
              <w:widowControl w:val="0"/>
              <w:jc w:val="left"/>
              <w:rPr>
                <w:rFonts w:ascii="Arial Narrow" w:hAnsi="Arial Narrow"/>
                <w:bCs/>
                <w:sz w:val="20"/>
                <w:szCs w:val="20"/>
              </w:rPr>
            </w:pPr>
            <w:r w:rsidRPr="00C62A13">
              <w:rPr>
                <w:rFonts w:ascii="Arial Narrow" w:hAnsi="Arial Narrow"/>
                <w:bCs/>
                <w:sz w:val="20"/>
                <w:szCs w:val="20"/>
              </w:rPr>
              <w:t>Severe AEs</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31/348 (8.9)</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15/344 (4.4)</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2.04 (1.12, 3.72)</w:t>
            </w:r>
          </w:p>
        </w:tc>
        <w:tc>
          <w:tcPr>
            <w:tcW w:w="897" w:type="pct"/>
            <w:vAlign w:val="center"/>
          </w:tcPr>
          <w:p w:rsidR="004B0F36" w:rsidRPr="00C62A13" w:rsidRDefault="004B0F36" w:rsidP="00E27F46">
            <w:pPr>
              <w:widowControl w:val="0"/>
              <w:jc w:val="center"/>
              <w:rPr>
                <w:rFonts w:ascii="Arial Narrow" w:hAnsi="Arial Narrow"/>
                <w:b/>
                <w:sz w:val="20"/>
                <w:szCs w:val="20"/>
              </w:rPr>
            </w:pPr>
            <w:r w:rsidRPr="00C62A13">
              <w:rPr>
                <w:rFonts w:ascii="Arial Narrow" w:hAnsi="Arial Narrow"/>
                <w:b/>
                <w:sz w:val="20"/>
                <w:szCs w:val="20"/>
              </w:rPr>
              <w:t>0.05 (0.01, 0.08)</w:t>
            </w:r>
          </w:p>
        </w:tc>
      </w:tr>
      <w:tr w:rsidR="004B0F36" w:rsidRPr="00C62A13" w:rsidTr="002B142D">
        <w:trPr>
          <w:trHeight w:val="70"/>
          <w:jc w:val="center"/>
        </w:trPr>
        <w:tc>
          <w:tcPr>
            <w:tcW w:w="1411" w:type="pct"/>
            <w:vAlign w:val="center"/>
          </w:tcPr>
          <w:p w:rsidR="004B0F36" w:rsidRPr="00C62A13" w:rsidRDefault="004B0F36" w:rsidP="00E27F46">
            <w:pPr>
              <w:widowControl w:val="0"/>
              <w:jc w:val="left"/>
              <w:rPr>
                <w:rFonts w:ascii="Arial Narrow" w:hAnsi="Arial Narrow"/>
                <w:bCs/>
                <w:sz w:val="20"/>
                <w:szCs w:val="20"/>
              </w:rPr>
            </w:pPr>
            <w:r w:rsidRPr="00C62A13">
              <w:rPr>
                <w:rFonts w:ascii="Arial Narrow" w:hAnsi="Arial Narrow"/>
                <w:bCs/>
                <w:sz w:val="20"/>
                <w:szCs w:val="20"/>
              </w:rPr>
              <w:t>Serious AEs</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14/348 (4.0)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7/344 (2.0)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1.98 (0.81, 4.84)</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0.02 (-0.01, 0.05)</w:t>
            </w:r>
          </w:p>
        </w:tc>
      </w:tr>
      <w:tr w:rsidR="004B0F36" w:rsidRPr="00C62A13" w:rsidTr="002B142D">
        <w:trPr>
          <w:trHeight w:val="70"/>
          <w:jc w:val="center"/>
        </w:trPr>
        <w:tc>
          <w:tcPr>
            <w:tcW w:w="1411" w:type="pct"/>
            <w:vAlign w:val="center"/>
          </w:tcPr>
          <w:p w:rsidR="004B0F36" w:rsidRPr="00C62A13" w:rsidRDefault="004B0F36" w:rsidP="00543AC8">
            <w:pPr>
              <w:widowControl w:val="0"/>
              <w:jc w:val="left"/>
              <w:rPr>
                <w:rFonts w:ascii="Arial Narrow" w:hAnsi="Arial Narrow"/>
                <w:bCs/>
                <w:sz w:val="20"/>
                <w:szCs w:val="20"/>
              </w:rPr>
            </w:pPr>
            <w:r w:rsidRPr="00C62A13">
              <w:rPr>
                <w:rFonts w:ascii="Arial Narrow" w:hAnsi="Arial Narrow"/>
                <w:bCs/>
                <w:sz w:val="20"/>
                <w:szCs w:val="20"/>
              </w:rPr>
              <w:t xml:space="preserve">Discontinuation </w:t>
            </w:r>
            <w:r w:rsidR="00543AC8" w:rsidRPr="00C62A13">
              <w:rPr>
                <w:rFonts w:ascii="Arial Narrow" w:hAnsi="Arial Narrow"/>
                <w:bCs/>
                <w:sz w:val="20"/>
                <w:szCs w:val="20"/>
              </w:rPr>
              <w:t>from</w:t>
            </w:r>
            <w:r w:rsidRPr="00C62A13">
              <w:rPr>
                <w:rFonts w:ascii="Arial Narrow" w:hAnsi="Arial Narrow"/>
                <w:bCs/>
                <w:sz w:val="20"/>
                <w:szCs w:val="20"/>
              </w:rPr>
              <w:t xml:space="preserve"> AEs</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11/348 (3.2)</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4/344 (1.2)</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2.72 (0.87, 8.45)</w:t>
            </w:r>
          </w:p>
        </w:tc>
        <w:tc>
          <w:tcPr>
            <w:tcW w:w="897" w:type="pct"/>
            <w:vAlign w:val="center"/>
          </w:tcPr>
          <w:p w:rsidR="004B0F36" w:rsidRPr="00C62A13" w:rsidRDefault="004B0F36" w:rsidP="00E27F46">
            <w:pPr>
              <w:widowControl w:val="0"/>
              <w:jc w:val="center"/>
              <w:rPr>
                <w:rFonts w:ascii="Arial Narrow" w:hAnsi="Arial Narrow"/>
                <w:bCs/>
                <w:sz w:val="20"/>
                <w:szCs w:val="20"/>
              </w:rPr>
            </w:pPr>
            <w:r w:rsidRPr="00C62A13">
              <w:rPr>
                <w:rFonts w:ascii="Arial Narrow" w:hAnsi="Arial Narrow"/>
                <w:bCs/>
                <w:sz w:val="20"/>
                <w:szCs w:val="20"/>
              </w:rPr>
              <w:t>0.02 (-0.00, 0.04)</w:t>
            </w:r>
          </w:p>
        </w:tc>
      </w:tr>
      <w:tr w:rsidR="004B0F36" w:rsidRPr="00C62A13" w:rsidTr="002B142D">
        <w:trPr>
          <w:trHeight w:val="70"/>
          <w:jc w:val="center"/>
        </w:trPr>
        <w:tc>
          <w:tcPr>
            <w:tcW w:w="1411" w:type="pct"/>
            <w:vAlign w:val="center"/>
          </w:tcPr>
          <w:p w:rsidR="004B0F36" w:rsidRPr="00C62A13" w:rsidRDefault="004B0F36" w:rsidP="00E27F46">
            <w:pPr>
              <w:widowControl w:val="0"/>
              <w:jc w:val="left"/>
              <w:rPr>
                <w:rFonts w:ascii="Arial Narrow" w:hAnsi="Arial Narrow"/>
                <w:bCs/>
                <w:sz w:val="20"/>
                <w:szCs w:val="20"/>
              </w:rPr>
            </w:pPr>
            <w:r w:rsidRPr="00C62A13">
              <w:rPr>
                <w:rFonts w:ascii="Arial Narrow" w:hAnsi="Arial Narrow"/>
                <w:bCs/>
                <w:sz w:val="20"/>
                <w:szCs w:val="20"/>
              </w:rPr>
              <w:t>Deaths</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w:t>
            </w:r>
            <w:r w:rsidRPr="00C62A13">
              <w:rPr>
                <w:rFonts w:ascii="Arial Narrow" w:hAnsi="Arial Narrow"/>
                <w:sz w:val="20"/>
                <w:szCs w:val="20"/>
                <w:vertAlign w:val="superscript"/>
              </w:rPr>
              <w:t>b</w:t>
            </w:r>
            <w:r w:rsidRPr="00C62A13">
              <w:rPr>
                <w:rFonts w:ascii="Arial Narrow" w:hAnsi="Arial Narrow"/>
                <w:sz w:val="20"/>
                <w:szCs w:val="20"/>
              </w:rPr>
              <w:t>/348 (0.3)</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0/344 (0.0)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2.97 (0.12, 72.55)</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0.00 (-0;01 0.01)</w:t>
            </w:r>
          </w:p>
        </w:tc>
      </w:tr>
      <w:tr w:rsidR="002B142D" w:rsidRPr="00C62A13" w:rsidTr="002B142D">
        <w:trPr>
          <w:trHeight w:val="70"/>
          <w:jc w:val="center"/>
        </w:trPr>
        <w:tc>
          <w:tcPr>
            <w:tcW w:w="5000" w:type="pct"/>
            <w:gridSpan w:val="5"/>
            <w:vAlign w:val="center"/>
          </w:tcPr>
          <w:p w:rsidR="002B142D" w:rsidRPr="00C62A13" w:rsidRDefault="002B142D" w:rsidP="002B142D">
            <w:pPr>
              <w:widowControl w:val="0"/>
              <w:jc w:val="left"/>
              <w:rPr>
                <w:rFonts w:ascii="Arial Narrow" w:hAnsi="Arial Narrow"/>
                <w:sz w:val="20"/>
                <w:szCs w:val="20"/>
              </w:rPr>
            </w:pPr>
            <w:r w:rsidRPr="00C62A13">
              <w:rPr>
                <w:rFonts w:ascii="Arial Narrow" w:hAnsi="Arial Narrow"/>
                <w:bCs/>
                <w:sz w:val="20"/>
                <w:szCs w:val="20"/>
              </w:rPr>
              <w:t>TEAE of special interest</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Any serious infection</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4/348 (1.1)</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2/344 (0.6)</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1.98 (0.36, 10.72)</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0.01 (-0.01, 0.02)</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Herpes zoster</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12/348 (3.4)</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4/344 (1.2)</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2.97 (0.97, 9.10)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0.02 (0.00, 0.05)</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Hepatic disorder</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12/348 (3.4)</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5/344 (1.5)</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2.37 (0.84, 6.66)</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0.02 (0.00, 0.04)</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Neutropenia</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6/348 (1,7)</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2/344 (0.6)</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2.97 (0.60, 14.59)</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0.01 (0.00, 0.03)</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Malignancy</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1/348 (0.3)</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1/344 (0.3)</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0.99 (0.06, 15.74)</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iCs/>
                <w:sz w:val="20"/>
                <w:szCs w:val="20"/>
              </w:rPr>
              <w:t>-0.00 (-0.01, 0.01).</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CPK elevation</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26/348 (7.5)</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11/344 (3.2)</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b/>
                <w:bCs/>
                <w:iCs/>
                <w:sz w:val="20"/>
                <w:szCs w:val="20"/>
              </w:rPr>
              <w:t>2.34 (1.17, 4.65)</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b/>
                <w:bCs/>
                <w:sz w:val="20"/>
                <w:szCs w:val="20"/>
              </w:rPr>
              <w:t>0.04 (0.01, 0.08)</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MACE</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0/348 (0)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0/344 (0)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0.00 (-0.01, 0.01)</w:t>
            </w:r>
          </w:p>
        </w:tc>
      </w:tr>
      <w:tr w:rsidR="004B0F36" w:rsidRPr="00C62A13" w:rsidTr="002B142D">
        <w:trPr>
          <w:trHeight w:val="70"/>
          <w:jc w:val="center"/>
        </w:trPr>
        <w:tc>
          <w:tcPr>
            <w:tcW w:w="1411" w:type="pct"/>
            <w:vAlign w:val="center"/>
          </w:tcPr>
          <w:p w:rsidR="004B0F36" w:rsidRPr="00C62A13" w:rsidRDefault="004B0F36" w:rsidP="00E27F46">
            <w:pPr>
              <w:widowControl w:val="0"/>
              <w:ind w:left="112"/>
              <w:jc w:val="left"/>
              <w:rPr>
                <w:rFonts w:ascii="Arial Narrow" w:hAnsi="Arial Narrow"/>
                <w:bCs/>
                <w:sz w:val="20"/>
                <w:szCs w:val="20"/>
              </w:rPr>
            </w:pPr>
            <w:r w:rsidRPr="00C62A13">
              <w:rPr>
                <w:rFonts w:ascii="Arial Narrow" w:hAnsi="Arial Narrow"/>
                <w:bCs/>
                <w:sz w:val="20"/>
                <w:szCs w:val="20"/>
              </w:rPr>
              <w:t>VTE</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0/348 (0)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0/344 (0)</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w:t>
            </w:r>
          </w:p>
        </w:tc>
        <w:tc>
          <w:tcPr>
            <w:tcW w:w="897" w:type="pct"/>
            <w:vAlign w:val="center"/>
          </w:tcPr>
          <w:p w:rsidR="004B0F36" w:rsidRPr="00C62A13" w:rsidRDefault="004B0F36" w:rsidP="00E27F46">
            <w:pPr>
              <w:widowControl w:val="0"/>
              <w:jc w:val="center"/>
              <w:rPr>
                <w:rFonts w:ascii="Arial Narrow" w:hAnsi="Arial Narrow"/>
                <w:sz w:val="20"/>
                <w:szCs w:val="20"/>
              </w:rPr>
            </w:pPr>
            <w:r w:rsidRPr="00C62A13">
              <w:rPr>
                <w:rFonts w:ascii="Arial Narrow" w:hAnsi="Arial Narrow"/>
                <w:sz w:val="20"/>
                <w:szCs w:val="20"/>
              </w:rPr>
              <w:t>0.00 (-0.01, 0.01)</w:t>
            </w:r>
          </w:p>
        </w:tc>
      </w:tr>
    </w:tbl>
    <w:p w:rsidR="004B0F36" w:rsidRPr="0092701E" w:rsidRDefault="004B0F36" w:rsidP="004B0F36">
      <w:pPr>
        <w:widowControl w:val="0"/>
        <w:rPr>
          <w:rFonts w:ascii="Arial Narrow" w:hAnsi="Arial Narrow"/>
          <w:i/>
          <w:sz w:val="18"/>
          <w:szCs w:val="18"/>
        </w:rPr>
      </w:pPr>
      <w:r w:rsidRPr="0092701E">
        <w:rPr>
          <w:rFonts w:ascii="Arial Narrow" w:hAnsi="Arial Narrow"/>
          <w:sz w:val="18"/>
          <w:szCs w:val="18"/>
        </w:rPr>
        <w:t xml:space="preserve">Source: Table 2-22, p100 of the submission, </w:t>
      </w:r>
      <w:r w:rsidRPr="0092701E">
        <w:rPr>
          <w:rFonts w:ascii="Arial Narrow" w:hAnsi="Arial Narrow"/>
          <w:i/>
          <w:sz w:val="18"/>
          <w:szCs w:val="18"/>
        </w:rPr>
        <w:t>Table 10, p70 of HEADS UP (M16-046) CSR.</w:t>
      </w:r>
    </w:p>
    <w:p w:rsidR="004B0F36" w:rsidRPr="0092701E" w:rsidRDefault="004B0F36" w:rsidP="004B0F36">
      <w:pPr>
        <w:pStyle w:val="TableFigureFooter"/>
        <w:widowControl w:val="0"/>
        <w:rPr>
          <w:szCs w:val="18"/>
        </w:rPr>
      </w:pPr>
      <w:r w:rsidRPr="0092701E">
        <w:rPr>
          <w:rFonts w:eastAsia="Calibri"/>
          <w:szCs w:val="18"/>
        </w:rPr>
        <w:t>CI</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confidence interval; n</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number of participants reporting data; N</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total participants in group; RD</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risk difference; AE</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adverse events; TEAE</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treatment emergent adverse events; DUPI</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dupilumab; UPA</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upadacitinib; D</w:t>
      </w:r>
      <w:r w:rsidR="0092701E">
        <w:rPr>
          <w:rFonts w:eastAsia="Calibri"/>
          <w:szCs w:val="18"/>
        </w:rPr>
        <w:t xml:space="preserve"> </w:t>
      </w:r>
      <w:r w:rsidRPr="0092701E">
        <w:rPr>
          <w:rFonts w:eastAsia="Calibri"/>
          <w:szCs w:val="18"/>
        </w:rPr>
        <w:t>=</w:t>
      </w:r>
      <w:r w:rsidR="0092701E">
        <w:rPr>
          <w:rFonts w:eastAsia="Calibri"/>
          <w:szCs w:val="18"/>
        </w:rPr>
        <w:t xml:space="preserve"> </w:t>
      </w:r>
      <w:r w:rsidRPr="0092701E">
        <w:rPr>
          <w:rFonts w:eastAsia="Calibri"/>
          <w:szCs w:val="18"/>
        </w:rPr>
        <w:t>once daily; Q2W = once every two weeks.</w:t>
      </w:r>
    </w:p>
    <w:p w:rsidR="004B0F36" w:rsidRPr="0092701E" w:rsidRDefault="004B0F36" w:rsidP="00543AC8">
      <w:pPr>
        <w:pStyle w:val="TableFigureFooter"/>
        <w:widowControl w:val="0"/>
        <w:tabs>
          <w:tab w:val="left" w:pos="142"/>
        </w:tabs>
        <w:rPr>
          <w:szCs w:val="18"/>
        </w:rPr>
      </w:pPr>
      <w:r w:rsidRPr="0092701E">
        <w:rPr>
          <w:szCs w:val="18"/>
          <w:vertAlign w:val="superscript"/>
        </w:rPr>
        <w:t xml:space="preserve">a </w:t>
      </w:r>
      <w:r w:rsidR="00543AC8" w:rsidRPr="0092701E">
        <w:rPr>
          <w:szCs w:val="18"/>
          <w:vertAlign w:val="superscript"/>
        </w:rPr>
        <w:tab/>
      </w:r>
      <w:r w:rsidRPr="0092701E">
        <w:rPr>
          <w:szCs w:val="18"/>
        </w:rPr>
        <w:t>Investigator assessed as having a reasonable possibility of being related to study drug.</w:t>
      </w:r>
    </w:p>
    <w:p w:rsidR="004B0F36" w:rsidRPr="0092701E" w:rsidRDefault="004B0F36" w:rsidP="00543AC8">
      <w:pPr>
        <w:pStyle w:val="TableFigureFooter"/>
        <w:widowControl w:val="0"/>
        <w:tabs>
          <w:tab w:val="left" w:pos="142"/>
        </w:tabs>
        <w:ind w:left="135" w:hanging="135"/>
        <w:rPr>
          <w:szCs w:val="18"/>
        </w:rPr>
      </w:pPr>
      <w:r w:rsidRPr="0092701E">
        <w:rPr>
          <w:szCs w:val="18"/>
          <w:vertAlign w:val="superscript"/>
        </w:rPr>
        <w:t xml:space="preserve">b </w:t>
      </w:r>
      <w:r w:rsidR="00543AC8" w:rsidRPr="0092701E">
        <w:rPr>
          <w:szCs w:val="18"/>
          <w:vertAlign w:val="superscript"/>
        </w:rPr>
        <w:tab/>
      </w:r>
      <w:r w:rsidRPr="0092701E">
        <w:rPr>
          <w:szCs w:val="18"/>
        </w:rPr>
        <w:t>Investigator assessed as having a reasonable possibility of being related to study drug</w:t>
      </w:r>
      <w:r w:rsidR="00C62A13" w:rsidRPr="0092701E">
        <w:rPr>
          <w:szCs w:val="18"/>
        </w:rPr>
        <w:t xml:space="preserve">. </w:t>
      </w:r>
      <w:r w:rsidRPr="0092701E">
        <w:rPr>
          <w:szCs w:val="18"/>
        </w:rPr>
        <w:t>The autopsy report determined the death to be due to pneumonia associated with methicillin-resistant staphylococcal infection, influenza A, and beta hemolytic streptococcal infection (p78 of HEADS UP CSR).</w:t>
      </w:r>
    </w:p>
    <w:p w:rsidR="00C96DA2" w:rsidRPr="00C62A13" w:rsidRDefault="00C96DA2" w:rsidP="00543AC8">
      <w:pPr>
        <w:pStyle w:val="TableFigureFooter"/>
        <w:widowControl w:val="0"/>
        <w:tabs>
          <w:tab w:val="left" w:pos="142"/>
        </w:tabs>
        <w:ind w:left="135" w:hanging="135"/>
      </w:pPr>
    </w:p>
    <w:p w:rsidR="00C96DA2" w:rsidRPr="00C62A13" w:rsidRDefault="00C96DA2" w:rsidP="00C96DA2">
      <w:pPr>
        <w:pStyle w:val="3-BodyText"/>
      </w:pPr>
      <w:r w:rsidRPr="00C62A13">
        <w:t xml:space="preserve">In HEADS UP, a statistically higher proportion of patients experienced a TEAE with UPA 30 mg compared to DUPI 300 mg, including higher rates of drug-related AEs, severe AEs and elevated creatine phosphokinase (CPK). The submission stated, over half of the severe AEs observed with UPA 30 mg were investigations into elevations of alanine aminotransferase or CPK, and the difference compared to DUPI was unlikely to be clinically meaningful. </w:t>
      </w:r>
      <w:r w:rsidR="00561D1D">
        <w:t>The PSCR</w:t>
      </w:r>
      <w:r w:rsidR="008A3E24" w:rsidRPr="00C62A13">
        <w:t xml:space="preserve"> noted that these differences in AEs did not lead to a </w:t>
      </w:r>
      <w:r w:rsidR="00F61A32" w:rsidRPr="00C62A13">
        <w:t xml:space="preserve">statistically significant </w:t>
      </w:r>
      <w:r w:rsidR="008A3E24" w:rsidRPr="00C62A13">
        <w:t xml:space="preserve">difference in discontinuation rates between UPA and DUPI. </w:t>
      </w:r>
      <w:r w:rsidRPr="00C62A13">
        <w:t>The ESC noted that there were numerically more serious infections for patients treated with UPA than DUPI, though the difference was not statistically significant (</w:t>
      </w:r>
      <w:r w:rsidRPr="00C62A13">
        <w:rPr>
          <w:iCs/>
        </w:rPr>
        <w:t>RR=1.98, 95%CI: 0.36-10.72</w:t>
      </w:r>
      <w:r w:rsidRPr="00C62A13">
        <w:t>).</w:t>
      </w:r>
    </w:p>
    <w:p w:rsidR="00C96DA2" w:rsidRPr="00C62A13" w:rsidRDefault="00C96DA2" w:rsidP="00543AC8">
      <w:pPr>
        <w:pStyle w:val="TableFigureFooter"/>
        <w:widowControl w:val="0"/>
        <w:tabs>
          <w:tab w:val="left" w:pos="142"/>
        </w:tabs>
        <w:ind w:left="135" w:hanging="135"/>
      </w:pPr>
    </w:p>
    <w:p w:rsidR="004B0F36" w:rsidRPr="00C62A13" w:rsidRDefault="004B0F36" w:rsidP="004C5595">
      <w:pPr>
        <w:keepNext/>
        <w:keepLines/>
        <w:rPr>
          <w:rFonts w:ascii="Arial Narrow" w:hAnsi="Arial Narrow"/>
          <w:b/>
          <w:bCs/>
          <w:sz w:val="20"/>
          <w:szCs w:val="20"/>
        </w:rPr>
      </w:pPr>
      <w:r w:rsidRPr="00C62A13">
        <w:rPr>
          <w:rFonts w:ascii="Arial Narrow" w:hAnsi="Arial Narrow"/>
          <w:b/>
          <w:bCs/>
          <w:sz w:val="20"/>
          <w:szCs w:val="20"/>
        </w:rPr>
        <w:t>Table 9: Summary of pooled TEAEs at Week 16 reported in the PBO-controlled trials of UPA (MEASURE UP1, MEASURE UP2, M16-048, AD UP, RISING UP), safety population (adults &amp; adolescents)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15"/>
        <w:gridCol w:w="1179"/>
        <w:gridCol w:w="1181"/>
        <w:gridCol w:w="1181"/>
        <w:gridCol w:w="1354"/>
        <w:gridCol w:w="1354"/>
        <w:gridCol w:w="1353"/>
      </w:tblGrid>
      <w:tr w:rsidR="004B0F36" w:rsidRPr="00C62A13" w:rsidTr="002B142D">
        <w:trPr>
          <w:trHeight w:val="70"/>
          <w:jc w:val="center"/>
        </w:trPr>
        <w:tc>
          <w:tcPr>
            <w:tcW w:w="784" w:type="pct"/>
            <w:vMerge w:val="restart"/>
            <w:vAlign w:val="center"/>
          </w:tcPr>
          <w:p w:rsidR="004B0F36" w:rsidRPr="00C62A13" w:rsidRDefault="004B0F36" w:rsidP="004C5595">
            <w:pPr>
              <w:pStyle w:val="In-tableHeading"/>
              <w:keepLines/>
              <w:widowControl w:val="0"/>
              <w:rPr>
                <w:szCs w:val="20"/>
                <w:lang w:val="en-AU"/>
              </w:rPr>
            </w:pPr>
            <w:r w:rsidRPr="00C62A13">
              <w:rPr>
                <w:szCs w:val="20"/>
                <w:lang w:val="en-AU"/>
              </w:rPr>
              <w:t>Trial ID</w:t>
            </w:r>
          </w:p>
        </w:tc>
        <w:tc>
          <w:tcPr>
            <w:tcW w:w="654" w:type="pct"/>
            <w:vMerge w:val="restart"/>
            <w:vAlign w:val="center"/>
          </w:tcPr>
          <w:p w:rsidR="004B0F36" w:rsidRPr="00C62A13" w:rsidRDefault="004B0F36" w:rsidP="004C5595">
            <w:pPr>
              <w:pStyle w:val="In-tableHeading"/>
              <w:keepLines/>
              <w:widowControl w:val="0"/>
              <w:jc w:val="center"/>
              <w:rPr>
                <w:szCs w:val="20"/>
                <w:lang w:val="en-AU"/>
              </w:rPr>
            </w:pPr>
            <w:r w:rsidRPr="00C62A13">
              <w:rPr>
                <w:szCs w:val="20"/>
                <w:lang w:val="en-AU"/>
              </w:rPr>
              <w:t>UPA 15</w:t>
            </w:r>
            <w:r w:rsidR="009248D9" w:rsidRPr="00C62A13">
              <w:rPr>
                <w:szCs w:val="20"/>
                <w:lang w:val="en-AU"/>
              </w:rPr>
              <w:t xml:space="preserve"> </w:t>
            </w:r>
            <w:r w:rsidRPr="00C62A13">
              <w:rPr>
                <w:szCs w:val="20"/>
                <w:lang w:val="en-AU"/>
              </w:rPr>
              <w:t>mg</w:t>
            </w:r>
          </w:p>
          <w:p w:rsidR="004B0F36" w:rsidRPr="00C62A13" w:rsidRDefault="004B0F36" w:rsidP="004C5595">
            <w:pPr>
              <w:pStyle w:val="In-tableHeading"/>
              <w:keepLines/>
              <w:widowControl w:val="0"/>
              <w:jc w:val="center"/>
              <w:rPr>
                <w:szCs w:val="20"/>
                <w:lang w:val="en-AU"/>
              </w:rPr>
            </w:pPr>
            <w:r w:rsidRPr="00C62A13">
              <w:rPr>
                <w:szCs w:val="20"/>
                <w:lang w:val="en-AU"/>
              </w:rPr>
              <w:t>n/N (%)</w:t>
            </w:r>
          </w:p>
        </w:tc>
        <w:tc>
          <w:tcPr>
            <w:tcW w:w="655" w:type="pct"/>
            <w:vMerge w:val="restart"/>
            <w:vAlign w:val="center"/>
          </w:tcPr>
          <w:p w:rsidR="004B0F36" w:rsidRPr="00C62A13" w:rsidRDefault="004B0F36" w:rsidP="004C5595">
            <w:pPr>
              <w:pStyle w:val="In-tableHeading"/>
              <w:keepLines/>
              <w:widowControl w:val="0"/>
              <w:jc w:val="center"/>
              <w:rPr>
                <w:szCs w:val="20"/>
                <w:lang w:val="en-AU"/>
              </w:rPr>
            </w:pPr>
            <w:r w:rsidRPr="00C62A13">
              <w:rPr>
                <w:szCs w:val="20"/>
                <w:lang w:val="en-AU"/>
              </w:rPr>
              <w:t>UPA 30</w:t>
            </w:r>
            <w:r w:rsidR="009248D9" w:rsidRPr="00C62A13">
              <w:rPr>
                <w:szCs w:val="20"/>
                <w:lang w:val="en-AU"/>
              </w:rPr>
              <w:t xml:space="preserve"> </w:t>
            </w:r>
            <w:r w:rsidRPr="00C62A13">
              <w:rPr>
                <w:szCs w:val="20"/>
                <w:lang w:val="en-AU"/>
              </w:rPr>
              <w:t>mg</w:t>
            </w:r>
          </w:p>
          <w:p w:rsidR="004B0F36" w:rsidRPr="00C62A13" w:rsidRDefault="004B0F36" w:rsidP="004C5595">
            <w:pPr>
              <w:pStyle w:val="In-tableHeading"/>
              <w:keepLines/>
              <w:widowControl w:val="0"/>
              <w:jc w:val="center"/>
              <w:rPr>
                <w:szCs w:val="20"/>
                <w:lang w:val="en-AU"/>
              </w:rPr>
            </w:pPr>
            <w:r w:rsidRPr="00C62A13">
              <w:rPr>
                <w:szCs w:val="20"/>
                <w:lang w:val="en-AU"/>
              </w:rPr>
              <w:t>n/N (%)</w:t>
            </w:r>
          </w:p>
        </w:tc>
        <w:tc>
          <w:tcPr>
            <w:tcW w:w="655" w:type="pct"/>
            <w:vMerge w:val="restart"/>
            <w:vAlign w:val="center"/>
          </w:tcPr>
          <w:p w:rsidR="004B0F36" w:rsidRPr="00C62A13" w:rsidRDefault="004B0F36" w:rsidP="004C5595">
            <w:pPr>
              <w:pStyle w:val="In-tableHeading"/>
              <w:keepLines/>
              <w:widowControl w:val="0"/>
              <w:jc w:val="center"/>
              <w:rPr>
                <w:szCs w:val="20"/>
                <w:lang w:val="en-AU"/>
              </w:rPr>
            </w:pPr>
            <w:r w:rsidRPr="00C62A13">
              <w:rPr>
                <w:szCs w:val="20"/>
                <w:lang w:val="en-AU"/>
              </w:rPr>
              <w:t>PBO</w:t>
            </w:r>
          </w:p>
          <w:p w:rsidR="004B0F36" w:rsidRPr="00C62A13" w:rsidRDefault="004B0F36" w:rsidP="004C5595">
            <w:pPr>
              <w:pStyle w:val="In-tableHeading"/>
              <w:keepLines/>
              <w:widowControl w:val="0"/>
              <w:jc w:val="center"/>
              <w:rPr>
                <w:szCs w:val="20"/>
                <w:lang w:val="en-AU"/>
              </w:rPr>
            </w:pPr>
            <w:r w:rsidRPr="00C62A13">
              <w:rPr>
                <w:szCs w:val="20"/>
                <w:lang w:val="en-AU"/>
              </w:rPr>
              <w:t>n/N (%)</w:t>
            </w:r>
          </w:p>
        </w:tc>
        <w:tc>
          <w:tcPr>
            <w:tcW w:w="2252" w:type="pct"/>
            <w:gridSpan w:val="3"/>
            <w:vAlign w:val="center"/>
          </w:tcPr>
          <w:p w:rsidR="004B0F36" w:rsidRPr="00C62A13" w:rsidRDefault="004B0F36" w:rsidP="004C5595">
            <w:pPr>
              <w:pStyle w:val="In-tableHeading"/>
              <w:keepLines/>
              <w:widowControl w:val="0"/>
              <w:jc w:val="center"/>
              <w:rPr>
                <w:szCs w:val="20"/>
                <w:lang w:val="en-AU"/>
              </w:rPr>
            </w:pPr>
            <w:r w:rsidRPr="00C62A13">
              <w:rPr>
                <w:szCs w:val="20"/>
                <w:lang w:val="en-AU"/>
              </w:rPr>
              <w:t>RD (95% CI)</w:t>
            </w:r>
          </w:p>
        </w:tc>
      </w:tr>
      <w:tr w:rsidR="00D4724A" w:rsidRPr="00C62A13" w:rsidTr="002B142D">
        <w:trPr>
          <w:trHeight w:val="70"/>
          <w:jc w:val="center"/>
        </w:trPr>
        <w:tc>
          <w:tcPr>
            <w:tcW w:w="784" w:type="pct"/>
            <w:vMerge/>
            <w:vAlign w:val="center"/>
          </w:tcPr>
          <w:p w:rsidR="004B0F36" w:rsidRPr="00C62A13" w:rsidRDefault="004B0F36" w:rsidP="004C5595">
            <w:pPr>
              <w:pStyle w:val="TableText0"/>
              <w:keepLines/>
              <w:widowControl w:val="0"/>
              <w:rPr>
                <w:b/>
                <w:szCs w:val="20"/>
              </w:rPr>
            </w:pPr>
          </w:p>
        </w:tc>
        <w:tc>
          <w:tcPr>
            <w:tcW w:w="654" w:type="pct"/>
            <w:vMerge/>
            <w:vAlign w:val="center"/>
          </w:tcPr>
          <w:p w:rsidR="004B0F36" w:rsidRPr="00C62A13" w:rsidRDefault="004B0F36" w:rsidP="004C5595">
            <w:pPr>
              <w:pStyle w:val="TableText0"/>
              <w:keepLines/>
              <w:widowControl w:val="0"/>
              <w:rPr>
                <w:b/>
                <w:szCs w:val="20"/>
              </w:rPr>
            </w:pPr>
          </w:p>
        </w:tc>
        <w:tc>
          <w:tcPr>
            <w:tcW w:w="655" w:type="pct"/>
            <w:vMerge/>
            <w:vAlign w:val="center"/>
          </w:tcPr>
          <w:p w:rsidR="004B0F36" w:rsidRPr="00C62A13" w:rsidRDefault="004B0F36" w:rsidP="004C5595">
            <w:pPr>
              <w:pStyle w:val="TableText0"/>
              <w:keepLines/>
              <w:widowControl w:val="0"/>
              <w:rPr>
                <w:b/>
                <w:szCs w:val="20"/>
              </w:rPr>
            </w:pPr>
          </w:p>
        </w:tc>
        <w:tc>
          <w:tcPr>
            <w:tcW w:w="655" w:type="pct"/>
            <w:vMerge/>
            <w:vAlign w:val="center"/>
          </w:tcPr>
          <w:p w:rsidR="004B0F36" w:rsidRPr="00C62A13" w:rsidRDefault="004B0F36" w:rsidP="004C5595">
            <w:pPr>
              <w:pStyle w:val="TableText0"/>
              <w:keepLines/>
              <w:widowControl w:val="0"/>
              <w:rPr>
                <w:b/>
                <w:szCs w:val="20"/>
              </w:rPr>
            </w:pPr>
          </w:p>
        </w:tc>
        <w:tc>
          <w:tcPr>
            <w:tcW w:w="751" w:type="pct"/>
            <w:vAlign w:val="center"/>
          </w:tcPr>
          <w:p w:rsidR="004B0F36" w:rsidRPr="00C62A13" w:rsidRDefault="00D93F0C" w:rsidP="004C5595">
            <w:pPr>
              <w:pStyle w:val="TableText0"/>
              <w:keepLines/>
              <w:widowControl w:val="0"/>
              <w:jc w:val="center"/>
              <w:rPr>
                <w:b/>
                <w:szCs w:val="20"/>
              </w:rPr>
            </w:pPr>
            <w:r w:rsidRPr="00C62A13">
              <w:rPr>
                <w:b/>
                <w:szCs w:val="20"/>
              </w:rPr>
              <w:t>UPA 15</w:t>
            </w:r>
            <w:r w:rsidR="009248D9" w:rsidRPr="00C62A13">
              <w:rPr>
                <w:b/>
                <w:szCs w:val="20"/>
              </w:rPr>
              <w:t xml:space="preserve"> </w:t>
            </w:r>
            <w:r w:rsidR="004B0F36" w:rsidRPr="00C62A13">
              <w:rPr>
                <w:b/>
                <w:szCs w:val="20"/>
              </w:rPr>
              <w:t xml:space="preserve">mg </w:t>
            </w:r>
          </w:p>
          <w:p w:rsidR="004B0F36" w:rsidRPr="00C62A13" w:rsidRDefault="004B0F36" w:rsidP="004C5595">
            <w:pPr>
              <w:pStyle w:val="TableText0"/>
              <w:keepLines/>
              <w:widowControl w:val="0"/>
              <w:jc w:val="center"/>
              <w:rPr>
                <w:b/>
                <w:szCs w:val="20"/>
              </w:rPr>
            </w:pPr>
            <w:r w:rsidRPr="00C62A13">
              <w:rPr>
                <w:b/>
                <w:szCs w:val="20"/>
              </w:rPr>
              <w:t>vs PBO</w:t>
            </w:r>
          </w:p>
        </w:tc>
        <w:tc>
          <w:tcPr>
            <w:tcW w:w="751" w:type="pct"/>
            <w:vAlign w:val="center"/>
          </w:tcPr>
          <w:p w:rsidR="004B0F36" w:rsidRPr="00C62A13" w:rsidRDefault="004B0F36" w:rsidP="004C5595">
            <w:pPr>
              <w:pStyle w:val="TableText0"/>
              <w:keepLines/>
              <w:widowControl w:val="0"/>
              <w:jc w:val="center"/>
              <w:rPr>
                <w:b/>
                <w:szCs w:val="20"/>
              </w:rPr>
            </w:pPr>
            <w:r w:rsidRPr="00C62A13">
              <w:rPr>
                <w:b/>
                <w:szCs w:val="20"/>
              </w:rPr>
              <w:t>UPA 30</w:t>
            </w:r>
            <w:r w:rsidR="009248D9" w:rsidRPr="00C62A13">
              <w:rPr>
                <w:b/>
                <w:szCs w:val="20"/>
              </w:rPr>
              <w:t xml:space="preserve"> </w:t>
            </w:r>
            <w:r w:rsidRPr="00C62A13">
              <w:rPr>
                <w:b/>
                <w:szCs w:val="20"/>
              </w:rPr>
              <w:t xml:space="preserve">mg </w:t>
            </w:r>
          </w:p>
          <w:p w:rsidR="004B0F36" w:rsidRPr="00C62A13" w:rsidRDefault="004B0F36" w:rsidP="004C5595">
            <w:pPr>
              <w:pStyle w:val="TableText0"/>
              <w:keepLines/>
              <w:widowControl w:val="0"/>
              <w:jc w:val="center"/>
              <w:rPr>
                <w:b/>
                <w:szCs w:val="20"/>
              </w:rPr>
            </w:pPr>
            <w:r w:rsidRPr="00C62A13">
              <w:rPr>
                <w:b/>
                <w:szCs w:val="20"/>
              </w:rPr>
              <w:t>vs PBO</w:t>
            </w:r>
          </w:p>
        </w:tc>
        <w:tc>
          <w:tcPr>
            <w:tcW w:w="751" w:type="pct"/>
          </w:tcPr>
          <w:p w:rsidR="004B0F36" w:rsidRPr="00C62A13" w:rsidRDefault="004B0F36" w:rsidP="004C5595">
            <w:pPr>
              <w:pStyle w:val="TableText0"/>
              <w:keepLines/>
              <w:widowControl w:val="0"/>
              <w:jc w:val="center"/>
              <w:rPr>
                <w:b/>
                <w:szCs w:val="20"/>
              </w:rPr>
            </w:pPr>
            <w:r w:rsidRPr="00C62A13">
              <w:rPr>
                <w:b/>
                <w:szCs w:val="20"/>
              </w:rPr>
              <w:t>UPA 30</w:t>
            </w:r>
            <w:r w:rsidR="009248D9" w:rsidRPr="00C62A13">
              <w:rPr>
                <w:b/>
                <w:szCs w:val="20"/>
              </w:rPr>
              <w:t xml:space="preserve"> </w:t>
            </w:r>
            <w:r w:rsidRPr="00C62A13">
              <w:rPr>
                <w:b/>
                <w:szCs w:val="20"/>
              </w:rPr>
              <w:t>mg</w:t>
            </w:r>
          </w:p>
          <w:p w:rsidR="004B0F36" w:rsidRPr="00C62A13" w:rsidRDefault="004B0F36" w:rsidP="004C5595">
            <w:pPr>
              <w:pStyle w:val="TableText0"/>
              <w:keepLines/>
              <w:widowControl w:val="0"/>
              <w:jc w:val="center"/>
              <w:rPr>
                <w:b/>
                <w:szCs w:val="20"/>
              </w:rPr>
            </w:pPr>
            <w:r w:rsidRPr="00C62A13">
              <w:rPr>
                <w:b/>
                <w:szCs w:val="20"/>
              </w:rPr>
              <w:t>vs UPA 15</w:t>
            </w:r>
            <w:r w:rsidR="00F653C5" w:rsidRPr="00C62A13">
              <w:rPr>
                <w:b/>
                <w:szCs w:val="20"/>
              </w:rPr>
              <w:t xml:space="preserve"> </w:t>
            </w:r>
            <w:r w:rsidRPr="00C62A13">
              <w:rPr>
                <w:b/>
                <w:szCs w:val="20"/>
              </w:rPr>
              <w:t>mg</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rPr>
                <w:szCs w:val="20"/>
              </w:rPr>
            </w:pPr>
            <w:r w:rsidRPr="00C62A13">
              <w:rPr>
                <w:szCs w:val="20"/>
              </w:rPr>
              <w:t>Any AE</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625/990 (63.1)</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688/997 (69.0)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565/992 (57.0)</w:t>
            </w:r>
          </w:p>
        </w:tc>
        <w:tc>
          <w:tcPr>
            <w:tcW w:w="751" w:type="pct"/>
          </w:tcPr>
          <w:p w:rsidR="004B0F36" w:rsidRPr="00C62A13" w:rsidRDefault="004B0F36" w:rsidP="004C5595">
            <w:pPr>
              <w:pStyle w:val="TableText0"/>
              <w:keepLines/>
              <w:widowControl w:val="0"/>
              <w:jc w:val="center"/>
              <w:rPr>
                <w:iCs/>
                <w:szCs w:val="20"/>
              </w:rPr>
            </w:pPr>
            <w:r w:rsidRPr="00C62A13">
              <w:rPr>
                <w:b/>
                <w:bCs w:val="0"/>
                <w:szCs w:val="20"/>
              </w:rPr>
              <w:t>0.06 (0.02, 0.10)</w:t>
            </w:r>
          </w:p>
        </w:tc>
        <w:tc>
          <w:tcPr>
            <w:tcW w:w="751" w:type="pct"/>
          </w:tcPr>
          <w:p w:rsidR="004B0F36" w:rsidRPr="00C62A13" w:rsidRDefault="004B0F36" w:rsidP="004C5595">
            <w:pPr>
              <w:pStyle w:val="TableText0"/>
              <w:keepLines/>
              <w:widowControl w:val="0"/>
              <w:jc w:val="center"/>
              <w:rPr>
                <w:b/>
                <w:iCs/>
                <w:szCs w:val="20"/>
              </w:rPr>
            </w:pPr>
            <w:r w:rsidRPr="00C62A13">
              <w:rPr>
                <w:b/>
                <w:bCs w:val="0"/>
                <w:szCs w:val="20"/>
              </w:rPr>
              <w:t>0.12 (0.08,0.16)</w:t>
            </w:r>
          </w:p>
        </w:tc>
        <w:tc>
          <w:tcPr>
            <w:tcW w:w="751" w:type="pct"/>
          </w:tcPr>
          <w:p w:rsidR="004B0F36" w:rsidRPr="00C62A13" w:rsidRDefault="004B0F36" w:rsidP="004C5595">
            <w:pPr>
              <w:pStyle w:val="TableText0"/>
              <w:keepLines/>
              <w:widowControl w:val="0"/>
              <w:jc w:val="center"/>
              <w:rPr>
                <w:b/>
                <w:iCs/>
                <w:szCs w:val="20"/>
              </w:rPr>
            </w:pPr>
            <w:r w:rsidRPr="00C62A13">
              <w:rPr>
                <w:b/>
                <w:bCs w:val="0"/>
                <w:szCs w:val="20"/>
              </w:rPr>
              <w:t>0.06 (0.02, 0.10)</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rPr>
                <w:szCs w:val="20"/>
              </w:rPr>
            </w:pPr>
            <w:r w:rsidRPr="00C62A13">
              <w:rPr>
                <w:bCs w:val="0"/>
                <w:szCs w:val="20"/>
              </w:rPr>
              <w:t>Drug-related AEs</w:t>
            </w:r>
            <w:r w:rsidRPr="00C62A13">
              <w:rPr>
                <w:bCs w:val="0"/>
                <w:szCs w:val="20"/>
                <w:vertAlign w:val="superscript"/>
              </w:rPr>
              <w:t>a</w:t>
            </w:r>
          </w:p>
        </w:tc>
        <w:tc>
          <w:tcPr>
            <w:tcW w:w="654" w:type="pct"/>
            <w:vAlign w:val="center"/>
          </w:tcPr>
          <w:p w:rsidR="004B0F36" w:rsidRPr="00C62A13" w:rsidRDefault="004B0F36" w:rsidP="004C5595">
            <w:pPr>
              <w:pStyle w:val="TableText0"/>
              <w:keepLines/>
              <w:widowControl w:val="0"/>
              <w:jc w:val="center"/>
              <w:rPr>
                <w:iCs/>
                <w:szCs w:val="20"/>
              </w:rPr>
            </w:pPr>
            <w:r w:rsidRPr="00C62A13">
              <w:rPr>
                <w:b/>
                <w:bCs w:val="0"/>
                <w:iCs/>
                <w:szCs w:val="20"/>
              </w:rPr>
              <w:t>310/990 (31.3)</w:t>
            </w:r>
          </w:p>
        </w:tc>
        <w:tc>
          <w:tcPr>
            <w:tcW w:w="655" w:type="pct"/>
            <w:vAlign w:val="center"/>
          </w:tcPr>
          <w:p w:rsidR="004B0F36" w:rsidRPr="00C62A13" w:rsidRDefault="004B0F36" w:rsidP="004C5595">
            <w:pPr>
              <w:pStyle w:val="TableText0"/>
              <w:keepLines/>
              <w:widowControl w:val="0"/>
              <w:jc w:val="center"/>
              <w:rPr>
                <w:iCs/>
                <w:szCs w:val="20"/>
              </w:rPr>
            </w:pPr>
            <w:r w:rsidRPr="00C62A13">
              <w:rPr>
                <w:b/>
                <w:bCs w:val="0"/>
                <w:iCs/>
                <w:szCs w:val="20"/>
              </w:rPr>
              <w:t>390/997 (39.1)</w:t>
            </w:r>
          </w:p>
        </w:tc>
        <w:tc>
          <w:tcPr>
            <w:tcW w:w="655" w:type="pct"/>
            <w:vAlign w:val="center"/>
          </w:tcPr>
          <w:p w:rsidR="004B0F36" w:rsidRPr="00C62A13" w:rsidRDefault="004B0F36" w:rsidP="004C5595">
            <w:pPr>
              <w:pStyle w:val="TableText0"/>
              <w:keepLines/>
              <w:widowControl w:val="0"/>
              <w:jc w:val="center"/>
              <w:rPr>
                <w:iCs/>
                <w:szCs w:val="20"/>
              </w:rPr>
            </w:pPr>
            <w:r w:rsidRPr="00C62A13">
              <w:rPr>
                <w:b/>
                <w:bCs w:val="0"/>
                <w:iCs/>
                <w:szCs w:val="20"/>
              </w:rPr>
              <w:t>196/992 (19.8)</w:t>
            </w:r>
          </w:p>
        </w:tc>
        <w:tc>
          <w:tcPr>
            <w:tcW w:w="751" w:type="pct"/>
          </w:tcPr>
          <w:p w:rsidR="004B0F36" w:rsidRPr="00C62A13" w:rsidRDefault="004B0F36" w:rsidP="004C5595">
            <w:pPr>
              <w:pStyle w:val="TableText0"/>
              <w:keepLines/>
              <w:widowControl w:val="0"/>
              <w:jc w:val="center"/>
              <w:rPr>
                <w:iCs/>
                <w:szCs w:val="20"/>
              </w:rPr>
            </w:pPr>
            <w:r w:rsidRPr="00C62A13">
              <w:rPr>
                <w:b/>
                <w:bCs w:val="0"/>
                <w:iCs/>
                <w:szCs w:val="20"/>
              </w:rPr>
              <w:t>0.10 (0.06, 0.15)</w:t>
            </w:r>
          </w:p>
        </w:tc>
        <w:tc>
          <w:tcPr>
            <w:tcW w:w="751" w:type="pct"/>
          </w:tcPr>
          <w:p w:rsidR="004B0F36" w:rsidRPr="00C62A13" w:rsidRDefault="004B0F36" w:rsidP="004C5595">
            <w:pPr>
              <w:pStyle w:val="TableText0"/>
              <w:keepLines/>
              <w:widowControl w:val="0"/>
              <w:jc w:val="center"/>
              <w:rPr>
                <w:b/>
                <w:iCs/>
                <w:szCs w:val="20"/>
              </w:rPr>
            </w:pPr>
            <w:r w:rsidRPr="00C62A13">
              <w:rPr>
                <w:b/>
                <w:bCs w:val="0"/>
                <w:szCs w:val="20"/>
              </w:rPr>
              <w:t>0.19 (0.14,0.24)</w:t>
            </w:r>
          </w:p>
        </w:tc>
        <w:tc>
          <w:tcPr>
            <w:tcW w:w="751" w:type="pct"/>
          </w:tcPr>
          <w:p w:rsidR="004B0F36" w:rsidRPr="00C62A13" w:rsidRDefault="004B0F36" w:rsidP="004C5595">
            <w:pPr>
              <w:pStyle w:val="TableText0"/>
              <w:keepLines/>
              <w:widowControl w:val="0"/>
              <w:jc w:val="center"/>
              <w:rPr>
                <w:b/>
                <w:iCs/>
                <w:szCs w:val="20"/>
              </w:rPr>
            </w:pPr>
            <w:r w:rsidRPr="00C62A13">
              <w:rPr>
                <w:b/>
                <w:bCs w:val="0"/>
                <w:szCs w:val="20"/>
              </w:rPr>
              <w:t>0.09 (0.03, 0.14)</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rPr>
                <w:szCs w:val="20"/>
              </w:rPr>
            </w:pPr>
            <w:r w:rsidRPr="00C62A13">
              <w:rPr>
                <w:bCs w:val="0"/>
                <w:szCs w:val="20"/>
              </w:rPr>
              <w:t>Severe AEs</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45/990 (4.5)</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46/997 (4.6)</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42/992 (4.2)</w:t>
            </w:r>
          </w:p>
        </w:tc>
        <w:tc>
          <w:tcPr>
            <w:tcW w:w="751" w:type="pct"/>
          </w:tcPr>
          <w:p w:rsidR="004B0F36" w:rsidRPr="00C62A13" w:rsidRDefault="004B0F36" w:rsidP="004C5595">
            <w:pPr>
              <w:pStyle w:val="TableText0"/>
              <w:keepLines/>
              <w:widowControl w:val="0"/>
              <w:jc w:val="center"/>
              <w:rPr>
                <w:iCs/>
                <w:szCs w:val="20"/>
              </w:rPr>
            </w:pPr>
            <w:r w:rsidRPr="00C62A13">
              <w:rPr>
                <w:szCs w:val="20"/>
              </w:rPr>
              <w:t>0.01 (-0.01, 0.02)</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(-0.02,0.03)</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(-0.02,0.02)</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rPr>
                <w:szCs w:val="20"/>
              </w:rPr>
            </w:pPr>
            <w:r w:rsidRPr="00C62A13">
              <w:rPr>
                <w:bCs w:val="0"/>
                <w:szCs w:val="20"/>
              </w:rPr>
              <w:t>Serious AEs</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20/990 (2.0)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20/997 (2.0)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27/992 (2.7)</w:t>
            </w:r>
          </w:p>
        </w:tc>
        <w:tc>
          <w:tcPr>
            <w:tcW w:w="751" w:type="pct"/>
          </w:tcPr>
          <w:p w:rsidR="004B0F36" w:rsidRPr="00C62A13" w:rsidRDefault="004B0F36" w:rsidP="004C5595">
            <w:pPr>
              <w:pStyle w:val="TableText0"/>
              <w:keepLines/>
              <w:widowControl w:val="0"/>
              <w:jc w:val="center"/>
              <w:rPr>
                <w:iCs/>
                <w:szCs w:val="20"/>
              </w:rPr>
            </w:pPr>
            <w:r w:rsidRPr="00C62A13">
              <w:rPr>
                <w:szCs w:val="20"/>
              </w:rPr>
              <w:t>-0.01 (-0.02,0.01)</w:t>
            </w:r>
          </w:p>
        </w:tc>
        <w:tc>
          <w:tcPr>
            <w:tcW w:w="751" w:type="pct"/>
          </w:tcPr>
          <w:p w:rsidR="004B0F36" w:rsidRPr="00C62A13" w:rsidRDefault="004B0F36" w:rsidP="004C5595">
            <w:pPr>
              <w:pStyle w:val="TableText0"/>
              <w:keepLines/>
              <w:widowControl w:val="0"/>
              <w:jc w:val="center"/>
              <w:rPr>
                <w:b/>
                <w:iCs/>
                <w:szCs w:val="20"/>
              </w:rPr>
            </w:pPr>
            <w:r w:rsidRPr="00C62A13">
              <w:rPr>
                <w:szCs w:val="20"/>
              </w:rPr>
              <w:t>-0.01 (-0.02,0.01)</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(-0.01,0.01)</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rPr>
                <w:szCs w:val="20"/>
              </w:rPr>
            </w:pPr>
            <w:r w:rsidRPr="00C62A13">
              <w:rPr>
                <w:bCs w:val="0"/>
                <w:szCs w:val="20"/>
              </w:rPr>
              <w:t xml:space="preserve">Discontinuation </w:t>
            </w:r>
            <w:r w:rsidR="00543AC8" w:rsidRPr="00C62A13">
              <w:rPr>
                <w:bCs w:val="0"/>
                <w:szCs w:val="20"/>
              </w:rPr>
              <w:t>from</w:t>
            </w:r>
            <w:r w:rsidRPr="00C62A13">
              <w:rPr>
                <w:bCs w:val="0"/>
                <w:szCs w:val="20"/>
              </w:rPr>
              <w:t xml:space="preserve"> AEs</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23/990 (2.3)</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27/997 (2.7)</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35/992 (3.5)</w:t>
            </w:r>
          </w:p>
        </w:tc>
        <w:tc>
          <w:tcPr>
            <w:tcW w:w="751" w:type="pct"/>
            <w:vAlign w:val="center"/>
          </w:tcPr>
          <w:p w:rsidR="004B0F36" w:rsidRPr="00C62A13" w:rsidRDefault="004B0F36" w:rsidP="002B142D">
            <w:pPr>
              <w:pStyle w:val="TableText0"/>
              <w:keepLines/>
              <w:widowControl w:val="0"/>
              <w:jc w:val="center"/>
              <w:rPr>
                <w:iCs/>
                <w:szCs w:val="20"/>
              </w:rPr>
            </w:pPr>
            <w:r w:rsidRPr="00C62A13">
              <w:rPr>
                <w:szCs w:val="20"/>
              </w:rPr>
              <w:t>-0.01 (-0.02,0.00)</w:t>
            </w:r>
          </w:p>
        </w:tc>
        <w:tc>
          <w:tcPr>
            <w:tcW w:w="751" w:type="pct"/>
            <w:vAlign w:val="center"/>
          </w:tcPr>
          <w:p w:rsidR="004B0F36" w:rsidRPr="00C62A13" w:rsidRDefault="004B0F36" w:rsidP="002B142D">
            <w:pPr>
              <w:pStyle w:val="TableText0"/>
              <w:keepLines/>
              <w:widowControl w:val="0"/>
              <w:jc w:val="center"/>
              <w:rPr>
                <w:b/>
                <w:iCs/>
                <w:szCs w:val="20"/>
              </w:rPr>
            </w:pPr>
            <w:r w:rsidRPr="00C62A13">
              <w:rPr>
                <w:szCs w:val="20"/>
              </w:rPr>
              <w:t>-0.01 (-0.02,0.01)</w:t>
            </w:r>
          </w:p>
        </w:tc>
        <w:tc>
          <w:tcPr>
            <w:tcW w:w="751" w:type="pct"/>
            <w:vAlign w:val="center"/>
          </w:tcPr>
          <w:p w:rsidR="004B0F36" w:rsidRPr="00C62A13" w:rsidRDefault="004B0F36" w:rsidP="002B142D">
            <w:pPr>
              <w:pStyle w:val="TableText0"/>
              <w:keepLines/>
              <w:widowControl w:val="0"/>
              <w:jc w:val="center"/>
              <w:rPr>
                <w:b/>
                <w:iCs/>
                <w:szCs w:val="20"/>
              </w:rPr>
            </w:pPr>
            <w:r w:rsidRPr="00C62A13">
              <w:rPr>
                <w:szCs w:val="20"/>
              </w:rPr>
              <w:t>0.00 (-0.01, 0.02)</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rPr>
                <w:szCs w:val="20"/>
              </w:rPr>
            </w:pPr>
            <w:r w:rsidRPr="00C62A13">
              <w:rPr>
                <w:bCs w:val="0"/>
                <w:szCs w:val="20"/>
              </w:rPr>
              <w:t>Deaths</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0/990 (0)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0/997 (0)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0/992 (0)</w:t>
            </w:r>
          </w:p>
        </w:tc>
        <w:tc>
          <w:tcPr>
            <w:tcW w:w="751" w:type="pct"/>
          </w:tcPr>
          <w:p w:rsidR="004B0F36" w:rsidRPr="00C62A13" w:rsidRDefault="002B142D" w:rsidP="004C5595">
            <w:pPr>
              <w:pStyle w:val="TableText0"/>
              <w:keepLines/>
              <w:widowControl w:val="0"/>
              <w:jc w:val="center"/>
              <w:rPr>
                <w:iCs/>
                <w:szCs w:val="20"/>
              </w:rPr>
            </w:pPr>
            <w:r>
              <w:rPr>
                <w:iCs/>
                <w:szCs w:val="20"/>
              </w:rPr>
              <w:t>-</w:t>
            </w:r>
          </w:p>
        </w:tc>
        <w:tc>
          <w:tcPr>
            <w:tcW w:w="751" w:type="pct"/>
          </w:tcPr>
          <w:p w:rsidR="004B0F36" w:rsidRPr="00C62A13" w:rsidRDefault="002B142D" w:rsidP="004C5595">
            <w:pPr>
              <w:pStyle w:val="TableText0"/>
              <w:keepLines/>
              <w:widowControl w:val="0"/>
              <w:jc w:val="center"/>
              <w:rPr>
                <w:b/>
                <w:iCs/>
                <w:szCs w:val="20"/>
              </w:rPr>
            </w:pPr>
            <w:r>
              <w:rPr>
                <w:b/>
                <w:iCs/>
                <w:szCs w:val="20"/>
              </w:rPr>
              <w:t>-</w:t>
            </w:r>
          </w:p>
        </w:tc>
        <w:tc>
          <w:tcPr>
            <w:tcW w:w="751" w:type="pct"/>
          </w:tcPr>
          <w:p w:rsidR="004B0F36" w:rsidRPr="00C62A13" w:rsidRDefault="002B142D" w:rsidP="004C5595">
            <w:pPr>
              <w:pStyle w:val="TableText0"/>
              <w:keepLines/>
              <w:widowControl w:val="0"/>
              <w:jc w:val="center"/>
              <w:rPr>
                <w:b/>
                <w:iCs/>
                <w:szCs w:val="20"/>
              </w:rPr>
            </w:pPr>
            <w:r>
              <w:rPr>
                <w:b/>
                <w:iCs/>
                <w:szCs w:val="20"/>
              </w:rPr>
              <w:t>-</w:t>
            </w:r>
          </w:p>
        </w:tc>
      </w:tr>
      <w:tr w:rsidR="002B142D" w:rsidRPr="00C62A13" w:rsidTr="002B142D">
        <w:trPr>
          <w:trHeight w:val="226"/>
          <w:jc w:val="center"/>
        </w:trPr>
        <w:tc>
          <w:tcPr>
            <w:tcW w:w="5000" w:type="pct"/>
            <w:gridSpan w:val="7"/>
            <w:vAlign w:val="center"/>
          </w:tcPr>
          <w:p w:rsidR="002B142D" w:rsidRPr="00C62A13" w:rsidRDefault="002B142D" w:rsidP="002B142D">
            <w:pPr>
              <w:pStyle w:val="TableText0"/>
              <w:keepLines/>
              <w:widowControl w:val="0"/>
              <w:rPr>
                <w:b/>
                <w:iCs/>
                <w:szCs w:val="20"/>
              </w:rPr>
            </w:pPr>
            <w:r w:rsidRPr="00C62A13">
              <w:rPr>
                <w:bCs w:val="0"/>
                <w:szCs w:val="20"/>
              </w:rPr>
              <w:t>TEAE of special interest</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Any serious infection</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7/990 (0.7)</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5/997 (0.5)</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5/992 (0.5)</w:t>
            </w:r>
          </w:p>
        </w:tc>
        <w:tc>
          <w:tcPr>
            <w:tcW w:w="751" w:type="pct"/>
            <w:vAlign w:val="center"/>
          </w:tcPr>
          <w:p w:rsidR="004B0F36" w:rsidRPr="00C62A13" w:rsidRDefault="004B0F36" w:rsidP="002B142D">
            <w:pPr>
              <w:pStyle w:val="TableText0"/>
              <w:keepLines/>
              <w:widowControl w:val="0"/>
              <w:jc w:val="center"/>
              <w:rPr>
                <w:iCs/>
                <w:szCs w:val="20"/>
              </w:rPr>
            </w:pPr>
            <w:r w:rsidRPr="00C62A13">
              <w:rPr>
                <w:szCs w:val="20"/>
              </w:rPr>
              <w:t>0.00 (-0.01, 0.01)</w:t>
            </w:r>
          </w:p>
        </w:tc>
        <w:tc>
          <w:tcPr>
            <w:tcW w:w="751" w:type="pct"/>
            <w:vAlign w:val="center"/>
          </w:tcPr>
          <w:p w:rsidR="004B0F36" w:rsidRPr="00C62A13" w:rsidRDefault="004B0F36" w:rsidP="002B142D">
            <w:pPr>
              <w:pStyle w:val="TableText0"/>
              <w:keepLines/>
              <w:widowControl w:val="0"/>
              <w:jc w:val="center"/>
              <w:rPr>
                <w:b/>
                <w:iCs/>
                <w:szCs w:val="20"/>
              </w:rPr>
            </w:pPr>
            <w:r w:rsidRPr="00C62A13">
              <w:rPr>
                <w:szCs w:val="20"/>
              </w:rPr>
              <w:t>0.00 (-0.01, 0.01)</w:t>
            </w:r>
          </w:p>
        </w:tc>
        <w:tc>
          <w:tcPr>
            <w:tcW w:w="751" w:type="pct"/>
            <w:vAlign w:val="center"/>
          </w:tcPr>
          <w:p w:rsidR="004B0F36" w:rsidRPr="00C62A13" w:rsidRDefault="004B0F36" w:rsidP="002B142D">
            <w:pPr>
              <w:pStyle w:val="TableText0"/>
              <w:keepLines/>
              <w:widowControl w:val="0"/>
              <w:jc w:val="center"/>
              <w:rPr>
                <w:b/>
                <w:iCs/>
                <w:szCs w:val="20"/>
              </w:rPr>
            </w:pPr>
            <w:r w:rsidRPr="00C62A13">
              <w:rPr>
                <w:szCs w:val="20"/>
              </w:rPr>
              <w:t>-0.00 (-0.01,0.01)</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Herpes zoster</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14/990 (1.4)</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18/997 (1.8)</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5/992 (0.5)</w:t>
            </w:r>
          </w:p>
        </w:tc>
        <w:tc>
          <w:tcPr>
            <w:tcW w:w="751" w:type="pct"/>
          </w:tcPr>
          <w:p w:rsidR="004B0F36" w:rsidRPr="00C62A13" w:rsidRDefault="004B0F36" w:rsidP="004C5595">
            <w:pPr>
              <w:pStyle w:val="TableText0"/>
              <w:keepLines/>
              <w:widowControl w:val="0"/>
              <w:jc w:val="center"/>
              <w:rPr>
                <w:iCs/>
                <w:szCs w:val="20"/>
              </w:rPr>
            </w:pPr>
            <w:r w:rsidRPr="00C62A13">
              <w:rPr>
                <w:szCs w:val="20"/>
              </w:rPr>
              <w:t>0.01 (-0.00, 0.02)</w:t>
            </w:r>
          </w:p>
        </w:tc>
        <w:tc>
          <w:tcPr>
            <w:tcW w:w="751" w:type="pct"/>
          </w:tcPr>
          <w:p w:rsidR="004B0F36" w:rsidRPr="00C62A13" w:rsidRDefault="004B0F36" w:rsidP="004C5595">
            <w:pPr>
              <w:pStyle w:val="TableText0"/>
              <w:keepLines/>
              <w:widowControl w:val="0"/>
              <w:jc w:val="center"/>
              <w:rPr>
                <w:b/>
                <w:iCs/>
                <w:szCs w:val="20"/>
              </w:rPr>
            </w:pPr>
            <w:r w:rsidRPr="00C62A13">
              <w:rPr>
                <w:szCs w:val="20"/>
              </w:rPr>
              <w:t>0.01 (0.00, 0.02)</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(-0.01, 0.02)</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Hepatic disorder</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12/990 (1.2)</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16/997 (1.6)</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12/992 (1.2)</w:t>
            </w:r>
          </w:p>
        </w:tc>
        <w:tc>
          <w:tcPr>
            <w:tcW w:w="751" w:type="pct"/>
          </w:tcPr>
          <w:p w:rsidR="004B0F36" w:rsidRPr="00C62A13" w:rsidRDefault="004B0F36" w:rsidP="004C5595">
            <w:pPr>
              <w:pStyle w:val="TableText0"/>
              <w:keepLines/>
              <w:widowControl w:val="0"/>
              <w:jc w:val="center"/>
              <w:rPr>
                <w:iCs/>
                <w:szCs w:val="20"/>
              </w:rPr>
            </w:pPr>
            <w:r w:rsidRPr="00C62A13">
              <w:rPr>
                <w:szCs w:val="20"/>
              </w:rPr>
              <w:t>-0.00 (-0.01,0.01)</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(-0.01, 0.01)</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(-0.01, 0.01)</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Neutropenia</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11/990 (1.1)</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30/997 (3.0-)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3/992 (0.3)</w:t>
            </w:r>
          </w:p>
        </w:tc>
        <w:tc>
          <w:tcPr>
            <w:tcW w:w="751" w:type="pct"/>
          </w:tcPr>
          <w:p w:rsidR="004B0F36" w:rsidRPr="00C62A13" w:rsidRDefault="004B0F36" w:rsidP="004C5595">
            <w:pPr>
              <w:pStyle w:val="TableText0"/>
              <w:keepLines/>
              <w:widowControl w:val="0"/>
              <w:jc w:val="center"/>
              <w:rPr>
                <w:iCs/>
                <w:szCs w:val="20"/>
              </w:rPr>
            </w:pPr>
            <w:r w:rsidRPr="00C62A13">
              <w:rPr>
                <w:szCs w:val="20"/>
              </w:rPr>
              <w:t>0.01 (-0.00, 0.01)</w:t>
            </w:r>
          </w:p>
        </w:tc>
        <w:tc>
          <w:tcPr>
            <w:tcW w:w="751" w:type="pct"/>
          </w:tcPr>
          <w:p w:rsidR="004B0F36" w:rsidRPr="00C62A13" w:rsidRDefault="004B0F36" w:rsidP="004C5595">
            <w:pPr>
              <w:pStyle w:val="TableText0"/>
              <w:keepLines/>
              <w:widowControl w:val="0"/>
              <w:jc w:val="center"/>
              <w:rPr>
                <w:b/>
                <w:iCs/>
                <w:szCs w:val="20"/>
              </w:rPr>
            </w:pPr>
            <w:r w:rsidRPr="00C62A13">
              <w:rPr>
                <w:b/>
                <w:bCs w:val="0"/>
                <w:szCs w:val="20"/>
              </w:rPr>
              <w:t>0.03 (0.01, 0.04)</w:t>
            </w:r>
          </w:p>
        </w:tc>
        <w:tc>
          <w:tcPr>
            <w:tcW w:w="751" w:type="pct"/>
          </w:tcPr>
          <w:p w:rsidR="004B0F36" w:rsidRPr="00C62A13" w:rsidRDefault="004B0F36" w:rsidP="004C5595">
            <w:pPr>
              <w:pStyle w:val="TableText0"/>
              <w:keepLines/>
              <w:widowControl w:val="0"/>
              <w:jc w:val="center"/>
              <w:rPr>
                <w:b/>
                <w:iCs/>
                <w:szCs w:val="20"/>
              </w:rPr>
            </w:pPr>
            <w:r w:rsidRPr="00C62A13">
              <w:rPr>
                <w:szCs w:val="20"/>
              </w:rPr>
              <w:t>0.02 (-0.00, 0.03)</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Malignancy</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3/990 (0.3)</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6/997 (0.6)</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0/992 (0)</w:t>
            </w:r>
          </w:p>
        </w:tc>
        <w:tc>
          <w:tcPr>
            <w:tcW w:w="751" w:type="pct"/>
          </w:tcPr>
          <w:p w:rsidR="004B0F36" w:rsidRPr="00C62A13" w:rsidRDefault="004B0F36" w:rsidP="004C5595">
            <w:pPr>
              <w:pStyle w:val="TableText0"/>
              <w:keepLines/>
              <w:widowControl w:val="0"/>
              <w:jc w:val="center"/>
              <w:rPr>
                <w:iCs/>
                <w:szCs w:val="20"/>
              </w:rPr>
            </w:pPr>
            <w:r w:rsidRPr="00C62A13">
              <w:rPr>
                <w:szCs w:val="20"/>
              </w:rPr>
              <w:t>0.00 (-0.00, 0.01)</w:t>
            </w:r>
          </w:p>
        </w:tc>
        <w:tc>
          <w:tcPr>
            <w:tcW w:w="751" w:type="pct"/>
          </w:tcPr>
          <w:p w:rsidR="004B0F36" w:rsidRPr="00C62A13" w:rsidRDefault="004B0F36" w:rsidP="004C5595">
            <w:pPr>
              <w:pStyle w:val="TableText0"/>
              <w:keepLines/>
              <w:widowControl w:val="0"/>
              <w:jc w:val="center"/>
              <w:rPr>
                <w:b/>
                <w:iCs/>
                <w:szCs w:val="20"/>
              </w:rPr>
            </w:pPr>
            <w:r w:rsidRPr="00C62A13">
              <w:rPr>
                <w:szCs w:val="20"/>
              </w:rPr>
              <w:t>0.01 (-0.00, 0.01)</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(-0.00, 0.01)</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CPK elevation</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42/990 (4.2)</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52/997 (5.2)</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21/992 (2.1)</w:t>
            </w:r>
          </w:p>
        </w:tc>
        <w:tc>
          <w:tcPr>
            <w:tcW w:w="751" w:type="pct"/>
          </w:tcPr>
          <w:p w:rsidR="004B0F36" w:rsidRPr="00C62A13" w:rsidRDefault="004B0F36" w:rsidP="004C5595">
            <w:pPr>
              <w:pStyle w:val="TableText0"/>
              <w:keepLines/>
              <w:widowControl w:val="0"/>
              <w:jc w:val="center"/>
              <w:rPr>
                <w:iCs/>
                <w:szCs w:val="20"/>
              </w:rPr>
            </w:pPr>
            <w:r w:rsidRPr="00C62A13">
              <w:rPr>
                <w:szCs w:val="20"/>
              </w:rPr>
              <w:t>0.02 (0.00, 0.03)</w:t>
            </w:r>
          </w:p>
        </w:tc>
        <w:tc>
          <w:tcPr>
            <w:tcW w:w="751" w:type="pct"/>
          </w:tcPr>
          <w:p w:rsidR="004B0F36" w:rsidRPr="00C62A13" w:rsidRDefault="004B0F36" w:rsidP="004C5595">
            <w:pPr>
              <w:pStyle w:val="TableText0"/>
              <w:keepLines/>
              <w:widowControl w:val="0"/>
              <w:jc w:val="center"/>
              <w:rPr>
                <w:b/>
                <w:iCs/>
                <w:szCs w:val="20"/>
              </w:rPr>
            </w:pPr>
            <w:r w:rsidRPr="00C62A13">
              <w:rPr>
                <w:b/>
                <w:bCs w:val="0"/>
                <w:szCs w:val="20"/>
              </w:rPr>
              <w:t>0.03 (0.01, 0.0</w:t>
            </w:r>
            <w:r w:rsidRPr="00C62A13">
              <w:rPr>
                <w:b/>
                <w:szCs w:val="20"/>
              </w:rPr>
              <w:t>5)</w:t>
            </w:r>
          </w:p>
        </w:tc>
        <w:tc>
          <w:tcPr>
            <w:tcW w:w="751" w:type="pct"/>
          </w:tcPr>
          <w:p w:rsidR="004B0F36" w:rsidRPr="00C62A13" w:rsidRDefault="004B0F36" w:rsidP="004C5595">
            <w:pPr>
              <w:pStyle w:val="TableText0"/>
              <w:keepLines/>
              <w:widowControl w:val="0"/>
              <w:jc w:val="center"/>
              <w:rPr>
                <w:b/>
                <w:iCs/>
                <w:szCs w:val="20"/>
              </w:rPr>
            </w:pPr>
            <w:r w:rsidRPr="00C62A13">
              <w:rPr>
                <w:szCs w:val="20"/>
              </w:rPr>
              <w:t>0.01 (-0.01, 0.03)</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MACE</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1/990 (0.1)</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0/997 (0-)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0/992 (0.3)</w:t>
            </w:r>
          </w:p>
        </w:tc>
        <w:tc>
          <w:tcPr>
            <w:tcW w:w="751" w:type="pct"/>
          </w:tcPr>
          <w:p w:rsidR="004B0F36" w:rsidRPr="00C62A13" w:rsidRDefault="004B0F36" w:rsidP="004C5595">
            <w:pPr>
              <w:pStyle w:val="TableText0"/>
              <w:keepLines/>
              <w:widowControl w:val="0"/>
              <w:jc w:val="center"/>
              <w:rPr>
                <w:iCs/>
                <w:szCs w:val="20"/>
              </w:rPr>
            </w:pPr>
            <w:r w:rsidRPr="00C62A13">
              <w:rPr>
                <w:szCs w:val="20"/>
              </w:rPr>
              <w:t>0.00 (-0.00, 0.00)</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(-0.00, 0.00</w:t>
            </w:r>
            <w:r w:rsidRPr="00C62A13">
              <w:rPr>
                <w:b/>
                <w:bCs w:val="0"/>
                <w:szCs w:val="20"/>
              </w:rPr>
              <w:t>)</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(-0.00,0.00)</w:t>
            </w:r>
          </w:p>
        </w:tc>
      </w:tr>
      <w:tr w:rsidR="00D4724A" w:rsidRPr="00C62A13" w:rsidTr="002B142D">
        <w:trPr>
          <w:trHeight w:val="226"/>
          <w:jc w:val="center"/>
        </w:trPr>
        <w:tc>
          <w:tcPr>
            <w:tcW w:w="784" w:type="pct"/>
            <w:vAlign w:val="center"/>
          </w:tcPr>
          <w:p w:rsidR="004B0F36" w:rsidRPr="00C62A13" w:rsidRDefault="004B0F36" w:rsidP="004C5595">
            <w:pPr>
              <w:pStyle w:val="TableText0"/>
              <w:keepLines/>
              <w:widowControl w:val="0"/>
              <w:ind w:left="112"/>
              <w:rPr>
                <w:szCs w:val="20"/>
              </w:rPr>
            </w:pPr>
            <w:r w:rsidRPr="00C62A13">
              <w:rPr>
                <w:bCs w:val="0"/>
                <w:szCs w:val="20"/>
              </w:rPr>
              <w:t>VTE</w:t>
            </w:r>
          </w:p>
        </w:tc>
        <w:tc>
          <w:tcPr>
            <w:tcW w:w="654" w:type="pct"/>
            <w:vAlign w:val="center"/>
          </w:tcPr>
          <w:p w:rsidR="004B0F36" w:rsidRPr="00C62A13" w:rsidRDefault="004B0F36" w:rsidP="004C5595">
            <w:pPr>
              <w:pStyle w:val="TableText0"/>
              <w:keepLines/>
              <w:widowControl w:val="0"/>
              <w:jc w:val="center"/>
              <w:rPr>
                <w:iCs/>
                <w:szCs w:val="20"/>
              </w:rPr>
            </w:pPr>
            <w:r w:rsidRPr="00C62A13">
              <w:rPr>
                <w:szCs w:val="20"/>
              </w:rPr>
              <w:t>0/990 (0)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0/997 (0-)</w:t>
            </w:r>
          </w:p>
        </w:tc>
        <w:tc>
          <w:tcPr>
            <w:tcW w:w="655" w:type="pct"/>
            <w:vAlign w:val="center"/>
          </w:tcPr>
          <w:p w:rsidR="004B0F36" w:rsidRPr="00C62A13" w:rsidRDefault="004B0F36" w:rsidP="004C5595">
            <w:pPr>
              <w:pStyle w:val="TableText0"/>
              <w:keepLines/>
              <w:widowControl w:val="0"/>
              <w:jc w:val="center"/>
              <w:rPr>
                <w:iCs/>
                <w:szCs w:val="20"/>
              </w:rPr>
            </w:pPr>
            <w:r w:rsidRPr="00C62A13">
              <w:rPr>
                <w:szCs w:val="20"/>
              </w:rPr>
              <w:t>1/992 (0.1)</w:t>
            </w:r>
          </w:p>
        </w:tc>
        <w:tc>
          <w:tcPr>
            <w:tcW w:w="751" w:type="pct"/>
          </w:tcPr>
          <w:p w:rsidR="004B0F36" w:rsidRPr="00C62A13" w:rsidRDefault="004B0F36" w:rsidP="004C5595">
            <w:pPr>
              <w:pStyle w:val="TableText0"/>
              <w:keepLines/>
              <w:widowControl w:val="0"/>
              <w:jc w:val="center"/>
              <w:rPr>
                <w:iCs/>
                <w:szCs w:val="20"/>
              </w:rPr>
            </w:pPr>
            <w:r w:rsidRPr="00C62A13">
              <w:rPr>
                <w:szCs w:val="20"/>
              </w:rPr>
              <w:t>-0.00 (-0.00,0.00)</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(-0.00,0.00</w:t>
            </w:r>
            <w:r w:rsidRPr="00C62A13">
              <w:rPr>
                <w:b/>
                <w:bCs w:val="0"/>
                <w:szCs w:val="20"/>
              </w:rPr>
              <w:t>)</w:t>
            </w:r>
          </w:p>
        </w:tc>
        <w:tc>
          <w:tcPr>
            <w:tcW w:w="751" w:type="pct"/>
          </w:tcPr>
          <w:p w:rsidR="004B0F36" w:rsidRPr="00C62A13" w:rsidRDefault="004B0F36" w:rsidP="004C5595">
            <w:pPr>
              <w:pStyle w:val="TableText0"/>
              <w:keepLines/>
              <w:widowControl w:val="0"/>
              <w:jc w:val="center"/>
              <w:rPr>
                <w:b/>
                <w:iCs/>
                <w:szCs w:val="20"/>
              </w:rPr>
            </w:pPr>
            <w:r w:rsidRPr="00C62A13">
              <w:rPr>
                <w:szCs w:val="20"/>
              </w:rPr>
              <w:t>0.00 (-0.00, 0.00)</w:t>
            </w:r>
          </w:p>
        </w:tc>
      </w:tr>
    </w:tbl>
    <w:p w:rsidR="004B0F36" w:rsidRPr="0092701E" w:rsidRDefault="004B0F36" w:rsidP="004C5595">
      <w:pPr>
        <w:keepNext/>
        <w:keepLines/>
        <w:spacing w:after="120"/>
        <w:contextualSpacing/>
        <w:rPr>
          <w:rFonts w:ascii="Arial Narrow" w:hAnsi="Arial Narrow"/>
          <w:sz w:val="18"/>
          <w:szCs w:val="18"/>
          <w:vertAlign w:val="superscript"/>
        </w:rPr>
      </w:pPr>
      <w:r w:rsidRPr="0092701E">
        <w:rPr>
          <w:rFonts w:ascii="Arial Narrow" w:hAnsi="Arial Narrow"/>
          <w:sz w:val="18"/>
          <w:szCs w:val="18"/>
        </w:rPr>
        <w:t>Source: Table 2.25, p104 of the submission.</w:t>
      </w:r>
      <w:r w:rsidRPr="0092701E">
        <w:rPr>
          <w:rFonts w:ascii="Arial Narrow" w:hAnsi="Arial Narrow"/>
          <w:sz w:val="18"/>
          <w:szCs w:val="18"/>
          <w:vertAlign w:val="superscript"/>
        </w:rPr>
        <w:t xml:space="preserve"> </w:t>
      </w:r>
    </w:p>
    <w:p w:rsidR="00F72E36" w:rsidRPr="0092701E" w:rsidRDefault="00F72E36" w:rsidP="004C5595">
      <w:pPr>
        <w:keepNext/>
        <w:keepLines/>
        <w:spacing w:after="120"/>
        <w:contextualSpacing/>
        <w:rPr>
          <w:rFonts w:ascii="Arial Narrow" w:hAnsi="Arial Narrow"/>
          <w:sz w:val="18"/>
          <w:szCs w:val="18"/>
          <w:vertAlign w:val="superscript"/>
        </w:rPr>
      </w:pPr>
      <w:r w:rsidRPr="0092701E">
        <w:rPr>
          <w:rFonts w:ascii="Arial Narrow" w:eastAsia="Calibri" w:hAnsi="Arial Narrow"/>
          <w:sz w:val="18"/>
          <w:szCs w:val="18"/>
        </w:rPr>
        <w:t>CI</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confidence interval; n</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number of participants reporting data; N</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total participants in group; RD</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risk difference; AE</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adverse events; TEAE</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treatment emergent adverse events; DUPI</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dupilumab; UPA</w:t>
      </w:r>
      <w:r w:rsidR="0092701E">
        <w:rPr>
          <w:rFonts w:ascii="Arial Narrow" w:eastAsia="Calibri" w:hAnsi="Arial Narrow"/>
          <w:sz w:val="18"/>
          <w:szCs w:val="18"/>
        </w:rPr>
        <w:t xml:space="preserve"> </w:t>
      </w:r>
      <w:r w:rsidRPr="0092701E">
        <w:rPr>
          <w:rFonts w:ascii="Arial Narrow" w:eastAsia="Calibri" w:hAnsi="Arial Narrow"/>
          <w:sz w:val="18"/>
          <w:szCs w:val="18"/>
        </w:rPr>
        <w:t>=</w:t>
      </w:r>
      <w:r w:rsidR="0092701E">
        <w:rPr>
          <w:rFonts w:ascii="Arial Narrow" w:eastAsia="Calibri" w:hAnsi="Arial Narrow"/>
          <w:sz w:val="18"/>
          <w:szCs w:val="18"/>
        </w:rPr>
        <w:t xml:space="preserve"> </w:t>
      </w:r>
      <w:r w:rsidRPr="0092701E">
        <w:rPr>
          <w:rFonts w:ascii="Arial Narrow" w:eastAsia="Calibri" w:hAnsi="Arial Narrow"/>
          <w:sz w:val="18"/>
          <w:szCs w:val="18"/>
        </w:rPr>
        <w:t>upadacitinib</w:t>
      </w:r>
    </w:p>
    <w:p w:rsidR="004B0F36" w:rsidRPr="0092701E" w:rsidRDefault="004B0F36" w:rsidP="004C5595">
      <w:pPr>
        <w:keepNext/>
        <w:keepLines/>
        <w:spacing w:after="120"/>
        <w:contextualSpacing/>
        <w:rPr>
          <w:rFonts w:ascii="Arial Narrow" w:hAnsi="Arial Narrow"/>
          <w:sz w:val="18"/>
          <w:szCs w:val="18"/>
        </w:rPr>
      </w:pPr>
      <w:r w:rsidRPr="0092701E">
        <w:rPr>
          <w:rFonts w:ascii="Arial Narrow" w:hAnsi="Arial Narrow"/>
          <w:sz w:val="18"/>
          <w:szCs w:val="18"/>
          <w:vertAlign w:val="superscript"/>
        </w:rPr>
        <w:t xml:space="preserve">a </w:t>
      </w:r>
      <w:r w:rsidRPr="0092701E">
        <w:rPr>
          <w:rFonts w:ascii="Arial Narrow" w:hAnsi="Arial Narrow"/>
          <w:sz w:val="18"/>
          <w:szCs w:val="18"/>
        </w:rPr>
        <w:t>Investigator assessed as having a reasonable possibility of being related to study drug.</w:t>
      </w:r>
    </w:p>
    <w:p w:rsidR="004B0F36" w:rsidRPr="00C62A13" w:rsidRDefault="00543AC8" w:rsidP="00776BAC">
      <w:pPr>
        <w:pStyle w:val="3-BodyText"/>
      </w:pPr>
      <w:r w:rsidRPr="00C62A13">
        <w:t>In the PBO-controlled trials, a</w:t>
      </w:r>
      <w:r w:rsidR="004B0F36" w:rsidRPr="00C62A13">
        <w:t xml:space="preserve"> statistically higher proportion of patients experienced a TEAE with UPA 15</w:t>
      </w:r>
      <w:r w:rsidR="009248D9" w:rsidRPr="00C62A13">
        <w:t xml:space="preserve"> </w:t>
      </w:r>
      <w:r w:rsidR="004B0F36" w:rsidRPr="00C62A13">
        <w:t>mg or UPA 30</w:t>
      </w:r>
      <w:r w:rsidR="009248D9" w:rsidRPr="00C62A13">
        <w:t xml:space="preserve"> </w:t>
      </w:r>
      <w:r w:rsidR="004B0F36" w:rsidRPr="00C62A13">
        <w:t xml:space="preserve">mg compared to PBO. The majority of AEs were mild to moderate in severity, with less than 5% of patients on UPA experiencing a severe AE. </w:t>
      </w:r>
      <w:r w:rsidR="00776BAC" w:rsidRPr="00C62A13">
        <w:t>Overall, a higher proportion of patients experienced a TEAE with UPA 30</w:t>
      </w:r>
      <w:r w:rsidR="009248D9" w:rsidRPr="00C62A13">
        <w:t xml:space="preserve"> </w:t>
      </w:r>
      <w:r w:rsidR="00776BAC" w:rsidRPr="00C62A13">
        <w:t>mg (69%) compared to UPA 15</w:t>
      </w:r>
      <w:r w:rsidR="009248D9" w:rsidRPr="00C62A13">
        <w:t xml:space="preserve"> </w:t>
      </w:r>
      <w:r w:rsidR="00776BAC" w:rsidRPr="00C62A13">
        <w:t xml:space="preserve">mg (63.1%). </w:t>
      </w:r>
      <w:r w:rsidR="004B0F36" w:rsidRPr="00C62A13">
        <w:t xml:space="preserve">The most commonly reported adverse events for UPA (either dose) in the trials (acne, atopic dermatitis, upper respiratory tract infection, nasopharyngitis, headache, increased blood creatinine phosphokinase and oral herpes) were consistent with the known safety profile for UPA. </w:t>
      </w:r>
    </w:p>
    <w:p w:rsidR="004B0F36" w:rsidRPr="00C62A13" w:rsidRDefault="004B0F36" w:rsidP="00776BAC">
      <w:pPr>
        <w:pStyle w:val="3-BodyText"/>
      </w:pPr>
      <w:r w:rsidRPr="00C62A13">
        <w:rPr>
          <w:iCs/>
        </w:rPr>
        <w:t>Table 10 summarises an indirect treatment comparison between UPA versus DUPI conduct</w:t>
      </w:r>
      <w:r w:rsidR="00B34A29" w:rsidRPr="00C62A13">
        <w:rPr>
          <w:iCs/>
        </w:rPr>
        <w:t>ed</w:t>
      </w:r>
      <w:r w:rsidRPr="00C62A13">
        <w:rPr>
          <w:iCs/>
        </w:rPr>
        <w:t xml:space="preserve"> during the evaluation for comparable safety outcomes, pooled across monotherapy and combination therapy trials.</w:t>
      </w:r>
      <w:r w:rsidR="00776BAC" w:rsidRPr="00C62A13">
        <w:t xml:space="preserve"> The indirect treatment comparisons show a lower proportion of patients experiencing any AEs with DUPI compared to UPA 30</w:t>
      </w:r>
      <w:r w:rsidR="009248D9" w:rsidRPr="00C62A13">
        <w:t xml:space="preserve"> </w:t>
      </w:r>
      <w:r w:rsidR="00776BAC" w:rsidRPr="00C62A13">
        <w:t>mg, but similar rates of serious AEs and AEs leading to discontinuation.</w:t>
      </w:r>
    </w:p>
    <w:p w:rsidR="004B0F36" w:rsidRPr="00C62A13" w:rsidRDefault="004B0F36" w:rsidP="00351BD4">
      <w:pPr>
        <w:keepNext/>
        <w:keepLines/>
        <w:rPr>
          <w:rFonts w:ascii="Arial Narrow" w:hAnsi="Arial Narrow"/>
          <w:b/>
          <w:bCs/>
          <w:iCs/>
          <w:sz w:val="20"/>
          <w:szCs w:val="20"/>
        </w:rPr>
      </w:pPr>
      <w:r w:rsidRPr="00C62A13">
        <w:rPr>
          <w:rFonts w:ascii="Arial Narrow" w:hAnsi="Arial Narrow"/>
          <w:b/>
          <w:bCs/>
          <w:iCs/>
          <w:sz w:val="20"/>
          <w:szCs w:val="20"/>
        </w:rPr>
        <w:t>Table 10 Summary of indirect treatment comparison between UPA and DUPI across safety outcomes at Week 16, safety population (adults &amp; adolescents)</w:t>
      </w:r>
    </w:p>
    <w:tbl>
      <w:tblPr>
        <w:tblStyle w:val="TableGrid"/>
        <w:tblW w:w="5000" w:type="pct"/>
        <w:tblCellMar>
          <w:left w:w="28" w:type="dxa"/>
          <w:right w:w="28" w:type="dxa"/>
        </w:tblCellMar>
        <w:tblLook w:val="04A0" w:firstRow="1" w:lastRow="0" w:firstColumn="1" w:lastColumn="0" w:noHBand="0" w:noVBand="1"/>
        <w:tblCaption w:val="Table 10 Summary of indirect treatment comparison between UPA and DUPI across safety outcomes at Week 16, safety population (adults &amp; adolescents)"/>
      </w:tblPr>
      <w:tblGrid>
        <w:gridCol w:w="5099"/>
        <w:gridCol w:w="1958"/>
        <w:gridCol w:w="1960"/>
      </w:tblGrid>
      <w:tr w:rsidR="004B0F36" w:rsidRPr="00C62A13" w:rsidTr="0079789B">
        <w:trPr>
          <w:tblHeader/>
        </w:trPr>
        <w:tc>
          <w:tcPr>
            <w:tcW w:w="2827" w:type="pct"/>
          </w:tcPr>
          <w:p w:rsidR="004B0F36" w:rsidRPr="00C62A13" w:rsidRDefault="004B0F36" w:rsidP="00351BD4">
            <w:pPr>
              <w:keepNext/>
              <w:keepLines/>
              <w:widowControl w:val="0"/>
              <w:rPr>
                <w:rFonts w:ascii="Arial Narrow" w:hAnsi="Arial Narrow"/>
                <w:b/>
                <w:bCs/>
                <w:iCs/>
                <w:snapToGrid w:val="0"/>
                <w:sz w:val="20"/>
                <w:szCs w:val="20"/>
                <w:lang w:eastAsia="en-US"/>
              </w:rPr>
            </w:pPr>
          </w:p>
        </w:tc>
        <w:tc>
          <w:tcPr>
            <w:tcW w:w="1086" w:type="pct"/>
            <w:shd w:val="clear" w:color="auto" w:fill="auto"/>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
                <w:bCs/>
                <w:iCs/>
                <w:snapToGrid w:val="0"/>
                <w:sz w:val="20"/>
                <w:szCs w:val="20"/>
                <w:lang w:eastAsia="en-US"/>
              </w:rPr>
              <w:t>RR</w:t>
            </w:r>
            <w:r w:rsidRPr="00C62A13">
              <w:rPr>
                <w:rFonts w:ascii="Arial Narrow" w:hAnsi="Arial Narrow"/>
                <w:b/>
                <w:bCs/>
                <w:iCs/>
                <w:snapToGrid w:val="0"/>
                <w:sz w:val="20"/>
                <w:szCs w:val="20"/>
                <w:vertAlign w:val="superscript"/>
                <w:lang w:eastAsia="en-US"/>
              </w:rPr>
              <w:t>#</w:t>
            </w:r>
            <w:r w:rsidR="00776BAC" w:rsidRPr="00C62A13">
              <w:rPr>
                <w:rFonts w:ascii="Arial Narrow" w:hAnsi="Arial Narrow"/>
                <w:b/>
                <w:bCs/>
                <w:iCs/>
                <w:snapToGrid w:val="0"/>
                <w:sz w:val="20"/>
                <w:szCs w:val="20"/>
                <w:vertAlign w:val="superscript"/>
                <w:lang w:eastAsia="en-US"/>
              </w:rPr>
              <w:t xml:space="preserve"> </w:t>
            </w:r>
            <w:r w:rsidRPr="00C62A13">
              <w:rPr>
                <w:rFonts w:ascii="Arial Narrow" w:hAnsi="Arial Narrow"/>
                <w:b/>
                <w:bCs/>
                <w:iCs/>
                <w:snapToGrid w:val="0"/>
                <w:sz w:val="20"/>
                <w:szCs w:val="20"/>
                <w:lang w:eastAsia="en-US"/>
              </w:rPr>
              <w:t>(95%CI)</w:t>
            </w:r>
          </w:p>
        </w:tc>
        <w:tc>
          <w:tcPr>
            <w:tcW w:w="1087"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
                <w:bCs/>
                <w:iCs/>
                <w:snapToGrid w:val="0"/>
                <w:sz w:val="20"/>
                <w:szCs w:val="20"/>
                <w:lang w:eastAsia="en-US"/>
              </w:rPr>
              <w:t>RD</w:t>
            </w:r>
            <w:r w:rsidRPr="00C62A13">
              <w:rPr>
                <w:rFonts w:ascii="Arial Narrow" w:hAnsi="Arial Narrow"/>
                <w:b/>
                <w:bCs/>
                <w:iCs/>
                <w:snapToGrid w:val="0"/>
                <w:sz w:val="20"/>
                <w:szCs w:val="20"/>
                <w:vertAlign w:val="superscript"/>
                <w:lang w:eastAsia="en-US"/>
              </w:rPr>
              <w:t>#</w:t>
            </w:r>
            <w:r w:rsidR="00776BAC" w:rsidRPr="00C62A13">
              <w:rPr>
                <w:rFonts w:ascii="Arial Narrow" w:hAnsi="Arial Narrow"/>
                <w:b/>
                <w:bCs/>
                <w:iCs/>
                <w:snapToGrid w:val="0"/>
                <w:sz w:val="20"/>
                <w:szCs w:val="20"/>
                <w:lang w:eastAsia="en-US"/>
              </w:rPr>
              <w:t xml:space="preserve"> </w:t>
            </w:r>
            <w:r w:rsidRPr="00C62A13">
              <w:rPr>
                <w:rFonts w:ascii="Arial Narrow" w:hAnsi="Arial Narrow"/>
                <w:b/>
                <w:bCs/>
                <w:iCs/>
                <w:snapToGrid w:val="0"/>
                <w:sz w:val="20"/>
                <w:szCs w:val="20"/>
                <w:lang w:eastAsia="en-US"/>
              </w:rPr>
              <w:t>(95%CI)</w:t>
            </w:r>
          </w:p>
        </w:tc>
      </w:tr>
      <w:tr w:rsidR="002B142D" w:rsidRPr="00C62A13" w:rsidTr="002B142D">
        <w:tc>
          <w:tcPr>
            <w:tcW w:w="5000" w:type="pct"/>
            <w:gridSpan w:val="3"/>
          </w:tcPr>
          <w:p w:rsidR="002B142D" w:rsidRPr="00C62A13" w:rsidRDefault="002B142D" w:rsidP="002B142D">
            <w:pPr>
              <w:keepNext/>
              <w:keepLines/>
              <w:widowControl w:val="0"/>
              <w:jc w:val="left"/>
              <w:rPr>
                <w:rFonts w:ascii="Arial Narrow" w:hAnsi="Arial Narrow"/>
                <w:iCs/>
                <w:snapToGrid w:val="0"/>
                <w:sz w:val="20"/>
                <w:szCs w:val="20"/>
                <w:lang w:eastAsia="en-US"/>
              </w:rPr>
            </w:pPr>
            <w:r w:rsidRPr="00C62A13">
              <w:rPr>
                <w:rFonts w:ascii="Arial Narrow" w:hAnsi="Arial Narrow"/>
                <w:b/>
                <w:bCs/>
                <w:iCs/>
                <w:snapToGrid w:val="0"/>
                <w:sz w:val="20"/>
                <w:szCs w:val="20"/>
                <w:lang w:eastAsia="en-US"/>
              </w:rPr>
              <w:t>Monotherapy + Combination therapy</w:t>
            </w:r>
          </w:p>
        </w:tc>
      </w:tr>
      <w:tr w:rsidR="002B142D" w:rsidRPr="00C62A13" w:rsidTr="002B142D">
        <w:tc>
          <w:tcPr>
            <w:tcW w:w="5000" w:type="pct"/>
            <w:gridSpan w:val="3"/>
          </w:tcPr>
          <w:p w:rsidR="002B142D" w:rsidRPr="00C62A13" w:rsidRDefault="002B142D" w:rsidP="002B142D">
            <w:pPr>
              <w:keepNext/>
              <w:keepLines/>
              <w:widowControl w:val="0"/>
              <w:jc w:val="left"/>
              <w:rPr>
                <w:rFonts w:ascii="Arial Narrow" w:hAnsi="Arial Narrow"/>
                <w:iCs/>
                <w:snapToGrid w:val="0"/>
                <w:sz w:val="20"/>
                <w:szCs w:val="20"/>
                <w:lang w:eastAsia="en-US"/>
              </w:rPr>
            </w:pPr>
            <w:r w:rsidRPr="00C62A13">
              <w:rPr>
                <w:rFonts w:ascii="Arial Narrow" w:hAnsi="Arial Narrow"/>
                <w:b/>
                <w:sz w:val="20"/>
                <w:szCs w:val="20"/>
              </w:rPr>
              <w:t>Any AEs</w:t>
            </w:r>
          </w:p>
        </w:tc>
      </w:tr>
      <w:tr w:rsidR="004B0F36" w:rsidRPr="00C62A13" w:rsidTr="002B142D">
        <w:tc>
          <w:tcPr>
            <w:tcW w:w="2827" w:type="pct"/>
            <w:vAlign w:val="center"/>
          </w:tcPr>
          <w:p w:rsidR="004B0F36" w:rsidRPr="00C62A13" w:rsidRDefault="004B0F36" w:rsidP="00351BD4">
            <w:pPr>
              <w:keepNext/>
              <w:keepLines/>
              <w:widowControl w:val="0"/>
              <w:rPr>
                <w:rFonts w:ascii="Arial Narrow" w:hAnsi="Arial Narrow"/>
                <w:iCs/>
                <w:snapToGrid w:val="0"/>
                <w:sz w:val="20"/>
                <w:szCs w:val="20"/>
                <w:lang w:eastAsia="en-US"/>
              </w:rPr>
            </w:pPr>
            <w:r w:rsidRPr="00C62A13">
              <w:rPr>
                <w:rFonts w:ascii="Arial Narrow" w:hAnsi="Arial Narrow"/>
                <w:iCs/>
                <w:snapToGrid w:val="0"/>
                <w:sz w:val="20"/>
                <w:szCs w:val="20"/>
                <w:lang w:eastAsia="en-US"/>
              </w:rPr>
              <w:t>UPA 15</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 v DUPI 200/300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w:t>
            </w:r>
          </w:p>
        </w:tc>
        <w:tc>
          <w:tcPr>
            <w:tcW w:w="1086" w:type="pct"/>
            <w:shd w:val="clear" w:color="auto" w:fill="auto"/>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1.08 (0.99, 1.18)</w:t>
            </w:r>
          </w:p>
        </w:tc>
        <w:tc>
          <w:tcPr>
            <w:tcW w:w="1087" w:type="pct"/>
            <w:shd w:val="clear" w:color="auto" w:fill="auto"/>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0.05 (-0.01, 0.11)</w:t>
            </w:r>
          </w:p>
        </w:tc>
      </w:tr>
      <w:tr w:rsidR="004B0F36" w:rsidRPr="00C62A13" w:rsidTr="002B142D">
        <w:tc>
          <w:tcPr>
            <w:tcW w:w="2827" w:type="pct"/>
            <w:vAlign w:val="center"/>
          </w:tcPr>
          <w:p w:rsidR="004B0F36" w:rsidRPr="00C62A13" w:rsidRDefault="004B0F36" w:rsidP="00351BD4">
            <w:pPr>
              <w:keepNext/>
              <w:keepLines/>
              <w:widowControl w:val="0"/>
              <w:rPr>
                <w:rFonts w:ascii="Arial Narrow" w:hAnsi="Arial Narrow"/>
                <w:iCs/>
                <w:snapToGrid w:val="0"/>
                <w:sz w:val="20"/>
                <w:szCs w:val="20"/>
                <w:lang w:eastAsia="en-US"/>
              </w:rPr>
            </w:pPr>
            <w:r w:rsidRPr="00C62A13">
              <w:rPr>
                <w:rFonts w:ascii="Arial Narrow" w:hAnsi="Arial Narrow"/>
                <w:iCs/>
                <w:snapToGrid w:val="0"/>
                <w:sz w:val="20"/>
                <w:szCs w:val="20"/>
                <w:lang w:eastAsia="en-US"/>
              </w:rPr>
              <w:t>UPA 30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 v DUPI 200/300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w:t>
            </w:r>
          </w:p>
        </w:tc>
        <w:tc>
          <w:tcPr>
            <w:tcW w:w="1086" w:type="pct"/>
            <w:vAlign w:val="center"/>
          </w:tcPr>
          <w:p w:rsidR="004B0F36" w:rsidRPr="00C62A13" w:rsidRDefault="004B0F36" w:rsidP="00351BD4">
            <w:pPr>
              <w:keepNext/>
              <w:keepLines/>
              <w:widowControl w:val="0"/>
              <w:jc w:val="center"/>
              <w:rPr>
                <w:rFonts w:ascii="Arial Narrow" w:hAnsi="Arial Narrow"/>
                <w:b/>
                <w:bCs/>
                <w:iCs/>
                <w:snapToGrid w:val="0"/>
                <w:sz w:val="20"/>
                <w:szCs w:val="20"/>
                <w:lang w:eastAsia="en-US"/>
              </w:rPr>
            </w:pPr>
            <w:r w:rsidRPr="00C62A13">
              <w:rPr>
                <w:rFonts w:ascii="Arial Narrow" w:hAnsi="Arial Narrow"/>
                <w:b/>
                <w:bCs/>
                <w:iCs/>
                <w:snapToGrid w:val="0"/>
                <w:sz w:val="20"/>
                <w:szCs w:val="20"/>
                <w:lang w:eastAsia="en-US"/>
              </w:rPr>
              <w:t>1.19 (1.09, 1.30)</w:t>
            </w:r>
          </w:p>
        </w:tc>
        <w:tc>
          <w:tcPr>
            <w:tcW w:w="1087"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
                <w:bCs/>
                <w:iCs/>
                <w:snapToGrid w:val="0"/>
                <w:sz w:val="20"/>
                <w:szCs w:val="20"/>
                <w:lang w:eastAsia="en-US"/>
              </w:rPr>
              <w:t>0.11 (0.05, 0.17)</w:t>
            </w:r>
          </w:p>
        </w:tc>
      </w:tr>
      <w:tr w:rsidR="002B142D" w:rsidRPr="00C62A13" w:rsidTr="002B142D">
        <w:tc>
          <w:tcPr>
            <w:tcW w:w="5000" w:type="pct"/>
            <w:gridSpan w:val="3"/>
            <w:vAlign w:val="center"/>
          </w:tcPr>
          <w:p w:rsidR="002B142D" w:rsidRPr="00C62A13" w:rsidRDefault="002B142D" w:rsidP="002B142D">
            <w:pPr>
              <w:keepNext/>
              <w:keepLines/>
              <w:widowControl w:val="0"/>
              <w:jc w:val="left"/>
              <w:rPr>
                <w:rFonts w:ascii="Arial Narrow" w:hAnsi="Arial Narrow"/>
                <w:iCs/>
                <w:snapToGrid w:val="0"/>
                <w:sz w:val="20"/>
                <w:szCs w:val="20"/>
                <w:lang w:eastAsia="en-US"/>
              </w:rPr>
            </w:pPr>
            <w:r w:rsidRPr="00C62A13">
              <w:rPr>
                <w:rFonts w:ascii="Arial Narrow" w:hAnsi="Arial Narrow"/>
                <w:b/>
                <w:sz w:val="20"/>
                <w:szCs w:val="20"/>
              </w:rPr>
              <w:t>Serious AEs</w:t>
            </w:r>
          </w:p>
        </w:tc>
      </w:tr>
      <w:tr w:rsidR="004B0F36" w:rsidRPr="00C62A13" w:rsidTr="002B142D">
        <w:tc>
          <w:tcPr>
            <w:tcW w:w="2827" w:type="pct"/>
            <w:vAlign w:val="center"/>
          </w:tcPr>
          <w:p w:rsidR="004B0F36" w:rsidRPr="00C62A13" w:rsidRDefault="004B0F36" w:rsidP="00351BD4">
            <w:pPr>
              <w:keepNext/>
              <w:keepLines/>
              <w:widowControl w:val="0"/>
              <w:rPr>
                <w:rFonts w:ascii="Arial Narrow" w:hAnsi="Arial Narrow"/>
                <w:b/>
                <w:bCs/>
                <w:iCs/>
                <w:snapToGrid w:val="0"/>
                <w:sz w:val="20"/>
                <w:szCs w:val="20"/>
                <w:lang w:eastAsia="en-US"/>
              </w:rPr>
            </w:pPr>
            <w:r w:rsidRPr="00C62A13">
              <w:rPr>
                <w:rFonts w:ascii="Arial Narrow" w:hAnsi="Arial Narrow"/>
                <w:iCs/>
                <w:snapToGrid w:val="0"/>
                <w:sz w:val="20"/>
                <w:szCs w:val="20"/>
                <w:lang w:eastAsia="en-US"/>
              </w:rPr>
              <w:t>UPA 15</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 v DUPI 200/300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w:t>
            </w:r>
          </w:p>
        </w:tc>
        <w:tc>
          <w:tcPr>
            <w:tcW w:w="1086"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1.48 (0.69, 3.17)</w:t>
            </w:r>
          </w:p>
        </w:tc>
        <w:tc>
          <w:tcPr>
            <w:tcW w:w="1087"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Cs/>
                <w:iCs/>
                <w:snapToGrid w:val="0"/>
                <w:sz w:val="20"/>
                <w:szCs w:val="20"/>
                <w:lang w:eastAsia="en-US"/>
              </w:rPr>
              <w:t>0.01 (-0.01, 0.03)</w:t>
            </w:r>
          </w:p>
        </w:tc>
      </w:tr>
      <w:tr w:rsidR="004B0F36" w:rsidRPr="00C62A13" w:rsidTr="002B142D">
        <w:tc>
          <w:tcPr>
            <w:tcW w:w="2827" w:type="pct"/>
            <w:vAlign w:val="center"/>
          </w:tcPr>
          <w:p w:rsidR="004B0F36" w:rsidRPr="00C62A13" w:rsidRDefault="004B0F36" w:rsidP="00351BD4">
            <w:pPr>
              <w:keepNext/>
              <w:keepLines/>
              <w:widowControl w:val="0"/>
              <w:rPr>
                <w:rFonts w:ascii="Arial Narrow" w:hAnsi="Arial Narrow"/>
                <w:b/>
                <w:bCs/>
                <w:iCs/>
                <w:snapToGrid w:val="0"/>
                <w:sz w:val="20"/>
                <w:szCs w:val="20"/>
                <w:lang w:eastAsia="en-US"/>
              </w:rPr>
            </w:pPr>
            <w:r w:rsidRPr="00C62A13">
              <w:rPr>
                <w:rFonts w:ascii="Arial Narrow" w:hAnsi="Arial Narrow"/>
                <w:iCs/>
                <w:snapToGrid w:val="0"/>
                <w:sz w:val="20"/>
                <w:szCs w:val="20"/>
                <w:lang w:eastAsia="en-US"/>
              </w:rPr>
              <w:t>UPA 30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 v DUPI 200/300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w:t>
            </w:r>
          </w:p>
        </w:tc>
        <w:tc>
          <w:tcPr>
            <w:tcW w:w="1086"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1.50 (0.70, 3.23)</w:t>
            </w:r>
          </w:p>
        </w:tc>
        <w:tc>
          <w:tcPr>
            <w:tcW w:w="1087"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Cs/>
                <w:iCs/>
                <w:snapToGrid w:val="0"/>
                <w:sz w:val="20"/>
                <w:szCs w:val="20"/>
                <w:lang w:eastAsia="en-US"/>
              </w:rPr>
              <w:t>0.01 (-0.01, 0.03)</w:t>
            </w:r>
          </w:p>
        </w:tc>
      </w:tr>
      <w:tr w:rsidR="002B142D" w:rsidRPr="00C62A13" w:rsidTr="002B142D">
        <w:tc>
          <w:tcPr>
            <w:tcW w:w="5000" w:type="pct"/>
            <w:gridSpan w:val="3"/>
            <w:vAlign w:val="center"/>
          </w:tcPr>
          <w:p w:rsidR="002B142D" w:rsidRPr="00C62A13" w:rsidRDefault="002B142D" w:rsidP="002B142D">
            <w:pPr>
              <w:keepNext/>
              <w:keepLines/>
              <w:widowControl w:val="0"/>
              <w:jc w:val="left"/>
              <w:rPr>
                <w:rFonts w:ascii="Arial Narrow" w:hAnsi="Arial Narrow"/>
                <w:iCs/>
                <w:snapToGrid w:val="0"/>
                <w:sz w:val="20"/>
                <w:szCs w:val="20"/>
                <w:lang w:eastAsia="en-US"/>
              </w:rPr>
            </w:pPr>
            <w:r w:rsidRPr="00C62A13">
              <w:rPr>
                <w:rFonts w:ascii="Arial Narrow" w:hAnsi="Arial Narrow"/>
                <w:b/>
                <w:sz w:val="20"/>
                <w:szCs w:val="20"/>
              </w:rPr>
              <w:t>Discontinuation due to AEs</w:t>
            </w:r>
          </w:p>
        </w:tc>
      </w:tr>
      <w:tr w:rsidR="004B0F36" w:rsidRPr="00C62A13" w:rsidTr="002B142D">
        <w:tc>
          <w:tcPr>
            <w:tcW w:w="2827" w:type="pct"/>
            <w:vAlign w:val="center"/>
          </w:tcPr>
          <w:p w:rsidR="004B0F36" w:rsidRPr="00C62A13" w:rsidRDefault="004B0F36" w:rsidP="00351BD4">
            <w:pPr>
              <w:keepNext/>
              <w:keepLines/>
              <w:widowControl w:val="0"/>
              <w:rPr>
                <w:rFonts w:ascii="Arial Narrow" w:hAnsi="Arial Narrow"/>
                <w:iCs/>
                <w:snapToGrid w:val="0"/>
                <w:sz w:val="20"/>
                <w:szCs w:val="20"/>
                <w:lang w:eastAsia="en-US"/>
              </w:rPr>
            </w:pPr>
            <w:r w:rsidRPr="00C62A13">
              <w:rPr>
                <w:rFonts w:ascii="Arial Narrow" w:hAnsi="Arial Narrow"/>
                <w:iCs/>
                <w:snapToGrid w:val="0"/>
                <w:sz w:val="20"/>
                <w:szCs w:val="20"/>
                <w:lang w:eastAsia="en-US"/>
              </w:rPr>
              <w:t>UPA 15</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 v DUPI 200/300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w:t>
            </w:r>
          </w:p>
        </w:tc>
        <w:tc>
          <w:tcPr>
            <w:tcW w:w="1086"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1.10 (0.44, 2.72)</w:t>
            </w:r>
          </w:p>
        </w:tc>
        <w:tc>
          <w:tcPr>
            <w:tcW w:w="1087"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Cs/>
                <w:iCs/>
                <w:snapToGrid w:val="0"/>
                <w:sz w:val="20"/>
                <w:szCs w:val="20"/>
                <w:lang w:eastAsia="en-US"/>
              </w:rPr>
              <w:t>0.00 (-0.02, 0.02)</w:t>
            </w:r>
          </w:p>
        </w:tc>
      </w:tr>
      <w:tr w:rsidR="004B0F36" w:rsidRPr="00C62A13" w:rsidTr="002B142D">
        <w:tc>
          <w:tcPr>
            <w:tcW w:w="2827" w:type="pct"/>
            <w:vAlign w:val="center"/>
          </w:tcPr>
          <w:p w:rsidR="004B0F36" w:rsidRPr="00C62A13" w:rsidRDefault="004B0F36" w:rsidP="00351BD4">
            <w:pPr>
              <w:keepNext/>
              <w:keepLines/>
              <w:widowControl w:val="0"/>
              <w:rPr>
                <w:rFonts w:ascii="Arial Narrow" w:hAnsi="Arial Narrow"/>
                <w:iCs/>
                <w:snapToGrid w:val="0"/>
                <w:sz w:val="20"/>
                <w:szCs w:val="20"/>
                <w:lang w:eastAsia="en-US"/>
              </w:rPr>
            </w:pPr>
            <w:r w:rsidRPr="00C62A13">
              <w:rPr>
                <w:rFonts w:ascii="Arial Narrow" w:hAnsi="Arial Narrow"/>
                <w:iCs/>
                <w:snapToGrid w:val="0"/>
                <w:sz w:val="20"/>
                <w:szCs w:val="20"/>
                <w:lang w:eastAsia="en-US"/>
              </w:rPr>
              <w:t>UPA 30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 v DUPI 200/300</w:t>
            </w:r>
            <w:r w:rsidR="001E11A3" w:rsidRPr="00C62A13">
              <w:rPr>
                <w:rFonts w:ascii="Arial Narrow" w:hAnsi="Arial Narrow"/>
                <w:iCs/>
                <w:snapToGrid w:val="0"/>
                <w:sz w:val="20"/>
                <w:szCs w:val="20"/>
                <w:lang w:eastAsia="en-US"/>
              </w:rPr>
              <w:t xml:space="preserve"> </w:t>
            </w:r>
            <w:r w:rsidRPr="00C62A13">
              <w:rPr>
                <w:rFonts w:ascii="Arial Narrow" w:hAnsi="Arial Narrow"/>
                <w:iCs/>
                <w:snapToGrid w:val="0"/>
                <w:sz w:val="20"/>
                <w:szCs w:val="20"/>
                <w:lang w:eastAsia="en-US"/>
              </w:rPr>
              <w:t>mg ± TCS</w:t>
            </w:r>
          </w:p>
        </w:tc>
        <w:tc>
          <w:tcPr>
            <w:tcW w:w="1086"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iCs/>
                <w:snapToGrid w:val="0"/>
                <w:sz w:val="20"/>
                <w:szCs w:val="20"/>
                <w:lang w:eastAsia="en-US"/>
              </w:rPr>
              <w:t>1.26 (0.52, 3.08)</w:t>
            </w:r>
          </w:p>
        </w:tc>
        <w:tc>
          <w:tcPr>
            <w:tcW w:w="1087" w:type="pct"/>
            <w:vAlign w:val="center"/>
          </w:tcPr>
          <w:p w:rsidR="004B0F36" w:rsidRPr="00C62A13" w:rsidRDefault="004B0F36" w:rsidP="00351BD4">
            <w:pPr>
              <w:keepNext/>
              <w:keepLines/>
              <w:widowControl w:val="0"/>
              <w:jc w:val="center"/>
              <w:rPr>
                <w:rFonts w:ascii="Arial Narrow" w:hAnsi="Arial Narrow"/>
                <w:iCs/>
                <w:snapToGrid w:val="0"/>
                <w:sz w:val="20"/>
                <w:szCs w:val="20"/>
                <w:lang w:eastAsia="en-US"/>
              </w:rPr>
            </w:pPr>
            <w:r w:rsidRPr="00C62A13">
              <w:rPr>
                <w:rFonts w:ascii="Arial Narrow" w:hAnsi="Arial Narrow"/>
                <w:bCs/>
                <w:iCs/>
                <w:snapToGrid w:val="0"/>
                <w:sz w:val="20"/>
                <w:szCs w:val="20"/>
                <w:lang w:eastAsia="en-US"/>
              </w:rPr>
              <w:t>0.00 (-0.03, 0.03)</w:t>
            </w:r>
          </w:p>
        </w:tc>
      </w:tr>
    </w:tbl>
    <w:p w:rsidR="004B0F36" w:rsidRPr="00C62A13" w:rsidRDefault="004B0F36" w:rsidP="00351BD4">
      <w:pPr>
        <w:keepNext/>
        <w:keepLines/>
        <w:spacing w:after="120"/>
        <w:contextualSpacing/>
        <w:rPr>
          <w:rFonts w:ascii="Arial Narrow" w:hAnsi="Arial Narrow"/>
          <w:iCs/>
          <w:sz w:val="18"/>
          <w:szCs w:val="18"/>
        </w:rPr>
      </w:pPr>
      <w:r w:rsidRPr="00C62A13">
        <w:rPr>
          <w:rFonts w:ascii="Arial Narrow" w:hAnsi="Arial Narrow"/>
          <w:iCs/>
          <w:sz w:val="18"/>
          <w:szCs w:val="18"/>
        </w:rPr>
        <w:t>Source: indirect comparisons performed during the evaluation based on data as presented in Attachment 2.5-6.</w:t>
      </w:r>
    </w:p>
    <w:p w:rsidR="004B0F36" w:rsidRPr="00C62A13" w:rsidRDefault="004B0F36" w:rsidP="00351BD4">
      <w:pPr>
        <w:keepNext/>
        <w:keepLines/>
        <w:spacing w:after="120"/>
        <w:contextualSpacing/>
        <w:rPr>
          <w:rFonts w:ascii="Arial Narrow" w:eastAsia="Calibri" w:hAnsi="Arial Narrow"/>
          <w:sz w:val="18"/>
          <w:szCs w:val="18"/>
        </w:rPr>
      </w:pPr>
      <w:r w:rsidRPr="00C62A13">
        <w:rPr>
          <w:rFonts w:ascii="Arial Narrow" w:eastAsia="Calibri" w:hAnsi="Arial Narrow"/>
          <w:sz w:val="18"/>
          <w:szCs w:val="18"/>
        </w:rPr>
        <w:t>AE = adverse events; TEAE</w:t>
      </w:r>
      <w:r w:rsidR="0092701E">
        <w:rPr>
          <w:rFonts w:ascii="Arial Narrow" w:eastAsia="Calibri" w:hAnsi="Arial Narrow"/>
          <w:sz w:val="18"/>
          <w:szCs w:val="18"/>
        </w:rPr>
        <w:t xml:space="preserve"> </w:t>
      </w:r>
      <w:r w:rsidRPr="00C62A13">
        <w:rPr>
          <w:rFonts w:ascii="Arial Narrow" w:eastAsia="Calibri" w:hAnsi="Arial Narrow"/>
          <w:sz w:val="18"/>
          <w:szCs w:val="18"/>
        </w:rPr>
        <w:t>=</w:t>
      </w:r>
      <w:r w:rsidR="0092701E">
        <w:rPr>
          <w:rFonts w:ascii="Arial Narrow" w:eastAsia="Calibri" w:hAnsi="Arial Narrow"/>
          <w:sz w:val="18"/>
          <w:szCs w:val="18"/>
        </w:rPr>
        <w:t xml:space="preserve"> </w:t>
      </w:r>
      <w:r w:rsidRPr="00C62A13">
        <w:rPr>
          <w:rFonts w:ascii="Arial Narrow" w:eastAsia="Calibri" w:hAnsi="Arial Narrow"/>
          <w:sz w:val="18"/>
          <w:szCs w:val="18"/>
        </w:rPr>
        <w:t>treatment emergent adverse events; CI = confidence interval; RD = risk difference; RR = relative risk; DUPI</w:t>
      </w:r>
      <w:r w:rsidR="0092701E">
        <w:rPr>
          <w:rFonts w:ascii="Arial Narrow" w:eastAsia="Calibri" w:hAnsi="Arial Narrow"/>
          <w:sz w:val="18"/>
          <w:szCs w:val="18"/>
        </w:rPr>
        <w:t xml:space="preserve"> </w:t>
      </w:r>
      <w:r w:rsidRPr="00C62A13">
        <w:rPr>
          <w:rFonts w:ascii="Arial Narrow" w:eastAsia="Calibri" w:hAnsi="Arial Narrow"/>
          <w:sz w:val="18"/>
          <w:szCs w:val="18"/>
        </w:rPr>
        <w:t>=</w:t>
      </w:r>
      <w:r w:rsidR="0092701E">
        <w:rPr>
          <w:rFonts w:ascii="Arial Narrow" w:eastAsia="Calibri" w:hAnsi="Arial Narrow"/>
          <w:sz w:val="18"/>
          <w:szCs w:val="18"/>
        </w:rPr>
        <w:t xml:space="preserve"> </w:t>
      </w:r>
      <w:r w:rsidRPr="00C62A13">
        <w:rPr>
          <w:rFonts w:ascii="Arial Narrow" w:eastAsia="Calibri" w:hAnsi="Arial Narrow"/>
          <w:sz w:val="18"/>
          <w:szCs w:val="18"/>
        </w:rPr>
        <w:t>dupilumab; PBO</w:t>
      </w:r>
      <w:r w:rsidR="0092701E">
        <w:rPr>
          <w:rFonts w:ascii="Arial Narrow" w:eastAsia="Calibri" w:hAnsi="Arial Narrow"/>
          <w:sz w:val="18"/>
          <w:szCs w:val="18"/>
        </w:rPr>
        <w:t xml:space="preserve"> </w:t>
      </w:r>
      <w:r w:rsidRPr="00C62A13">
        <w:rPr>
          <w:rFonts w:ascii="Arial Narrow" w:eastAsia="Calibri" w:hAnsi="Arial Narrow"/>
          <w:sz w:val="18"/>
          <w:szCs w:val="18"/>
        </w:rPr>
        <w:t>=</w:t>
      </w:r>
      <w:r w:rsidR="0092701E">
        <w:rPr>
          <w:rFonts w:ascii="Arial Narrow" w:eastAsia="Calibri" w:hAnsi="Arial Narrow"/>
          <w:sz w:val="18"/>
          <w:szCs w:val="18"/>
        </w:rPr>
        <w:t xml:space="preserve"> </w:t>
      </w:r>
      <w:r w:rsidRPr="00C62A13">
        <w:rPr>
          <w:rFonts w:ascii="Arial Narrow" w:eastAsia="Calibri" w:hAnsi="Arial Narrow"/>
          <w:sz w:val="18"/>
          <w:szCs w:val="18"/>
        </w:rPr>
        <w:t>placebo; UPA</w:t>
      </w:r>
      <w:r w:rsidR="0092701E">
        <w:rPr>
          <w:rFonts w:ascii="Arial Narrow" w:eastAsia="Calibri" w:hAnsi="Arial Narrow"/>
          <w:sz w:val="18"/>
          <w:szCs w:val="18"/>
        </w:rPr>
        <w:t xml:space="preserve"> </w:t>
      </w:r>
      <w:r w:rsidRPr="00C62A13">
        <w:rPr>
          <w:rFonts w:ascii="Arial Narrow" w:eastAsia="Calibri" w:hAnsi="Arial Narrow"/>
          <w:sz w:val="18"/>
          <w:szCs w:val="18"/>
        </w:rPr>
        <w:t>=</w:t>
      </w:r>
      <w:r w:rsidR="0092701E">
        <w:rPr>
          <w:rFonts w:ascii="Arial Narrow" w:eastAsia="Calibri" w:hAnsi="Arial Narrow"/>
          <w:sz w:val="18"/>
          <w:szCs w:val="18"/>
        </w:rPr>
        <w:t xml:space="preserve"> </w:t>
      </w:r>
      <w:r w:rsidRPr="00C62A13">
        <w:rPr>
          <w:rFonts w:ascii="Arial Narrow" w:eastAsia="Calibri" w:hAnsi="Arial Narrow"/>
          <w:sz w:val="18"/>
          <w:szCs w:val="18"/>
        </w:rPr>
        <w:t>upadacitinib.</w:t>
      </w:r>
    </w:p>
    <w:p w:rsidR="00DF12CC" w:rsidRPr="00C62A13" w:rsidRDefault="00DF12CC" w:rsidP="00351BD4">
      <w:pPr>
        <w:pStyle w:val="3-BodyText"/>
        <w:rPr>
          <w:iCs/>
        </w:rPr>
      </w:pPr>
      <w:r w:rsidRPr="00C62A13">
        <w:rPr>
          <w:iCs/>
        </w:rPr>
        <w:t>The ESC noted that AE data was only presented up to 24 weeks of follow-up (vs DUPI) and 16 weeks (vs PBO). The ESC noted that there is an increased risk of infection (including zoster) and malignancy associated with JAK inhibitors versus IL-4 inhibitors as</w:t>
      </w:r>
      <w:r w:rsidR="00C96DA2" w:rsidRPr="00C62A13">
        <w:rPr>
          <w:iCs/>
        </w:rPr>
        <w:t xml:space="preserve"> a result of immunosuppression. </w:t>
      </w:r>
      <w:r w:rsidRPr="00C62A13">
        <w:rPr>
          <w:iCs/>
        </w:rPr>
        <w:t>These AEs may only be apparent with longer-term use. The ESC considered that longer-term data from other indications could be used to better understand the</w:t>
      </w:r>
      <w:r w:rsidR="00351BD4" w:rsidRPr="00C62A13">
        <w:rPr>
          <w:iCs/>
        </w:rPr>
        <w:t xml:space="preserve"> long-term UPA safety profile. </w:t>
      </w:r>
      <w:r w:rsidR="00037E54" w:rsidRPr="00C62A13">
        <w:t>The PBAC noted that the pre-PBAC response provided additional safety data up to week 52 for the AD trials and safety data in treatment of rheumatoid arthritis up to 4.5 years. No notable changes</w:t>
      </w:r>
      <w:r w:rsidR="00232E88" w:rsidRPr="00C62A13">
        <w:t xml:space="preserve"> in the frequency of AEs</w:t>
      </w:r>
      <w:r w:rsidR="00037E54" w:rsidRPr="00C62A13">
        <w:t xml:space="preserve"> were seen in this longer</w:t>
      </w:r>
      <w:r w:rsidR="0092701E">
        <w:t>-</w:t>
      </w:r>
      <w:r w:rsidR="00037E54" w:rsidRPr="00C62A13">
        <w:t>term data.</w:t>
      </w:r>
    </w:p>
    <w:p w:rsidR="00322650" w:rsidRPr="00C62A13" w:rsidRDefault="007F1017" w:rsidP="00322650">
      <w:pPr>
        <w:pStyle w:val="4-SubsectionHeading"/>
      </w:pPr>
      <w:bookmarkStart w:id="20" w:name="_Toc22897643"/>
      <w:bookmarkStart w:id="21" w:name="_Toc72315503"/>
      <w:r w:rsidRPr="00C62A13">
        <w:t>Benefits/harms</w:t>
      </w:r>
      <w:bookmarkEnd w:id="20"/>
      <w:bookmarkEnd w:id="21"/>
      <w:r w:rsidR="00322650" w:rsidRPr="00C62A13">
        <w:t xml:space="preserve"> </w:t>
      </w:r>
    </w:p>
    <w:p w:rsidR="00322650" w:rsidRPr="00C62A13" w:rsidRDefault="00322650" w:rsidP="00322650">
      <w:pPr>
        <w:pStyle w:val="3-BodyText"/>
        <w:rPr>
          <w:rStyle w:val="CommentReference"/>
        </w:rPr>
      </w:pPr>
      <w:r w:rsidRPr="00C62A13">
        <w:t>A summary of the comparative benefits and harms for UPA 30</w:t>
      </w:r>
      <w:r w:rsidR="009248D9" w:rsidRPr="00C62A13">
        <w:t xml:space="preserve"> </w:t>
      </w:r>
      <w:r w:rsidRPr="00C62A13">
        <w:t>mg versus DUPI is presented in Table 11.</w:t>
      </w:r>
    </w:p>
    <w:p w:rsidR="00EA4E45" w:rsidRPr="00C62A13" w:rsidRDefault="00EA4E45">
      <w:pPr>
        <w:jc w:val="left"/>
        <w:rPr>
          <w:rStyle w:val="CommentReference"/>
          <w:rFonts w:eastAsiaTheme="majorEastAsia" w:cstheme="majorBidi"/>
          <w:bCs/>
          <w:szCs w:val="24"/>
        </w:rPr>
      </w:pPr>
      <w:r w:rsidRPr="00C62A13">
        <w:rPr>
          <w:rStyle w:val="CommentReference"/>
          <w:b w:val="0"/>
          <w:szCs w:val="24"/>
        </w:rPr>
        <w:br w:type="page"/>
      </w:r>
    </w:p>
    <w:p w:rsidR="00322650" w:rsidRPr="00C62A13" w:rsidRDefault="00322650" w:rsidP="00D702AD">
      <w:pPr>
        <w:pStyle w:val="TableFigureHeading"/>
        <w:rPr>
          <w:rStyle w:val="CommentReference"/>
          <w:b/>
          <w:szCs w:val="24"/>
        </w:rPr>
      </w:pPr>
      <w:r w:rsidRPr="00C62A13">
        <w:rPr>
          <w:rStyle w:val="CommentReference"/>
          <w:b/>
          <w:szCs w:val="24"/>
        </w:rPr>
        <w:t xml:space="preserve">Table 11: Summary of comparative benefits and harms </w:t>
      </w:r>
      <w:r w:rsidR="00D702AD" w:rsidRPr="00C62A13">
        <w:rPr>
          <w:rStyle w:val="CommentReference"/>
          <w:b/>
          <w:szCs w:val="24"/>
        </w:rPr>
        <w:t xml:space="preserve">at Week 16 </w:t>
      </w:r>
      <w:r w:rsidRPr="00C62A13">
        <w:rPr>
          <w:rStyle w:val="CommentReference"/>
          <w:b/>
          <w:szCs w:val="24"/>
        </w:rPr>
        <w:t>for UPA 30</w:t>
      </w:r>
      <w:r w:rsidR="009248D9" w:rsidRPr="00C62A13">
        <w:rPr>
          <w:rStyle w:val="CommentReference"/>
          <w:b/>
          <w:szCs w:val="24"/>
        </w:rPr>
        <w:t xml:space="preserve"> </w:t>
      </w:r>
      <w:r w:rsidRPr="00C62A13">
        <w:rPr>
          <w:rStyle w:val="CommentReference"/>
          <w:b/>
          <w:szCs w:val="24"/>
        </w:rPr>
        <w:t>mg and DUPI</w:t>
      </w:r>
      <w:r w:rsidR="00D702AD" w:rsidRPr="00C62A13">
        <w:rPr>
          <w:rStyle w:val="CommentReference"/>
          <w:b/>
          <w:szCs w:val="24"/>
        </w:rPr>
        <w:t>, based on direct evidence in HEADS UP and indirect evidence estimated from PBO-controlled trials</w:t>
      </w:r>
    </w:p>
    <w:tbl>
      <w:tblPr>
        <w:tblW w:w="5000" w:type="pct"/>
        <w:tblLayout w:type="fixed"/>
        <w:tblCellMar>
          <w:left w:w="28" w:type="dxa"/>
          <w:right w:w="28" w:type="dxa"/>
        </w:tblCellMar>
        <w:tblLook w:val="04A0" w:firstRow="1" w:lastRow="0" w:firstColumn="1" w:lastColumn="0" w:noHBand="0" w:noVBand="1"/>
      </w:tblPr>
      <w:tblGrid>
        <w:gridCol w:w="1976"/>
        <w:gridCol w:w="1232"/>
        <w:gridCol w:w="1232"/>
        <w:gridCol w:w="1232"/>
        <w:gridCol w:w="988"/>
        <w:gridCol w:w="994"/>
        <w:gridCol w:w="1363"/>
      </w:tblGrid>
      <w:tr w:rsidR="00290519" w:rsidRPr="00C62A13" w:rsidTr="00290519">
        <w:trPr>
          <w:cantSplit/>
          <w:trHeight w:val="150"/>
          <w:tblHeader/>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22650" w:rsidRPr="00C62A13" w:rsidRDefault="00D83C5C" w:rsidP="005F5AF1">
            <w:pPr>
              <w:pStyle w:val="In-tableHeading"/>
              <w:keepNext w:val="0"/>
              <w:rPr>
                <w:lang w:val="en-AU"/>
              </w:rPr>
            </w:pPr>
            <w:r w:rsidRPr="00C62A13">
              <w:rPr>
                <w:lang w:val="en-AU"/>
              </w:rPr>
              <w:t>Benefits</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UPA 30</w:t>
            </w:r>
            <w:r w:rsidR="009248D9" w:rsidRPr="00C62A13">
              <w:rPr>
                <w:lang w:val="en-AU"/>
              </w:rPr>
              <w:t xml:space="preserve"> </w:t>
            </w:r>
            <w:r w:rsidRPr="00C62A13">
              <w:rPr>
                <w:lang w:val="en-AU"/>
              </w:rPr>
              <w:t>mg</w:t>
            </w:r>
          </w:p>
          <w:p w:rsidR="00322650" w:rsidRPr="00C62A13" w:rsidRDefault="00322650" w:rsidP="005F5AF1">
            <w:pPr>
              <w:pStyle w:val="In-tableHeading"/>
              <w:keepNext w:val="0"/>
              <w:jc w:val="center"/>
              <w:rPr>
                <w:lang w:val="en-AU"/>
              </w:rPr>
            </w:pPr>
            <w:r w:rsidRPr="00C62A13">
              <w:rPr>
                <w:lang w:val="en-AU"/>
              </w:rPr>
              <w:t>n/N</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DUPI</w:t>
            </w:r>
          </w:p>
          <w:p w:rsidR="00322650" w:rsidRPr="00C62A13" w:rsidRDefault="00322650" w:rsidP="005F5AF1">
            <w:pPr>
              <w:pStyle w:val="In-tableHeading"/>
              <w:keepNext w:val="0"/>
              <w:jc w:val="center"/>
              <w:rPr>
                <w:lang w:val="en-AU"/>
              </w:rPr>
            </w:pPr>
            <w:r w:rsidRPr="00C62A13">
              <w:rPr>
                <w:lang w:val="en-AU"/>
              </w:rPr>
              <w:t>n/N</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RR</w:t>
            </w:r>
          </w:p>
          <w:p w:rsidR="00322650" w:rsidRPr="00C62A13" w:rsidRDefault="00322650" w:rsidP="005F5AF1">
            <w:pPr>
              <w:pStyle w:val="In-tableHeading"/>
              <w:keepNext w:val="0"/>
              <w:jc w:val="center"/>
              <w:rPr>
                <w:lang w:val="en-AU"/>
              </w:rPr>
            </w:pPr>
            <w:r w:rsidRPr="00C62A13">
              <w:rPr>
                <w:lang w:val="en-AU"/>
              </w:rPr>
              <w:t>(95% CI)</w:t>
            </w:r>
          </w:p>
        </w:tc>
        <w:tc>
          <w:tcPr>
            <w:tcW w:w="1099" w:type="pct"/>
            <w:gridSpan w:val="2"/>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Event rate/100 patients*</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RD</w:t>
            </w:r>
          </w:p>
          <w:p w:rsidR="00322650" w:rsidRPr="00C62A13" w:rsidRDefault="00322650" w:rsidP="005F5AF1">
            <w:pPr>
              <w:pStyle w:val="In-tableHeading"/>
              <w:keepNext w:val="0"/>
              <w:jc w:val="center"/>
              <w:rPr>
                <w:lang w:val="en-AU"/>
              </w:rPr>
            </w:pPr>
            <w:r w:rsidRPr="00C62A13">
              <w:rPr>
                <w:lang w:val="en-AU"/>
              </w:rPr>
              <w:t>(95% CI)</w:t>
            </w:r>
          </w:p>
        </w:tc>
      </w:tr>
      <w:tr w:rsidR="00290519" w:rsidRPr="00C62A13" w:rsidTr="00290519">
        <w:trPr>
          <w:cantSplit/>
          <w:trHeight w:val="70"/>
        </w:trPr>
        <w:tc>
          <w:tcPr>
            <w:tcW w:w="1096" w:type="pct"/>
            <w:vMerge/>
            <w:tcBorders>
              <w:top w:val="single" w:sz="4" w:space="0" w:color="auto"/>
              <w:left w:val="single" w:sz="4" w:space="0" w:color="auto"/>
              <w:bottom w:val="double" w:sz="4" w:space="0" w:color="auto"/>
              <w:right w:val="single" w:sz="4" w:space="0" w:color="auto"/>
            </w:tcBorders>
            <w:shd w:val="clear" w:color="auto" w:fill="auto"/>
            <w:vAlign w:val="center"/>
          </w:tcPr>
          <w:p w:rsidR="00322650" w:rsidRPr="00C62A13" w:rsidRDefault="00322650" w:rsidP="005F5AF1">
            <w:pPr>
              <w:pStyle w:val="In-tableHeading"/>
              <w:keepNext w:val="0"/>
              <w:jc w:val="center"/>
              <w:rPr>
                <w:lang w:val="en-AU"/>
              </w:rPr>
            </w:pPr>
          </w:p>
        </w:tc>
        <w:tc>
          <w:tcPr>
            <w:tcW w:w="683" w:type="pct"/>
            <w:vMerge/>
            <w:tcBorders>
              <w:top w:val="single" w:sz="4" w:space="0" w:color="auto"/>
              <w:left w:val="single" w:sz="4" w:space="0" w:color="auto"/>
              <w:bottom w:val="double" w:sz="4" w:space="0" w:color="auto"/>
              <w:right w:val="single" w:sz="4" w:space="0" w:color="auto"/>
            </w:tcBorders>
            <w:vAlign w:val="center"/>
          </w:tcPr>
          <w:p w:rsidR="00322650" w:rsidRPr="00C62A13" w:rsidRDefault="00322650" w:rsidP="005F5AF1">
            <w:pPr>
              <w:pStyle w:val="In-tableHeading"/>
              <w:keepNext w:val="0"/>
              <w:jc w:val="center"/>
              <w:rPr>
                <w:lang w:val="en-AU"/>
              </w:rPr>
            </w:pPr>
          </w:p>
        </w:tc>
        <w:tc>
          <w:tcPr>
            <w:tcW w:w="683" w:type="pct"/>
            <w:vMerge/>
            <w:tcBorders>
              <w:top w:val="single" w:sz="4" w:space="0" w:color="auto"/>
              <w:left w:val="single" w:sz="4" w:space="0" w:color="auto"/>
              <w:bottom w:val="double" w:sz="4" w:space="0" w:color="auto"/>
              <w:right w:val="single" w:sz="4" w:space="0" w:color="auto"/>
            </w:tcBorders>
            <w:vAlign w:val="center"/>
          </w:tcPr>
          <w:p w:rsidR="00322650" w:rsidRPr="00C62A13" w:rsidRDefault="00322650" w:rsidP="005F5AF1">
            <w:pPr>
              <w:pStyle w:val="In-tableHeading"/>
              <w:keepNext w:val="0"/>
              <w:jc w:val="center"/>
              <w:rPr>
                <w:lang w:val="en-AU"/>
              </w:rPr>
            </w:pPr>
          </w:p>
        </w:tc>
        <w:tc>
          <w:tcPr>
            <w:tcW w:w="683" w:type="pct"/>
            <w:vMerge/>
            <w:tcBorders>
              <w:top w:val="single" w:sz="4" w:space="0" w:color="auto"/>
              <w:left w:val="single" w:sz="4" w:space="0" w:color="auto"/>
              <w:bottom w:val="double" w:sz="4" w:space="0" w:color="auto"/>
              <w:right w:val="single" w:sz="4" w:space="0" w:color="auto"/>
            </w:tcBorders>
            <w:vAlign w:val="center"/>
          </w:tcPr>
          <w:p w:rsidR="00322650" w:rsidRPr="00C62A13" w:rsidRDefault="00322650" w:rsidP="005F5AF1">
            <w:pPr>
              <w:pStyle w:val="In-tableHeading"/>
              <w:keepNext w:val="0"/>
              <w:jc w:val="center"/>
              <w:rPr>
                <w:lang w:val="en-AU"/>
              </w:rPr>
            </w:pPr>
          </w:p>
        </w:tc>
        <w:tc>
          <w:tcPr>
            <w:tcW w:w="548" w:type="pct"/>
            <w:tcBorders>
              <w:top w:val="single" w:sz="4" w:space="0" w:color="auto"/>
              <w:left w:val="single" w:sz="4" w:space="0" w:color="auto"/>
              <w:bottom w:val="doub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UPA 30mg</w:t>
            </w:r>
          </w:p>
        </w:tc>
        <w:tc>
          <w:tcPr>
            <w:tcW w:w="551" w:type="pct"/>
            <w:tcBorders>
              <w:top w:val="single" w:sz="4" w:space="0" w:color="auto"/>
              <w:left w:val="single" w:sz="4" w:space="0" w:color="auto"/>
              <w:bottom w:val="double" w:sz="4" w:space="0" w:color="auto"/>
              <w:right w:val="single" w:sz="4" w:space="0" w:color="auto"/>
            </w:tcBorders>
            <w:vAlign w:val="center"/>
          </w:tcPr>
          <w:p w:rsidR="00322650" w:rsidRPr="00C62A13" w:rsidRDefault="00322650" w:rsidP="005F5AF1">
            <w:pPr>
              <w:pStyle w:val="In-tableHeading"/>
              <w:keepNext w:val="0"/>
              <w:jc w:val="center"/>
              <w:rPr>
                <w:lang w:val="en-AU"/>
              </w:rPr>
            </w:pPr>
            <w:r w:rsidRPr="00C62A13">
              <w:rPr>
                <w:lang w:val="en-AU"/>
              </w:rPr>
              <w:t>DUPI</w:t>
            </w:r>
          </w:p>
        </w:tc>
        <w:tc>
          <w:tcPr>
            <w:tcW w:w="756" w:type="pct"/>
            <w:vMerge/>
            <w:tcBorders>
              <w:top w:val="single" w:sz="4" w:space="0" w:color="auto"/>
              <w:left w:val="single" w:sz="4" w:space="0" w:color="auto"/>
              <w:bottom w:val="double" w:sz="4" w:space="0" w:color="auto"/>
              <w:right w:val="single" w:sz="4" w:space="0" w:color="auto"/>
            </w:tcBorders>
            <w:vAlign w:val="center"/>
          </w:tcPr>
          <w:p w:rsidR="00322650" w:rsidRPr="00C62A13" w:rsidRDefault="00322650" w:rsidP="005F5AF1">
            <w:pPr>
              <w:pStyle w:val="In-tableHeading"/>
              <w:keepNext w:val="0"/>
              <w:jc w:val="center"/>
              <w:rPr>
                <w:lang w:val="en-AU"/>
              </w:rPr>
            </w:pPr>
          </w:p>
        </w:tc>
      </w:tr>
      <w:tr w:rsidR="00322650" w:rsidRPr="00C62A13" w:rsidTr="00D83C5C">
        <w:trPr>
          <w:cantSplit/>
        </w:trPr>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322650" w:rsidRPr="00C62A13" w:rsidRDefault="00D83C5C" w:rsidP="00D702AD">
            <w:pPr>
              <w:pStyle w:val="In-tableHeading"/>
              <w:keepNext w:val="0"/>
              <w:rPr>
                <w:lang w:val="en-AU"/>
              </w:rPr>
            </w:pPr>
            <w:r w:rsidRPr="00C62A13">
              <w:rPr>
                <w:lang w:val="en-AU"/>
              </w:rPr>
              <w:t>Direct evidence</w:t>
            </w:r>
            <w:r w:rsidR="00D702AD" w:rsidRPr="00C62A13">
              <w:rPr>
                <w:lang w:val="en-AU"/>
              </w:rPr>
              <w:t xml:space="preserve"> in adults with moderate-to-severe AD (HEADS UP)</w:t>
            </w:r>
          </w:p>
        </w:tc>
      </w:tr>
      <w:tr w:rsidR="00290519" w:rsidRPr="00C62A13" w:rsidTr="00290519">
        <w:trPr>
          <w:cantSplit/>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322650" w:rsidRPr="00C62A13" w:rsidRDefault="00890D50" w:rsidP="00D83C5C">
            <w:pPr>
              <w:pStyle w:val="TableText0"/>
              <w:keepNext w:val="0"/>
            </w:pPr>
            <w:r w:rsidRPr="00C62A13">
              <w:t>EASI 75</w:t>
            </w:r>
          </w:p>
        </w:tc>
        <w:tc>
          <w:tcPr>
            <w:tcW w:w="683" w:type="pc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TableText0"/>
              <w:keepNext w:val="0"/>
              <w:jc w:val="center"/>
            </w:pPr>
            <w:r w:rsidRPr="00C62A13">
              <w:t>247/348</w:t>
            </w:r>
          </w:p>
        </w:tc>
        <w:tc>
          <w:tcPr>
            <w:tcW w:w="683" w:type="pc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TableText0"/>
              <w:keepNext w:val="0"/>
              <w:jc w:val="center"/>
            </w:pPr>
            <w:r w:rsidRPr="00C62A13">
              <w:t>210/344</w:t>
            </w:r>
          </w:p>
        </w:tc>
        <w:tc>
          <w:tcPr>
            <w:tcW w:w="683" w:type="pc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8C052F">
            <w:pPr>
              <w:pStyle w:val="TableText0"/>
              <w:keepNext w:val="0"/>
              <w:jc w:val="center"/>
              <w:rPr>
                <w:b/>
              </w:rPr>
            </w:pPr>
            <w:r w:rsidRPr="00C62A13">
              <w:rPr>
                <w:b/>
              </w:rPr>
              <w:t>1.16</w:t>
            </w:r>
            <w:r w:rsidR="00890D50" w:rsidRPr="00C62A13">
              <w:rPr>
                <w:b/>
              </w:rPr>
              <w:t xml:space="preserve"> </w:t>
            </w:r>
            <w:r w:rsidRPr="00C62A13">
              <w:rPr>
                <w:b/>
              </w:rPr>
              <w:t>(1.04,1.30)</w:t>
            </w:r>
          </w:p>
        </w:tc>
        <w:tc>
          <w:tcPr>
            <w:tcW w:w="548" w:type="pc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TableText0"/>
              <w:keepNext w:val="0"/>
              <w:jc w:val="center"/>
            </w:pPr>
            <w:r w:rsidRPr="00C62A13">
              <w:t>71.0</w:t>
            </w:r>
          </w:p>
        </w:tc>
        <w:tc>
          <w:tcPr>
            <w:tcW w:w="551" w:type="pc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5F5AF1">
            <w:pPr>
              <w:pStyle w:val="TableText0"/>
              <w:keepNext w:val="0"/>
              <w:jc w:val="center"/>
            </w:pPr>
            <w:r w:rsidRPr="00C62A13">
              <w:t>61.0</w:t>
            </w:r>
          </w:p>
        </w:tc>
        <w:tc>
          <w:tcPr>
            <w:tcW w:w="756" w:type="pct"/>
            <w:tcBorders>
              <w:top w:val="single" w:sz="4" w:space="0" w:color="auto"/>
              <w:left w:val="single" w:sz="4" w:space="0" w:color="auto"/>
              <w:bottom w:val="single" w:sz="4" w:space="0" w:color="auto"/>
              <w:right w:val="single" w:sz="4" w:space="0" w:color="auto"/>
            </w:tcBorders>
            <w:vAlign w:val="center"/>
          </w:tcPr>
          <w:p w:rsidR="00322650" w:rsidRPr="00C62A13" w:rsidRDefault="00322650" w:rsidP="00890D50">
            <w:pPr>
              <w:pStyle w:val="TableText0"/>
              <w:keepNext w:val="0"/>
              <w:jc w:val="center"/>
            </w:pPr>
            <w:r w:rsidRPr="00C62A13">
              <w:rPr>
                <w:b/>
              </w:rPr>
              <w:t>0.10</w:t>
            </w:r>
            <w:r w:rsidR="00890D50" w:rsidRPr="00C62A13">
              <w:rPr>
                <w:b/>
              </w:rPr>
              <w:t xml:space="preserve"> </w:t>
            </w:r>
            <w:r w:rsidRPr="00C62A13">
              <w:rPr>
                <w:b/>
              </w:rPr>
              <w:t>(0.03, 0.17</w:t>
            </w:r>
            <w:r w:rsidRPr="00C62A13">
              <w:t>)</w:t>
            </w:r>
          </w:p>
        </w:tc>
      </w:tr>
      <w:tr w:rsidR="00322650" w:rsidRPr="00C62A13" w:rsidTr="00D83C5C">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322650" w:rsidRPr="00C62A13" w:rsidRDefault="00D83C5C" w:rsidP="008C052F">
            <w:pPr>
              <w:pStyle w:val="In-tableHeading"/>
              <w:keepNext w:val="0"/>
              <w:rPr>
                <w:lang w:val="en-AU"/>
              </w:rPr>
            </w:pPr>
            <w:r w:rsidRPr="00C62A13">
              <w:rPr>
                <w:lang w:val="en-AU"/>
              </w:rPr>
              <w:t xml:space="preserve">Indirect </w:t>
            </w:r>
            <w:r w:rsidR="008C052F" w:rsidRPr="00C62A13">
              <w:rPr>
                <w:lang w:val="en-AU"/>
              </w:rPr>
              <w:t>evidence</w:t>
            </w:r>
            <w:r w:rsidR="00D702AD" w:rsidRPr="00C62A13">
              <w:rPr>
                <w:lang w:val="en-AU"/>
              </w:rPr>
              <w:t xml:space="preserve"> in the</w:t>
            </w:r>
            <w:r w:rsidR="008C052F" w:rsidRPr="00C62A13">
              <w:rPr>
                <w:lang w:val="en-AU"/>
              </w:rPr>
              <w:t xml:space="preserve"> PBS subgroup</w:t>
            </w:r>
            <w:r w:rsidR="00956640" w:rsidRPr="00C62A13">
              <w:rPr>
                <w:lang w:val="en-AU"/>
              </w:rPr>
              <w:t xml:space="preserve"> (pooled </w:t>
            </w:r>
            <w:r w:rsidR="00D702AD" w:rsidRPr="00C62A13">
              <w:rPr>
                <w:lang w:val="en-AU"/>
              </w:rPr>
              <w:t xml:space="preserve">across PBO-controlled </w:t>
            </w:r>
            <w:r w:rsidR="00956640" w:rsidRPr="00C62A13">
              <w:rPr>
                <w:lang w:val="en-AU"/>
              </w:rPr>
              <w:t>monotherapy/combination therapy</w:t>
            </w:r>
            <w:r w:rsidR="00D702AD" w:rsidRPr="00C62A13">
              <w:rPr>
                <w:lang w:val="en-AU"/>
              </w:rPr>
              <w:t xml:space="preserve"> trial</w:t>
            </w:r>
            <w:r w:rsidR="00956640" w:rsidRPr="00C62A13">
              <w:rPr>
                <w:lang w:val="en-AU"/>
              </w:rPr>
              <w:t>)</w:t>
            </w:r>
          </w:p>
        </w:tc>
      </w:tr>
      <w:tr w:rsidR="00290519" w:rsidRPr="00C62A13" w:rsidTr="00290519">
        <w:trPr>
          <w:trHeight w:val="70"/>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417B69" w:rsidRPr="00C62A13" w:rsidRDefault="00417B69" w:rsidP="00417B69">
            <w:pPr>
              <w:pStyle w:val="In-tableHeading"/>
              <w:keepNext w:val="0"/>
              <w:rPr>
                <w:b w:val="0"/>
                <w:bCs/>
                <w:lang w:val="en-AU"/>
              </w:rPr>
            </w:pPr>
            <w:r w:rsidRPr="00C62A13">
              <w:rPr>
                <w:b w:val="0"/>
                <w:bCs/>
                <w:lang w:val="en-AU"/>
              </w:rPr>
              <w:t>PBS response, CsA-naive</w:t>
            </w:r>
          </w:p>
        </w:tc>
        <w:tc>
          <w:tcPr>
            <w:tcW w:w="683"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214/265</w:t>
            </w:r>
          </w:p>
          <w:p w:rsidR="00417B69" w:rsidRPr="00C62A13" w:rsidRDefault="00417B69" w:rsidP="00417B69">
            <w:pPr>
              <w:pStyle w:val="In-tableHeading"/>
              <w:keepNext w:val="0"/>
              <w:jc w:val="center"/>
              <w:rPr>
                <w:b w:val="0"/>
                <w:bCs/>
                <w:lang w:val="en-AU"/>
              </w:rPr>
            </w:pPr>
            <w:r w:rsidRPr="00C62A13">
              <w:rPr>
                <w:b w:val="0"/>
                <w:bCs/>
                <w:snapToGrid w:val="0"/>
                <w:szCs w:val="20"/>
                <w:lang w:val="en-AU" w:eastAsia="en-US"/>
              </w:rPr>
              <w:t>(PBO: 61/246)</w:t>
            </w:r>
          </w:p>
        </w:tc>
        <w:tc>
          <w:tcPr>
            <w:tcW w:w="683"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99/166</w:t>
            </w:r>
          </w:p>
          <w:p w:rsidR="00417B69" w:rsidRPr="00C62A13" w:rsidRDefault="00417B69" w:rsidP="00417B69">
            <w:pPr>
              <w:pStyle w:val="In-tableHeading"/>
              <w:keepNext w:val="0"/>
              <w:jc w:val="center"/>
              <w:rPr>
                <w:b w:val="0"/>
                <w:bCs/>
                <w:lang w:val="en-AU"/>
              </w:rPr>
            </w:pPr>
            <w:r w:rsidRPr="00C62A13">
              <w:rPr>
                <w:b w:val="0"/>
                <w:bCs/>
                <w:snapToGrid w:val="0"/>
                <w:szCs w:val="20"/>
                <w:lang w:val="en-AU" w:eastAsia="en-US"/>
              </w:rPr>
              <w:t>(PBO: 49/246)</w:t>
            </w:r>
          </w:p>
        </w:tc>
        <w:tc>
          <w:tcPr>
            <w:tcW w:w="683"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lang w:val="en-AU"/>
              </w:rPr>
            </w:pPr>
            <w:r w:rsidRPr="00C62A13">
              <w:rPr>
                <w:b w:val="0"/>
                <w:bCs/>
                <w:snapToGrid w:val="0"/>
                <w:szCs w:val="20"/>
                <w:lang w:val="en-AU" w:eastAsia="en-US"/>
              </w:rPr>
              <w:t>1.11 (0.71,1.72)</w:t>
            </w:r>
          </w:p>
        </w:tc>
        <w:tc>
          <w:tcPr>
            <w:tcW w:w="548"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80.8</w:t>
            </w:r>
          </w:p>
          <w:p w:rsidR="00417B69" w:rsidRPr="00C62A13" w:rsidRDefault="00417B69" w:rsidP="00417B69">
            <w:pPr>
              <w:pStyle w:val="In-tableHeading"/>
              <w:keepNext w:val="0"/>
              <w:jc w:val="center"/>
              <w:rPr>
                <w:b w:val="0"/>
                <w:bCs/>
                <w:lang w:val="en-AU"/>
              </w:rPr>
            </w:pPr>
            <w:r w:rsidRPr="00C62A13">
              <w:rPr>
                <w:b w:val="0"/>
                <w:bCs/>
                <w:snapToGrid w:val="0"/>
                <w:szCs w:val="20"/>
                <w:lang w:val="en-AU" w:eastAsia="en-US"/>
              </w:rPr>
              <w:t>(PBO: 24.8)</w:t>
            </w:r>
          </w:p>
        </w:tc>
        <w:tc>
          <w:tcPr>
            <w:tcW w:w="551"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59.6</w:t>
            </w:r>
          </w:p>
          <w:p w:rsidR="00417B69" w:rsidRPr="00C62A13" w:rsidRDefault="00417B69" w:rsidP="00417B69">
            <w:pPr>
              <w:pStyle w:val="In-tableHeading"/>
              <w:keepNext w:val="0"/>
              <w:jc w:val="center"/>
              <w:rPr>
                <w:b w:val="0"/>
                <w:bCs/>
                <w:lang w:val="en-AU"/>
              </w:rPr>
            </w:pPr>
            <w:r w:rsidRPr="00C62A13">
              <w:rPr>
                <w:b w:val="0"/>
                <w:bCs/>
                <w:snapToGrid w:val="0"/>
                <w:szCs w:val="20"/>
                <w:lang w:val="en-AU" w:eastAsia="en-US"/>
              </w:rPr>
              <w:t>(PBO: 19.9)</w:t>
            </w:r>
          </w:p>
        </w:tc>
        <w:tc>
          <w:tcPr>
            <w:tcW w:w="756"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lang w:val="en-AU"/>
              </w:rPr>
            </w:pPr>
            <w:r w:rsidRPr="00C62A13">
              <w:rPr>
                <w:bCs/>
                <w:iCs/>
                <w:snapToGrid w:val="0"/>
                <w:szCs w:val="20"/>
                <w:lang w:val="en-AU" w:eastAsia="en-US"/>
              </w:rPr>
              <w:t>0.17 (0.05,0.29)</w:t>
            </w:r>
          </w:p>
        </w:tc>
      </w:tr>
      <w:tr w:rsidR="00417B69" w:rsidRPr="00C62A13" w:rsidTr="00290519">
        <w:trPr>
          <w:trHeight w:val="70"/>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417B69" w:rsidRPr="00C62A13" w:rsidRDefault="00417B69" w:rsidP="00417B69">
            <w:pPr>
              <w:pStyle w:val="In-tableHeading"/>
              <w:keepNext w:val="0"/>
              <w:rPr>
                <w:b w:val="0"/>
                <w:bCs/>
                <w:lang w:val="en-AU"/>
              </w:rPr>
            </w:pPr>
            <w:r w:rsidRPr="00C62A13">
              <w:rPr>
                <w:b w:val="0"/>
                <w:bCs/>
                <w:lang w:val="en-AU"/>
              </w:rPr>
              <w:t>PBS response, CsA-exp.</w:t>
            </w:r>
          </w:p>
        </w:tc>
        <w:tc>
          <w:tcPr>
            <w:tcW w:w="683"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64/79</w:t>
            </w:r>
          </w:p>
          <w:p w:rsidR="00417B69" w:rsidRPr="00C62A13" w:rsidRDefault="00290519" w:rsidP="00417B69">
            <w:pPr>
              <w:pStyle w:val="In-tableHeading"/>
              <w:keepNext w:val="0"/>
              <w:jc w:val="center"/>
              <w:rPr>
                <w:b w:val="0"/>
                <w:bCs/>
                <w:lang w:val="en-AU"/>
              </w:rPr>
            </w:pPr>
            <w:r w:rsidRPr="00C62A13">
              <w:rPr>
                <w:b w:val="0"/>
                <w:bCs/>
                <w:snapToGrid w:val="0"/>
                <w:szCs w:val="20"/>
                <w:lang w:val="en-AU" w:eastAsia="en-US"/>
              </w:rPr>
              <w:t>(</w:t>
            </w:r>
            <w:r w:rsidR="00417B69" w:rsidRPr="00C62A13">
              <w:rPr>
                <w:b w:val="0"/>
                <w:bCs/>
                <w:snapToGrid w:val="0"/>
                <w:szCs w:val="20"/>
                <w:lang w:val="en-AU" w:eastAsia="en-US"/>
              </w:rPr>
              <w:t>PBO: 12/98)</w:t>
            </w:r>
          </w:p>
        </w:tc>
        <w:tc>
          <w:tcPr>
            <w:tcW w:w="683"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91/152</w:t>
            </w:r>
          </w:p>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(PBO: 91/152)</w:t>
            </w:r>
          </w:p>
        </w:tc>
        <w:tc>
          <w:tcPr>
            <w:tcW w:w="683"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lang w:val="en-AU"/>
              </w:rPr>
            </w:pPr>
            <w:r w:rsidRPr="00C62A13">
              <w:rPr>
                <w:b w:val="0"/>
                <w:iCs/>
                <w:snapToGrid w:val="0"/>
                <w:szCs w:val="20"/>
                <w:lang w:val="en-AU" w:eastAsia="en-US"/>
              </w:rPr>
              <w:t>1.99 (0.41,9.56)</w:t>
            </w:r>
          </w:p>
        </w:tc>
        <w:tc>
          <w:tcPr>
            <w:tcW w:w="548"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lang w:val="en-AU"/>
              </w:rPr>
            </w:pPr>
            <w:r w:rsidRPr="00C62A13">
              <w:rPr>
                <w:b w:val="0"/>
                <w:bCs/>
                <w:lang w:val="en-AU"/>
              </w:rPr>
              <w:t>81.0</w:t>
            </w:r>
          </w:p>
          <w:p w:rsidR="00417B69" w:rsidRPr="00C62A13" w:rsidRDefault="00417B69" w:rsidP="00417B69">
            <w:pPr>
              <w:pStyle w:val="In-tableHeading"/>
              <w:keepNext w:val="0"/>
              <w:jc w:val="center"/>
              <w:rPr>
                <w:b w:val="0"/>
                <w:bCs/>
                <w:lang w:val="en-AU"/>
              </w:rPr>
            </w:pPr>
            <w:r w:rsidRPr="00C62A13">
              <w:rPr>
                <w:b w:val="0"/>
                <w:bCs/>
                <w:lang w:val="en-AU"/>
              </w:rPr>
              <w:t>(PBO: 12.2)</w:t>
            </w:r>
          </w:p>
        </w:tc>
        <w:tc>
          <w:tcPr>
            <w:tcW w:w="551"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 w:val="0"/>
                <w:bCs/>
                <w:snapToGrid w:val="0"/>
                <w:szCs w:val="20"/>
                <w:lang w:val="en-AU" w:eastAsia="en-US"/>
              </w:rPr>
            </w:pPr>
            <w:r w:rsidRPr="00C62A13">
              <w:rPr>
                <w:b w:val="0"/>
                <w:bCs/>
                <w:snapToGrid w:val="0"/>
                <w:szCs w:val="20"/>
                <w:lang w:val="en-AU" w:eastAsia="en-US"/>
              </w:rPr>
              <w:t>59.9</w:t>
            </w:r>
          </w:p>
          <w:p w:rsidR="00417B69" w:rsidRPr="00C62A13" w:rsidRDefault="00417B69" w:rsidP="00417B69">
            <w:pPr>
              <w:pStyle w:val="In-tableHeading"/>
              <w:keepNext w:val="0"/>
              <w:jc w:val="center"/>
              <w:rPr>
                <w:b w:val="0"/>
                <w:bCs/>
                <w:lang w:val="en-AU"/>
              </w:rPr>
            </w:pPr>
            <w:r w:rsidRPr="00C62A13">
              <w:rPr>
                <w:b w:val="0"/>
                <w:bCs/>
                <w:snapToGrid w:val="0"/>
                <w:szCs w:val="20"/>
                <w:lang w:val="en-AU" w:eastAsia="en-US"/>
              </w:rPr>
              <w:t>(PBO: 14.0)</w:t>
            </w:r>
          </w:p>
        </w:tc>
        <w:tc>
          <w:tcPr>
            <w:tcW w:w="756" w:type="pct"/>
            <w:tcBorders>
              <w:top w:val="single" w:sz="4" w:space="0" w:color="auto"/>
              <w:left w:val="single" w:sz="4" w:space="0" w:color="auto"/>
              <w:bottom w:val="single" w:sz="4" w:space="0" w:color="auto"/>
              <w:right w:val="single" w:sz="4" w:space="0" w:color="auto"/>
            </w:tcBorders>
            <w:vAlign w:val="center"/>
          </w:tcPr>
          <w:p w:rsidR="00417B69" w:rsidRPr="00C62A13" w:rsidRDefault="00417B69" w:rsidP="00417B69">
            <w:pPr>
              <w:pStyle w:val="In-tableHeading"/>
              <w:keepNext w:val="0"/>
              <w:jc w:val="center"/>
              <w:rPr>
                <w:bCs/>
                <w:lang w:val="en-AU"/>
              </w:rPr>
            </w:pPr>
            <w:r w:rsidRPr="00C62A13">
              <w:rPr>
                <w:bCs/>
                <w:iCs/>
                <w:snapToGrid w:val="0"/>
                <w:szCs w:val="20"/>
                <w:lang w:val="en-AU" w:eastAsia="en-US"/>
              </w:rPr>
              <w:t>0.24 (0.08, 0.40)</w:t>
            </w:r>
          </w:p>
        </w:tc>
      </w:tr>
      <w:tr w:rsidR="00417B69" w:rsidRPr="00C62A13" w:rsidTr="008C052F">
        <w:trPr>
          <w:trHeight w:val="70"/>
        </w:trPr>
        <w:tc>
          <w:tcPr>
            <w:tcW w:w="5000" w:type="pct"/>
            <w:gridSpan w:val="7"/>
            <w:tcBorders>
              <w:top w:val="single" w:sz="4" w:space="0" w:color="auto"/>
              <w:left w:val="single" w:sz="4" w:space="0" w:color="auto"/>
              <w:bottom w:val="single" w:sz="4" w:space="0" w:color="auto"/>
              <w:right w:val="single" w:sz="4" w:space="0" w:color="auto"/>
            </w:tcBorders>
            <w:shd w:val="clear" w:color="auto" w:fill="auto"/>
            <w:vAlign w:val="center"/>
          </w:tcPr>
          <w:p w:rsidR="00417B69" w:rsidRPr="00C62A13" w:rsidRDefault="00417B69" w:rsidP="00D702AD">
            <w:pPr>
              <w:pStyle w:val="In-tableHeading"/>
              <w:keepNext w:val="0"/>
              <w:rPr>
                <w:b w:val="0"/>
                <w:bCs/>
                <w:lang w:val="en-AU"/>
              </w:rPr>
            </w:pPr>
            <w:r w:rsidRPr="00C62A13">
              <w:rPr>
                <w:lang w:val="en-AU"/>
              </w:rPr>
              <w:t>Indirect evidence</w:t>
            </w:r>
            <w:r w:rsidR="00D702AD" w:rsidRPr="00C62A13">
              <w:rPr>
                <w:lang w:val="en-AU"/>
              </w:rPr>
              <w:t xml:space="preserve"> in adults with moderate to severe AD</w:t>
            </w:r>
            <w:r w:rsidR="00135F0E" w:rsidRPr="00C62A13">
              <w:rPr>
                <w:lang w:val="en-AU"/>
              </w:rPr>
              <w:t xml:space="preserve"> (PBO-controlled trials)</w:t>
            </w:r>
          </w:p>
        </w:tc>
      </w:tr>
      <w:tr w:rsidR="00E36737" w:rsidRPr="00C62A13" w:rsidTr="00290519">
        <w:trPr>
          <w:trHeight w:val="70"/>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E36737" w:rsidRPr="00C62A13" w:rsidRDefault="00E36737" w:rsidP="00E36737">
            <w:pPr>
              <w:pStyle w:val="In-tableHeading"/>
              <w:keepNext w:val="0"/>
              <w:rPr>
                <w:b w:val="0"/>
                <w:bCs/>
                <w:lang w:val="en-AU"/>
              </w:rPr>
            </w:pPr>
            <w:r w:rsidRPr="00C62A13">
              <w:rPr>
                <w:b w:val="0"/>
                <w:bCs/>
                <w:lang w:val="en-AU"/>
              </w:rPr>
              <w:t>EASI 50, monotherapy</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447/532</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145/524)</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356/522</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125/521)</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1.07 (0.86,1.33)</w:t>
            </w:r>
          </w:p>
        </w:tc>
        <w:tc>
          <w:tcPr>
            <w:tcW w:w="548"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84.0</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27.7)</w:t>
            </w:r>
          </w:p>
        </w:tc>
        <w:tc>
          <w:tcPr>
            <w:tcW w:w="551"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68.2</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24.0)</w:t>
            </w:r>
          </w:p>
        </w:tc>
        <w:tc>
          <w:tcPr>
            <w:tcW w:w="756"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Cs/>
                <w:iCs/>
                <w:snapToGrid w:val="0"/>
                <w:szCs w:val="20"/>
                <w:lang w:val="en-AU" w:eastAsia="en-US"/>
              </w:rPr>
              <w:t>0.12 (0.05,0.19)</w:t>
            </w:r>
          </w:p>
        </w:tc>
      </w:tr>
      <w:tr w:rsidR="00E36737" w:rsidRPr="00C62A13" w:rsidTr="00290519">
        <w:trPr>
          <w:trHeight w:val="70"/>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E36737" w:rsidRPr="00C62A13" w:rsidRDefault="00E36737" w:rsidP="00E36737">
            <w:pPr>
              <w:pStyle w:val="In-tableHeading"/>
              <w:keepNext w:val="0"/>
              <w:rPr>
                <w:b w:val="0"/>
                <w:bCs/>
                <w:lang w:val="en-AU"/>
              </w:rPr>
            </w:pPr>
            <w:r w:rsidRPr="00C62A13">
              <w:rPr>
                <w:b w:val="0"/>
                <w:bCs/>
                <w:lang w:val="en-AU"/>
              </w:rPr>
              <w:t>EASI 50, combination</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298/341</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128/345)</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371/445</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236/547)</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iCs/>
                <w:snapToGrid w:val="0"/>
                <w:szCs w:val="20"/>
                <w:lang w:val="en-AU" w:eastAsia="en-US"/>
              </w:rPr>
              <w:t>1.36 (0.93,1.98)</w:t>
            </w:r>
          </w:p>
        </w:tc>
        <w:tc>
          <w:tcPr>
            <w:tcW w:w="548"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bCs/>
                <w:lang w:val="en-AU"/>
              </w:rPr>
              <w:t>87.4</w:t>
            </w:r>
          </w:p>
          <w:p w:rsidR="00E36737" w:rsidRPr="00C62A13" w:rsidRDefault="00E36737" w:rsidP="00E36737">
            <w:pPr>
              <w:pStyle w:val="In-tableHeading"/>
              <w:keepNext w:val="0"/>
              <w:jc w:val="center"/>
              <w:rPr>
                <w:b w:val="0"/>
                <w:bCs/>
                <w:lang w:val="en-AU"/>
              </w:rPr>
            </w:pPr>
            <w:r w:rsidRPr="00C62A13">
              <w:rPr>
                <w:b w:val="0"/>
                <w:bCs/>
                <w:lang w:val="en-AU"/>
              </w:rPr>
              <w:t>(PBO: 37.1)</w:t>
            </w:r>
          </w:p>
        </w:tc>
        <w:tc>
          <w:tcPr>
            <w:tcW w:w="551"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83.4</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43.1)</w:t>
            </w:r>
          </w:p>
        </w:tc>
        <w:tc>
          <w:tcPr>
            <w:tcW w:w="756"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Cs/>
                <w:iCs/>
                <w:snapToGrid w:val="0"/>
                <w:szCs w:val="20"/>
                <w:lang w:val="en-AU" w:eastAsia="en-US"/>
              </w:rPr>
              <w:t>0.14 (0.01, 0.27)</w:t>
            </w:r>
          </w:p>
        </w:tc>
      </w:tr>
      <w:tr w:rsidR="00E36737" w:rsidRPr="00C62A13" w:rsidTr="00290519">
        <w:trPr>
          <w:trHeight w:val="70"/>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E36737" w:rsidRPr="00C62A13" w:rsidRDefault="00E36737" w:rsidP="00E36737">
            <w:pPr>
              <w:pStyle w:val="In-tableHeading"/>
              <w:keepNext w:val="0"/>
              <w:rPr>
                <w:b w:val="0"/>
                <w:bCs/>
                <w:lang w:val="en-AU"/>
              </w:rPr>
            </w:pPr>
            <w:r w:rsidRPr="00C62A13">
              <w:rPr>
                <w:b w:val="0"/>
                <w:bCs/>
                <w:lang w:val="en-AU"/>
              </w:rPr>
              <w:t>DLQI ≥4, monotherapy</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370/469</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137/465)</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297/432</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127/431)</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1.18 (0.90,1.54)</w:t>
            </w:r>
          </w:p>
        </w:tc>
        <w:tc>
          <w:tcPr>
            <w:tcW w:w="548"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80.8</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29.5)</w:t>
            </w:r>
          </w:p>
        </w:tc>
        <w:tc>
          <w:tcPr>
            <w:tcW w:w="551"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68.8</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29.5)</w:t>
            </w:r>
          </w:p>
        </w:tc>
        <w:tc>
          <w:tcPr>
            <w:tcW w:w="756"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iCs/>
                <w:snapToGrid w:val="0"/>
                <w:szCs w:val="20"/>
                <w:lang w:val="en-AU" w:eastAsia="en-US"/>
              </w:rPr>
              <w:t>0.12 (-0.01,0.25)</w:t>
            </w:r>
          </w:p>
        </w:tc>
      </w:tr>
      <w:tr w:rsidR="00E36737" w:rsidRPr="00C62A13" w:rsidTr="00290519">
        <w:trPr>
          <w:trHeight w:val="70"/>
        </w:trPr>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E36737" w:rsidRPr="00C62A13" w:rsidRDefault="00E36737" w:rsidP="00E36737">
            <w:pPr>
              <w:pStyle w:val="In-tableHeading"/>
              <w:keepNext w:val="0"/>
              <w:rPr>
                <w:b w:val="0"/>
                <w:bCs/>
                <w:lang w:val="en-AU"/>
              </w:rPr>
            </w:pPr>
            <w:r w:rsidRPr="00C62A13">
              <w:rPr>
                <w:b w:val="0"/>
                <w:bCs/>
                <w:lang w:val="en-AU"/>
              </w:rPr>
              <w:t>DLQI ≥4, combination</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215/254</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106/256)</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166/197</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171/395)</w:t>
            </w:r>
          </w:p>
        </w:tc>
        <w:tc>
          <w:tcPr>
            <w:tcW w:w="683"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iCs/>
                <w:snapToGrid w:val="0"/>
                <w:szCs w:val="20"/>
                <w:lang w:val="en-AU" w:eastAsia="en-US"/>
              </w:rPr>
              <w:t>1.07(0.87,1.31)</w:t>
            </w:r>
          </w:p>
        </w:tc>
        <w:tc>
          <w:tcPr>
            <w:tcW w:w="548"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bCs/>
                <w:lang w:val="en-AU"/>
              </w:rPr>
              <w:t>84.8</w:t>
            </w:r>
          </w:p>
          <w:p w:rsidR="00E36737" w:rsidRPr="00C62A13" w:rsidRDefault="00E36737" w:rsidP="00E36737">
            <w:pPr>
              <w:pStyle w:val="In-tableHeading"/>
              <w:keepNext w:val="0"/>
              <w:jc w:val="center"/>
              <w:rPr>
                <w:b w:val="0"/>
                <w:bCs/>
                <w:lang w:val="en-AU"/>
              </w:rPr>
            </w:pPr>
            <w:r w:rsidRPr="00C62A13">
              <w:rPr>
                <w:b w:val="0"/>
                <w:bCs/>
                <w:lang w:val="en-AU"/>
              </w:rPr>
              <w:t>(PBO: 41.4)</w:t>
            </w:r>
          </w:p>
        </w:tc>
        <w:tc>
          <w:tcPr>
            <w:tcW w:w="551"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snapToGrid w:val="0"/>
                <w:szCs w:val="20"/>
                <w:lang w:val="en-AU" w:eastAsia="en-US"/>
              </w:rPr>
            </w:pPr>
            <w:r w:rsidRPr="00C62A13">
              <w:rPr>
                <w:b w:val="0"/>
                <w:bCs/>
                <w:snapToGrid w:val="0"/>
                <w:szCs w:val="20"/>
                <w:lang w:val="en-AU" w:eastAsia="en-US"/>
              </w:rPr>
              <w:t>84.3</w:t>
            </w:r>
          </w:p>
          <w:p w:rsidR="00E36737" w:rsidRPr="00C62A13" w:rsidRDefault="00E36737" w:rsidP="00E36737">
            <w:pPr>
              <w:pStyle w:val="In-tableHeading"/>
              <w:keepNext w:val="0"/>
              <w:jc w:val="center"/>
              <w:rPr>
                <w:b w:val="0"/>
                <w:bCs/>
                <w:lang w:val="en-AU"/>
              </w:rPr>
            </w:pPr>
            <w:r w:rsidRPr="00C62A13">
              <w:rPr>
                <w:b w:val="0"/>
                <w:bCs/>
                <w:snapToGrid w:val="0"/>
                <w:szCs w:val="20"/>
                <w:lang w:val="en-AU" w:eastAsia="en-US"/>
              </w:rPr>
              <w:t>(PBO: 43.3)</w:t>
            </w:r>
          </w:p>
        </w:tc>
        <w:tc>
          <w:tcPr>
            <w:tcW w:w="756" w:type="pct"/>
            <w:tcBorders>
              <w:top w:val="single" w:sz="4" w:space="0" w:color="auto"/>
              <w:left w:val="single" w:sz="4" w:space="0" w:color="auto"/>
              <w:bottom w:val="single" w:sz="4" w:space="0" w:color="auto"/>
              <w:right w:val="single" w:sz="4" w:space="0" w:color="auto"/>
            </w:tcBorders>
            <w:vAlign w:val="center"/>
          </w:tcPr>
          <w:p w:rsidR="00E36737" w:rsidRPr="00C62A13" w:rsidRDefault="00E36737" w:rsidP="00E36737">
            <w:pPr>
              <w:pStyle w:val="In-tableHeading"/>
              <w:keepNext w:val="0"/>
              <w:jc w:val="center"/>
              <w:rPr>
                <w:b w:val="0"/>
                <w:bCs/>
                <w:lang w:val="en-AU"/>
              </w:rPr>
            </w:pPr>
            <w:r w:rsidRPr="00C62A13">
              <w:rPr>
                <w:b w:val="0"/>
                <w:iCs/>
                <w:snapToGrid w:val="0"/>
                <w:szCs w:val="20"/>
                <w:lang w:val="en-AU" w:eastAsia="en-US"/>
              </w:rPr>
              <w:t>0.03 (-0.08, 0.14)</w:t>
            </w:r>
          </w:p>
        </w:tc>
      </w:tr>
      <w:tr w:rsidR="00290519" w:rsidRPr="00C62A13" w:rsidTr="00290519">
        <w:trPr>
          <w:trHeight w:val="70"/>
        </w:trPr>
        <w:tc>
          <w:tcPr>
            <w:tcW w:w="109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90519" w:rsidRPr="00C62A13" w:rsidRDefault="00290519" w:rsidP="00290519">
            <w:pPr>
              <w:pStyle w:val="In-tableHeading"/>
              <w:keepNext w:val="0"/>
              <w:rPr>
                <w:lang w:val="en-AU"/>
              </w:rPr>
            </w:pPr>
            <w:r w:rsidRPr="00C62A13">
              <w:rPr>
                <w:lang w:val="en-AU"/>
              </w:rPr>
              <w:t>Harms</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UPA 30</w:t>
            </w:r>
            <w:r w:rsidR="00A822CF" w:rsidRPr="00C62A13">
              <w:rPr>
                <w:lang w:val="en-AU"/>
              </w:rPr>
              <w:t xml:space="preserve"> </w:t>
            </w:r>
            <w:r w:rsidRPr="00C62A13">
              <w:rPr>
                <w:lang w:val="en-AU"/>
              </w:rPr>
              <w:t>mg</w:t>
            </w:r>
          </w:p>
          <w:p w:rsidR="00290519" w:rsidRPr="00C62A13" w:rsidRDefault="00290519" w:rsidP="00290519">
            <w:pPr>
              <w:pStyle w:val="In-tableHeading"/>
              <w:keepNext w:val="0"/>
              <w:jc w:val="center"/>
              <w:rPr>
                <w:lang w:val="en-AU"/>
              </w:rPr>
            </w:pPr>
            <w:r w:rsidRPr="00C62A13">
              <w:rPr>
                <w:lang w:val="en-AU"/>
              </w:rPr>
              <w:t>n/N</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DUPI</w:t>
            </w:r>
          </w:p>
          <w:p w:rsidR="00290519" w:rsidRPr="00C62A13" w:rsidRDefault="00290519" w:rsidP="00290519">
            <w:pPr>
              <w:pStyle w:val="In-tableHeading"/>
              <w:keepNext w:val="0"/>
              <w:jc w:val="center"/>
              <w:rPr>
                <w:lang w:val="en-AU"/>
              </w:rPr>
            </w:pPr>
            <w:r w:rsidRPr="00C62A13">
              <w:rPr>
                <w:lang w:val="en-AU"/>
              </w:rPr>
              <w:t>n/N</w:t>
            </w:r>
          </w:p>
        </w:tc>
        <w:tc>
          <w:tcPr>
            <w:tcW w:w="683" w:type="pct"/>
            <w:vMerge w:val="restar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RR</w:t>
            </w:r>
          </w:p>
          <w:p w:rsidR="00290519" w:rsidRPr="00C62A13" w:rsidRDefault="00290519" w:rsidP="00290519">
            <w:pPr>
              <w:pStyle w:val="In-tableHeading"/>
              <w:keepNext w:val="0"/>
              <w:jc w:val="center"/>
              <w:rPr>
                <w:lang w:val="en-AU"/>
              </w:rPr>
            </w:pPr>
            <w:r w:rsidRPr="00C62A13">
              <w:rPr>
                <w:lang w:val="en-AU"/>
              </w:rPr>
              <w:t>(95% CI)</w:t>
            </w:r>
          </w:p>
        </w:tc>
        <w:tc>
          <w:tcPr>
            <w:tcW w:w="1099" w:type="pct"/>
            <w:gridSpan w:val="2"/>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Event rate/100 patients*</w:t>
            </w:r>
          </w:p>
        </w:tc>
        <w:tc>
          <w:tcPr>
            <w:tcW w:w="756" w:type="pct"/>
            <w:vMerge w:val="restar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RD</w:t>
            </w:r>
          </w:p>
          <w:p w:rsidR="00290519" w:rsidRPr="00C62A13" w:rsidRDefault="00290519" w:rsidP="00290519">
            <w:pPr>
              <w:pStyle w:val="In-tableHeading"/>
              <w:keepNext w:val="0"/>
              <w:jc w:val="center"/>
              <w:rPr>
                <w:lang w:val="en-AU"/>
              </w:rPr>
            </w:pPr>
            <w:r w:rsidRPr="00C62A13">
              <w:rPr>
                <w:lang w:val="en-AU"/>
              </w:rPr>
              <w:t>(95% CI)</w:t>
            </w:r>
          </w:p>
        </w:tc>
      </w:tr>
      <w:tr w:rsidR="00290519" w:rsidRPr="00C62A13" w:rsidTr="00290519">
        <w:trPr>
          <w:trHeight w:val="70"/>
        </w:trPr>
        <w:tc>
          <w:tcPr>
            <w:tcW w:w="1096" w:type="pct"/>
            <w:vMerge/>
            <w:tcBorders>
              <w:top w:val="single" w:sz="4" w:space="0" w:color="auto"/>
              <w:left w:val="single" w:sz="4" w:space="0" w:color="auto"/>
              <w:bottom w:val="double" w:sz="4" w:space="0" w:color="auto"/>
              <w:right w:val="single" w:sz="4" w:space="0" w:color="auto"/>
            </w:tcBorders>
            <w:shd w:val="clear" w:color="auto" w:fill="auto"/>
            <w:vAlign w:val="center"/>
          </w:tcPr>
          <w:p w:rsidR="00290519" w:rsidRPr="00C62A13" w:rsidRDefault="00290519" w:rsidP="00290519">
            <w:pPr>
              <w:pStyle w:val="In-tableHeading"/>
              <w:keepNext w:val="0"/>
              <w:rPr>
                <w:lang w:val="en-AU"/>
              </w:rPr>
            </w:pPr>
          </w:p>
        </w:tc>
        <w:tc>
          <w:tcPr>
            <w:tcW w:w="683" w:type="pct"/>
            <w:vMerge/>
            <w:tcBorders>
              <w:top w:val="single" w:sz="4" w:space="0" w:color="auto"/>
              <w:left w:val="single" w:sz="4" w:space="0" w:color="auto"/>
              <w:bottom w:val="double" w:sz="4" w:space="0" w:color="auto"/>
              <w:right w:val="single" w:sz="4" w:space="0" w:color="auto"/>
            </w:tcBorders>
            <w:vAlign w:val="center"/>
          </w:tcPr>
          <w:p w:rsidR="00290519" w:rsidRPr="00C62A13" w:rsidRDefault="00290519" w:rsidP="00290519">
            <w:pPr>
              <w:pStyle w:val="In-tableHeading"/>
              <w:keepNext w:val="0"/>
              <w:rPr>
                <w:lang w:val="en-AU"/>
              </w:rPr>
            </w:pPr>
          </w:p>
        </w:tc>
        <w:tc>
          <w:tcPr>
            <w:tcW w:w="683" w:type="pct"/>
            <w:vMerge/>
            <w:tcBorders>
              <w:top w:val="single" w:sz="4" w:space="0" w:color="auto"/>
              <w:left w:val="single" w:sz="4" w:space="0" w:color="auto"/>
              <w:bottom w:val="double" w:sz="4" w:space="0" w:color="auto"/>
              <w:right w:val="single" w:sz="4" w:space="0" w:color="auto"/>
            </w:tcBorders>
            <w:vAlign w:val="center"/>
          </w:tcPr>
          <w:p w:rsidR="00290519" w:rsidRPr="00C62A13" w:rsidRDefault="00290519" w:rsidP="00290519">
            <w:pPr>
              <w:pStyle w:val="In-tableHeading"/>
              <w:keepNext w:val="0"/>
              <w:rPr>
                <w:lang w:val="en-AU"/>
              </w:rPr>
            </w:pPr>
          </w:p>
        </w:tc>
        <w:tc>
          <w:tcPr>
            <w:tcW w:w="683" w:type="pct"/>
            <w:vMerge/>
            <w:tcBorders>
              <w:top w:val="single" w:sz="4" w:space="0" w:color="auto"/>
              <w:left w:val="single" w:sz="4" w:space="0" w:color="auto"/>
              <w:bottom w:val="double" w:sz="4" w:space="0" w:color="auto"/>
              <w:right w:val="single" w:sz="4" w:space="0" w:color="auto"/>
            </w:tcBorders>
            <w:vAlign w:val="center"/>
          </w:tcPr>
          <w:p w:rsidR="00290519" w:rsidRPr="00C62A13" w:rsidRDefault="00290519" w:rsidP="00290519">
            <w:pPr>
              <w:pStyle w:val="In-tableHeading"/>
              <w:keepNext w:val="0"/>
              <w:rPr>
                <w:lang w:val="en-AU"/>
              </w:rPr>
            </w:pPr>
          </w:p>
        </w:tc>
        <w:tc>
          <w:tcPr>
            <w:tcW w:w="548" w:type="pct"/>
            <w:tcBorders>
              <w:top w:val="single" w:sz="4" w:space="0" w:color="auto"/>
              <w:left w:val="single" w:sz="4" w:space="0" w:color="auto"/>
              <w:bottom w:val="doub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UPA 30mg</w:t>
            </w:r>
          </w:p>
        </w:tc>
        <w:tc>
          <w:tcPr>
            <w:tcW w:w="551" w:type="pct"/>
            <w:tcBorders>
              <w:top w:val="single" w:sz="4" w:space="0" w:color="auto"/>
              <w:left w:val="single" w:sz="4" w:space="0" w:color="auto"/>
              <w:bottom w:val="double" w:sz="4" w:space="0" w:color="auto"/>
              <w:right w:val="single" w:sz="4" w:space="0" w:color="auto"/>
            </w:tcBorders>
            <w:vAlign w:val="center"/>
          </w:tcPr>
          <w:p w:rsidR="00290519" w:rsidRPr="00C62A13" w:rsidRDefault="00290519" w:rsidP="00290519">
            <w:pPr>
              <w:pStyle w:val="In-tableHeading"/>
              <w:keepNext w:val="0"/>
              <w:jc w:val="center"/>
              <w:rPr>
                <w:lang w:val="en-AU"/>
              </w:rPr>
            </w:pPr>
            <w:r w:rsidRPr="00C62A13">
              <w:rPr>
                <w:lang w:val="en-AU"/>
              </w:rPr>
              <w:t>DUPI</w:t>
            </w:r>
          </w:p>
        </w:tc>
        <w:tc>
          <w:tcPr>
            <w:tcW w:w="756" w:type="pct"/>
            <w:vMerge/>
            <w:tcBorders>
              <w:top w:val="single" w:sz="4" w:space="0" w:color="auto"/>
              <w:left w:val="single" w:sz="4" w:space="0" w:color="auto"/>
              <w:bottom w:val="double" w:sz="4" w:space="0" w:color="auto"/>
              <w:right w:val="single" w:sz="4" w:space="0" w:color="auto"/>
            </w:tcBorders>
            <w:vAlign w:val="center"/>
          </w:tcPr>
          <w:p w:rsidR="00290519" w:rsidRPr="00C62A13" w:rsidRDefault="00290519" w:rsidP="00290519">
            <w:pPr>
              <w:pStyle w:val="In-tableHeading"/>
              <w:keepNext w:val="0"/>
              <w:rPr>
                <w:lang w:val="en-AU"/>
              </w:rPr>
            </w:pPr>
          </w:p>
        </w:tc>
      </w:tr>
      <w:tr w:rsidR="00290519" w:rsidRPr="00C62A13" w:rsidTr="008C052F">
        <w:tc>
          <w:tcPr>
            <w:tcW w:w="5000" w:type="pct"/>
            <w:gridSpan w:val="7"/>
            <w:tcBorders>
              <w:top w:val="double" w:sz="4" w:space="0" w:color="auto"/>
              <w:left w:val="single" w:sz="4" w:space="0" w:color="auto"/>
              <w:bottom w:val="single" w:sz="4" w:space="0" w:color="auto"/>
              <w:right w:val="single" w:sz="4" w:space="0" w:color="auto"/>
            </w:tcBorders>
            <w:shd w:val="clear" w:color="auto" w:fill="auto"/>
            <w:vAlign w:val="center"/>
          </w:tcPr>
          <w:p w:rsidR="00290519" w:rsidRPr="00C62A13" w:rsidRDefault="00290519" w:rsidP="00290519">
            <w:pPr>
              <w:pStyle w:val="TableText0"/>
              <w:keepNext w:val="0"/>
              <w:rPr>
                <w:b/>
                <w:bCs w:val="0"/>
              </w:rPr>
            </w:pPr>
            <w:r w:rsidRPr="00C62A13">
              <w:rPr>
                <w:b/>
                <w:bCs w:val="0"/>
              </w:rPr>
              <w:t>Direct evidence: HEADS UP</w:t>
            </w:r>
          </w:p>
        </w:tc>
      </w:tr>
      <w:tr w:rsidR="00290519" w:rsidRPr="00C62A13" w:rsidTr="00290519">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290519" w:rsidRPr="00C62A13" w:rsidRDefault="00290519" w:rsidP="00290519">
            <w:pPr>
              <w:pStyle w:val="TableText0"/>
              <w:keepNext w:val="0"/>
            </w:pPr>
            <w:r w:rsidRPr="00C62A13">
              <w:t>Any AEs</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271/348</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230/344</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rPr>
                <w:b/>
              </w:rPr>
            </w:pPr>
            <w:r w:rsidRPr="00C62A13">
              <w:rPr>
                <w:b/>
              </w:rPr>
              <w:t>1.16 (1.06,1.28)</w:t>
            </w:r>
          </w:p>
        </w:tc>
        <w:tc>
          <w:tcPr>
            <w:tcW w:w="548"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77.9</w:t>
            </w:r>
          </w:p>
        </w:tc>
        <w:tc>
          <w:tcPr>
            <w:tcW w:w="551"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66.9</w:t>
            </w:r>
          </w:p>
        </w:tc>
        <w:tc>
          <w:tcPr>
            <w:tcW w:w="756"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rPr>
                <w:b/>
              </w:rPr>
            </w:pPr>
            <w:r w:rsidRPr="00C62A13">
              <w:rPr>
                <w:b/>
              </w:rPr>
              <w:t>0.11 (0.04, 0.18</w:t>
            </w:r>
            <w:r w:rsidRPr="00C62A13">
              <w:t>)</w:t>
            </w:r>
          </w:p>
        </w:tc>
      </w:tr>
      <w:tr w:rsidR="00290519" w:rsidRPr="00C62A13" w:rsidTr="00290519">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290519" w:rsidRPr="00C62A13" w:rsidRDefault="00290519" w:rsidP="00290519">
            <w:pPr>
              <w:pStyle w:val="TableText0"/>
              <w:keepNext w:val="0"/>
            </w:pPr>
            <w:r w:rsidRPr="00C62A13">
              <w:t>Drug-related AEs</w:t>
            </w:r>
            <w:r w:rsidRPr="00C62A13">
              <w:rPr>
                <w:vertAlign w:val="superscript"/>
              </w:rPr>
              <w:t>a</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170/348</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129/344</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rPr>
                <w:b/>
              </w:rPr>
              <w:t>1.30 (1.09,1.55)</w:t>
            </w:r>
          </w:p>
        </w:tc>
        <w:tc>
          <w:tcPr>
            <w:tcW w:w="548"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48.9</w:t>
            </w:r>
          </w:p>
        </w:tc>
        <w:tc>
          <w:tcPr>
            <w:tcW w:w="551"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37.5</w:t>
            </w:r>
          </w:p>
        </w:tc>
        <w:tc>
          <w:tcPr>
            <w:tcW w:w="756"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rPr>
                <w:b/>
              </w:rPr>
              <w:t>0.11 (0.04, 0.19)</w:t>
            </w:r>
          </w:p>
        </w:tc>
      </w:tr>
      <w:tr w:rsidR="00290519" w:rsidRPr="00C62A13" w:rsidTr="00290519">
        <w:tc>
          <w:tcPr>
            <w:tcW w:w="1096" w:type="pct"/>
            <w:tcBorders>
              <w:top w:val="single" w:sz="4" w:space="0" w:color="auto"/>
              <w:left w:val="single" w:sz="4" w:space="0" w:color="auto"/>
              <w:bottom w:val="single" w:sz="4" w:space="0" w:color="auto"/>
              <w:right w:val="single" w:sz="4" w:space="0" w:color="auto"/>
            </w:tcBorders>
            <w:shd w:val="clear" w:color="auto" w:fill="auto"/>
            <w:vAlign w:val="center"/>
          </w:tcPr>
          <w:p w:rsidR="00290519" w:rsidRPr="00C62A13" w:rsidRDefault="00290519" w:rsidP="00290519">
            <w:pPr>
              <w:pStyle w:val="TableText0"/>
              <w:keepNext w:val="0"/>
            </w:pPr>
            <w:r w:rsidRPr="00C62A13">
              <w:t>Severe AEs</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31/348</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15/344</w:t>
            </w:r>
          </w:p>
        </w:tc>
        <w:tc>
          <w:tcPr>
            <w:tcW w:w="683"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rPr>
                <w:b/>
              </w:rPr>
              <w:t>2.04 (1.12,3.72)</w:t>
            </w:r>
          </w:p>
        </w:tc>
        <w:tc>
          <w:tcPr>
            <w:tcW w:w="548"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8.9</w:t>
            </w:r>
          </w:p>
        </w:tc>
        <w:tc>
          <w:tcPr>
            <w:tcW w:w="551"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t>4.4</w:t>
            </w:r>
          </w:p>
        </w:tc>
        <w:tc>
          <w:tcPr>
            <w:tcW w:w="756" w:type="pct"/>
            <w:tcBorders>
              <w:top w:val="single" w:sz="4" w:space="0" w:color="auto"/>
              <w:left w:val="single" w:sz="4" w:space="0" w:color="auto"/>
              <w:bottom w:val="single" w:sz="4" w:space="0" w:color="auto"/>
              <w:right w:val="single" w:sz="4" w:space="0" w:color="auto"/>
            </w:tcBorders>
            <w:vAlign w:val="center"/>
          </w:tcPr>
          <w:p w:rsidR="00290519" w:rsidRPr="00C62A13" w:rsidRDefault="00290519" w:rsidP="00290519">
            <w:pPr>
              <w:pStyle w:val="TableText0"/>
              <w:keepNext w:val="0"/>
              <w:jc w:val="center"/>
            </w:pPr>
            <w:r w:rsidRPr="00C62A13">
              <w:rPr>
                <w:b/>
              </w:rPr>
              <w:t>0.05 (0.01, 0.08</w:t>
            </w:r>
            <w:r w:rsidRPr="00C62A13">
              <w:t>)</w:t>
            </w:r>
          </w:p>
        </w:tc>
      </w:tr>
    </w:tbl>
    <w:p w:rsidR="00322650" w:rsidRPr="00C62A13" w:rsidRDefault="00322650" w:rsidP="00322650">
      <w:pPr>
        <w:widowControl w:val="0"/>
        <w:rPr>
          <w:rFonts w:ascii="Arial Narrow" w:hAnsi="Arial Narrow"/>
          <w:snapToGrid w:val="0"/>
          <w:sz w:val="18"/>
          <w:szCs w:val="18"/>
          <w:lang w:eastAsia="en-US"/>
        </w:rPr>
      </w:pPr>
      <w:r w:rsidRPr="00C62A13">
        <w:rPr>
          <w:rFonts w:ascii="Arial Narrow" w:hAnsi="Arial Narrow"/>
          <w:sz w:val="18"/>
          <w:szCs w:val="18"/>
        </w:rPr>
        <w:t>Source:</w:t>
      </w:r>
      <w:r w:rsidRPr="00C62A13">
        <w:rPr>
          <w:rFonts w:ascii="Arial Narrow" w:hAnsi="Arial Narrow"/>
          <w:snapToGrid w:val="0"/>
          <w:sz w:val="18"/>
          <w:szCs w:val="18"/>
          <w:lang w:eastAsia="en-US"/>
        </w:rPr>
        <w:t xml:space="preserve"> constructed during the evaluation based on Table 14.2_1 p614 of CSR M16046</w:t>
      </w:r>
    </w:p>
    <w:p w:rsidR="00322650" w:rsidRPr="00C62A13" w:rsidRDefault="00322650" w:rsidP="00322650">
      <w:pPr>
        <w:pStyle w:val="TableFigureFooter"/>
      </w:pPr>
      <w:r w:rsidRPr="00C62A13">
        <w:t>HR = hazard ratio; PBO = placebo; RD = risk difference; RR = risk ratio</w:t>
      </w:r>
      <w:r w:rsidR="00FD5A89" w:rsidRPr="00C62A13">
        <w:t xml:space="preserve">; </w:t>
      </w:r>
      <w:r w:rsidR="00350BB2" w:rsidRPr="00C62A13">
        <w:t>CsA = ciclosporin</w:t>
      </w:r>
      <w:r w:rsidR="005476CB" w:rsidRPr="00C62A13">
        <w:t xml:space="preserve"> A</w:t>
      </w:r>
      <w:r w:rsidR="00350BB2" w:rsidRPr="00C62A13">
        <w:t xml:space="preserve">; </w:t>
      </w:r>
      <w:r w:rsidR="00350BB2" w:rsidRPr="00C62A13">
        <w:rPr>
          <w:rFonts w:eastAsia="Calibri"/>
          <w:szCs w:val="18"/>
        </w:rPr>
        <w:t>DLQI = Dermatology Life Quality Index; EASI =</w:t>
      </w:r>
      <w:r w:rsidR="00350BB2" w:rsidRPr="00C62A13">
        <w:rPr>
          <w:szCs w:val="18"/>
        </w:rPr>
        <w:t xml:space="preserve"> </w:t>
      </w:r>
      <w:r w:rsidR="00350BB2" w:rsidRPr="00C62A13">
        <w:rPr>
          <w:rFonts w:eastAsia="Calibri"/>
          <w:szCs w:val="18"/>
        </w:rPr>
        <w:t>Eczema Area and Severity Index;</w:t>
      </w:r>
      <w:r w:rsidR="00350BB2" w:rsidRPr="00C62A13">
        <w:t xml:space="preserve"> </w:t>
      </w:r>
      <w:r w:rsidR="00FD5A89" w:rsidRPr="00C62A13">
        <w:t>DUPI</w:t>
      </w:r>
      <w:r w:rsidR="00350BB2" w:rsidRPr="00C62A13">
        <w:t xml:space="preserve"> = dupilumab; UPA = upadacitinib.</w:t>
      </w:r>
    </w:p>
    <w:p w:rsidR="00322650" w:rsidRPr="00C62A13" w:rsidRDefault="00322650" w:rsidP="00322650">
      <w:pPr>
        <w:pStyle w:val="TableFigureFooter"/>
      </w:pPr>
      <w:r w:rsidRPr="00C62A13">
        <w:t>* Maximum duration of follow-up: 36 weeks or open-label extension (52 weeks).</w:t>
      </w:r>
    </w:p>
    <w:p w:rsidR="00322650" w:rsidRPr="0092701E" w:rsidRDefault="00322650" w:rsidP="00322650">
      <w:pPr>
        <w:pStyle w:val="TableFigureFooter"/>
        <w:widowControl w:val="0"/>
        <w:rPr>
          <w:iCs/>
        </w:rPr>
      </w:pPr>
      <w:r w:rsidRPr="0092701E">
        <w:rPr>
          <w:iCs/>
          <w:vertAlign w:val="superscript"/>
        </w:rPr>
        <w:t xml:space="preserve">a </w:t>
      </w:r>
      <w:r w:rsidRPr="0092701E">
        <w:rPr>
          <w:iCs/>
        </w:rPr>
        <w:t>Investigator assessed as having a reasonable possibility of being related to study drug.</w:t>
      </w:r>
    </w:p>
    <w:p w:rsidR="00481149" w:rsidRPr="00C62A13" w:rsidRDefault="00481149" w:rsidP="00481149">
      <w:pPr>
        <w:pStyle w:val="3-BodyText"/>
      </w:pPr>
      <w:r w:rsidRPr="00C62A13">
        <w:t xml:space="preserve">On the basis of </w:t>
      </w:r>
      <w:r w:rsidRPr="00C62A13">
        <w:rPr>
          <w:u w:val="single"/>
        </w:rPr>
        <w:t>indirect evidence</w:t>
      </w:r>
      <w:r w:rsidRPr="00C62A13">
        <w:t xml:space="preserve"> presented by the submission in the PBS subgroup, for every 100 </w:t>
      </w:r>
      <w:r w:rsidR="00014049" w:rsidRPr="00C62A13">
        <w:t xml:space="preserve">adult </w:t>
      </w:r>
      <w:r w:rsidRPr="00C62A13">
        <w:t>patients treated with UPA 30</w:t>
      </w:r>
      <w:r w:rsidR="007079BE" w:rsidRPr="00C62A13">
        <w:t xml:space="preserve"> </w:t>
      </w:r>
      <w:r w:rsidRPr="00C62A13">
        <w:t>mg in comparison with DUPI 300</w:t>
      </w:r>
      <w:r w:rsidR="007079BE" w:rsidRPr="00C62A13">
        <w:t xml:space="preserve"> </w:t>
      </w:r>
      <w:r w:rsidRPr="00C62A13">
        <w:t>mg:</w:t>
      </w:r>
    </w:p>
    <w:p w:rsidR="00481149" w:rsidRPr="00C62A13" w:rsidRDefault="00481149" w:rsidP="008A3974">
      <w:pPr>
        <w:pStyle w:val="3-BodyText"/>
        <w:numPr>
          <w:ilvl w:val="0"/>
          <w:numId w:val="8"/>
        </w:numPr>
        <w:ind w:left="1134"/>
      </w:pPr>
      <w:r w:rsidRPr="00C62A13">
        <w:t>Appro</w:t>
      </w:r>
      <w:r w:rsidR="00D02B77" w:rsidRPr="00C62A13">
        <w:t>x. 17-24 additional patients would</w:t>
      </w:r>
      <w:r w:rsidRPr="00C62A13">
        <w:t xml:space="preserve"> achieve PBS </w:t>
      </w:r>
      <w:r w:rsidR="002E2514" w:rsidRPr="00C62A13">
        <w:t xml:space="preserve">response </w:t>
      </w:r>
      <w:r w:rsidR="002E2514" w:rsidRPr="00C62A13">
        <w:rPr>
          <w:iCs/>
        </w:rPr>
        <w:t>(</w:t>
      </w:r>
      <w:r w:rsidR="00DC7CD8" w:rsidRPr="00C62A13">
        <w:t xml:space="preserve">improvement of at least 50% from baseline in </w:t>
      </w:r>
      <w:r w:rsidR="00DC7CD8" w:rsidRPr="00C62A13">
        <w:rPr>
          <w:iCs/>
        </w:rPr>
        <w:t>EASI score a</w:t>
      </w:r>
      <w:r w:rsidR="00DC7CD8" w:rsidRPr="00C62A13">
        <w:rPr>
          <w:iCs/>
          <w:u w:val="single"/>
        </w:rPr>
        <w:t>nd</w:t>
      </w:r>
      <w:r w:rsidR="00DC7CD8" w:rsidRPr="00C62A13">
        <w:rPr>
          <w:iCs/>
        </w:rPr>
        <w:t xml:space="preserve"> </w:t>
      </w:r>
      <w:r w:rsidR="00DC7CD8" w:rsidRPr="00C62A13">
        <w:t xml:space="preserve">an improvement in DLQI of </w:t>
      </w:r>
      <w:r w:rsidR="00DC7CD8" w:rsidRPr="00C62A13">
        <w:rPr>
          <w:rFonts w:cs="Calibri"/>
        </w:rPr>
        <w:t>≥</w:t>
      </w:r>
      <w:r w:rsidR="00DC7CD8" w:rsidRPr="00C62A13">
        <w:t xml:space="preserve">4 points from baseline) </w:t>
      </w:r>
      <w:r w:rsidRPr="00C62A13">
        <w:t>at Week 16</w:t>
      </w:r>
      <w:r w:rsidR="007079BE" w:rsidRPr="00C62A13">
        <w:t>.</w:t>
      </w:r>
    </w:p>
    <w:p w:rsidR="00A822CF" w:rsidRPr="00C62A13" w:rsidRDefault="00A822CF" w:rsidP="00A822CF">
      <w:pPr>
        <w:pStyle w:val="3-BodyText"/>
        <w:numPr>
          <w:ilvl w:val="0"/>
          <w:numId w:val="0"/>
        </w:numPr>
        <w:ind w:left="720"/>
      </w:pPr>
      <w:r w:rsidRPr="00C62A13">
        <w:rPr>
          <w:iCs/>
        </w:rPr>
        <w:t>There is uncertainty around this estimate. Based on other evidence presented in the submission, the number of additional patients who would respond to treatment with UPA 30 mg compared to DUPI 300 mg may be smaller (see Clinical claim)</w:t>
      </w:r>
      <w:r w:rsidRPr="00C62A13">
        <w:t>.</w:t>
      </w:r>
    </w:p>
    <w:p w:rsidR="00322650" w:rsidRPr="00C62A13" w:rsidRDefault="00322650" w:rsidP="00322650">
      <w:pPr>
        <w:pStyle w:val="3-BodyText"/>
      </w:pPr>
      <w:r w:rsidRPr="00C62A13">
        <w:t xml:space="preserve">On the basis of </w:t>
      </w:r>
      <w:r w:rsidRPr="00C62A13">
        <w:rPr>
          <w:u w:val="single"/>
        </w:rPr>
        <w:t>direct evidence</w:t>
      </w:r>
      <w:r w:rsidRPr="00C62A13">
        <w:t xml:space="preserve"> presented by the submission, for every 100 patients treated with UPA 30</w:t>
      </w:r>
      <w:r w:rsidR="009248D9" w:rsidRPr="00C62A13">
        <w:t xml:space="preserve"> </w:t>
      </w:r>
      <w:r w:rsidRPr="00C62A13">
        <w:t>mg in comparison with DUPI 300</w:t>
      </w:r>
      <w:r w:rsidR="009248D9" w:rsidRPr="00C62A13">
        <w:t xml:space="preserve"> </w:t>
      </w:r>
      <w:r w:rsidRPr="00C62A13">
        <w:t>mg:</w:t>
      </w:r>
    </w:p>
    <w:p w:rsidR="00322650" w:rsidRPr="00C62A13" w:rsidRDefault="00322650" w:rsidP="008A3974">
      <w:pPr>
        <w:pStyle w:val="3-BodyText"/>
        <w:numPr>
          <w:ilvl w:val="0"/>
          <w:numId w:val="8"/>
        </w:numPr>
        <w:ind w:left="1134"/>
      </w:pPr>
      <w:r w:rsidRPr="00C62A13">
        <w:t>Approx</w:t>
      </w:r>
      <w:r w:rsidR="00FA5BB4" w:rsidRPr="00C62A13">
        <w:t>.</w:t>
      </w:r>
      <w:r w:rsidRPr="00C62A13">
        <w:t xml:space="preserve"> 11 additional patients would have an adverse event.</w:t>
      </w:r>
    </w:p>
    <w:p w:rsidR="00322650" w:rsidRPr="00C62A13" w:rsidRDefault="00322650" w:rsidP="008A3974">
      <w:pPr>
        <w:pStyle w:val="3-BodyText"/>
        <w:numPr>
          <w:ilvl w:val="0"/>
          <w:numId w:val="8"/>
        </w:numPr>
        <w:ind w:left="1134"/>
      </w:pPr>
      <w:r w:rsidRPr="00C62A13">
        <w:t>Approx</w:t>
      </w:r>
      <w:r w:rsidR="00FA5BB4" w:rsidRPr="00C62A13">
        <w:t>.</w:t>
      </w:r>
      <w:r w:rsidRPr="00C62A13">
        <w:t xml:space="preserve"> 11 additional patients would have drug-related adverse events</w:t>
      </w:r>
      <w:r w:rsidR="00787C71" w:rsidRPr="00C62A13">
        <w:t>.</w:t>
      </w:r>
    </w:p>
    <w:p w:rsidR="00322650" w:rsidRPr="00C62A13" w:rsidRDefault="00322650" w:rsidP="008A3974">
      <w:pPr>
        <w:pStyle w:val="3-BodyText"/>
        <w:numPr>
          <w:ilvl w:val="0"/>
          <w:numId w:val="8"/>
        </w:numPr>
        <w:ind w:left="1134"/>
      </w:pPr>
      <w:r w:rsidRPr="00C62A13">
        <w:t>Approx</w:t>
      </w:r>
      <w:r w:rsidR="00FA5BB4" w:rsidRPr="00C62A13">
        <w:t>.</w:t>
      </w:r>
      <w:r w:rsidRPr="00C62A13">
        <w:t xml:space="preserve"> </w:t>
      </w:r>
      <w:r w:rsidR="00FA5BB4" w:rsidRPr="00C62A13">
        <w:t>five</w:t>
      </w:r>
      <w:r w:rsidRPr="00C62A13">
        <w:t xml:space="preserve"> additional patients would have severe adverse events.</w:t>
      </w:r>
    </w:p>
    <w:p w:rsidR="00EA4E45" w:rsidRPr="00C62A13" w:rsidRDefault="00EA4E45">
      <w:pPr>
        <w:jc w:val="left"/>
        <w:rPr>
          <w:rFonts w:asciiTheme="minorHAnsi" w:eastAsiaTheme="majorEastAsia" w:hAnsiTheme="minorHAnsi" w:cstheme="majorBidi"/>
          <w:b/>
          <w:i/>
          <w:spacing w:val="5"/>
          <w:kern w:val="28"/>
          <w:sz w:val="28"/>
          <w:szCs w:val="36"/>
        </w:rPr>
      </w:pPr>
      <w:bookmarkStart w:id="22" w:name="_Toc22897644"/>
      <w:bookmarkStart w:id="23" w:name="_Toc72315504"/>
      <w:r w:rsidRPr="00C62A13">
        <w:br w:type="page"/>
      </w:r>
    </w:p>
    <w:p w:rsidR="000B04D9" w:rsidRPr="00C62A13" w:rsidRDefault="00B60939" w:rsidP="000B04D9">
      <w:pPr>
        <w:pStyle w:val="4-SubsectionHeading"/>
      </w:pPr>
      <w:r w:rsidRPr="00C62A13">
        <w:t>Clinical claim</w:t>
      </w:r>
      <w:bookmarkEnd w:id="22"/>
      <w:bookmarkEnd w:id="23"/>
      <w:r w:rsidR="000B04D9" w:rsidRPr="00C62A13">
        <w:t xml:space="preserve"> </w:t>
      </w:r>
    </w:p>
    <w:p w:rsidR="00FA5BB4" w:rsidRPr="00C62A13" w:rsidRDefault="00FA5BB4" w:rsidP="00FA5BB4">
      <w:pPr>
        <w:pStyle w:val="3-BodyText"/>
        <w:rPr>
          <w:i/>
        </w:rPr>
      </w:pPr>
      <w:r w:rsidRPr="00C62A13">
        <w:t xml:space="preserve">The </w:t>
      </w:r>
      <w:r w:rsidRPr="00C62A13">
        <w:rPr>
          <w:rFonts w:eastAsia="Calibri"/>
        </w:rPr>
        <w:t>submission</w:t>
      </w:r>
      <w:r w:rsidRPr="00C62A13">
        <w:t xml:space="preserve"> described:</w:t>
      </w:r>
    </w:p>
    <w:p w:rsidR="00FA5BB4" w:rsidRPr="00C62A13" w:rsidRDefault="00FA5BB4" w:rsidP="008A3974">
      <w:pPr>
        <w:pStyle w:val="3-BodyText"/>
        <w:numPr>
          <w:ilvl w:val="0"/>
          <w:numId w:val="8"/>
        </w:numPr>
        <w:ind w:left="1134"/>
        <w:rPr>
          <w:i/>
        </w:rPr>
      </w:pPr>
      <w:r w:rsidRPr="00C62A13">
        <w:t>UPA 15</w:t>
      </w:r>
      <w:r w:rsidR="00467CAB" w:rsidRPr="00C62A13">
        <w:t xml:space="preserve"> </w:t>
      </w:r>
      <w:r w:rsidRPr="00C62A13">
        <w:t>mg as non-inferior in terms of effectiveness and safety compared to DUPI, based on indirect evidence for the PBS response outcome in the PBS population supported by indirect evidence of other outcomes in a broader population.</w:t>
      </w:r>
    </w:p>
    <w:p w:rsidR="00FA5BB4" w:rsidRPr="00C62A13" w:rsidRDefault="00FA5BB4" w:rsidP="008A3974">
      <w:pPr>
        <w:pStyle w:val="3-BodyText"/>
        <w:numPr>
          <w:ilvl w:val="0"/>
          <w:numId w:val="8"/>
        </w:numPr>
        <w:ind w:left="1134"/>
      </w:pPr>
      <w:r w:rsidRPr="00C62A13">
        <w:t>UPA 30</w:t>
      </w:r>
      <w:r w:rsidR="00467CAB" w:rsidRPr="00C62A13">
        <w:t xml:space="preserve"> </w:t>
      </w:r>
      <w:r w:rsidRPr="00C62A13">
        <w:t xml:space="preserve">mg </w:t>
      </w:r>
      <w:r w:rsidRPr="00C62A13">
        <w:rPr>
          <w:iCs/>
        </w:rPr>
        <w:t>as</w:t>
      </w:r>
      <w:r w:rsidRPr="00C62A13">
        <w:t xml:space="preserve"> superior in terms of effectiveness and non-inferior in terms of safety compared to DUPI, based on indirect evidence for the PBS response outcome in the PBS population supported by direct and indirect evidence across other outcomes in a broader population.</w:t>
      </w:r>
    </w:p>
    <w:p w:rsidR="00C96DA2" w:rsidRPr="00C62A13" w:rsidRDefault="000B04D9" w:rsidP="000B04D9">
      <w:pPr>
        <w:pStyle w:val="3-BodyText"/>
        <w:rPr>
          <w:rFonts w:eastAsia="Calibri"/>
        </w:rPr>
      </w:pPr>
      <w:r w:rsidRPr="00C62A13">
        <w:t xml:space="preserve">The </w:t>
      </w:r>
      <w:r w:rsidR="00C96DA2" w:rsidRPr="00C62A13">
        <w:t>ESC agreed with the Commentary</w:t>
      </w:r>
      <w:r w:rsidR="00C96DA2" w:rsidRPr="00C62A13">
        <w:rPr>
          <w:i/>
        </w:rPr>
        <w:t xml:space="preserve"> </w:t>
      </w:r>
      <w:r w:rsidR="00C96DA2" w:rsidRPr="00C62A13">
        <w:t xml:space="preserve">that the </w:t>
      </w:r>
      <w:r w:rsidRPr="00C62A13">
        <w:t>clinical claim for UPA 15</w:t>
      </w:r>
      <w:r w:rsidR="00467CAB" w:rsidRPr="00C62A13">
        <w:t xml:space="preserve"> </w:t>
      </w:r>
      <w:r w:rsidRPr="00C62A13">
        <w:t xml:space="preserve">mg was reasonably supported by the </w:t>
      </w:r>
      <w:r w:rsidR="00C96DA2" w:rsidRPr="00C62A13">
        <w:t xml:space="preserve">indirect </w:t>
      </w:r>
      <w:r w:rsidRPr="00C62A13">
        <w:t>evidence presented in the submission</w:t>
      </w:r>
      <w:r w:rsidR="00C96DA2" w:rsidRPr="00C62A13">
        <w:t xml:space="preserve">. </w:t>
      </w:r>
    </w:p>
    <w:p w:rsidR="000B04D9" w:rsidRPr="00C62A13" w:rsidRDefault="00C96DA2" w:rsidP="000B04D9">
      <w:pPr>
        <w:pStyle w:val="3-BodyText"/>
        <w:rPr>
          <w:rFonts w:eastAsia="Calibri"/>
        </w:rPr>
      </w:pPr>
      <w:bookmarkStart w:id="24" w:name="_Ref75160926"/>
      <w:r w:rsidRPr="00C62A13">
        <w:t xml:space="preserve">The ESC considered that the clinical claim for UPA 30 mg </w:t>
      </w:r>
      <w:r w:rsidR="00EF79FF" w:rsidRPr="00C62A13">
        <w:t xml:space="preserve">at 16 weeks </w:t>
      </w:r>
      <w:r w:rsidRPr="00C62A13">
        <w:t>was generally supported by the direct and indirect evidence presented in the submission</w:t>
      </w:r>
      <w:r w:rsidR="000B04D9" w:rsidRPr="00C62A13">
        <w:t xml:space="preserve">, however, the </w:t>
      </w:r>
      <w:r w:rsidRPr="00C62A13">
        <w:t>ESC considered that there was uncertainty regarding the magnitude of benefit for the following reasons</w:t>
      </w:r>
      <w:r w:rsidR="0012365E" w:rsidRPr="00C62A13">
        <w:t>:</w:t>
      </w:r>
      <w:bookmarkEnd w:id="24"/>
    </w:p>
    <w:p w:rsidR="00BB38E5" w:rsidRPr="00C62A13" w:rsidRDefault="00BB38E5" w:rsidP="008A3974">
      <w:pPr>
        <w:pStyle w:val="3-BodyText"/>
        <w:numPr>
          <w:ilvl w:val="0"/>
          <w:numId w:val="8"/>
        </w:numPr>
        <w:ind w:left="1134"/>
      </w:pPr>
      <w:r w:rsidRPr="00C62A13">
        <w:t xml:space="preserve">The response rates applied in the modelled economic evaluation correspond to a </w:t>
      </w:r>
      <w:r w:rsidRPr="00C62A13">
        <w:rPr>
          <w:bCs/>
        </w:rPr>
        <w:t>RD=0.21</w:t>
      </w:r>
      <w:r w:rsidRPr="00C62A13">
        <w:t xml:space="preserve"> (or an additional approx. 21 responders with UPA 30 mg compared to DUPI 300 mg for every 100 patients treated). This estimate was in-between the treatment effects for </w:t>
      </w:r>
      <w:r w:rsidR="00973E50" w:rsidRPr="00C62A13">
        <w:t>CsA</w:t>
      </w:r>
      <w:r w:rsidRPr="00C62A13">
        <w:t>-naïve (</w:t>
      </w:r>
      <w:r w:rsidRPr="00C62A13">
        <w:rPr>
          <w:bCs/>
        </w:rPr>
        <w:t>RD=0.17</w:t>
      </w:r>
      <w:r w:rsidRPr="00C62A13">
        <w:t xml:space="preserve">, 95%CI: 0.05, 0.29) and </w:t>
      </w:r>
      <w:r w:rsidR="00973E50" w:rsidRPr="00C62A13">
        <w:t>CsA</w:t>
      </w:r>
      <w:r w:rsidRPr="00C62A13">
        <w:t>-experienced (</w:t>
      </w:r>
      <w:r w:rsidRPr="00C62A13">
        <w:rPr>
          <w:bCs/>
        </w:rPr>
        <w:t>RD=0.24</w:t>
      </w:r>
      <w:r w:rsidRPr="00C62A13">
        <w:t xml:space="preserve">, 95%CI: 0.08, 0.40) based on indirect evidence for the composite PBS response criteria in the PBS-severe AD subgroup. </w:t>
      </w:r>
      <w:r w:rsidR="00EF79FF" w:rsidRPr="00C62A13">
        <w:t>There is uncertainty around these estimates given the post-hoc nature of the outcome and subgroup.</w:t>
      </w:r>
    </w:p>
    <w:p w:rsidR="00BB38E5" w:rsidRPr="00C62A13" w:rsidRDefault="00BB38E5" w:rsidP="008A3974">
      <w:pPr>
        <w:pStyle w:val="3-BodyText"/>
        <w:numPr>
          <w:ilvl w:val="0"/>
          <w:numId w:val="8"/>
        </w:numPr>
        <w:ind w:left="1134"/>
      </w:pPr>
      <w:r w:rsidRPr="00C62A13">
        <w:t xml:space="preserve">In the direct evidence presented in the submission, there was a much smaller treatment difference between UPA 30 mg and DUPI 300 mg for EASI 75 in both the ITT (RD=0.10, 95%CI: 0.03, 0.17) and pre-specified trial-based severe AD subgroups (IGA=4 subgroup, RD=0.11, 95%CI: 0.01, 0.21). </w:t>
      </w:r>
    </w:p>
    <w:p w:rsidR="00BB38E5" w:rsidRPr="00C62A13" w:rsidRDefault="00BB38E5" w:rsidP="008A3974">
      <w:pPr>
        <w:pStyle w:val="3-BodyText"/>
        <w:numPr>
          <w:ilvl w:val="0"/>
          <w:numId w:val="8"/>
        </w:numPr>
        <w:ind w:left="1134"/>
      </w:pPr>
      <w:r w:rsidRPr="00C62A13">
        <w:t xml:space="preserve">Supportive indirect evidence in the ITT population also found a smaller treatment difference for the individual components of the PBS response outcome, EASI 50 (monotherapy adults, RD=0.12, 95%CI: 0.05, 0.19; combination therapy adults, RD=0.14, 95%CI: 0.01, 0.27) and DLQI≥4 (monotherapy adults, RD=0.12, 95%CI: -0.01, 0.25; combination therapy adults, RD=0.03, 95%CI: -0.08, 0.14). </w:t>
      </w:r>
    </w:p>
    <w:p w:rsidR="00EF79FF" w:rsidRPr="00C62A13" w:rsidRDefault="00EF79FF" w:rsidP="008A3974">
      <w:pPr>
        <w:pStyle w:val="3-BodyText"/>
        <w:numPr>
          <w:ilvl w:val="0"/>
          <w:numId w:val="8"/>
        </w:numPr>
        <w:ind w:left="1134"/>
      </w:pPr>
      <w:r w:rsidRPr="00C62A13">
        <w:t>The ESC considered that in the PBS population TCS use may reduce differences between UP</w:t>
      </w:r>
      <w:r w:rsidR="005E4C81" w:rsidRPr="00C62A13">
        <w:t>A</w:t>
      </w:r>
      <w:r w:rsidRPr="00C62A13">
        <w:t xml:space="preserve"> and DUP</w:t>
      </w:r>
      <w:r w:rsidR="005E4C81" w:rsidRPr="00C62A13">
        <w:t>I</w:t>
      </w:r>
      <w:r w:rsidRPr="00C62A13">
        <w:t xml:space="preserve"> seen </w:t>
      </w:r>
      <w:r w:rsidR="00CA6AC5" w:rsidRPr="00C62A13">
        <w:t>up to 16 weeks</w:t>
      </w:r>
      <w:r w:rsidRPr="00C62A13">
        <w:t xml:space="preserve"> in the HEADS UP trial and the difference at 16 weeks may also be </w:t>
      </w:r>
      <w:r w:rsidR="00787C71" w:rsidRPr="00C62A13">
        <w:t>smaller</w:t>
      </w:r>
      <w:r w:rsidRPr="00C62A13">
        <w:t>.</w:t>
      </w:r>
    </w:p>
    <w:p w:rsidR="000B04D9" w:rsidRPr="00C62A13" w:rsidRDefault="00EF79FF" w:rsidP="008A3974">
      <w:pPr>
        <w:pStyle w:val="3-BodyText"/>
        <w:numPr>
          <w:ilvl w:val="0"/>
          <w:numId w:val="8"/>
        </w:numPr>
        <w:ind w:left="1134"/>
        <w:rPr>
          <w:rFonts w:eastAsia="Calibri"/>
        </w:rPr>
      </w:pPr>
      <w:r w:rsidRPr="00C62A13">
        <w:rPr>
          <w:iCs/>
        </w:rPr>
        <w:t xml:space="preserve">The ESC considered that clinical data appeared to show that patients treated with UPA tended to respond to treatment faster than patients treated with DUPI, however beyond 16 weeks no significant difference in EASI 75 response between UPA and DUPI remained. </w:t>
      </w:r>
    </w:p>
    <w:p w:rsidR="00EB2BDE" w:rsidRPr="00C62A13" w:rsidRDefault="00BB38E5" w:rsidP="008A0501">
      <w:pPr>
        <w:pStyle w:val="3-BodyText"/>
      </w:pPr>
      <w:r w:rsidRPr="00C62A13">
        <w:t>Direct evidence in HEADS UP found significantly more patients experienced AEs with UPA 30 mg compared to DUPI 300 mg (any TEAEs, drug-related AEs and severe AEs), and this was consistent with the available indirect evidence (any TEAEs). In addition, direct evidence also showed significantly more patients experienced AEs with UPA 30</w:t>
      </w:r>
      <w:r w:rsidR="008A0501" w:rsidRPr="00C62A13">
        <w:t> </w:t>
      </w:r>
      <w:r w:rsidRPr="00C62A13">
        <w:t>mg compared to UPA 15 mg (any TEAEs, drug-related AEs), but the submission considered both doses as having non-inferior safety to DUPI.</w:t>
      </w:r>
      <w:r w:rsidR="008A0501" w:rsidRPr="00C62A13">
        <w:t xml:space="preserve"> </w:t>
      </w:r>
      <w:r w:rsidR="00C96DA2" w:rsidRPr="00C62A13">
        <w:t xml:space="preserve">The </w:t>
      </w:r>
      <w:r w:rsidR="008A0501" w:rsidRPr="00C62A13">
        <w:t xml:space="preserve">ESC agreed with the Commentary that the </w:t>
      </w:r>
      <w:r w:rsidR="00C96DA2" w:rsidRPr="00C62A13">
        <w:t>evidence presented in the submission did not adequately support the claim of non-inferior safety between UPA 30 mg and DUPI 300 mg, and a claim of inferior safety may be more appropriate.</w:t>
      </w:r>
      <w:r w:rsidR="008A0501" w:rsidRPr="00C62A13">
        <w:t xml:space="preserve"> Further, the ESC considered that there may be additional safety concerns for JAK inhibitors compared with IL-inhibitors that may become more apparent with longer term use.</w:t>
      </w:r>
    </w:p>
    <w:p w:rsidR="00286708" w:rsidRPr="00C62A13" w:rsidRDefault="00286708" w:rsidP="00A35D8D">
      <w:pPr>
        <w:pStyle w:val="3-BodyText"/>
      </w:pPr>
      <w:bookmarkStart w:id="25" w:name="_Hlk76376200"/>
      <w:r w:rsidRPr="00C62A13">
        <w:rPr>
          <w:iCs/>
        </w:rPr>
        <w:t>T</w:t>
      </w:r>
      <w:r w:rsidRPr="00C62A13">
        <w:t xml:space="preserve">he PBAC considered that the claim of non-inferiority for UPA 15 mg compared with DUPI 300 mg was reasonably supported by the indirect evidence presented in the submission. </w:t>
      </w:r>
      <w:r w:rsidRPr="00C62A13">
        <w:rPr>
          <w:iCs/>
        </w:rPr>
        <w:t>T</w:t>
      </w:r>
      <w:r w:rsidRPr="00C62A13">
        <w:t xml:space="preserve">he PBAC considered that the claim of </w:t>
      </w:r>
      <w:r w:rsidRPr="00C62A13">
        <w:rPr>
          <w:szCs w:val="20"/>
        </w:rPr>
        <w:t>superior comparative effectiveness</w:t>
      </w:r>
      <w:r w:rsidRPr="00C62A13">
        <w:t xml:space="preserve"> for UPA 30 mg compared with DUPI 300 mg was not sufficiently supported by the evidence presented in the submission, as the most reliable direct evidence indicated that the difference in response is likely to be less than that shown in the indirect evidence</w:t>
      </w:r>
      <w:r w:rsidR="005E4C81" w:rsidRPr="00C62A13">
        <w:t>,</w:t>
      </w:r>
      <w:r w:rsidRPr="00C62A13">
        <w:t xml:space="preserve"> and </w:t>
      </w:r>
      <w:r w:rsidR="005E4C81" w:rsidRPr="00C62A13">
        <w:t xml:space="preserve">the difference </w:t>
      </w:r>
      <w:r w:rsidRPr="00C62A13">
        <w:t xml:space="preserve">may not be maintained beyond 16 weeks. </w:t>
      </w:r>
    </w:p>
    <w:p w:rsidR="00263A7D" w:rsidRPr="00C62A13" w:rsidRDefault="00263A7D" w:rsidP="00263A7D">
      <w:pPr>
        <w:widowControl w:val="0"/>
        <w:numPr>
          <w:ilvl w:val="1"/>
          <w:numId w:val="1"/>
        </w:numPr>
        <w:spacing w:after="120"/>
        <w:rPr>
          <w:rFonts w:asciiTheme="minorHAnsi" w:hAnsiTheme="minorHAnsi"/>
          <w:snapToGrid w:val="0"/>
          <w:szCs w:val="20"/>
        </w:rPr>
      </w:pPr>
      <w:r w:rsidRPr="00C62A13">
        <w:rPr>
          <w:rFonts w:asciiTheme="minorHAnsi" w:hAnsiTheme="minorHAnsi"/>
          <w:snapToGrid w:val="0"/>
          <w:szCs w:val="20"/>
        </w:rPr>
        <w:t xml:space="preserve">The PBAC considered that the claim of non-inferior comparative safety </w:t>
      </w:r>
      <w:r w:rsidR="00286708" w:rsidRPr="00C62A13">
        <w:rPr>
          <w:rFonts w:asciiTheme="minorHAnsi" w:hAnsiTheme="minorHAnsi"/>
          <w:snapToGrid w:val="0"/>
          <w:szCs w:val="20"/>
        </w:rPr>
        <w:t xml:space="preserve">for UPA 15 mg was reasonable but the claim of non-inferior </w:t>
      </w:r>
      <w:r w:rsidR="00731C1D" w:rsidRPr="00C62A13">
        <w:rPr>
          <w:rFonts w:asciiTheme="minorHAnsi" w:hAnsiTheme="minorHAnsi"/>
          <w:snapToGrid w:val="0"/>
          <w:szCs w:val="20"/>
        </w:rPr>
        <w:t xml:space="preserve">safety for UPA </w:t>
      </w:r>
      <w:r w:rsidR="00286708" w:rsidRPr="00C62A13">
        <w:rPr>
          <w:rFonts w:asciiTheme="minorHAnsi" w:hAnsiTheme="minorHAnsi"/>
          <w:snapToGrid w:val="0"/>
          <w:szCs w:val="20"/>
        </w:rPr>
        <w:t>30 mg</w:t>
      </w:r>
      <w:r w:rsidR="00731C1D" w:rsidRPr="00C62A13">
        <w:rPr>
          <w:rFonts w:asciiTheme="minorHAnsi" w:hAnsiTheme="minorHAnsi"/>
          <w:snapToGrid w:val="0"/>
          <w:szCs w:val="20"/>
        </w:rPr>
        <w:t xml:space="preserve"> </w:t>
      </w:r>
      <w:r w:rsidRPr="00C62A13">
        <w:rPr>
          <w:rFonts w:asciiTheme="minorHAnsi" w:hAnsiTheme="minorHAnsi"/>
          <w:snapToGrid w:val="0"/>
          <w:szCs w:val="20"/>
        </w:rPr>
        <w:t>was not adequately supported by the data.</w:t>
      </w:r>
    </w:p>
    <w:p w:rsidR="00B60939" w:rsidRPr="00C62A13" w:rsidRDefault="00B60939" w:rsidP="00E9094A">
      <w:pPr>
        <w:pStyle w:val="4-SubsectionHeading"/>
      </w:pPr>
      <w:bookmarkStart w:id="26" w:name="_Toc22897645"/>
      <w:bookmarkStart w:id="27" w:name="_Toc72315505"/>
      <w:bookmarkEnd w:id="25"/>
      <w:r w:rsidRPr="00C62A13">
        <w:t>Economic analysis</w:t>
      </w:r>
      <w:bookmarkEnd w:id="26"/>
      <w:bookmarkEnd w:id="27"/>
    </w:p>
    <w:p w:rsidR="00EF1109" w:rsidRPr="00C62A13" w:rsidRDefault="00D338B3" w:rsidP="00EF1109">
      <w:pPr>
        <w:pStyle w:val="3-BodyText"/>
        <w:rPr>
          <w:i/>
          <w:iCs/>
        </w:rPr>
      </w:pPr>
      <w:r w:rsidRPr="00C62A13">
        <w:t xml:space="preserve">The submission presented a </w:t>
      </w:r>
      <w:r w:rsidR="00EF1109" w:rsidRPr="00C62A13">
        <w:t>cost-minimisation analysis for UPA 15</w:t>
      </w:r>
      <w:r w:rsidR="00467CAB" w:rsidRPr="00C62A13">
        <w:t xml:space="preserve"> </w:t>
      </w:r>
      <w:r w:rsidR="00EF1109" w:rsidRPr="00C62A13">
        <w:t xml:space="preserve">mg and a </w:t>
      </w:r>
      <w:r w:rsidRPr="00C62A13">
        <w:t>cost-effectiveness analysis for UPA 30</w:t>
      </w:r>
      <w:r w:rsidR="00467CAB" w:rsidRPr="00C62A13">
        <w:t xml:space="preserve"> </w:t>
      </w:r>
      <w:r w:rsidRPr="00C62A13">
        <w:t xml:space="preserve">mg, corresponding to the different clinical claims of each dose. </w:t>
      </w:r>
      <w:r w:rsidR="00EF1109" w:rsidRPr="00C62A13">
        <w:rPr>
          <w:iCs/>
        </w:rPr>
        <w:t>The modelled economic evaluation did not consider the potential dose titration between UPA 15</w:t>
      </w:r>
      <w:r w:rsidR="00467CAB" w:rsidRPr="00C62A13">
        <w:rPr>
          <w:iCs/>
        </w:rPr>
        <w:t xml:space="preserve"> </w:t>
      </w:r>
      <w:r w:rsidR="00EF1109" w:rsidRPr="00C62A13">
        <w:rPr>
          <w:iCs/>
        </w:rPr>
        <w:t>mg and UPA 30</w:t>
      </w:r>
      <w:r w:rsidR="00467CAB" w:rsidRPr="00C62A13">
        <w:rPr>
          <w:iCs/>
        </w:rPr>
        <w:t xml:space="preserve"> </w:t>
      </w:r>
      <w:r w:rsidR="00EF1109" w:rsidRPr="00C62A13">
        <w:rPr>
          <w:iCs/>
        </w:rPr>
        <w:t>mg.</w:t>
      </w:r>
    </w:p>
    <w:p w:rsidR="007E38CC" w:rsidRPr="002E2514" w:rsidRDefault="007E38CC" w:rsidP="007E38CC">
      <w:pPr>
        <w:pStyle w:val="3-BodyText"/>
        <w:numPr>
          <w:ilvl w:val="0"/>
          <w:numId w:val="0"/>
        </w:numPr>
        <w:rPr>
          <w:b/>
          <w:bCs/>
        </w:rPr>
      </w:pPr>
      <w:r w:rsidRPr="002E2514">
        <w:rPr>
          <w:b/>
          <w:bCs/>
        </w:rPr>
        <w:t>Cost-minimisation analysis: UPA 15</w:t>
      </w:r>
      <w:r w:rsidR="00467CAB" w:rsidRPr="002E2514">
        <w:rPr>
          <w:b/>
          <w:bCs/>
        </w:rPr>
        <w:t xml:space="preserve"> </w:t>
      </w:r>
      <w:r w:rsidRPr="002E2514">
        <w:rPr>
          <w:b/>
          <w:bCs/>
        </w:rPr>
        <w:t>mg</w:t>
      </w:r>
    </w:p>
    <w:p w:rsidR="00EF1109" w:rsidRPr="00C62A13" w:rsidRDefault="007E38CC" w:rsidP="00EF1109">
      <w:pPr>
        <w:pStyle w:val="3-BodyText"/>
      </w:pPr>
      <w:r w:rsidRPr="00C62A13">
        <w:t xml:space="preserve">The submission presented a cost-minimisation analysis </w:t>
      </w:r>
      <w:r w:rsidR="00EF1109" w:rsidRPr="00C62A13">
        <w:t xml:space="preserve">for </w:t>
      </w:r>
      <w:r w:rsidRPr="00C62A13">
        <w:t>UPA 15</w:t>
      </w:r>
      <w:r w:rsidR="00467CAB" w:rsidRPr="00C62A13">
        <w:t xml:space="preserve"> </w:t>
      </w:r>
      <w:r w:rsidRPr="00C62A13">
        <w:t xml:space="preserve">mg </w:t>
      </w:r>
      <w:r w:rsidR="00EF1109" w:rsidRPr="00C62A13">
        <w:t>versus</w:t>
      </w:r>
      <w:r w:rsidRPr="00C62A13">
        <w:t xml:space="preserve"> DUPI</w:t>
      </w:r>
      <w:r w:rsidR="00EF1109" w:rsidRPr="00C62A13">
        <w:t>, based on the nominated equi-effective doses (consistent with doses in the PIs):</w:t>
      </w:r>
    </w:p>
    <w:p w:rsidR="007E38CC" w:rsidRPr="00C62A13" w:rsidRDefault="00EF1109" w:rsidP="00EF1109">
      <w:pPr>
        <w:pStyle w:val="3-BodyText"/>
        <w:numPr>
          <w:ilvl w:val="0"/>
          <w:numId w:val="0"/>
        </w:numPr>
        <w:ind w:left="720"/>
        <w:rPr>
          <w:i/>
          <w:iCs/>
        </w:rPr>
      </w:pPr>
      <w:r w:rsidRPr="00C62A13">
        <w:t>UPA 15</w:t>
      </w:r>
      <w:r w:rsidR="00467CAB" w:rsidRPr="00C62A13">
        <w:t xml:space="preserve"> </w:t>
      </w:r>
      <w:r w:rsidRPr="00C62A13">
        <w:t>mg once daily = DUPI 600</w:t>
      </w:r>
      <w:r w:rsidR="00467CAB" w:rsidRPr="00C62A13">
        <w:t xml:space="preserve"> </w:t>
      </w:r>
      <w:r w:rsidRPr="00C62A13">
        <w:t>mg as an initial dose then 300</w:t>
      </w:r>
      <w:r w:rsidR="00467CAB" w:rsidRPr="00C62A13">
        <w:t xml:space="preserve"> </w:t>
      </w:r>
      <w:r w:rsidRPr="00C62A13">
        <w:t>mg every two weeks thereafter, or DUPI 400</w:t>
      </w:r>
      <w:r w:rsidR="00467CAB" w:rsidRPr="00C62A13">
        <w:t xml:space="preserve"> </w:t>
      </w:r>
      <w:r w:rsidRPr="00C62A13">
        <w:t>mg as an initial dose the</w:t>
      </w:r>
      <w:r w:rsidR="00467CAB" w:rsidRPr="00C62A13">
        <w:t>n</w:t>
      </w:r>
      <w:r w:rsidRPr="00C62A13">
        <w:t xml:space="preserve"> 200</w:t>
      </w:r>
      <w:r w:rsidR="00467CAB" w:rsidRPr="00C62A13">
        <w:t xml:space="preserve"> </w:t>
      </w:r>
      <w:r w:rsidRPr="00C62A13">
        <w:t>mg every two weeks thereafter in adolescents with a body weight &lt;60kg.</w:t>
      </w:r>
    </w:p>
    <w:p w:rsidR="007E38CC" w:rsidRPr="00C62A13" w:rsidRDefault="00244ABF" w:rsidP="0010103F">
      <w:pPr>
        <w:pStyle w:val="3-BodyText"/>
        <w:rPr>
          <w:i/>
          <w:iCs/>
        </w:rPr>
      </w:pPr>
      <w:r w:rsidRPr="00C62A13">
        <w:t xml:space="preserve">The analysis assumed equivalent drug costs over a two-year period based on a </w:t>
      </w:r>
      <w:r w:rsidR="007E38CC" w:rsidRPr="00C62A13">
        <w:t xml:space="preserve">‘proxy’ effective </w:t>
      </w:r>
      <w:r w:rsidR="00256A78" w:rsidRPr="00C62A13">
        <w:t>price for DUPI</w:t>
      </w:r>
      <w:r w:rsidR="00C067F7" w:rsidRPr="00C62A13">
        <w:t xml:space="preserve"> </w:t>
      </w:r>
      <w:r w:rsidR="00D50E77" w:rsidRPr="00C62A13">
        <w:t>(DPMQ of $</w:t>
      </w:r>
      <w:r w:rsidR="00B95E7E">
        <w:rPr>
          <w:noProof/>
          <w:color w:val="000000"/>
          <w:highlight w:val="black"/>
        </w:rPr>
        <w:t>'''''''''''''''</w:t>
      </w:r>
      <w:r w:rsidR="00D50E77" w:rsidRPr="00C62A13">
        <w:t>, AEMP of $</w:t>
      </w:r>
      <w:r w:rsidR="00B95E7E">
        <w:rPr>
          <w:noProof/>
          <w:color w:val="000000"/>
          <w:highlight w:val="black"/>
        </w:rPr>
        <w:t>'''''''''''''''''</w:t>
      </w:r>
      <w:r w:rsidR="00D50E77" w:rsidRPr="00C62A13">
        <w:t>)</w:t>
      </w:r>
      <w:r w:rsidR="00256A78" w:rsidRPr="00C62A13">
        <w:t>, because the true effective price was unknown to the sponsor</w:t>
      </w:r>
      <w:r w:rsidRPr="00C62A13">
        <w:t xml:space="preserve">. </w:t>
      </w:r>
      <w:r w:rsidR="00256A78" w:rsidRPr="00C62A13">
        <w:t>T</w:t>
      </w:r>
      <w:r w:rsidR="0006237C" w:rsidRPr="00C62A13">
        <w:t xml:space="preserve">he submission estimated the </w:t>
      </w:r>
      <w:r w:rsidRPr="00C62A13">
        <w:t xml:space="preserve">proxy </w:t>
      </w:r>
      <w:r w:rsidR="001A726B" w:rsidRPr="00C62A13">
        <w:t xml:space="preserve">DPMQ </w:t>
      </w:r>
      <w:r w:rsidR="00256A78" w:rsidRPr="00C62A13">
        <w:t xml:space="preserve">for DUPI </w:t>
      </w:r>
      <w:r w:rsidR="001A726B" w:rsidRPr="00C62A13">
        <w:t>($</w:t>
      </w:r>
      <w:r w:rsidR="00B95E7E">
        <w:rPr>
          <w:noProof/>
          <w:color w:val="000000"/>
          <w:highlight w:val="black"/>
        </w:rPr>
        <w:t>'''''''''''''''''</w:t>
      </w:r>
      <w:r w:rsidR="005E4C81" w:rsidRPr="00C62A13">
        <w:t>, AEMP of $</w:t>
      </w:r>
      <w:r w:rsidR="00B95E7E">
        <w:rPr>
          <w:noProof/>
          <w:color w:val="000000"/>
          <w:highlight w:val="black"/>
        </w:rPr>
        <w:t>''''''''''''''''''</w:t>
      </w:r>
      <w:r w:rsidR="001A726B" w:rsidRPr="00C62A13">
        <w:t xml:space="preserve">) </w:t>
      </w:r>
      <w:r w:rsidRPr="00C62A13">
        <w:t xml:space="preserve">from the modelled economic evaluation as the price corresponding to </w:t>
      </w:r>
      <w:r w:rsidR="007E38CC" w:rsidRPr="00C62A13">
        <w:t xml:space="preserve">an ICER of </w:t>
      </w:r>
      <w:r w:rsidR="0010103F">
        <w:t>$75,000 to &lt; </w:t>
      </w:r>
      <w:r w:rsidR="0010103F" w:rsidRPr="0010103F">
        <w:t>$95,000</w:t>
      </w:r>
      <w:r w:rsidR="007E38CC" w:rsidRPr="00C62A13">
        <w:t xml:space="preserve">/QALY </w:t>
      </w:r>
      <w:r w:rsidRPr="00C62A13">
        <w:t xml:space="preserve">for DUPI </w:t>
      </w:r>
      <w:r w:rsidR="007E38CC" w:rsidRPr="00C62A13">
        <w:t>versus best supportive care</w:t>
      </w:r>
      <w:r w:rsidR="008A3E24" w:rsidRPr="00C62A13">
        <w:t>.</w:t>
      </w:r>
      <w:r w:rsidRPr="00C62A13">
        <w:t xml:space="preserve"> </w:t>
      </w:r>
      <w:r w:rsidR="00256A78" w:rsidRPr="00C62A13">
        <w:t xml:space="preserve">Based on the proxy effective </w:t>
      </w:r>
      <w:r w:rsidR="005E4C81" w:rsidRPr="00C62A13">
        <w:t xml:space="preserve">AEMP </w:t>
      </w:r>
      <w:r w:rsidR="00256A78" w:rsidRPr="00C62A13">
        <w:t>for DUPI, t</w:t>
      </w:r>
      <w:r w:rsidR="0006237C" w:rsidRPr="00C62A13">
        <w:t xml:space="preserve">he analysis estimated the total drug cost over two years as </w:t>
      </w:r>
      <w:r w:rsidR="007E38CC" w:rsidRPr="00C62A13">
        <w:t>$</w:t>
      </w:r>
      <w:r w:rsidR="00B95E7E">
        <w:rPr>
          <w:noProof/>
          <w:color w:val="000000"/>
          <w:highlight w:val="black"/>
        </w:rPr>
        <w:t>'''''''''''''''''</w:t>
      </w:r>
      <w:r w:rsidR="0006237C" w:rsidRPr="00C62A13">
        <w:t xml:space="preserve">, corresponding to a proxy effective </w:t>
      </w:r>
      <w:r w:rsidR="00256A78" w:rsidRPr="00C62A13">
        <w:t>AEMP</w:t>
      </w:r>
      <w:r w:rsidR="0006237C" w:rsidRPr="00C62A13">
        <w:t xml:space="preserve"> for UPA 15</w:t>
      </w:r>
      <w:r w:rsidR="00467CAB" w:rsidRPr="00C62A13">
        <w:t xml:space="preserve"> </w:t>
      </w:r>
      <w:r w:rsidR="0006237C" w:rsidRPr="00C62A13">
        <w:t xml:space="preserve">mg of </w:t>
      </w:r>
      <w:r w:rsidR="007E38CC" w:rsidRPr="00C62A13">
        <w:t>$</w:t>
      </w:r>
      <w:r w:rsidR="00B95E7E">
        <w:rPr>
          <w:noProof/>
          <w:color w:val="000000"/>
          <w:highlight w:val="black"/>
        </w:rPr>
        <w:t>''''''''''''''''</w:t>
      </w:r>
      <w:r w:rsidR="007E38CC" w:rsidRPr="00C62A13">
        <w:t xml:space="preserve"> </w:t>
      </w:r>
      <w:r w:rsidR="00256A78" w:rsidRPr="00C62A13">
        <w:t>(or DPMQ of</w:t>
      </w:r>
      <w:r w:rsidR="007E38CC" w:rsidRPr="00C62A13">
        <w:t xml:space="preserve"> $</w:t>
      </w:r>
      <w:r w:rsidR="00B95E7E">
        <w:rPr>
          <w:noProof/>
          <w:color w:val="000000"/>
          <w:highlight w:val="black"/>
        </w:rPr>
        <w:t>''''''''''''''''</w:t>
      </w:r>
      <w:r w:rsidR="007E38CC" w:rsidRPr="00C62A13">
        <w:t>).</w:t>
      </w:r>
    </w:p>
    <w:p w:rsidR="0006237C" w:rsidRPr="00C62A13" w:rsidRDefault="0006237C" w:rsidP="0006237C">
      <w:pPr>
        <w:pStyle w:val="3-BodyText"/>
        <w:rPr>
          <w:iCs/>
        </w:rPr>
      </w:pPr>
      <w:r w:rsidRPr="00C62A13">
        <w:rPr>
          <w:iCs/>
        </w:rPr>
        <w:t>The analysis did not consider potential for additional monitoring costs associated with UPA 15</w:t>
      </w:r>
      <w:r w:rsidR="00467CAB" w:rsidRPr="00C62A13">
        <w:rPr>
          <w:iCs/>
        </w:rPr>
        <w:t xml:space="preserve"> </w:t>
      </w:r>
      <w:r w:rsidRPr="00C62A13">
        <w:rPr>
          <w:iCs/>
        </w:rPr>
        <w:t>mg, given the draft PI for UPA recommends routine monitoring (for signs and symptoms of infection, lipids, ANC, ALC, Hb and hepatic transaminases) whereas the PI for DUPI does not recommend any monitoring. The analysis also did not consider potential administration cost-offsets, given a small proportion of patients treated with DUPI might require medical assistance to administer the SC injections</w:t>
      </w:r>
      <w:r w:rsidRPr="00C62A13">
        <w:t>.</w:t>
      </w:r>
    </w:p>
    <w:p w:rsidR="005058F8" w:rsidRPr="002E2514" w:rsidRDefault="005058F8" w:rsidP="005058F8">
      <w:pPr>
        <w:pStyle w:val="3-BodyText"/>
        <w:numPr>
          <w:ilvl w:val="0"/>
          <w:numId w:val="0"/>
        </w:numPr>
        <w:rPr>
          <w:b/>
          <w:bCs/>
        </w:rPr>
      </w:pPr>
      <w:bookmarkStart w:id="28" w:name="_Hlk71367528"/>
      <w:r w:rsidRPr="002E2514">
        <w:rPr>
          <w:b/>
          <w:bCs/>
        </w:rPr>
        <w:t>Cost-effectiveness analysis: UPA 30</w:t>
      </w:r>
      <w:r w:rsidR="00467CAB" w:rsidRPr="002E2514">
        <w:rPr>
          <w:b/>
          <w:bCs/>
        </w:rPr>
        <w:t xml:space="preserve"> </w:t>
      </w:r>
      <w:r w:rsidRPr="002E2514">
        <w:rPr>
          <w:b/>
          <w:bCs/>
        </w:rPr>
        <w:t>mg</w:t>
      </w:r>
    </w:p>
    <w:bookmarkEnd w:id="28"/>
    <w:p w:rsidR="002B4A29" w:rsidRPr="00C62A13" w:rsidRDefault="005058F8" w:rsidP="002B4A29">
      <w:pPr>
        <w:pStyle w:val="3-BodyText"/>
      </w:pPr>
      <w:r w:rsidRPr="00C62A13">
        <w:t xml:space="preserve">The submission presented a stepped economic evaluation, </w:t>
      </w:r>
      <w:r w:rsidR="002B4A29" w:rsidRPr="00C62A13">
        <w:t xml:space="preserve">based on results from the indirect treatment comparison at Week 16 and extrapolated to 5.3 years using a modelled </w:t>
      </w:r>
      <w:r w:rsidR="00F43C25" w:rsidRPr="00C62A13">
        <w:t xml:space="preserve">cost-utility </w:t>
      </w:r>
      <w:r w:rsidR="002B4A29" w:rsidRPr="00C62A13">
        <w:t xml:space="preserve">analysis. The model presented in the submission was similar to </w:t>
      </w:r>
      <w:r w:rsidR="00E42A70" w:rsidRPr="00C62A13">
        <w:t xml:space="preserve">the </w:t>
      </w:r>
      <w:r w:rsidR="002B4A29" w:rsidRPr="00C62A13">
        <w:t xml:space="preserve">model for DUPI, which the PBAC </w:t>
      </w:r>
      <w:r w:rsidR="003A1954" w:rsidRPr="00C62A13">
        <w:t xml:space="preserve">considered </w:t>
      </w:r>
      <w:r w:rsidR="002B4A29" w:rsidRPr="00C62A13">
        <w:t>at the March 2020 and November 2020 PBAC meetings.</w:t>
      </w:r>
    </w:p>
    <w:p w:rsidR="00F43C25" w:rsidRPr="00C62A13" w:rsidRDefault="00F43C25" w:rsidP="00F43C25">
      <w:pPr>
        <w:pStyle w:val="3-BodyText"/>
      </w:pPr>
      <w:r w:rsidRPr="00C62A13">
        <w:t xml:space="preserve">The model population was adults with severe AD, defined as IGA=4 and EASI </w:t>
      </w:r>
      <w:r w:rsidRPr="00C62A13">
        <w:rPr>
          <w:rFonts w:cs="Calibri"/>
        </w:rPr>
        <w:t>≥</w:t>
      </w:r>
      <w:r w:rsidRPr="00C62A13">
        <w:t>20 at baseline in-line with the PBS eligibility criteria. The submission acknowledged that the proposed PBS listing also included adolescents, but the DUPI model only included adults</w:t>
      </w:r>
      <w:r w:rsidR="007B4387" w:rsidRPr="00C62A13">
        <w:t xml:space="preserve"> and based on the draft PI, the 30 mg dose of UPA is not recommended for adolescents</w:t>
      </w:r>
      <w:r w:rsidRPr="00C62A13">
        <w:t>.</w:t>
      </w:r>
    </w:p>
    <w:p w:rsidR="00EA4E45" w:rsidRPr="00C62A13" w:rsidRDefault="00EA4E45">
      <w:pPr>
        <w:jc w:val="left"/>
        <w:rPr>
          <w:rStyle w:val="CommentReference"/>
          <w:rFonts w:eastAsiaTheme="majorEastAsia" w:cstheme="majorBidi"/>
          <w:bCs/>
          <w:szCs w:val="24"/>
        </w:rPr>
      </w:pPr>
      <w:r w:rsidRPr="00C62A13">
        <w:rPr>
          <w:rStyle w:val="CommentReference"/>
          <w:b w:val="0"/>
          <w:szCs w:val="24"/>
        </w:rPr>
        <w:br w:type="page"/>
      </w:r>
    </w:p>
    <w:p w:rsidR="005058F8" w:rsidRPr="00C62A13" w:rsidRDefault="005058F8" w:rsidP="005058F8">
      <w:pPr>
        <w:pStyle w:val="TableFigureHeading"/>
        <w:rPr>
          <w:rStyle w:val="CommentReference"/>
          <w:b/>
          <w:szCs w:val="24"/>
        </w:rPr>
      </w:pPr>
      <w:r w:rsidRPr="00C62A13">
        <w:rPr>
          <w:rStyle w:val="CommentReference"/>
          <w:b/>
          <w:szCs w:val="24"/>
        </w:rPr>
        <w:t xml:space="preserve">Table 12: Summary of model </w:t>
      </w:r>
      <w:r w:rsidR="00F43C25" w:rsidRPr="00C62A13">
        <w:rPr>
          <w:rStyle w:val="CommentReference"/>
          <w:b/>
          <w:szCs w:val="24"/>
        </w:rPr>
        <w:t>structure</w:t>
      </w:r>
      <w:r w:rsidRPr="00C62A13">
        <w:rPr>
          <w:rStyle w:val="CommentReference"/>
          <w:b/>
          <w:szCs w:val="24"/>
        </w:rPr>
        <w:t>,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518"/>
        <w:gridCol w:w="6499"/>
      </w:tblGrid>
      <w:tr w:rsidR="005058F8" w:rsidRPr="00C62A13" w:rsidTr="002E22A6">
        <w:trPr>
          <w:tblHeader/>
        </w:trPr>
        <w:tc>
          <w:tcPr>
            <w:tcW w:w="1396" w:type="pct"/>
            <w:shd w:val="clear" w:color="auto" w:fill="auto"/>
            <w:vAlign w:val="center"/>
          </w:tcPr>
          <w:p w:rsidR="005058F8" w:rsidRPr="00C62A13" w:rsidRDefault="005058F8" w:rsidP="00262A1C">
            <w:pPr>
              <w:pStyle w:val="In-tableHeading"/>
              <w:keepNext w:val="0"/>
              <w:rPr>
                <w:lang w:val="en-AU"/>
              </w:rPr>
            </w:pPr>
            <w:r w:rsidRPr="00C62A13">
              <w:rPr>
                <w:lang w:val="en-AU"/>
              </w:rPr>
              <w:t>Component</w:t>
            </w:r>
          </w:p>
        </w:tc>
        <w:tc>
          <w:tcPr>
            <w:tcW w:w="3604" w:type="pct"/>
            <w:shd w:val="clear" w:color="auto" w:fill="auto"/>
            <w:vAlign w:val="center"/>
          </w:tcPr>
          <w:p w:rsidR="005058F8" w:rsidRPr="00C62A13" w:rsidRDefault="005058F8" w:rsidP="00262A1C">
            <w:pPr>
              <w:pStyle w:val="In-tableHeading"/>
              <w:keepNext w:val="0"/>
              <w:rPr>
                <w:lang w:val="en-AU"/>
              </w:rPr>
            </w:pPr>
            <w:r w:rsidRPr="00C62A13">
              <w:rPr>
                <w:lang w:val="en-AU"/>
              </w:rPr>
              <w:t>Summary</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Treatments</w:t>
            </w:r>
          </w:p>
        </w:tc>
        <w:tc>
          <w:tcPr>
            <w:tcW w:w="3604" w:type="pct"/>
            <w:shd w:val="clear" w:color="auto" w:fill="auto"/>
            <w:vAlign w:val="center"/>
          </w:tcPr>
          <w:p w:rsidR="005058F8" w:rsidRPr="00C62A13" w:rsidRDefault="005058F8" w:rsidP="00262A1C">
            <w:pPr>
              <w:pStyle w:val="TableText0"/>
              <w:keepNext w:val="0"/>
            </w:pPr>
            <w:r w:rsidRPr="00C62A13">
              <w:t>UPA 30</w:t>
            </w:r>
            <w:r w:rsidR="00E42A70" w:rsidRPr="00C62A13">
              <w:t xml:space="preserve"> </w:t>
            </w:r>
            <w:r w:rsidRPr="00C62A13">
              <w:t>mg versus DUPI</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Time horizon</w:t>
            </w:r>
          </w:p>
        </w:tc>
        <w:tc>
          <w:tcPr>
            <w:tcW w:w="3604" w:type="pct"/>
            <w:shd w:val="clear" w:color="auto" w:fill="auto"/>
            <w:vAlign w:val="center"/>
          </w:tcPr>
          <w:p w:rsidR="005058F8" w:rsidRPr="00C62A13" w:rsidRDefault="005058F8" w:rsidP="00262A1C">
            <w:pPr>
              <w:pStyle w:val="TableText0"/>
              <w:keepNext w:val="0"/>
            </w:pPr>
            <w:r w:rsidRPr="00C62A13">
              <w:t>Approximately 5 years</w:t>
            </w:r>
            <w:r w:rsidRPr="00C62A13">
              <w:rPr>
                <w:vertAlign w:val="superscript"/>
              </w:rPr>
              <w:t xml:space="preserve">a </w:t>
            </w:r>
            <w:r w:rsidRPr="00C62A13">
              <w:t>in the model base case vs. 16-weeks double-blind, placebo-controlled phase in the key trials.</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Outcomes</w:t>
            </w:r>
          </w:p>
        </w:tc>
        <w:tc>
          <w:tcPr>
            <w:tcW w:w="3604" w:type="pct"/>
            <w:shd w:val="clear" w:color="auto" w:fill="auto"/>
            <w:vAlign w:val="center"/>
          </w:tcPr>
          <w:p w:rsidR="005058F8" w:rsidRPr="00C62A13" w:rsidRDefault="003A1954" w:rsidP="00262A1C">
            <w:pPr>
              <w:pStyle w:val="TableText0"/>
              <w:keepNext w:val="0"/>
            </w:pPr>
            <w:r w:rsidRPr="00C62A13">
              <w:t>L</w:t>
            </w:r>
            <w:r w:rsidR="005058F8" w:rsidRPr="00C62A13">
              <w:t>ife years, quality-adjusted life years</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Methods used to generate results</w:t>
            </w:r>
          </w:p>
        </w:tc>
        <w:tc>
          <w:tcPr>
            <w:tcW w:w="3604" w:type="pct"/>
            <w:shd w:val="clear" w:color="auto" w:fill="auto"/>
            <w:vAlign w:val="center"/>
          </w:tcPr>
          <w:p w:rsidR="005058F8" w:rsidRPr="00C62A13" w:rsidRDefault="005058F8" w:rsidP="00262A1C">
            <w:pPr>
              <w:pStyle w:val="TableText0"/>
              <w:keepNext w:val="0"/>
            </w:pPr>
            <w:r w:rsidRPr="00C62A13">
              <w:rPr>
                <w:szCs w:val="20"/>
              </w:rPr>
              <w:t>Decision tree (to Week 42), Markov cohort model (after Week 42)</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Health states</w:t>
            </w:r>
          </w:p>
        </w:tc>
        <w:tc>
          <w:tcPr>
            <w:tcW w:w="3604" w:type="pct"/>
            <w:shd w:val="clear" w:color="auto" w:fill="auto"/>
            <w:vAlign w:val="center"/>
          </w:tcPr>
          <w:p w:rsidR="005058F8" w:rsidRPr="00C62A13" w:rsidRDefault="005058F8" w:rsidP="00262A1C">
            <w:pPr>
              <w:pStyle w:val="TableText0"/>
              <w:keepNext w:val="0"/>
              <w:rPr>
                <w:szCs w:val="20"/>
              </w:rPr>
            </w:pPr>
            <w:r w:rsidRPr="00C62A13">
              <w:rPr>
                <w:szCs w:val="20"/>
              </w:rPr>
              <w:t>Four health states:</w:t>
            </w:r>
          </w:p>
          <w:p w:rsidR="005058F8" w:rsidRPr="00C62A13" w:rsidRDefault="005058F8" w:rsidP="008A3974">
            <w:pPr>
              <w:pStyle w:val="TableText0"/>
              <w:keepNext w:val="0"/>
              <w:numPr>
                <w:ilvl w:val="0"/>
                <w:numId w:val="10"/>
              </w:numPr>
              <w:ind w:left="170" w:hanging="170"/>
              <w:rPr>
                <w:szCs w:val="20"/>
              </w:rPr>
            </w:pPr>
            <w:r w:rsidRPr="00C62A13">
              <w:rPr>
                <w:szCs w:val="20"/>
              </w:rPr>
              <w:t>Induction (first 16 weeks only)</w:t>
            </w:r>
          </w:p>
          <w:p w:rsidR="005058F8" w:rsidRPr="00C62A13" w:rsidRDefault="005058F8" w:rsidP="008A3974">
            <w:pPr>
              <w:pStyle w:val="TableText0"/>
              <w:keepNext w:val="0"/>
              <w:numPr>
                <w:ilvl w:val="0"/>
                <w:numId w:val="10"/>
              </w:numPr>
              <w:ind w:left="170" w:hanging="170"/>
              <w:rPr>
                <w:szCs w:val="20"/>
              </w:rPr>
            </w:pPr>
            <w:r w:rsidRPr="00C62A13">
              <w:rPr>
                <w:szCs w:val="20"/>
              </w:rPr>
              <w:t>Response (i.e. Δ DLQI ≥4 and EASI 50)</w:t>
            </w:r>
          </w:p>
          <w:p w:rsidR="005058F8" w:rsidRPr="00C62A13" w:rsidRDefault="005058F8" w:rsidP="008A3974">
            <w:pPr>
              <w:pStyle w:val="TableText0"/>
              <w:keepNext w:val="0"/>
              <w:numPr>
                <w:ilvl w:val="0"/>
                <w:numId w:val="10"/>
              </w:numPr>
              <w:ind w:left="170" w:hanging="170"/>
              <w:rPr>
                <w:szCs w:val="20"/>
              </w:rPr>
            </w:pPr>
            <w:r w:rsidRPr="00C62A13">
              <w:rPr>
                <w:szCs w:val="20"/>
              </w:rPr>
              <w:t>Non-response</w:t>
            </w:r>
          </w:p>
          <w:p w:rsidR="005058F8" w:rsidRPr="00C62A13" w:rsidRDefault="005058F8" w:rsidP="008A3974">
            <w:pPr>
              <w:pStyle w:val="TableText0"/>
              <w:keepNext w:val="0"/>
              <w:numPr>
                <w:ilvl w:val="0"/>
                <w:numId w:val="10"/>
              </w:numPr>
              <w:ind w:left="170" w:hanging="170"/>
              <w:rPr>
                <w:szCs w:val="20"/>
              </w:rPr>
            </w:pPr>
            <w:r w:rsidRPr="00C62A13">
              <w:rPr>
                <w:szCs w:val="20"/>
              </w:rPr>
              <w:t>Death</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Cycle length</w:t>
            </w:r>
          </w:p>
        </w:tc>
        <w:tc>
          <w:tcPr>
            <w:tcW w:w="3604" w:type="pct"/>
            <w:shd w:val="clear" w:color="auto" w:fill="auto"/>
            <w:vAlign w:val="center"/>
          </w:tcPr>
          <w:p w:rsidR="005058F8" w:rsidRPr="00C62A13" w:rsidRDefault="005058F8" w:rsidP="00262A1C">
            <w:pPr>
              <w:pStyle w:val="TableText0"/>
              <w:keepNext w:val="0"/>
            </w:pPr>
            <w:r w:rsidRPr="00C62A13">
              <w:t>6 months</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Transition probabilities or</w:t>
            </w:r>
          </w:p>
          <w:p w:rsidR="005058F8" w:rsidRPr="00C62A13" w:rsidRDefault="005058F8" w:rsidP="00262A1C">
            <w:pPr>
              <w:pStyle w:val="TableText0"/>
              <w:keepNext w:val="0"/>
            </w:pPr>
            <w:r w:rsidRPr="00C62A13">
              <w:t>Allocation to health states (if partitioned survival model)</w:t>
            </w:r>
          </w:p>
        </w:tc>
        <w:tc>
          <w:tcPr>
            <w:tcW w:w="3604" w:type="pct"/>
            <w:shd w:val="clear" w:color="auto" w:fill="auto"/>
            <w:vAlign w:val="center"/>
          </w:tcPr>
          <w:p w:rsidR="00A00B2F" w:rsidRPr="00C62A13" w:rsidRDefault="005058F8" w:rsidP="00262A1C">
            <w:pPr>
              <w:pStyle w:val="TableText0"/>
              <w:keepNext w:val="0"/>
            </w:pPr>
            <w:r w:rsidRPr="00C62A13">
              <w:rPr>
                <w:u w:val="single"/>
              </w:rPr>
              <w:t>Week 16 response</w:t>
            </w:r>
            <w:r w:rsidRPr="00C62A13">
              <w:t xml:space="preserve"> from trial data</w:t>
            </w:r>
            <w:r w:rsidR="00A00B2F" w:rsidRPr="00C62A13">
              <w:t xml:space="preserve"> (</w:t>
            </w:r>
            <w:r w:rsidR="00A00B2F" w:rsidRPr="00C62A13">
              <w:rPr>
                <w:szCs w:val="20"/>
              </w:rPr>
              <w:t>DLQI Δ ≥4 and EASI 50 at Week 16)</w:t>
            </w:r>
            <w:r w:rsidR="00A00B2F" w:rsidRPr="00C62A13">
              <w:t>:</w:t>
            </w:r>
          </w:p>
          <w:p w:rsidR="00A00B2F" w:rsidRPr="00C62A13" w:rsidRDefault="00A00B2F" w:rsidP="008A3974">
            <w:pPr>
              <w:pStyle w:val="TableText0"/>
              <w:keepNext w:val="0"/>
              <w:numPr>
                <w:ilvl w:val="0"/>
                <w:numId w:val="10"/>
              </w:numPr>
              <w:ind w:left="170" w:hanging="170"/>
              <w:rPr>
                <w:szCs w:val="20"/>
              </w:rPr>
            </w:pPr>
            <w:r w:rsidRPr="00C62A13">
              <w:t>UPA: 80.8% (</w:t>
            </w:r>
            <w:r w:rsidR="005058F8" w:rsidRPr="00C62A13">
              <w:rPr>
                <w:szCs w:val="20"/>
              </w:rPr>
              <w:t>MEASURE UP 1, MEASURE UP 2</w:t>
            </w:r>
            <w:r w:rsidRPr="00C62A13">
              <w:rPr>
                <w:szCs w:val="20"/>
              </w:rPr>
              <w:t>, AD UP)</w:t>
            </w:r>
          </w:p>
          <w:p w:rsidR="00A00B2F" w:rsidRPr="00C62A13" w:rsidRDefault="00A00B2F" w:rsidP="008A3974">
            <w:pPr>
              <w:pStyle w:val="TableText0"/>
              <w:keepNext w:val="0"/>
              <w:numPr>
                <w:ilvl w:val="0"/>
                <w:numId w:val="10"/>
              </w:numPr>
              <w:ind w:left="170" w:hanging="170"/>
              <w:rPr>
                <w:szCs w:val="20"/>
              </w:rPr>
            </w:pPr>
            <w:r w:rsidRPr="00C62A13">
              <w:rPr>
                <w:szCs w:val="20"/>
              </w:rPr>
              <w:t>DUPI: 59.6%</w:t>
            </w:r>
            <w:r w:rsidR="005058F8" w:rsidRPr="00C62A13">
              <w:rPr>
                <w:szCs w:val="20"/>
              </w:rPr>
              <w:t xml:space="preserve"> </w:t>
            </w:r>
            <w:r w:rsidRPr="00C62A13">
              <w:rPr>
                <w:szCs w:val="20"/>
              </w:rPr>
              <w:t>(</w:t>
            </w:r>
            <w:r w:rsidR="005058F8" w:rsidRPr="00C62A13">
              <w:rPr>
                <w:szCs w:val="20"/>
              </w:rPr>
              <w:t>1021, SOLO 1, SOLO 2, CHRONOS)</w:t>
            </w:r>
          </w:p>
          <w:p w:rsidR="005058F8" w:rsidRPr="00C62A13" w:rsidRDefault="00A00B2F" w:rsidP="008A3974">
            <w:pPr>
              <w:pStyle w:val="TableText0"/>
              <w:keepNext w:val="0"/>
              <w:numPr>
                <w:ilvl w:val="0"/>
                <w:numId w:val="10"/>
              </w:numPr>
              <w:ind w:left="170" w:hanging="170"/>
              <w:rPr>
                <w:szCs w:val="20"/>
              </w:rPr>
            </w:pPr>
            <w:r w:rsidRPr="00C62A13">
              <w:rPr>
                <w:szCs w:val="20"/>
              </w:rPr>
              <w:t>BSC: 20.4% (</w:t>
            </w:r>
            <w:r w:rsidRPr="00C62A13">
              <w:rPr>
                <w:iCs/>
                <w:szCs w:val="20"/>
              </w:rPr>
              <w:t>not reported)</w:t>
            </w:r>
          </w:p>
          <w:p w:rsidR="005058F8" w:rsidRPr="00C62A13" w:rsidRDefault="005058F8" w:rsidP="00262A1C">
            <w:pPr>
              <w:pStyle w:val="TableText0"/>
              <w:keepNext w:val="0"/>
              <w:rPr>
                <w:szCs w:val="20"/>
              </w:rPr>
            </w:pPr>
          </w:p>
          <w:p w:rsidR="005058F8" w:rsidRPr="00C62A13" w:rsidRDefault="005058F8" w:rsidP="00262A1C">
            <w:pPr>
              <w:pStyle w:val="TableText0"/>
              <w:keepNext w:val="0"/>
              <w:rPr>
                <w:iCs/>
              </w:rPr>
            </w:pPr>
            <w:r w:rsidRPr="00C62A13">
              <w:rPr>
                <w:iCs/>
                <w:szCs w:val="20"/>
                <w:u w:val="single"/>
              </w:rPr>
              <w:t>Maintenance of response after Week 16</w:t>
            </w:r>
            <w:r w:rsidRPr="00C62A13">
              <w:rPr>
                <w:iCs/>
                <w:szCs w:val="20"/>
              </w:rPr>
              <w:t xml:space="preserve"> from the </w:t>
            </w:r>
            <w:r w:rsidRPr="00C62A13">
              <w:rPr>
                <w:iCs/>
              </w:rPr>
              <w:t>March 2020 DUPI model:</w:t>
            </w:r>
          </w:p>
          <w:p w:rsidR="005058F8" w:rsidRPr="00C62A13" w:rsidRDefault="005058F8" w:rsidP="00262A1C">
            <w:pPr>
              <w:pStyle w:val="TableText0"/>
              <w:keepNext w:val="0"/>
              <w:rPr>
                <w:szCs w:val="20"/>
              </w:rPr>
            </w:pPr>
            <w:r w:rsidRPr="00C62A13">
              <w:rPr>
                <w:szCs w:val="20"/>
              </w:rPr>
              <w:t>Maintenance of response │ prior response:</w:t>
            </w:r>
          </w:p>
          <w:p w:rsidR="005058F8" w:rsidRPr="00C62A13" w:rsidRDefault="005058F8" w:rsidP="008A3974">
            <w:pPr>
              <w:pStyle w:val="TableText0"/>
              <w:keepNext w:val="0"/>
              <w:numPr>
                <w:ilvl w:val="0"/>
                <w:numId w:val="10"/>
              </w:numPr>
              <w:ind w:left="170" w:hanging="170"/>
              <w:rPr>
                <w:szCs w:val="20"/>
              </w:rPr>
            </w:pPr>
            <w:r w:rsidRPr="00C62A13">
              <w:rPr>
                <w:szCs w:val="20"/>
              </w:rPr>
              <w:t>Week 42: 95.7%</w:t>
            </w:r>
            <w:r w:rsidR="00A00B2F" w:rsidRPr="00C62A13">
              <w:rPr>
                <w:szCs w:val="20"/>
              </w:rPr>
              <w:t xml:space="preserve"> for UPA and DUPI, 66.7% for BSC</w:t>
            </w:r>
          </w:p>
          <w:p w:rsidR="005058F8" w:rsidRPr="00C62A13" w:rsidRDefault="005058F8" w:rsidP="008A3974">
            <w:pPr>
              <w:pStyle w:val="TableText0"/>
              <w:keepNext w:val="0"/>
              <w:numPr>
                <w:ilvl w:val="0"/>
                <w:numId w:val="10"/>
              </w:numPr>
              <w:ind w:left="170" w:hanging="170"/>
              <w:rPr>
                <w:szCs w:val="20"/>
              </w:rPr>
            </w:pPr>
            <w:r w:rsidRPr="00C62A13">
              <w:rPr>
                <w:szCs w:val="20"/>
              </w:rPr>
              <w:t>Week 68, 94: 91.21%</w:t>
            </w:r>
          </w:p>
          <w:p w:rsidR="005058F8" w:rsidRPr="00C62A13" w:rsidRDefault="005058F8" w:rsidP="008A3974">
            <w:pPr>
              <w:pStyle w:val="TableText0"/>
              <w:keepNext w:val="0"/>
              <w:numPr>
                <w:ilvl w:val="0"/>
                <w:numId w:val="10"/>
              </w:numPr>
              <w:ind w:left="170" w:hanging="170"/>
              <w:rPr>
                <w:szCs w:val="20"/>
              </w:rPr>
            </w:pPr>
            <w:r w:rsidRPr="00C62A13">
              <w:rPr>
                <w:szCs w:val="20"/>
              </w:rPr>
              <w:t>Week 120, 146: 97.98%</w:t>
            </w:r>
          </w:p>
          <w:p w:rsidR="005058F8" w:rsidRPr="00C62A13" w:rsidRDefault="005058F8" w:rsidP="008A3974">
            <w:pPr>
              <w:pStyle w:val="TableText0"/>
              <w:keepNext w:val="0"/>
              <w:numPr>
                <w:ilvl w:val="0"/>
                <w:numId w:val="10"/>
              </w:numPr>
              <w:ind w:left="170" w:hanging="170"/>
              <w:rPr>
                <w:szCs w:val="20"/>
              </w:rPr>
            </w:pPr>
            <w:r w:rsidRPr="00C62A13">
              <w:rPr>
                <w:szCs w:val="20"/>
              </w:rPr>
              <w:t>Week 172, 198: 98.29%</w:t>
            </w:r>
          </w:p>
          <w:p w:rsidR="005058F8" w:rsidRPr="00C62A13" w:rsidRDefault="005058F8" w:rsidP="008A3974">
            <w:pPr>
              <w:pStyle w:val="TableText0"/>
              <w:keepNext w:val="0"/>
              <w:numPr>
                <w:ilvl w:val="0"/>
                <w:numId w:val="10"/>
              </w:numPr>
              <w:ind w:left="170" w:hanging="170"/>
              <w:rPr>
                <w:szCs w:val="20"/>
              </w:rPr>
            </w:pPr>
            <w:r w:rsidRPr="00C62A13">
              <w:rPr>
                <w:szCs w:val="20"/>
              </w:rPr>
              <w:t>Week 224, 250, 276: 98.43%.</w:t>
            </w:r>
          </w:p>
        </w:tc>
      </w:tr>
      <w:tr w:rsidR="005058F8" w:rsidRPr="00C62A13" w:rsidTr="002E22A6">
        <w:tc>
          <w:tcPr>
            <w:tcW w:w="1396" w:type="pct"/>
            <w:shd w:val="clear" w:color="auto" w:fill="auto"/>
            <w:vAlign w:val="center"/>
          </w:tcPr>
          <w:p w:rsidR="005058F8" w:rsidRPr="00C62A13" w:rsidRDefault="005058F8" w:rsidP="00262A1C">
            <w:pPr>
              <w:pStyle w:val="TableText0"/>
              <w:keepNext w:val="0"/>
            </w:pPr>
            <w:r w:rsidRPr="00C62A13">
              <w:t>Health related quality of life</w:t>
            </w:r>
          </w:p>
        </w:tc>
        <w:tc>
          <w:tcPr>
            <w:tcW w:w="3604" w:type="pct"/>
            <w:shd w:val="clear" w:color="auto" w:fill="auto"/>
            <w:vAlign w:val="center"/>
          </w:tcPr>
          <w:p w:rsidR="00F120CF" w:rsidRPr="00C62A13" w:rsidRDefault="00F120CF" w:rsidP="00262A1C">
            <w:pPr>
              <w:pStyle w:val="TableText0"/>
              <w:keepNext w:val="0"/>
            </w:pPr>
            <w:r w:rsidRPr="00C62A13">
              <w:t xml:space="preserve">Values from the </w:t>
            </w:r>
            <w:r w:rsidRPr="00C62A13">
              <w:rPr>
                <w:iCs/>
                <w:szCs w:val="20"/>
              </w:rPr>
              <w:t xml:space="preserve">from the </w:t>
            </w:r>
            <w:r w:rsidRPr="00C62A13">
              <w:rPr>
                <w:iCs/>
              </w:rPr>
              <w:t>March 2020 DUPI model:</w:t>
            </w:r>
          </w:p>
          <w:p w:rsidR="00E462A5" w:rsidRPr="00C62A13" w:rsidRDefault="005058F8" w:rsidP="008A3974">
            <w:pPr>
              <w:pStyle w:val="TableText0"/>
              <w:keepNext w:val="0"/>
              <w:numPr>
                <w:ilvl w:val="0"/>
                <w:numId w:val="10"/>
              </w:numPr>
              <w:ind w:left="170" w:hanging="170"/>
            </w:pPr>
            <w:r w:rsidRPr="00C62A13">
              <w:t xml:space="preserve">Non-responder = 0.60; </w:t>
            </w:r>
          </w:p>
          <w:p w:rsidR="00E462A5" w:rsidRPr="00C62A13" w:rsidRDefault="005058F8" w:rsidP="008A3974">
            <w:pPr>
              <w:pStyle w:val="TableText0"/>
              <w:keepNext w:val="0"/>
              <w:numPr>
                <w:ilvl w:val="0"/>
                <w:numId w:val="10"/>
              </w:numPr>
              <w:ind w:left="170" w:hanging="170"/>
            </w:pPr>
            <w:r w:rsidRPr="00C62A13">
              <w:t xml:space="preserve">Responder = 0.91; </w:t>
            </w:r>
          </w:p>
          <w:p w:rsidR="005058F8" w:rsidRPr="00C62A13" w:rsidRDefault="005058F8" w:rsidP="008A3974">
            <w:pPr>
              <w:pStyle w:val="TableText0"/>
              <w:keepNext w:val="0"/>
              <w:numPr>
                <w:ilvl w:val="0"/>
                <w:numId w:val="10"/>
              </w:numPr>
              <w:ind w:left="170" w:hanging="170"/>
            </w:pPr>
            <w:r w:rsidRPr="00C62A13">
              <w:t>W</w:t>
            </w:r>
            <w:r w:rsidR="00E462A5" w:rsidRPr="00C62A13">
              <w:t>eek</w:t>
            </w:r>
            <w:r w:rsidR="00E42A70" w:rsidRPr="00C62A13">
              <w:t xml:space="preserve"> </w:t>
            </w:r>
            <w:r w:rsidR="00E462A5" w:rsidRPr="00C62A13">
              <w:t>8-16 UPA 30</w:t>
            </w:r>
            <w:r w:rsidR="00E42A70" w:rsidRPr="00C62A13">
              <w:t xml:space="preserve"> </w:t>
            </w:r>
            <w:r w:rsidR="00E462A5" w:rsidRPr="00C62A13">
              <w:t>mg / DUPI = 0.847,</w:t>
            </w:r>
            <w:r w:rsidRPr="00C62A13">
              <w:t xml:space="preserve"> BSC = 0.686.</w:t>
            </w:r>
          </w:p>
        </w:tc>
      </w:tr>
      <w:tr w:rsidR="009C70A8" w:rsidRPr="00C62A13" w:rsidTr="002E22A6">
        <w:tc>
          <w:tcPr>
            <w:tcW w:w="1396" w:type="pct"/>
            <w:shd w:val="clear" w:color="auto" w:fill="auto"/>
            <w:vAlign w:val="center"/>
          </w:tcPr>
          <w:p w:rsidR="009C70A8" w:rsidRPr="00C62A13" w:rsidRDefault="009C70A8" w:rsidP="00262A1C">
            <w:pPr>
              <w:pStyle w:val="TableText0"/>
              <w:keepNext w:val="0"/>
            </w:pPr>
            <w:r w:rsidRPr="00C62A13">
              <w:t>Health care resource use and costs</w:t>
            </w:r>
          </w:p>
        </w:tc>
        <w:tc>
          <w:tcPr>
            <w:tcW w:w="3604" w:type="pct"/>
            <w:shd w:val="clear" w:color="auto" w:fill="auto"/>
            <w:vAlign w:val="center"/>
          </w:tcPr>
          <w:p w:rsidR="009C70A8" w:rsidRPr="00C62A13" w:rsidRDefault="009C70A8" w:rsidP="009C70A8">
            <w:pPr>
              <w:pStyle w:val="TableText0"/>
              <w:keepNext w:val="0"/>
            </w:pPr>
            <w:r w:rsidRPr="00C62A13">
              <w:t>Drug costs</w:t>
            </w:r>
          </w:p>
          <w:p w:rsidR="009C70A8" w:rsidRPr="00C62A13" w:rsidRDefault="009C70A8" w:rsidP="008A3974">
            <w:pPr>
              <w:pStyle w:val="TableText0"/>
              <w:keepNext w:val="0"/>
              <w:numPr>
                <w:ilvl w:val="0"/>
                <w:numId w:val="10"/>
              </w:numPr>
              <w:ind w:left="170" w:hanging="170"/>
            </w:pPr>
            <w:r w:rsidRPr="00C62A13">
              <w:t>UPA 30</w:t>
            </w:r>
            <w:r w:rsidR="00E42A70" w:rsidRPr="00C62A13">
              <w:t xml:space="preserve"> </w:t>
            </w:r>
            <w:r w:rsidRPr="00C62A13">
              <w:t>mg: $</w:t>
            </w:r>
            <w:r w:rsidR="00B95E7E">
              <w:rPr>
                <w:noProof/>
                <w:color w:val="000000"/>
                <w:highlight w:val="black"/>
              </w:rPr>
              <w:t>'''''''''''''''''''</w:t>
            </w:r>
            <w:r w:rsidRPr="00C62A13">
              <w:t xml:space="preserve"> per box (28 tablets)</w:t>
            </w:r>
          </w:p>
          <w:p w:rsidR="009C70A8" w:rsidRPr="00C62A13" w:rsidRDefault="009C70A8" w:rsidP="008A3974">
            <w:pPr>
              <w:pStyle w:val="TableText0"/>
              <w:keepNext w:val="0"/>
              <w:numPr>
                <w:ilvl w:val="0"/>
                <w:numId w:val="10"/>
              </w:numPr>
              <w:ind w:left="170" w:hanging="170"/>
            </w:pPr>
            <w:r w:rsidRPr="00C62A13">
              <w:t>DUPI 300</w:t>
            </w:r>
            <w:r w:rsidR="00E42A70" w:rsidRPr="00C62A13">
              <w:t xml:space="preserve"> </w:t>
            </w:r>
            <w:r w:rsidRPr="00C62A13">
              <w:t>mg: $</w:t>
            </w:r>
            <w:r w:rsidR="00B95E7E">
              <w:rPr>
                <w:noProof/>
                <w:color w:val="000000"/>
                <w:highlight w:val="black"/>
              </w:rPr>
              <w:t>''''''''''''''''''''</w:t>
            </w:r>
            <w:r w:rsidRPr="00C62A13">
              <w:t xml:space="preserve"> per pack (2 syringes)</w:t>
            </w:r>
          </w:p>
          <w:p w:rsidR="009C70A8" w:rsidRPr="00C62A13" w:rsidRDefault="009C70A8" w:rsidP="009C70A8">
            <w:pPr>
              <w:pStyle w:val="TableText0"/>
              <w:keepNext w:val="0"/>
            </w:pPr>
            <w:r w:rsidRPr="00C62A13">
              <w:t>Health state costs from the March 2020 DUPI model:</w:t>
            </w:r>
          </w:p>
          <w:p w:rsidR="009C70A8" w:rsidRPr="00C62A13" w:rsidRDefault="009C70A8" w:rsidP="008A3974">
            <w:pPr>
              <w:pStyle w:val="TableText0"/>
              <w:keepNext w:val="0"/>
              <w:numPr>
                <w:ilvl w:val="0"/>
                <w:numId w:val="10"/>
              </w:numPr>
              <w:ind w:left="170" w:hanging="170"/>
            </w:pPr>
            <w:r w:rsidRPr="00C62A13">
              <w:t>Responder: $984 per annum (</w:t>
            </w:r>
            <w:r w:rsidRPr="00C62A13">
              <w:rPr>
                <w:iCs/>
              </w:rPr>
              <w:t>appropriately</w:t>
            </w:r>
            <w:r w:rsidRPr="00C62A13">
              <w:rPr>
                <w:i/>
                <w:iCs/>
              </w:rPr>
              <w:t xml:space="preserve"> </w:t>
            </w:r>
            <w:r w:rsidRPr="00C62A13">
              <w:t>excludes phototherapy)</w:t>
            </w:r>
          </w:p>
          <w:p w:rsidR="009C70A8" w:rsidRPr="00C62A13" w:rsidRDefault="009C70A8" w:rsidP="008A3974">
            <w:pPr>
              <w:pStyle w:val="TableText0"/>
              <w:keepNext w:val="0"/>
              <w:numPr>
                <w:ilvl w:val="0"/>
                <w:numId w:val="10"/>
              </w:numPr>
              <w:ind w:left="170" w:hanging="170"/>
            </w:pPr>
            <w:r w:rsidRPr="00C62A13">
              <w:t>Non-responder: $5,493 per annum (</w:t>
            </w:r>
            <w:r w:rsidRPr="00C62A13">
              <w:rPr>
                <w:iCs/>
              </w:rPr>
              <w:t>appropriately</w:t>
            </w:r>
            <w:r w:rsidRPr="00C62A13">
              <w:rPr>
                <w:i/>
                <w:iCs/>
              </w:rPr>
              <w:t xml:space="preserve"> </w:t>
            </w:r>
            <w:r w:rsidRPr="00C62A13">
              <w:t>excludes phototherapy)</w:t>
            </w:r>
          </w:p>
        </w:tc>
      </w:tr>
    </w:tbl>
    <w:p w:rsidR="005058F8" w:rsidRPr="00C62A13" w:rsidRDefault="005058F8" w:rsidP="00DE3850">
      <w:pPr>
        <w:pStyle w:val="TableFigureFooter"/>
        <w:spacing w:after="0"/>
      </w:pPr>
      <w:r w:rsidRPr="00C62A13">
        <w:t>Source: Table 3-1, p124 of the submission.</w:t>
      </w:r>
    </w:p>
    <w:p w:rsidR="005058F8" w:rsidRPr="00C62A13" w:rsidRDefault="005058F8" w:rsidP="00DE3850">
      <w:pPr>
        <w:spacing w:after="120"/>
        <w:contextualSpacing/>
        <w:rPr>
          <w:rFonts w:ascii="Arial Narrow" w:hAnsi="Arial Narrow"/>
          <w:sz w:val="18"/>
          <w:szCs w:val="18"/>
        </w:rPr>
      </w:pPr>
      <w:r w:rsidRPr="00C62A13">
        <w:rPr>
          <w:rFonts w:ascii="Arial Narrow" w:hAnsi="Arial Narrow"/>
          <w:sz w:val="18"/>
          <w:szCs w:val="18"/>
        </w:rPr>
        <w:t>DLQI = dermatology life quality index; EASI = eczema area and severity index; DUPI = dupilumab; UPA = upadacitinib</w:t>
      </w:r>
      <w:r w:rsidR="00A00B2F" w:rsidRPr="00C62A13">
        <w:rPr>
          <w:rFonts w:ascii="Arial Narrow" w:hAnsi="Arial Narrow"/>
          <w:sz w:val="18"/>
          <w:szCs w:val="18"/>
        </w:rPr>
        <w:t>; BSC = best supportive care</w:t>
      </w:r>
      <w:r w:rsidRPr="00C62A13">
        <w:rPr>
          <w:rFonts w:ascii="Arial Narrow" w:hAnsi="Arial Narrow"/>
          <w:sz w:val="18"/>
          <w:szCs w:val="18"/>
        </w:rPr>
        <w:t>.</w:t>
      </w:r>
    </w:p>
    <w:p w:rsidR="00DE3850" w:rsidRPr="00C62A13" w:rsidRDefault="00DE3850" w:rsidP="00DE3850">
      <w:pPr>
        <w:widowControl w:val="0"/>
        <w:ind w:left="165" w:hanging="165"/>
        <w:contextualSpacing/>
        <w:rPr>
          <w:rFonts w:ascii="Arial Narrow" w:hAnsi="Arial Narrow"/>
          <w:snapToGrid w:val="0"/>
          <w:sz w:val="18"/>
          <w:szCs w:val="22"/>
        </w:rPr>
      </w:pPr>
      <w:r w:rsidRPr="00C62A13">
        <w:rPr>
          <w:rFonts w:ascii="Arial Narrow" w:hAnsi="Arial Narrow"/>
          <w:snapToGrid w:val="0"/>
          <w:sz w:val="18"/>
          <w:szCs w:val="22"/>
          <w:vertAlign w:val="superscript"/>
        </w:rPr>
        <w:t xml:space="preserve">a </w:t>
      </w:r>
      <w:r w:rsidRPr="00C62A13">
        <w:rPr>
          <w:rFonts w:ascii="Arial Narrow" w:hAnsi="Arial Narrow"/>
          <w:snapToGrid w:val="0"/>
          <w:sz w:val="18"/>
          <w:szCs w:val="22"/>
          <w:vertAlign w:val="superscript"/>
        </w:rPr>
        <w:tab/>
      </w:r>
      <w:r w:rsidRPr="00C62A13">
        <w:rPr>
          <w:rFonts w:ascii="Arial Narrow" w:hAnsi="Arial Narrow"/>
          <w:snapToGrid w:val="0"/>
          <w:sz w:val="18"/>
          <w:szCs w:val="22"/>
        </w:rPr>
        <w:t>42 weeks decision-tree model followed by a Markov model of 9 x 6-monthly cycles.</w:t>
      </w:r>
    </w:p>
    <w:p w:rsidR="00DE3850" w:rsidRPr="00C62A13" w:rsidRDefault="00DE3850" w:rsidP="00DE3850">
      <w:pPr>
        <w:spacing w:after="120"/>
        <w:contextualSpacing/>
        <w:rPr>
          <w:rFonts w:ascii="Arial Narrow" w:hAnsi="Arial Narrow"/>
          <w:sz w:val="18"/>
          <w:szCs w:val="18"/>
        </w:rPr>
      </w:pPr>
    </w:p>
    <w:p w:rsidR="005058F8" w:rsidRPr="00C62A13" w:rsidRDefault="005058F8" w:rsidP="002E22A6">
      <w:pPr>
        <w:pStyle w:val="3-BodyText"/>
      </w:pPr>
      <w:r w:rsidRPr="00C62A13">
        <w:t>The model was co</w:t>
      </w:r>
      <w:r w:rsidR="002E22A6" w:rsidRPr="00C62A13">
        <w:t>mprised of two components: a 42-</w:t>
      </w:r>
      <w:r w:rsidRPr="00C62A13">
        <w:t xml:space="preserve">week decision tree </w:t>
      </w:r>
      <w:r w:rsidR="002E22A6" w:rsidRPr="00C62A13">
        <w:t>followed by a Mark</w:t>
      </w:r>
      <w:r w:rsidRPr="00C62A13">
        <w:t>ov cohort model</w:t>
      </w:r>
      <w:r w:rsidR="002E22A6" w:rsidRPr="00C62A13">
        <w:rPr>
          <w:i/>
        </w:rPr>
        <w:t>:</w:t>
      </w:r>
    </w:p>
    <w:p w:rsidR="002E22A6" w:rsidRPr="00C62A13" w:rsidRDefault="002E22A6" w:rsidP="008A3974">
      <w:pPr>
        <w:pStyle w:val="3-BodyText"/>
        <w:numPr>
          <w:ilvl w:val="0"/>
          <w:numId w:val="8"/>
        </w:numPr>
        <w:ind w:left="1134"/>
      </w:pPr>
      <w:r w:rsidRPr="00C62A13">
        <w:rPr>
          <w:iCs/>
        </w:rPr>
        <w:t xml:space="preserve">The </w:t>
      </w:r>
      <w:r w:rsidRPr="00C62A13">
        <w:t>cohort enters the model in the ‘induction therapy’ health state of the decision tree, and initial response is assessed after 16 weeks of treatment. Patients with initial response enter the ‘responder’ health state, and patients who maintain response at 42 weeks remain in the same health state at the end of the decision tree. Patients without an initial response at Week 16 and those who do not maintain response at Week 42 transition to the ‘non-responder’ health state in the decision tree. The decision tree does not include the ‘dead’ health state.</w:t>
      </w:r>
    </w:p>
    <w:p w:rsidR="00F120CF" w:rsidRPr="00C62A13" w:rsidRDefault="002E22A6" w:rsidP="008A3974">
      <w:pPr>
        <w:pStyle w:val="3-BodyText"/>
        <w:numPr>
          <w:ilvl w:val="0"/>
          <w:numId w:val="8"/>
        </w:numPr>
        <w:ind w:left="1134"/>
      </w:pPr>
      <w:r w:rsidRPr="00C62A13">
        <w:t>The cohort enters the Markov model at Week 42 in either the responder or non-responder health states, based on the health state at the end of the decision tree. Each cycle, all-cause mortality is applied to patients in both health states and maintenance of response is assessed for those in the responder health state. Responders who do not survive the cycle transition to dead, whereas responders who survive the cycle either remain in the responder health state or transition to the non-responder health state. Non-responders either transition to dead or remain in the non-responder health state.</w:t>
      </w:r>
    </w:p>
    <w:p w:rsidR="002E22A6" w:rsidRPr="00C62A13" w:rsidRDefault="00F120CF" w:rsidP="008A3974">
      <w:pPr>
        <w:pStyle w:val="3-BodyText"/>
        <w:numPr>
          <w:ilvl w:val="0"/>
          <w:numId w:val="8"/>
        </w:numPr>
        <w:ind w:left="1134"/>
      </w:pPr>
      <w:r w:rsidRPr="00C62A13">
        <w:t>Throughout the model, responders remain on active treatment whereas non-responders discontinue active treatment and commence BSC.</w:t>
      </w:r>
    </w:p>
    <w:p w:rsidR="00C16A70" w:rsidRPr="00C62A13" w:rsidRDefault="00A00B2F" w:rsidP="008118B9">
      <w:pPr>
        <w:pStyle w:val="3-BodyText"/>
      </w:pPr>
      <w:r w:rsidRPr="00C62A13">
        <w:t>The main treatment effect included in the model was the proportion of patients who meet the PBS continuation criteria at Week 16.</w:t>
      </w:r>
    </w:p>
    <w:p w:rsidR="00063EA7" w:rsidRPr="00C62A13" w:rsidRDefault="00063EA7" w:rsidP="008A3974">
      <w:pPr>
        <w:pStyle w:val="3-BodyText"/>
        <w:numPr>
          <w:ilvl w:val="0"/>
          <w:numId w:val="8"/>
        </w:numPr>
        <w:ind w:left="1134"/>
        <w:rPr>
          <w:rFonts w:cs="Calibri"/>
          <w:i/>
          <w:iCs/>
        </w:rPr>
      </w:pPr>
      <w:r w:rsidRPr="00C62A13">
        <w:t>For</w:t>
      </w:r>
      <w:r w:rsidRPr="00C62A13">
        <w:rPr>
          <w:rFonts w:cs="Calibri"/>
        </w:rPr>
        <w:t xml:space="preserve"> DUPI, the submission assumed an initial response of </w:t>
      </w:r>
      <w:r w:rsidRPr="00C62A13">
        <w:rPr>
          <w:rFonts w:cs="Calibri"/>
          <w:bCs/>
        </w:rPr>
        <w:t>59.6%</w:t>
      </w:r>
      <w:r w:rsidRPr="00C62A13">
        <w:rPr>
          <w:rFonts w:cs="Calibri"/>
        </w:rPr>
        <w:t xml:space="preserve">, corresponding to the proportion observed in the </w:t>
      </w:r>
      <w:r w:rsidR="00973E50" w:rsidRPr="00C62A13">
        <w:rPr>
          <w:rFonts w:cs="Calibri"/>
        </w:rPr>
        <w:t>CsA</w:t>
      </w:r>
      <w:r w:rsidR="00CB4494" w:rsidRPr="00C62A13">
        <w:rPr>
          <w:rFonts w:cs="Calibri"/>
        </w:rPr>
        <w:t>-</w:t>
      </w:r>
      <w:r w:rsidRPr="00C62A13">
        <w:rPr>
          <w:rFonts w:cs="Calibri"/>
        </w:rPr>
        <w:t>naïve subgroup of the DUPI trials.</w:t>
      </w:r>
    </w:p>
    <w:p w:rsidR="00063EA7" w:rsidRPr="00C62A13" w:rsidRDefault="00063EA7" w:rsidP="008A3974">
      <w:pPr>
        <w:pStyle w:val="3-BodyText"/>
        <w:numPr>
          <w:ilvl w:val="0"/>
          <w:numId w:val="8"/>
        </w:numPr>
        <w:ind w:left="1134"/>
        <w:rPr>
          <w:rFonts w:cs="Calibri"/>
          <w:i/>
          <w:iCs/>
        </w:rPr>
      </w:pPr>
      <w:r w:rsidRPr="00C62A13">
        <w:rPr>
          <w:rFonts w:cs="Calibri"/>
        </w:rPr>
        <w:t>For UPA 30</w:t>
      </w:r>
      <w:r w:rsidR="00E42A70" w:rsidRPr="00C62A13">
        <w:rPr>
          <w:rFonts w:cs="Calibri"/>
        </w:rPr>
        <w:t xml:space="preserve"> </w:t>
      </w:r>
      <w:r w:rsidRPr="00C62A13">
        <w:rPr>
          <w:rFonts w:cs="Calibri"/>
        </w:rPr>
        <w:t xml:space="preserve">mg, the submission assumed an initial response of </w:t>
      </w:r>
      <w:r w:rsidRPr="00C62A13">
        <w:rPr>
          <w:rFonts w:cs="Calibri"/>
          <w:bCs/>
        </w:rPr>
        <w:t>80.8%</w:t>
      </w:r>
      <w:r w:rsidRPr="00C62A13">
        <w:rPr>
          <w:rFonts w:cs="Calibri"/>
        </w:rPr>
        <w:t xml:space="preserve">, corresponding to the proportion observed in the </w:t>
      </w:r>
      <w:r w:rsidR="00973E50" w:rsidRPr="00C62A13">
        <w:rPr>
          <w:rFonts w:cs="Calibri"/>
        </w:rPr>
        <w:t>CsA</w:t>
      </w:r>
      <w:r w:rsidR="00CB4494" w:rsidRPr="00C62A13">
        <w:rPr>
          <w:rFonts w:cs="Calibri"/>
        </w:rPr>
        <w:t>-</w:t>
      </w:r>
      <w:r w:rsidRPr="00C62A13">
        <w:rPr>
          <w:rFonts w:cs="Calibri"/>
        </w:rPr>
        <w:t xml:space="preserve">naïve + experienced patients (the same proportion was observed in the </w:t>
      </w:r>
      <w:r w:rsidR="00973E50" w:rsidRPr="00C62A13">
        <w:rPr>
          <w:rFonts w:cs="Calibri"/>
        </w:rPr>
        <w:t>CsA</w:t>
      </w:r>
      <w:r w:rsidR="00CB4494" w:rsidRPr="00C62A13">
        <w:rPr>
          <w:rFonts w:cs="Calibri"/>
        </w:rPr>
        <w:t>-</w:t>
      </w:r>
      <w:r w:rsidRPr="00C62A13">
        <w:rPr>
          <w:rFonts w:cs="Calibri"/>
        </w:rPr>
        <w:t>naïve subgroup).</w:t>
      </w:r>
    </w:p>
    <w:p w:rsidR="00CA6AC5" w:rsidRPr="00C62A13" w:rsidRDefault="008118B9" w:rsidP="008C5FD9">
      <w:pPr>
        <w:pStyle w:val="3-BodyText"/>
      </w:pPr>
      <w:bookmarkStart w:id="29" w:name="_Ref75161544"/>
      <w:r w:rsidRPr="00C62A13">
        <w:t xml:space="preserve">The model </w:t>
      </w:r>
      <w:r w:rsidR="005058F8" w:rsidRPr="00C62A13">
        <w:t>applied the rates observed in the UPA and DUPI treatment arms without adjusting for differences in the placebo response rates across the trials</w:t>
      </w:r>
      <w:r w:rsidR="001045D6" w:rsidRPr="00C62A13">
        <w:t xml:space="preserve">, resulting </w:t>
      </w:r>
      <w:r w:rsidR="005058F8" w:rsidRPr="00C62A13">
        <w:t xml:space="preserve">in an absolute treatment benefit of 21.2% with UPA 30mg compared to DUPI, which favours UPA </w:t>
      </w:r>
      <w:r w:rsidRPr="00C62A13">
        <w:t>30</w:t>
      </w:r>
      <w:r w:rsidR="00E42A70" w:rsidRPr="00C62A13">
        <w:t xml:space="preserve"> </w:t>
      </w:r>
      <w:r w:rsidRPr="00C62A13">
        <w:t xml:space="preserve">mg </w:t>
      </w:r>
      <w:r w:rsidR="005058F8" w:rsidRPr="00C62A13">
        <w:t xml:space="preserve">as it is larger than the absolute benefit of approx. 17% (16.98%) estimated using the indirect treatment comparison in the </w:t>
      </w:r>
      <w:r w:rsidR="00973E50" w:rsidRPr="00C62A13">
        <w:t>CsA</w:t>
      </w:r>
      <w:r w:rsidRPr="00C62A13">
        <w:t>-</w:t>
      </w:r>
      <w:r w:rsidR="005058F8" w:rsidRPr="00C62A13">
        <w:t>naïve subgroup.</w:t>
      </w:r>
      <w:r w:rsidR="00E22309" w:rsidRPr="00C62A13">
        <w:t xml:space="preserve"> </w:t>
      </w:r>
      <w:r w:rsidR="001045D6" w:rsidRPr="00C62A13">
        <w:t xml:space="preserve">The PSCR acknowledged that estimation of the response rates in the model should be based on the </w:t>
      </w:r>
      <w:r w:rsidR="00F0558C" w:rsidRPr="00C62A13">
        <w:t>adjusted (</w:t>
      </w:r>
      <w:r w:rsidR="001045D6" w:rsidRPr="00C62A13">
        <w:t>ITC</w:t>
      </w:r>
      <w:r w:rsidR="00F0558C" w:rsidRPr="00C62A13">
        <w:t>)</w:t>
      </w:r>
      <w:r w:rsidR="001045D6" w:rsidRPr="00C62A13">
        <w:t xml:space="preserve"> results</w:t>
      </w:r>
      <w:r w:rsidR="001C15E0" w:rsidRPr="00C62A13">
        <w:t xml:space="preserve"> for the combined </w:t>
      </w:r>
      <w:r w:rsidR="00973E50" w:rsidRPr="00C62A13">
        <w:t>CsA</w:t>
      </w:r>
      <w:r w:rsidR="001C15E0" w:rsidRPr="00C62A13">
        <w:t xml:space="preserve"> naïve + experienced patients. The PSCR</w:t>
      </w:r>
      <w:r w:rsidR="001045D6" w:rsidRPr="00C62A13">
        <w:t xml:space="preserve"> and </w:t>
      </w:r>
      <w:r w:rsidR="001C15E0" w:rsidRPr="00C62A13">
        <w:t xml:space="preserve">presented a </w:t>
      </w:r>
      <w:r w:rsidR="00F0558C" w:rsidRPr="00C62A13">
        <w:t>revised approach</w:t>
      </w:r>
      <w:r w:rsidR="001C15E0" w:rsidRPr="00C62A13">
        <w:t>,</w:t>
      </w:r>
      <w:r w:rsidR="00F0558C" w:rsidRPr="00C62A13">
        <w:t xml:space="preserve"> using response rates of </w:t>
      </w:r>
      <w:r w:rsidR="00F0558C" w:rsidRPr="00C62A13">
        <w:rPr>
          <w:rFonts w:cstheme="minorBidi"/>
        </w:rPr>
        <w:t xml:space="preserve">59.7% (190/318) and 17.5% (74/424) estimated for DUPI and PBO respectively; with application of the 0.18 risk difference, an UPA 30mg response rate of 77.7% </w:t>
      </w:r>
      <w:r w:rsidR="001C15E0" w:rsidRPr="00C62A13">
        <w:rPr>
          <w:rFonts w:cstheme="minorBidi"/>
        </w:rPr>
        <w:t>was</w:t>
      </w:r>
      <w:r w:rsidR="00F0558C" w:rsidRPr="00C62A13">
        <w:rPr>
          <w:rFonts w:cstheme="minorBidi"/>
        </w:rPr>
        <w:t xml:space="preserve"> estimated from the ITC. </w:t>
      </w:r>
      <w:r w:rsidR="001C15E0" w:rsidRPr="00C62A13">
        <w:rPr>
          <w:rFonts w:cstheme="minorBidi"/>
        </w:rPr>
        <w:t xml:space="preserve">The PSCR reported that the resulting ICER was approximately </w:t>
      </w:r>
      <w:r w:rsidR="008C5FD9" w:rsidRPr="008C5FD9">
        <w:rPr>
          <w:rFonts w:cstheme="minorBidi"/>
        </w:rPr>
        <w:t>$75,000 to &lt;</w:t>
      </w:r>
      <w:r w:rsidR="008C5FD9">
        <w:rPr>
          <w:rFonts w:cstheme="minorBidi"/>
        </w:rPr>
        <w:t> </w:t>
      </w:r>
      <w:r w:rsidR="008C5FD9" w:rsidRPr="008C5FD9">
        <w:rPr>
          <w:rFonts w:cstheme="minorBidi"/>
        </w:rPr>
        <w:t>$95,000</w:t>
      </w:r>
      <w:r w:rsidR="001C15E0" w:rsidRPr="00C62A13">
        <w:rPr>
          <w:rFonts w:cstheme="minorBidi"/>
        </w:rPr>
        <w:t xml:space="preserve">/QALY. This value could not be verified and the ESC noted that the Commentary had estimated the ICER to be approximately </w:t>
      </w:r>
      <w:r w:rsidR="008C5FD9" w:rsidRPr="008C5FD9">
        <w:rPr>
          <w:rFonts w:cstheme="minorBidi"/>
        </w:rPr>
        <w:t>$75,000 to &lt;</w:t>
      </w:r>
      <w:r w:rsidR="008C5FD9">
        <w:rPr>
          <w:rFonts w:cstheme="minorBidi"/>
        </w:rPr>
        <w:t> </w:t>
      </w:r>
      <w:r w:rsidR="008C5FD9" w:rsidRPr="008C5FD9">
        <w:rPr>
          <w:rFonts w:cstheme="minorBidi"/>
        </w:rPr>
        <w:t>$95,000</w:t>
      </w:r>
      <w:r w:rsidR="001C15E0" w:rsidRPr="00C62A13">
        <w:rPr>
          <w:rFonts w:cstheme="minorBidi"/>
        </w:rPr>
        <w:t>/QALY using this method (see highlighted cells in Table 15).</w:t>
      </w:r>
      <w:r w:rsidR="00C45D84" w:rsidRPr="00C62A13">
        <w:rPr>
          <w:rFonts w:cstheme="minorBidi"/>
          <w:i/>
        </w:rPr>
        <w:t xml:space="preserve"> </w:t>
      </w:r>
    </w:p>
    <w:p w:rsidR="0063280C" w:rsidRPr="00C62A13" w:rsidRDefault="001C15E0" w:rsidP="00155909">
      <w:pPr>
        <w:pStyle w:val="3-BodyText"/>
        <w:rPr>
          <w:iCs/>
        </w:rPr>
      </w:pPr>
      <w:bookmarkStart w:id="30" w:name="_Ref75161546"/>
      <w:bookmarkEnd w:id="29"/>
      <w:r w:rsidRPr="00C62A13">
        <w:rPr>
          <w:iCs/>
        </w:rPr>
        <w:t xml:space="preserve">The ESC considered that </w:t>
      </w:r>
      <w:r w:rsidR="00FC6D3A" w:rsidRPr="00C62A13">
        <w:rPr>
          <w:iCs/>
        </w:rPr>
        <w:t>for consistency with the DUPI consideration by the PBAC, it</w:t>
      </w:r>
      <w:r w:rsidRPr="00C62A13">
        <w:rPr>
          <w:iCs/>
        </w:rPr>
        <w:t xml:space="preserve"> would be most appropriate to use </w:t>
      </w:r>
      <w:r w:rsidR="00996055" w:rsidRPr="00C62A13">
        <w:rPr>
          <w:iCs/>
        </w:rPr>
        <w:t xml:space="preserve">the </w:t>
      </w:r>
      <w:r w:rsidR="00973E50" w:rsidRPr="00C62A13">
        <w:rPr>
          <w:iCs/>
        </w:rPr>
        <w:t>CsA</w:t>
      </w:r>
      <w:r w:rsidR="00996055" w:rsidRPr="00C62A13">
        <w:rPr>
          <w:iCs/>
        </w:rPr>
        <w:t xml:space="preserve"> naïve subgroup for both DUPI and UPA responders (para 6.49 dupilumab PSD, March 2020 PBAC meeting). </w:t>
      </w:r>
    </w:p>
    <w:p w:rsidR="0063280C" w:rsidRPr="00C62A13" w:rsidRDefault="0063280C" w:rsidP="004B307D">
      <w:pPr>
        <w:pStyle w:val="3-BodyText"/>
        <w:rPr>
          <w:bCs/>
          <w:iCs/>
        </w:rPr>
      </w:pPr>
      <w:r w:rsidRPr="00C62A13">
        <w:rPr>
          <w:iCs/>
        </w:rPr>
        <w:t>The ESC also noted that the estimation of the response rate for UPA varied depending on whether the RR or RD was used</w:t>
      </w:r>
      <w:r w:rsidR="004B307D" w:rsidRPr="00C62A13">
        <w:rPr>
          <w:iCs/>
        </w:rPr>
        <w:t xml:space="preserve">. </w:t>
      </w:r>
      <w:r w:rsidR="004B307D" w:rsidRPr="00C62A13">
        <w:rPr>
          <w:bCs/>
          <w:iCs/>
        </w:rPr>
        <w:t>The ESC noted that determining the most appropriate statistic depends on whether the treatment effect is likely to be more of a relative effect (i.e. benefit based on underlying risk), an absolute effect (constant benefit irrespective of underlying risk) or something in between. The submission and PSCR argued that it is an absolute effect, but there is very little subgroup data to determine whether this is the case. However, the ESC noted that the direct (RR=1.11) and indirect (RR=1.11) evidence are consistent in terms of relative risk (despite differences in the absolute response rates for UPA and DUPI) suggesting that relative risk may be preferred.</w:t>
      </w:r>
      <w:r w:rsidR="00B03936" w:rsidRPr="00C62A13">
        <w:rPr>
          <w:bCs/>
          <w:iCs/>
        </w:rPr>
        <w:t xml:space="preserve"> The pre-PBAC response argued that it was inappropriate to use the RR to calculate the response rate relative to DUPI from the indirect comparison </w:t>
      </w:r>
      <w:r w:rsidR="00A9109E" w:rsidRPr="00C62A13">
        <w:rPr>
          <w:bCs/>
          <w:iCs/>
        </w:rPr>
        <w:t>“because RR across trials can be confounded by the specification of the baseline risk against which the RR is calculated”. A</w:t>
      </w:r>
      <w:r w:rsidR="00B03936" w:rsidRPr="00C62A13">
        <w:rPr>
          <w:bCs/>
          <w:iCs/>
        </w:rPr>
        <w:t xml:space="preserve">pplying the odds ratio (OR) </w:t>
      </w:r>
      <w:r w:rsidR="00A9109E" w:rsidRPr="00C62A13">
        <w:rPr>
          <w:bCs/>
          <w:iCs/>
        </w:rPr>
        <w:t xml:space="preserve">(OR=2.2, 95%CI: 1.1, 4.2 for the CsA naïve population) </w:t>
      </w:r>
      <w:r w:rsidR="00B03936" w:rsidRPr="00C62A13">
        <w:rPr>
          <w:bCs/>
          <w:iCs/>
        </w:rPr>
        <w:t>to the RR for DUPI (0.596) gives a response rate of 76</w:t>
      </w:r>
      <w:r w:rsidR="00724ADF" w:rsidRPr="00C62A13">
        <w:rPr>
          <w:bCs/>
          <w:iCs/>
        </w:rPr>
        <w:t>.</w:t>
      </w:r>
      <w:r w:rsidR="00B03936" w:rsidRPr="00C62A13">
        <w:rPr>
          <w:bCs/>
          <w:iCs/>
        </w:rPr>
        <w:t>4</w:t>
      </w:r>
      <w:r w:rsidR="00724ADF" w:rsidRPr="00C62A13">
        <w:rPr>
          <w:bCs/>
          <w:iCs/>
        </w:rPr>
        <w:t>%</w:t>
      </w:r>
      <w:r w:rsidR="00B03936" w:rsidRPr="00C62A13">
        <w:rPr>
          <w:bCs/>
          <w:iCs/>
        </w:rPr>
        <w:t xml:space="preserve"> for UPA. </w:t>
      </w:r>
    </w:p>
    <w:p w:rsidR="00996055" w:rsidRPr="00C62A13" w:rsidRDefault="009756F6" w:rsidP="008C5FD9">
      <w:pPr>
        <w:pStyle w:val="3-BodyText"/>
      </w:pPr>
      <w:r w:rsidRPr="00C62A13">
        <w:t xml:space="preserve">The ESC noted that the </w:t>
      </w:r>
      <w:r w:rsidR="004B307D" w:rsidRPr="00C62A13">
        <w:t xml:space="preserve">using the </w:t>
      </w:r>
      <w:r w:rsidR="00973E50" w:rsidRPr="00C62A13">
        <w:t>CsA</w:t>
      </w:r>
      <w:r w:rsidR="004B307D" w:rsidRPr="00C62A13">
        <w:t xml:space="preserve"> naïve population</w:t>
      </w:r>
      <w:r w:rsidRPr="00C62A13">
        <w:t xml:space="preserve">, and adjusting </w:t>
      </w:r>
      <w:r w:rsidR="00D32EE5" w:rsidRPr="00C62A13">
        <w:t xml:space="preserve">the UPA week 16 response rate to 66.2% based on the RR from the indirect comparison of UPA vs DUPI </w:t>
      </w:r>
      <w:r w:rsidR="00C45D84" w:rsidRPr="00C62A13">
        <w:t>(</w:t>
      </w:r>
      <w:r w:rsidR="00973E50" w:rsidRPr="00C62A13">
        <w:t>CsA</w:t>
      </w:r>
      <w:r w:rsidR="00C45D84" w:rsidRPr="00C62A13">
        <w:t xml:space="preserve">-naïve populations) the ICER increased to </w:t>
      </w:r>
      <w:r w:rsidR="008C5FD9">
        <w:rPr>
          <w:iCs/>
        </w:rPr>
        <w:t>$115,000 to &lt; </w:t>
      </w:r>
      <w:r w:rsidR="008C5FD9" w:rsidRPr="008C5FD9">
        <w:rPr>
          <w:iCs/>
        </w:rPr>
        <w:t>$135,000</w:t>
      </w:r>
      <w:r w:rsidR="00D32EE5" w:rsidRPr="00C62A13">
        <w:t>/QALY</w:t>
      </w:r>
      <w:r w:rsidR="00C45D84" w:rsidRPr="00C62A13">
        <w:t>.</w:t>
      </w:r>
      <w:bookmarkEnd w:id="30"/>
      <w:r w:rsidR="004B307D" w:rsidRPr="00C62A13">
        <w:t xml:space="preserve"> </w:t>
      </w:r>
      <w:r w:rsidR="00EB715C" w:rsidRPr="00C62A13">
        <w:t xml:space="preserve">The PBAC noted </w:t>
      </w:r>
      <w:r w:rsidR="00EB715C" w:rsidRPr="00C62A13">
        <w:rPr>
          <w:bCs/>
        </w:rPr>
        <w:t xml:space="preserve">the </w:t>
      </w:r>
      <w:r w:rsidR="004B307D" w:rsidRPr="00C62A13">
        <w:rPr>
          <w:bCs/>
        </w:rPr>
        <w:t xml:space="preserve">direct evidence suggests </w:t>
      </w:r>
      <w:r w:rsidR="00EB715C" w:rsidRPr="00C62A13">
        <w:rPr>
          <w:bCs/>
        </w:rPr>
        <w:t xml:space="preserve">for EASI 50 response </w:t>
      </w:r>
      <w:r w:rsidR="004B307D" w:rsidRPr="00C62A13">
        <w:rPr>
          <w:bCs/>
        </w:rPr>
        <w:t>there is an absolute benefit of 7.4% additional responders at Week 16 with UPA versus DUPI, which is similar to the 6.6% additional responders using the indirect RR compared with the 17.0% using the indirect RD.</w:t>
      </w:r>
    </w:p>
    <w:p w:rsidR="00C00C79" w:rsidRPr="00C62A13" w:rsidRDefault="008118B9" w:rsidP="00E22309">
      <w:pPr>
        <w:pStyle w:val="3-BodyText"/>
        <w:rPr>
          <w:iCs/>
        </w:rPr>
      </w:pPr>
      <w:bookmarkStart w:id="31" w:name="_Ref78549759"/>
      <w:r w:rsidRPr="00C62A13">
        <w:rPr>
          <w:iCs/>
        </w:rPr>
        <w:t>In contrast to the DUPI model,</w:t>
      </w:r>
      <w:r w:rsidR="00C00C79" w:rsidRPr="00C62A13">
        <w:rPr>
          <w:iCs/>
        </w:rPr>
        <w:t xml:space="preserve"> which assumed a different </w:t>
      </w:r>
      <w:r w:rsidRPr="00C62A13">
        <w:rPr>
          <w:iCs/>
        </w:rPr>
        <w:t>utility for</w:t>
      </w:r>
      <w:r w:rsidR="00C00C79" w:rsidRPr="00C62A13">
        <w:rPr>
          <w:iCs/>
        </w:rPr>
        <w:t xml:space="preserve"> ‘short-term’ response (before Week 42: 0.91) and</w:t>
      </w:r>
      <w:r w:rsidRPr="00C62A13">
        <w:rPr>
          <w:iCs/>
        </w:rPr>
        <w:t xml:space="preserve"> ‘long-term’ </w:t>
      </w:r>
      <w:r w:rsidR="00C00C79" w:rsidRPr="00C62A13">
        <w:rPr>
          <w:iCs/>
        </w:rPr>
        <w:t xml:space="preserve">response (after Week 42: 0.79), the model presented in the submission assumed a constant utility value of 0.91 for responders. </w:t>
      </w:r>
      <w:r w:rsidR="001D25BE" w:rsidRPr="00C62A13">
        <w:rPr>
          <w:iCs/>
        </w:rPr>
        <w:t xml:space="preserve">The ESC noted that the utility applied in the DUPI model for responders after week 42 was based on the week 44 EQ-5D Australian utility score for responders from the CHRONOS trial. </w:t>
      </w:r>
      <w:r w:rsidR="00C45D84" w:rsidRPr="00C62A13">
        <w:rPr>
          <w:iCs/>
        </w:rPr>
        <w:t xml:space="preserve">The PSCR provided utility data from MEASURE UP 1, MEASURE UP 2 and AD UP at Week 52, indicating average utility weight of 0.92 at Week 52 in patients meeting the PBS response criteria in support of the assumption that there is no reduction in the utility of response over time. </w:t>
      </w:r>
      <w:r w:rsidR="00C00C79" w:rsidRPr="00C62A13">
        <w:rPr>
          <w:iCs/>
        </w:rPr>
        <w:t xml:space="preserve">The model </w:t>
      </w:r>
      <w:r w:rsidR="00B33D18" w:rsidRPr="00C62A13">
        <w:rPr>
          <w:iCs/>
        </w:rPr>
        <w:t>wa</w:t>
      </w:r>
      <w:r w:rsidR="00C00C79" w:rsidRPr="00C62A13">
        <w:rPr>
          <w:iCs/>
        </w:rPr>
        <w:t>s sensitive to this assumption.</w:t>
      </w:r>
      <w:r w:rsidR="00C45D84" w:rsidRPr="00C62A13">
        <w:rPr>
          <w:iCs/>
        </w:rPr>
        <w:t xml:space="preserve"> The ESC considered that maintenance of this utility value for responders may be plausible but noted that the utility value was close to that of the population norm of EQ 5D 5L (0.92, in a population aged 35-44 years).</w:t>
      </w:r>
      <w:r w:rsidR="00C45D84" w:rsidRPr="00C62A13">
        <w:rPr>
          <w:rStyle w:val="FootnoteReference"/>
          <w:iCs/>
        </w:rPr>
        <w:footnoteReference w:id="3"/>
      </w:r>
      <w:bookmarkEnd w:id="31"/>
    </w:p>
    <w:p w:rsidR="005058F8" w:rsidRPr="00C62A13" w:rsidRDefault="005058F8" w:rsidP="00E76632">
      <w:pPr>
        <w:pStyle w:val="3-BodyText"/>
        <w:rPr>
          <w:iCs/>
        </w:rPr>
      </w:pPr>
      <w:bookmarkStart w:id="32" w:name="_Ref75163804"/>
      <w:bookmarkStart w:id="33" w:name="_Ref78550361"/>
      <w:r w:rsidRPr="00C62A13">
        <w:rPr>
          <w:iCs/>
        </w:rPr>
        <w:t xml:space="preserve">Figure 3 presents a Markov trace generated during the evaluation. The figure illustrates that the </w:t>
      </w:r>
      <w:r w:rsidR="005C5C49" w:rsidRPr="00C62A13">
        <w:rPr>
          <w:iCs/>
        </w:rPr>
        <w:t xml:space="preserve">relative </w:t>
      </w:r>
      <w:r w:rsidRPr="00C62A13">
        <w:rPr>
          <w:iCs/>
        </w:rPr>
        <w:t>difference between UPA 30</w:t>
      </w:r>
      <w:r w:rsidR="00E42A70" w:rsidRPr="00C62A13">
        <w:rPr>
          <w:iCs/>
        </w:rPr>
        <w:t xml:space="preserve"> </w:t>
      </w:r>
      <w:r w:rsidRPr="00C62A13">
        <w:rPr>
          <w:iCs/>
        </w:rPr>
        <w:t xml:space="preserve">mg and DUPI </w:t>
      </w:r>
      <w:r w:rsidR="00C00C79" w:rsidRPr="00C62A13">
        <w:rPr>
          <w:iCs/>
        </w:rPr>
        <w:t>300</w:t>
      </w:r>
      <w:r w:rsidR="00E42A70" w:rsidRPr="00C62A13">
        <w:rPr>
          <w:iCs/>
        </w:rPr>
        <w:t xml:space="preserve"> </w:t>
      </w:r>
      <w:r w:rsidR="00C00C79" w:rsidRPr="00C62A13">
        <w:rPr>
          <w:iCs/>
        </w:rPr>
        <w:t xml:space="preserve">mg </w:t>
      </w:r>
      <w:r w:rsidRPr="00C62A13">
        <w:rPr>
          <w:iCs/>
        </w:rPr>
        <w:t>in terms of responders, which is established at Week 16 (</w:t>
      </w:r>
      <w:r w:rsidR="00C00C79" w:rsidRPr="00C62A13">
        <w:rPr>
          <w:iCs/>
        </w:rPr>
        <w:t xml:space="preserve">or </w:t>
      </w:r>
      <w:r w:rsidRPr="00C62A13">
        <w:rPr>
          <w:iCs/>
        </w:rPr>
        <w:t xml:space="preserve">0.31 years), is maintained over the course of the model. </w:t>
      </w:r>
      <w:r w:rsidR="00C00C79" w:rsidRPr="00C62A13">
        <w:rPr>
          <w:iCs/>
        </w:rPr>
        <w:t>By 5.3 years, a</w:t>
      </w:r>
      <w:r w:rsidRPr="00C62A13">
        <w:rPr>
          <w:iCs/>
        </w:rPr>
        <w:t>pproximately 56.7% of patients on UPA 30</w:t>
      </w:r>
      <w:r w:rsidR="00E42A70" w:rsidRPr="00C62A13">
        <w:rPr>
          <w:iCs/>
        </w:rPr>
        <w:t xml:space="preserve"> </w:t>
      </w:r>
      <w:r w:rsidRPr="00C62A13">
        <w:rPr>
          <w:iCs/>
        </w:rPr>
        <w:t xml:space="preserve">mg and 41.8% of patients on DUPI </w:t>
      </w:r>
      <w:r w:rsidR="00C00C79" w:rsidRPr="00C62A13">
        <w:rPr>
          <w:iCs/>
        </w:rPr>
        <w:t>300</w:t>
      </w:r>
      <w:r w:rsidR="00E42A70" w:rsidRPr="00C62A13">
        <w:rPr>
          <w:iCs/>
        </w:rPr>
        <w:t xml:space="preserve"> </w:t>
      </w:r>
      <w:r w:rsidR="00C00C79" w:rsidRPr="00C62A13">
        <w:rPr>
          <w:iCs/>
        </w:rPr>
        <w:t>mg are still on treatment.</w:t>
      </w:r>
      <w:r w:rsidR="00942BF9" w:rsidRPr="00C62A13">
        <w:rPr>
          <w:iCs/>
        </w:rPr>
        <w:t xml:space="preserve"> </w:t>
      </w:r>
      <w:r w:rsidR="005C5C49" w:rsidRPr="00C62A13">
        <w:rPr>
          <w:iCs/>
        </w:rPr>
        <w:t>The submission did not present any clinical evidence to support this assumption.</w:t>
      </w:r>
      <w:r w:rsidR="009F36FF" w:rsidRPr="00C62A13">
        <w:rPr>
          <w:iCs/>
        </w:rPr>
        <w:t xml:space="preserve"> The ESC considered that maintenance of response in the model did not reflect HEADS UP data where difference in response was not significant at 24 weeks. Further, trial M16-047 (AD UP) showed faster decline in response for patients treated with UPA compared with the response estimated in the model. </w:t>
      </w:r>
      <w:r w:rsidR="009F36FF" w:rsidRPr="00C62A13">
        <w:t>The ESC considered that as the head to head trial of UPA vs DUPI suggested that there was no difference in efficacy at 24 weeks, the model base case should be more conservative in terms of maintenance of response</w:t>
      </w:r>
      <w:r w:rsidR="00296DB3" w:rsidRPr="00C62A13">
        <w:t>. The ESC considered that</w:t>
      </w:r>
      <w:r w:rsidR="00155909" w:rsidRPr="00C62A13">
        <w:t xml:space="preserve"> convergence of responder curves at around 2.5 years (i.e. much sooner than 5.3 years as in the sensitivity analysis in Table 15) may be more clinically plausible</w:t>
      </w:r>
      <w:r w:rsidR="009F36FF" w:rsidRPr="00C62A13">
        <w:t>.</w:t>
      </w:r>
      <w:bookmarkEnd w:id="32"/>
      <w:r w:rsidR="00EB715C" w:rsidRPr="00C62A13">
        <w:t xml:space="preserve"> The pre-PBAC response argued that there is evidence that the quality of life of UPA responders is maintained over time (see paragraph</w:t>
      </w:r>
      <w:r w:rsidR="00166AA3" w:rsidRPr="00C62A13">
        <w:t xml:space="preserve"> </w:t>
      </w:r>
      <w:r w:rsidR="006A119B">
        <w:t>6.62</w:t>
      </w:r>
      <w:r w:rsidR="00EB715C" w:rsidRPr="00C62A13">
        <w:t xml:space="preserve">) and </w:t>
      </w:r>
      <w:r w:rsidR="003543B3" w:rsidRPr="00C62A13">
        <w:t xml:space="preserve">that </w:t>
      </w:r>
      <w:r w:rsidR="00EB715C" w:rsidRPr="00C62A13">
        <w:t>there is evidence that the quality of life of DUPI responders is not maintained over time</w:t>
      </w:r>
      <w:r w:rsidR="003543B3" w:rsidRPr="00C62A13">
        <w:t xml:space="preserve"> based on the utility</w:t>
      </w:r>
      <w:r w:rsidR="00EB715C" w:rsidRPr="00C62A13">
        <w:t xml:space="preserve"> </w:t>
      </w:r>
      <w:r w:rsidR="003543B3" w:rsidRPr="00C62A13">
        <w:t>(</w:t>
      </w:r>
      <w:r w:rsidR="00EB715C" w:rsidRPr="00C62A13">
        <w:t>0.79</w:t>
      </w:r>
      <w:r w:rsidR="003543B3" w:rsidRPr="00C62A13">
        <w:t>) applied</w:t>
      </w:r>
      <w:r w:rsidR="00EB715C" w:rsidRPr="00C62A13">
        <w:t xml:space="preserve"> in the dupilumab model</w:t>
      </w:r>
      <w:r w:rsidR="003543B3" w:rsidRPr="00C62A13">
        <w:t xml:space="preserve"> post week 42</w:t>
      </w:r>
      <w:r w:rsidR="00EB715C" w:rsidRPr="00C62A13">
        <w:t xml:space="preserve"> </w:t>
      </w:r>
      <w:r w:rsidR="003543B3" w:rsidRPr="00C62A13">
        <w:t>(</w:t>
      </w:r>
      <w:r w:rsidR="00EB715C" w:rsidRPr="00C62A13">
        <w:t xml:space="preserve">Table 13 March 2020 dupilumab PSD). </w:t>
      </w:r>
      <w:r w:rsidR="003543B3" w:rsidRPr="00C62A13">
        <w:t>The pre-PBAC response also stated that the maintenance of difference in response was also supported by the statistically significant difference in EASI-100 in favour of UPA 30 mg in the HEADS UP trial, which was maintained to Week 24.</w:t>
      </w:r>
      <w:bookmarkEnd w:id="33"/>
    </w:p>
    <w:p w:rsidR="005058F8" w:rsidRPr="003B3DB0" w:rsidRDefault="005058F8" w:rsidP="005058F8">
      <w:pPr>
        <w:pStyle w:val="TableHeading0"/>
      </w:pPr>
      <w:r w:rsidRPr="003B3DB0">
        <w:t>Figure 3. Markov trace of modelled health states</w:t>
      </w:r>
    </w:p>
    <w:p w:rsidR="005058F8" w:rsidRPr="00C62A13" w:rsidRDefault="005058F8" w:rsidP="005058F8">
      <w:pPr>
        <w:rPr>
          <w:i/>
          <w:iCs/>
        </w:rPr>
      </w:pPr>
      <w:r w:rsidRPr="00C62A13">
        <w:rPr>
          <w:i/>
          <w:iCs/>
          <w:noProof/>
        </w:rPr>
        <w:drawing>
          <wp:inline distT="0" distB="0" distL="0" distR="0" wp14:anchorId="569AFBAF" wp14:editId="12B641F7">
            <wp:extent cx="5732145" cy="3552825"/>
            <wp:effectExtent l="0" t="0" r="1905" b="9525"/>
            <wp:docPr id="14" name="Chart 14" title="Figure 3. Markov trace of modelled health state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5058F8" w:rsidRPr="003B3DB0" w:rsidRDefault="005058F8" w:rsidP="005058F8">
      <w:pPr>
        <w:pStyle w:val="TableFooter"/>
      </w:pPr>
      <w:r w:rsidRPr="003B3DB0">
        <w:t>Source: constructed during the evaluation</w:t>
      </w:r>
    </w:p>
    <w:p w:rsidR="005058F8" w:rsidRPr="003B3DB0" w:rsidRDefault="00A20BA3" w:rsidP="00C00C79">
      <w:pPr>
        <w:pStyle w:val="TableFooter"/>
        <w:spacing w:after="120"/>
      </w:pPr>
      <w:r w:rsidRPr="003B3DB0">
        <w:t>Abbreviations: DUPI = dupilu</w:t>
      </w:r>
      <w:r w:rsidR="005058F8" w:rsidRPr="003B3DB0">
        <w:t>mab; UPA = upadac</w:t>
      </w:r>
      <w:r w:rsidRPr="003B3DB0">
        <w:t>i</w:t>
      </w:r>
      <w:r w:rsidR="005058F8" w:rsidRPr="003B3DB0">
        <w:t>tinib; BSC=best supportive care.</w:t>
      </w:r>
    </w:p>
    <w:p w:rsidR="005058F8" w:rsidRPr="00C62A13" w:rsidRDefault="005058F8" w:rsidP="005058F8">
      <w:pPr>
        <w:pStyle w:val="ExecSumBodyText"/>
        <w:numPr>
          <w:ilvl w:val="1"/>
          <w:numId w:val="1"/>
        </w:numPr>
      </w:pPr>
      <w:r w:rsidRPr="00C62A13">
        <w:t>Key drivers of the economic model are summarised in Table 13.</w:t>
      </w:r>
    </w:p>
    <w:p w:rsidR="00EA4E45" w:rsidRPr="00C62A13" w:rsidRDefault="00EA4E45">
      <w:pPr>
        <w:jc w:val="left"/>
        <w:rPr>
          <w:rStyle w:val="CommentReference"/>
          <w:snapToGrid w:val="0"/>
          <w:szCs w:val="24"/>
        </w:rPr>
      </w:pPr>
      <w:r w:rsidRPr="00C62A13">
        <w:rPr>
          <w:rStyle w:val="CommentReference"/>
          <w:szCs w:val="24"/>
        </w:rPr>
        <w:br w:type="page"/>
      </w:r>
    </w:p>
    <w:p w:rsidR="005058F8" w:rsidRPr="00C62A13" w:rsidRDefault="005058F8" w:rsidP="00C00C79">
      <w:pPr>
        <w:pStyle w:val="3-BodyText"/>
        <w:numPr>
          <w:ilvl w:val="0"/>
          <w:numId w:val="0"/>
        </w:numPr>
        <w:spacing w:after="0"/>
        <w:rPr>
          <w:rStyle w:val="CommentReference"/>
          <w:szCs w:val="24"/>
        </w:rPr>
      </w:pPr>
      <w:r w:rsidRPr="00C62A13">
        <w:rPr>
          <w:rStyle w:val="CommentReference"/>
          <w:szCs w:val="24"/>
        </w:rPr>
        <w:t>Table 13: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5058F8" w:rsidRPr="00C62A13" w:rsidTr="00EF1109">
        <w:trPr>
          <w:tblHeader/>
        </w:trPr>
        <w:tc>
          <w:tcPr>
            <w:tcW w:w="626" w:type="pct"/>
            <w:shd w:val="clear" w:color="auto" w:fill="auto"/>
            <w:vAlign w:val="center"/>
          </w:tcPr>
          <w:p w:rsidR="005058F8" w:rsidRPr="00C62A13" w:rsidRDefault="005058F8" w:rsidP="00AF34B8">
            <w:pPr>
              <w:pStyle w:val="In-tableHeading"/>
              <w:keepNext w:val="0"/>
              <w:jc w:val="center"/>
              <w:rPr>
                <w:lang w:val="en-AU"/>
              </w:rPr>
            </w:pPr>
            <w:r w:rsidRPr="00C62A13">
              <w:rPr>
                <w:lang w:val="en-AU"/>
              </w:rPr>
              <w:t>Description</w:t>
            </w:r>
          </w:p>
        </w:tc>
        <w:tc>
          <w:tcPr>
            <w:tcW w:w="2830" w:type="pct"/>
            <w:shd w:val="clear" w:color="auto" w:fill="auto"/>
            <w:vAlign w:val="center"/>
          </w:tcPr>
          <w:p w:rsidR="005058F8" w:rsidRPr="00C62A13" w:rsidRDefault="005058F8" w:rsidP="00AF34B8">
            <w:pPr>
              <w:pStyle w:val="In-tableHeading"/>
              <w:keepNext w:val="0"/>
              <w:jc w:val="center"/>
              <w:rPr>
                <w:lang w:val="en-AU"/>
              </w:rPr>
            </w:pPr>
            <w:r w:rsidRPr="00C62A13">
              <w:rPr>
                <w:lang w:val="en-AU"/>
              </w:rPr>
              <w:t>Method/Value</w:t>
            </w:r>
          </w:p>
        </w:tc>
        <w:tc>
          <w:tcPr>
            <w:tcW w:w="1544" w:type="pct"/>
            <w:shd w:val="clear" w:color="auto" w:fill="auto"/>
            <w:vAlign w:val="center"/>
          </w:tcPr>
          <w:p w:rsidR="005058F8" w:rsidRPr="00C62A13" w:rsidRDefault="005058F8" w:rsidP="00AF34B8">
            <w:pPr>
              <w:pStyle w:val="In-tableHeading"/>
              <w:keepNext w:val="0"/>
              <w:jc w:val="center"/>
              <w:rPr>
                <w:lang w:val="en-AU"/>
              </w:rPr>
            </w:pPr>
            <w:r w:rsidRPr="00C62A13">
              <w:rPr>
                <w:lang w:val="en-AU"/>
              </w:rPr>
              <w:t>Impact</w:t>
            </w:r>
          </w:p>
          <w:p w:rsidR="005058F8" w:rsidRPr="00C62A13" w:rsidRDefault="005058F8" w:rsidP="00AF34B8">
            <w:pPr>
              <w:pStyle w:val="In-tableHeading"/>
              <w:keepNext w:val="0"/>
              <w:jc w:val="center"/>
              <w:rPr>
                <w:lang w:val="en-AU"/>
              </w:rPr>
            </w:pPr>
            <w:r w:rsidRPr="00C62A13">
              <w:rPr>
                <w:rFonts w:cs="Arial"/>
                <w:szCs w:val="20"/>
                <w:lang w:val="en-AU"/>
              </w:rPr>
              <w:t>Base case: $</w:t>
            </w:r>
            <w:r w:rsidR="00B95E7E">
              <w:rPr>
                <w:rFonts w:cs="Arial"/>
                <w:noProof/>
                <w:color w:val="000000"/>
                <w:szCs w:val="20"/>
                <w:highlight w:val="black"/>
                <w:lang w:val="en-AU"/>
              </w:rPr>
              <w:t>''''''''''''''</w:t>
            </w:r>
            <w:r w:rsidR="008C5FD9" w:rsidRPr="008C5FD9">
              <w:rPr>
                <w:rFonts w:cs="Arial"/>
                <w:szCs w:val="20"/>
                <w:vertAlign w:val="superscript"/>
                <w:lang w:val="en-AU"/>
              </w:rPr>
              <w:t>1</w:t>
            </w:r>
            <w:r w:rsidRPr="00C62A13">
              <w:rPr>
                <w:rFonts w:cs="Arial"/>
                <w:szCs w:val="20"/>
                <w:lang w:val="en-AU"/>
              </w:rPr>
              <w:t>/QALY gained</w:t>
            </w:r>
            <w:r w:rsidRPr="00C62A13">
              <w:rPr>
                <w:rFonts w:cs="Arial"/>
                <w:color w:val="3366FF"/>
                <w:szCs w:val="20"/>
                <w:lang w:val="en-AU"/>
              </w:rPr>
              <w:t>.</w:t>
            </w:r>
          </w:p>
        </w:tc>
      </w:tr>
      <w:tr w:rsidR="005058F8" w:rsidRPr="00C62A13" w:rsidTr="00476809">
        <w:tc>
          <w:tcPr>
            <w:tcW w:w="626" w:type="pct"/>
            <w:shd w:val="clear" w:color="auto" w:fill="auto"/>
            <w:vAlign w:val="center"/>
          </w:tcPr>
          <w:p w:rsidR="005058F8" w:rsidRPr="00C62A13" w:rsidRDefault="005058F8" w:rsidP="00AF34B8">
            <w:pPr>
              <w:pStyle w:val="TableText0"/>
              <w:keepNext w:val="0"/>
            </w:pPr>
            <w:r w:rsidRPr="00C62A13">
              <w:t>Week 16 response rates</w:t>
            </w:r>
          </w:p>
        </w:tc>
        <w:tc>
          <w:tcPr>
            <w:tcW w:w="2830" w:type="pct"/>
            <w:shd w:val="clear" w:color="auto" w:fill="auto"/>
            <w:vAlign w:val="center"/>
          </w:tcPr>
          <w:p w:rsidR="005058F8" w:rsidRPr="00C62A13" w:rsidRDefault="005A6F69" w:rsidP="00AF34B8">
            <w:pPr>
              <w:pStyle w:val="TableText0"/>
              <w:keepNext w:val="0"/>
            </w:pPr>
            <w:r w:rsidRPr="00C62A13">
              <w:t xml:space="preserve">The submission assumed naïve </w:t>
            </w:r>
            <w:r w:rsidR="00796933" w:rsidRPr="00C62A13">
              <w:t xml:space="preserve">response </w:t>
            </w:r>
            <w:r w:rsidR="005058F8" w:rsidRPr="00C62A13">
              <w:t>rates observed in the UPA and DUPI treatment arms without adjusting for differences in the PBO response rates across the trials.</w:t>
            </w:r>
          </w:p>
        </w:tc>
        <w:tc>
          <w:tcPr>
            <w:tcW w:w="1544" w:type="pct"/>
            <w:shd w:val="clear" w:color="auto" w:fill="auto"/>
            <w:vAlign w:val="center"/>
          </w:tcPr>
          <w:p w:rsidR="005058F8" w:rsidRPr="00C62A13" w:rsidRDefault="00E76632" w:rsidP="00AF34B8">
            <w:pPr>
              <w:pStyle w:val="TableText0"/>
              <w:keepNext w:val="0"/>
            </w:pPr>
            <w:r w:rsidRPr="00C62A13">
              <w:t>H</w:t>
            </w:r>
            <w:r w:rsidR="005058F8" w:rsidRPr="00C62A13">
              <w:t>igh, favours UPA.</w:t>
            </w:r>
          </w:p>
          <w:p w:rsidR="005058F8" w:rsidRPr="00C62A13" w:rsidRDefault="005A6F69" w:rsidP="00CA6AC5">
            <w:pPr>
              <w:pStyle w:val="TableText0"/>
              <w:keepNext w:val="0"/>
            </w:pPr>
            <w:r w:rsidRPr="00C62A13">
              <w:t>A</w:t>
            </w:r>
            <w:r w:rsidR="00E76632" w:rsidRPr="00C62A13">
              <w:t xml:space="preserve">ssuming the </w:t>
            </w:r>
            <w:r w:rsidR="00C5731A" w:rsidRPr="00C62A13">
              <w:t xml:space="preserve">DUPI and </w:t>
            </w:r>
            <w:r w:rsidR="00E76632" w:rsidRPr="00C62A13">
              <w:t xml:space="preserve">PBO response rate accepted in the DUPI </w:t>
            </w:r>
            <w:r w:rsidR="00C5731A" w:rsidRPr="00C62A13">
              <w:rPr>
                <w:iCs/>
              </w:rPr>
              <w:t>and estimating the UPA 30 mg response using the relative risk</w:t>
            </w:r>
            <w:r w:rsidR="001D25BE" w:rsidRPr="00C62A13">
              <w:rPr>
                <w:iCs/>
              </w:rPr>
              <w:t xml:space="preserve"> or risk difference</w:t>
            </w:r>
            <w:r w:rsidR="00C5731A" w:rsidRPr="00C62A13">
              <w:rPr>
                <w:iCs/>
              </w:rPr>
              <w:t xml:space="preserve"> for UPA versus PBO, increases the ICER by </w:t>
            </w:r>
            <w:r w:rsidR="001D25BE" w:rsidRPr="00C62A13">
              <w:rPr>
                <w:iCs/>
              </w:rPr>
              <w:t xml:space="preserve">up to </w:t>
            </w:r>
            <w:r w:rsidR="00CA6AC5" w:rsidRPr="00C62A13">
              <w:rPr>
                <w:iCs/>
              </w:rPr>
              <w:t>90</w:t>
            </w:r>
            <w:r w:rsidR="00C5731A" w:rsidRPr="00C62A13">
              <w:rPr>
                <w:iCs/>
              </w:rPr>
              <w:t>%</w:t>
            </w:r>
            <w:r w:rsidR="001D25BE" w:rsidRPr="00C62A13">
              <w:rPr>
                <w:i/>
                <w:iCs/>
              </w:rPr>
              <w:t xml:space="preserve"> </w:t>
            </w:r>
            <w:r w:rsidR="001D25BE" w:rsidRPr="00C62A13">
              <w:rPr>
                <w:iCs/>
              </w:rPr>
              <w:t>(depending on the method and population applied)</w:t>
            </w:r>
            <w:r w:rsidR="00C5731A" w:rsidRPr="00C62A13">
              <w:rPr>
                <w:iCs/>
              </w:rPr>
              <w:t>.</w:t>
            </w:r>
          </w:p>
        </w:tc>
      </w:tr>
      <w:tr w:rsidR="00597C3E" w:rsidRPr="00C62A13" w:rsidTr="00476809">
        <w:tc>
          <w:tcPr>
            <w:tcW w:w="626" w:type="pct"/>
            <w:shd w:val="clear" w:color="auto" w:fill="auto"/>
            <w:vAlign w:val="center"/>
          </w:tcPr>
          <w:p w:rsidR="00597C3E" w:rsidRPr="00C62A13" w:rsidRDefault="00597C3E" w:rsidP="005C5C49">
            <w:pPr>
              <w:pStyle w:val="TableText0"/>
              <w:keepNext w:val="0"/>
            </w:pPr>
            <w:r w:rsidRPr="00C62A13">
              <w:t xml:space="preserve">Maintenance of response after </w:t>
            </w:r>
            <w:r w:rsidR="005C5C49" w:rsidRPr="00C62A13">
              <w:t>16</w:t>
            </w:r>
            <w:r w:rsidRPr="00C62A13">
              <w:t xml:space="preserve"> weeks</w:t>
            </w:r>
          </w:p>
        </w:tc>
        <w:tc>
          <w:tcPr>
            <w:tcW w:w="2830" w:type="pct"/>
            <w:shd w:val="clear" w:color="auto" w:fill="auto"/>
            <w:vAlign w:val="center"/>
          </w:tcPr>
          <w:p w:rsidR="00597C3E" w:rsidRPr="00C62A13" w:rsidRDefault="005C5C49" w:rsidP="005C5C49">
            <w:pPr>
              <w:pStyle w:val="TableText0"/>
              <w:keepNext w:val="0"/>
            </w:pPr>
            <w:r w:rsidRPr="00C62A13">
              <w:rPr>
                <w:iCs/>
              </w:rPr>
              <w:t xml:space="preserve">The submission assumed the same relative loss of response each cycle for patients in the UPA 30 mg and DUPI arms after Week 16, based on data reported in the </w:t>
            </w:r>
            <w:r w:rsidR="00597C3E" w:rsidRPr="00C62A13">
              <w:rPr>
                <w:iCs/>
              </w:rPr>
              <w:t>DUPI March 2020 model</w:t>
            </w:r>
            <w:r w:rsidRPr="00C62A13">
              <w:rPr>
                <w:iCs/>
              </w:rPr>
              <w:t xml:space="preserve">. The submission did not present any evidence to support this assumption. </w:t>
            </w:r>
          </w:p>
        </w:tc>
        <w:tc>
          <w:tcPr>
            <w:tcW w:w="1544" w:type="pct"/>
            <w:shd w:val="clear" w:color="auto" w:fill="auto"/>
            <w:vAlign w:val="center"/>
          </w:tcPr>
          <w:p w:rsidR="00597C3E" w:rsidRPr="00C62A13" w:rsidRDefault="000F7AE2" w:rsidP="008642E9">
            <w:pPr>
              <w:pStyle w:val="TableText0"/>
              <w:keepNext w:val="0"/>
            </w:pPr>
            <w:r w:rsidRPr="00C62A13">
              <w:t>Moderate, favours UPA. A</w:t>
            </w:r>
            <w:r w:rsidR="005C5C49" w:rsidRPr="00C62A13">
              <w:t xml:space="preserve"> linear decline in the relative treatment different</w:t>
            </w:r>
            <w:r w:rsidR="00B048CE" w:rsidRPr="00C62A13">
              <w:t xml:space="preserve"> over time</w:t>
            </w:r>
            <w:r w:rsidR="00C5731A" w:rsidRPr="00C62A13">
              <w:t xml:space="preserve"> from Week 42</w:t>
            </w:r>
            <w:r w:rsidR="005C5C49" w:rsidRPr="00C62A13">
              <w:t xml:space="preserve">, such that the responder curves converge by 5.3 years, </w:t>
            </w:r>
            <w:r w:rsidRPr="00C62A13">
              <w:t>increases the ICER by 25%.</w:t>
            </w:r>
            <w:r w:rsidR="00166AA3" w:rsidRPr="00C62A13">
              <w:t xml:space="preserve"> The PBAC noted that ESC considered the curves should converge </w:t>
            </w:r>
            <w:r w:rsidR="008642E9" w:rsidRPr="00C62A13">
              <w:t>much sooner than 5.3 years as in the sensitivity analysis in Table 15), and therefore the impact of maintenance of response may be high.</w:t>
            </w:r>
          </w:p>
        </w:tc>
      </w:tr>
      <w:tr w:rsidR="005A6F69" w:rsidRPr="00C62A13" w:rsidTr="002A7CF6">
        <w:trPr>
          <w:trHeight w:val="70"/>
        </w:trPr>
        <w:tc>
          <w:tcPr>
            <w:tcW w:w="626" w:type="pct"/>
            <w:shd w:val="clear" w:color="auto" w:fill="auto"/>
            <w:vAlign w:val="center"/>
          </w:tcPr>
          <w:p w:rsidR="005A6F69" w:rsidRPr="00C62A13" w:rsidRDefault="002A7CF6" w:rsidP="002A7CF6">
            <w:pPr>
              <w:pStyle w:val="TableText0"/>
              <w:keepNext w:val="0"/>
            </w:pPr>
            <w:r w:rsidRPr="00C62A13">
              <w:t>Responder u</w:t>
            </w:r>
            <w:r w:rsidR="005A6F69" w:rsidRPr="00C62A13">
              <w:t>tilities</w:t>
            </w:r>
          </w:p>
        </w:tc>
        <w:tc>
          <w:tcPr>
            <w:tcW w:w="2830" w:type="pct"/>
            <w:shd w:val="clear" w:color="auto" w:fill="auto"/>
            <w:vAlign w:val="center"/>
          </w:tcPr>
          <w:p w:rsidR="005A6F69" w:rsidRPr="00C62A13" w:rsidRDefault="005A6F69" w:rsidP="002A7CF6">
            <w:pPr>
              <w:pStyle w:val="TableText0"/>
              <w:keepNext w:val="0"/>
            </w:pPr>
            <w:r w:rsidRPr="00C62A13">
              <w:rPr>
                <w:iCs/>
              </w:rPr>
              <w:t>In contrast to the DUPI model, the model presented in the submission assumed a higher utility value for responders after Week 42 (0.91 vs 0.79).</w:t>
            </w:r>
          </w:p>
        </w:tc>
        <w:tc>
          <w:tcPr>
            <w:tcW w:w="1544" w:type="pct"/>
            <w:shd w:val="clear" w:color="auto" w:fill="auto"/>
            <w:vAlign w:val="center"/>
          </w:tcPr>
          <w:p w:rsidR="005A6F69" w:rsidRPr="00C62A13" w:rsidRDefault="005A6F69" w:rsidP="00AF34B8">
            <w:pPr>
              <w:pStyle w:val="TableText0"/>
              <w:keepNext w:val="0"/>
            </w:pPr>
            <w:r w:rsidRPr="00C62A13">
              <w:t xml:space="preserve">Moderate, favours UPA. </w:t>
            </w:r>
          </w:p>
          <w:p w:rsidR="005A6F69" w:rsidRPr="00C62A13" w:rsidRDefault="005A6F69" w:rsidP="002A7CF6">
            <w:pPr>
              <w:pStyle w:val="TableText0"/>
              <w:keepNext w:val="0"/>
            </w:pPr>
            <w:r w:rsidRPr="00C62A13">
              <w:t xml:space="preserve">Assuming utility weight of 0.79 for long-term responders increases the ICER by </w:t>
            </w:r>
            <w:r w:rsidR="00735961" w:rsidRPr="00C62A13">
              <w:t>50</w:t>
            </w:r>
            <w:r w:rsidRPr="00C62A13">
              <w:t>%.</w:t>
            </w:r>
          </w:p>
        </w:tc>
      </w:tr>
    </w:tbl>
    <w:p w:rsidR="005058F8" w:rsidRPr="003B3DB0" w:rsidRDefault="005058F8" w:rsidP="005058F8">
      <w:pPr>
        <w:pStyle w:val="TableFigureFooter"/>
      </w:pPr>
      <w:r w:rsidRPr="003B3DB0">
        <w:t>Source: constructed during the evaluation.</w:t>
      </w:r>
    </w:p>
    <w:p w:rsidR="005058F8" w:rsidRDefault="00597C3E" w:rsidP="008C5FD9">
      <w:pPr>
        <w:pStyle w:val="TableFigureFooter"/>
        <w:spacing w:after="0"/>
        <w:contextualSpacing w:val="0"/>
        <w:rPr>
          <w:rFonts w:cs="Calibri"/>
          <w:szCs w:val="18"/>
        </w:rPr>
      </w:pPr>
      <w:r w:rsidRPr="00C62A13">
        <w:rPr>
          <w:rFonts w:cs="Calibri"/>
          <w:szCs w:val="18"/>
        </w:rPr>
        <w:t xml:space="preserve">BSC = best supportive care; </w:t>
      </w:r>
      <w:r w:rsidR="005058F8" w:rsidRPr="00C62A13">
        <w:rPr>
          <w:rFonts w:cs="Calibri"/>
          <w:szCs w:val="18"/>
        </w:rPr>
        <w:t>DUPI = dupilumab; PBO = placebo; UPA = upadacitinib</w:t>
      </w:r>
    </w:p>
    <w:p w:rsidR="008C5FD9" w:rsidRPr="009A6D58" w:rsidRDefault="008C5FD9" w:rsidP="008C5FD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rsidR="008C5FD9" w:rsidRPr="008C5FD9" w:rsidRDefault="008C5FD9" w:rsidP="008C5FD9">
      <w:pPr>
        <w:spacing w:after="24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C5FD9">
        <w:rPr>
          <w:rFonts w:ascii="Arial Narrow" w:hAnsi="Arial Narrow"/>
          <w:i/>
          <w:sz w:val="18"/>
          <w:szCs w:val="18"/>
        </w:rPr>
        <w:t>$55,000 to &lt; $75,000</w:t>
      </w:r>
    </w:p>
    <w:p w:rsidR="005058F8" w:rsidRPr="00C62A13" w:rsidRDefault="00CF61C2" w:rsidP="00CF61C2">
      <w:pPr>
        <w:widowControl w:val="0"/>
        <w:numPr>
          <w:ilvl w:val="1"/>
          <w:numId w:val="1"/>
        </w:numPr>
        <w:spacing w:after="160"/>
        <w:rPr>
          <w:snapToGrid w:val="0"/>
          <w:szCs w:val="22"/>
          <w:lang w:eastAsia="en-US"/>
        </w:rPr>
      </w:pPr>
      <w:r w:rsidRPr="00C62A13">
        <w:rPr>
          <w:snapToGrid w:val="0"/>
          <w:szCs w:val="22"/>
          <w:lang w:eastAsia="en-US"/>
        </w:rPr>
        <w:t>Table 14 present</w:t>
      </w:r>
      <w:r w:rsidR="004D705B" w:rsidRPr="00C62A13">
        <w:rPr>
          <w:snapToGrid w:val="0"/>
          <w:szCs w:val="22"/>
          <w:lang w:eastAsia="en-US"/>
        </w:rPr>
        <w:t>s</w:t>
      </w:r>
      <w:r w:rsidRPr="00C62A13">
        <w:rPr>
          <w:snapToGrid w:val="0"/>
          <w:szCs w:val="22"/>
          <w:lang w:eastAsia="en-US"/>
        </w:rPr>
        <w:t xml:space="preserve"> t</w:t>
      </w:r>
      <w:r w:rsidR="005058F8" w:rsidRPr="00C62A13">
        <w:rPr>
          <w:snapToGrid w:val="0"/>
          <w:szCs w:val="22"/>
          <w:lang w:eastAsia="en-US"/>
        </w:rPr>
        <w:t>he results of the stepped economic analysis.</w:t>
      </w:r>
      <w:r w:rsidR="001F4F56" w:rsidRPr="00C62A13">
        <w:rPr>
          <w:snapToGrid w:val="0"/>
          <w:szCs w:val="22"/>
          <w:lang w:eastAsia="en-US"/>
        </w:rPr>
        <w:t xml:space="preserve"> </w:t>
      </w:r>
    </w:p>
    <w:p w:rsidR="00EA4E45" w:rsidRPr="00C62A13" w:rsidRDefault="00EA4E45">
      <w:pPr>
        <w:jc w:val="left"/>
        <w:rPr>
          <w:rStyle w:val="CommentReference"/>
          <w:rFonts w:eastAsiaTheme="majorEastAsia" w:cstheme="majorBidi"/>
          <w:bCs/>
          <w:szCs w:val="24"/>
        </w:rPr>
      </w:pPr>
      <w:r w:rsidRPr="00C62A13">
        <w:rPr>
          <w:rStyle w:val="CommentReference"/>
          <w:b w:val="0"/>
          <w:szCs w:val="24"/>
        </w:rPr>
        <w:br w:type="page"/>
      </w:r>
    </w:p>
    <w:p w:rsidR="005058F8" w:rsidRPr="00C62A13" w:rsidRDefault="005058F8" w:rsidP="005058F8">
      <w:pPr>
        <w:pStyle w:val="TableFigureHeading"/>
        <w:rPr>
          <w:rStyle w:val="CommentReference"/>
          <w:b/>
          <w:szCs w:val="24"/>
        </w:rPr>
      </w:pPr>
      <w:r w:rsidRPr="00C62A13">
        <w:rPr>
          <w:rStyle w:val="CommentReference"/>
          <w:b/>
          <w:szCs w:val="24"/>
        </w:rPr>
        <w:t>Table 14: Results of the stepped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5058F8" w:rsidRPr="00C62A13" w:rsidTr="00EF1109">
        <w:trPr>
          <w:tblHeader/>
        </w:trPr>
        <w:tc>
          <w:tcPr>
            <w:tcW w:w="1529" w:type="pct"/>
            <w:vAlign w:val="center"/>
          </w:tcPr>
          <w:p w:rsidR="005058F8" w:rsidRPr="00C62A13" w:rsidRDefault="005058F8" w:rsidP="00476809">
            <w:pPr>
              <w:pStyle w:val="In-tableHeading"/>
              <w:keepNext w:val="0"/>
              <w:rPr>
                <w:lang w:val="en-AU"/>
              </w:rPr>
            </w:pPr>
            <w:r w:rsidRPr="00C62A13">
              <w:rPr>
                <w:lang w:val="en-AU"/>
              </w:rPr>
              <w:t>Step and component</w:t>
            </w:r>
          </w:p>
        </w:tc>
        <w:tc>
          <w:tcPr>
            <w:tcW w:w="1359" w:type="pct"/>
            <w:vAlign w:val="center"/>
          </w:tcPr>
          <w:p w:rsidR="005058F8" w:rsidRPr="00C62A13" w:rsidRDefault="005058F8" w:rsidP="00476809">
            <w:pPr>
              <w:pStyle w:val="In-tableHeading"/>
              <w:keepNext w:val="0"/>
              <w:jc w:val="center"/>
              <w:rPr>
                <w:lang w:val="en-AU"/>
              </w:rPr>
            </w:pPr>
            <w:r w:rsidRPr="00C62A13">
              <w:rPr>
                <w:lang w:val="en-AU"/>
              </w:rPr>
              <w:t>UPA 30</w:t>
            </w:r>
            <w:r w:rsidR="00796933" w:rsidRPr="00C62A13">
              <w:rPr>
                <w:lang w:val="en-AU"/>
              </w:rPr>
              <w:t xml:space="preserve"> </w:t>
            </w:r>
            <w:r w:rsidRPr="00C62A13">
              <w:rPr>
                <w:lang w:val="en-AU"/>
              </w:rPr>
              <w:t>mg daily</w:t>
            </w:r>
          </w:p>
        </w:tc>
        <w:tc>
          <w:tcPr>
            <w:tcW w:w="1274" w:type="pct"/>
            <w:vAlign w:val="center"/>
          </w:tcPr>
          <w:p w:rsidR="005058F8" w:rsidRPr="00C62A13" w:rsidRDefault="005058F8" w:rsidP="00476809">
            <w:pPr>
              <w:pStyle w:val="In-tableHeading"/>
              <w:keepNext w:val="0"/>
              <w:jc w:val="center"/>
              <w:rPr>
                <w:lang w:val="en-AU"/>
              </w:rPr>
            </w:pPr>
            <w:r w:rsidRPr="00C62A13">
              <w:rPr>
                <w:lang w:val="en-AU"/>
              </w:rPr>
              <w:t>DUPI 300</w:t>
            </w:r>
            <w:r w:rsidR="00796933" w:rsidRPr="00C62A13">
              <w:rPr>
                <w:lang w:val="en-AU"/>
              </w:rPr>
              <w:t xml:space="preserve"> </w:t>
            </w:r>
            <w:r w:rsidRPr="00C62A13">
              <w:rPr>
                <w:lang w:val="en-AU"/>
              </w:rPr>
              <w:t>mg Q2W</w:t>
            </w:r>
          </w:p>
        </w:tc>
        <w:tc>
          <w:tcPr>
            <w:tcW w:w="838" w:type="pct"/>
            <w:vAlign w:val="center"/>
          </w:tcPr>
          <w:p w:rsidR="005058F8" w:rsidRPr="00C62A13" w:rsidRDefault="005058F8" w:rsidP="00476809">
            <w:pPr>
              <w:pStyle w:val="In-tableHeading"/>
              <w:keepNext w:val="0"/>
              <w:jc w:val="center"/>
              <w:rPr>
                <w:lang w:val="en-AU"/>
              </w:rPr>
            </w:pPr>
            <w:r w:rsidRPr="00C62A13">
              <w:rPr>
                <w:lang w:val="en-AU"/>
              </w:rPr>
              <w:t>Increment</w:t>
            </w:r>
          </w:p>
        </w:tc>
      </w:tr>
      <w:tr w:rsidR="005058F8" w:rsidRPr="00C62A13" w:rsidTr="00EF1109">
        <w:tc>
          <w:tcPr>
            <w:tcW w:w="5000" w:type="pct"/>
            <w:gridSpan w:val="4"/>
            <w:vAlign w:val="center"/>
          </w:tcPr>
          <w:p w:rsidR="005058F8" w:rsidRPr="00C62A13" w:rsidRDefault="005058F8" w:rsidP="00476809">
            <w:pPr>
              <w:pStyle w:val="TableText0"/>
              <w:keepNext w:val="0"/>
              <w:rPr>
                <w:b/>
                <w:bCs w:val="0"/>
              </w:rPr>
            </w:pPr>
            <w:r w:rsidRPr="00C62A13">
              <w:rPr>
                <w:b/>
                <w:bCs w:val="0"/>
              </w:rPr>
              <w:t>Step 1: Trial-based analysis at 16 weeks</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Costs</w:t>
            </w:r>
          </w:p>
        </w:tc>
        <w:tc>
          <w:tcPr>
            <w:tcW w:w="1359" w:type="pct"/>
            <w:vAlign w:val="center"/>
          </w:tcPr>
          <w:p w:rsidR="005058F8" w:rsidRPr="00C62A13" w:rsidRDefault="005058F8" w:rsidP="00476809">
            <w:pPr>
              <w:pStyle w:val="TableText0"/>
              <w:keepNext w:val="0"/>
              <w:jc w:val="center"/>
              <w:rPr>
                <w:rFonts w:ascii="Times" w:hAnsi="Times"/>
                <w:iCs/>
              </w:rPr>
            </w:pPr>
            <w:r w:rsidRPr="00C62A13">
              <w:rPr>
                <w:iCs/>
              </w:rPr>
              <w:t>$</w:t>
            </w:r>
            <w:r w:rsidR="00B95E7E">
              <w:rPr>
                <w:iCs/>
                <w:noProof/>
                <w:color w:val="000000"/>
                <w:highlight w:val="black"/>
              </w:rPr>
              <w:t>''''''''''''''''''''''</w:t>
            </w:r>
          </w:p>
        </w:tc>
        <w:tc>
          <w:tcPr>
            <w:tcW w:w="1274" w:type="pct"/>
            <w:vAlign w:val="center"/>
          </w:tcPr>
          <w:p w:rsidR="005058F8" w:rsidRPr="00C62A13" w:rsidRDefault="005058F8" w:rsidP="00476809">
            <w:pPr>
              <w:pStyle w:val="TableText0"/>
              <w:keepNext w:val="0"/>
              <w:jc w:val="center"/>
              <w:rPr>
                <w:rFonts w:ascii="Times" w:hAnsi="Times"/>
                <w:iCs/>
              </w:rPr>
            </w:pPr>
            <w:r w:rsidRPr="00C62A13">
              <w:rPr>
                <w:iCs/>
              </w:rPr>
              <w:t>$</w:t>
            </w:r>
            <w:r w:rsidR="00983301">
              <w:rPr>
                <w:iCs/>
                <w:noProof/>
                <w:color w:val="000000"/>
                <w:highlight w:val="black"/>
              </w:rPr>
              <w:t>''''''''''''''''''''</w:t>
            </w:r>
          </w:p>
        </w:tc>
        <w:tc>
          <w:tcPr>
            <w:tcW w:w="838" w:type="pct"/>
            <w:vAlign w:val="center"/>
          </w:tcPr>
          <w:p w:rsidR="005058F8" w:rsidRPr="00C62A13" w:rsidRDefault="005058F8" w:rsidP="00476809">
            <w:pPr>
              <w:pStyle w:val="TableText0"/>
              <w:keepNext w:val="0"/>
              <w:jc w:val="center"/>
              <w:rPr>
                <w:rFonts w:ascii="Times" w:hAnsi="Times"/>
                <w:iCs/>
              </w:rPr>
            </w:pPr>
            <w:r w:rsidRPr="00C62A13">
              <w:rPr>
                <w:iCs/>
              </w:rPr>
              <w:t>$</w:t>
            </w:r>
            <w:r w:rsidR="00B95E7E">
              <w:rPr>
                <w:iCs/>
                <w:noProof/>
                <w:color w:val="000000"/>
                <w:highlight w:val="black"/>
              </w:rPr>
              <w:t>''''''''''''</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Responders</w:t>
            </w:r>
          </w:p>
        </w:tc>
        <w:tc>
          <w:tcPr>
            <w:tcW w:w="1359" w:type="pct"/>
            <w:vAlign w:val="center"/>
          </w:tcPr>
          <w:p w:rsidR="005058F8" w:rsidRPr="00C62A13" w:rsidRDefault="005058F8" w:rsidP="00476809">
            <w:pPr>
              <w:pStyle w:val="TableText0"/>
              <w:keepNext w:val="0"/>
              <w:jc w:val="center"/>
              <w:rPr>
                <w:rFonts w:ascii="Times" w:hAnsi="Times"/>
              </w:rPr>
            </w:pPr>
            <w:r w:rsidRPr="00C62A13">
              <w:t>0.808</w:t>
            </w:r>
          </w:p>
        </w:tc>
        <w:tc>
          <w:tcPr>
            <w:tcW w:w="1274" w:type="pct"/>
            <w:vAlign w:val="center"/>
          </w:tcPr>
          <w:p w:rsidR="005058F8" w:rsidRPr="00C62A13" w:rsidRDefault="005058F8" w:rsidP="00476809">
            <w:pPr>
              <w:pStyle w:val="TableText0"/>
              <w:keepNext w:val="0"/>
              <w:jc w:val="center"/>
              <w:rPr>
                <w:rFonts w:ascii="Times" w:hAnsi="Times"/>
              </w:rPr>
            </w:pPr>
            <w:r w:rsidRPr="00C62A13">
              <w:t>0.596</w:t>
            </w:r>
          </w:p>
        </w:tc>
        <w:tc>
          <w:tcPr>
            <w:tcW w:w="838" w:type="pct"/>
            <w:vAlign w:val="center"/>
          </w:tcPr>
          <w:p w:rsidR="005058F8" w:rsidRPr="00C62A13" w:rsidRDefault="005058F8" w:rsidP="00476809">
            <w:pPr>
              <w:pStyle w:val="TableText0"/>
              <w:keepNext w:val="0"/>
              <w:jc w:val="center"/>
            </w:pPr>
            <w:r w:rsidRPr="00C62A13">
              <w:t>0.212</w:t>
            </w:r>
          </w:p>
        </w:tc>
      </w:tr>
      <w:tr w:rsidR="005058F8" w:rsidRPr="00C62A13" w:rsidTr="00EF1109">
        <w:tc>
          <w:tcPr>
            <w:tcW w:w="4162" w:type="pct"/>
            <w:gridSpan w:val="3"/>
            <w:vAlign w:val="center"/>
          </w:tcPr>
          <w:p w:rsidR="005058F8" w:rsidRPr="00C62A13" w:rsidRDefault="005058F8" w:rsidP="00476809">
            <w:pPr>
              <w:pStyle w:val="TableText0"/>
              <w:keepNext w:val="0"/>
              <w:rPr>
                <w:rFonts w:ascii="Times" w:hAnsi="Times"/>
              </w:rPr>
            </w:pPr>
            <w:r w:rsidRPr="00C62A13">
              <w:t>Incremental cost/responder gained at 16 weeks</w:t>
            </w:r>
          </w:p>
        </w:tc>
        <w:tc>
          <w:tcPr>
            <w:tcW w:w="838" w:type="pct"/>
            <w:vAlign w:val="center"/>
          </w:tcPr>
          <w:p w:rsidR="005058F8" w:rsidRPr="008C5FD9" w:rsidRDefault="005058F8" w:rsidP="00476809">
            <w:pPr>
              <w:pStyle w:val="TableText0"/>
              <w:keepNext w:val="0"/>
              <w:jc w:val="center"/>
              <w:rPr>
                <w:rFonts w:ascii="Times" w:hAnsi="Times"/>
                <w:iCs/>
                <w:vertAlign w:val="superscript"/>
              </w:rPr>
            </w:pPr>
            <w:r w:rsidRPr="00C62A13">
              <w:rPr>
                <w:iCs/>
              </w:rPr>
              <w:t>$</w:t>
            </w:r>
            <w:r w:rsidR="00B95E7E">
              <w:rPr>
                <w:iCs/>
                <w:noProof/>
                <w:color w:val="000000"/>
                <w:highlight w:val="black"/>
              </w:rPr>
              <w:t>''''''''''</w:t>
            </w:r>
            <w:r w:rsidR="008C5FD9" w:rsidRPr="008C5FD9">
              <w:rPr>
                <w:iCs/>
                <w:vertAlign w:val="superscript"/>
              </w:rPr>
              <w:t>1</w:t>
            </w:r>
          </w:p>
        </w:tc>
      </w:tr>
      <w:tr w:rsidR="005058F8" w:rsidRPr="00C62A13" w:rsidTr="00EF1109">
        <w:tc>
          <w:tcPr>
            <w:tcW w:w="5000" w:type="pct"/>
            <w:gridSpan w:val="4"/>
            <w:vAlign w:val="center"/>
          </w:tcPr>
          <w:p w:rsidR="005058F8" w:rsidRPr="00C62A13" w:rsidRDefault="005058F8" w:rsidP="00476809">
            <w:pPr>
              <w:pStyle w:val="In-tableHeading"/>
              <w:keepNext w:val="0"/>
              <w:rPr>
                <w:lang w:val="en-AU"/>
              </w:rPr>
            </w:pPr>
            <w:r w:rsidRPr="00C62A13">
              <w:rPr>
                <w:lang w:val="en-AU"/>
              </w:rPr>
              <w:t>Step 2:</w:t>
            </w:r>
            <w:r w:rsidRPr="00C62A13">
              <w:rPr>
                <w:szCs w:val="18"/>
                <w:lang w:val="en-AU"/>
              </w:rPr>
              <w:t xml:space="preserve"> extrapolated to include the first six months of maintenance treatment following the application of the requested continuation rule, taking the total period of this step to 42 weeks</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Costs</w:t>
            </w:r>
          </w:p>
        </w:tc>
        <w:tc>
          <w:tcPr>
            <w:tcW w:w="1359" w:type="pct"/>
            <w:vAlign w:val="center"/>
          </w:tcPr>
          <w:p w:rsidR="005058F8" w:rsidRPr="00C62A13" w:rsidRDefault="005058F8" w:rsidP="00476809">
            <w:pPr>
              <w:pStyle w:val="TableText0"/>
              <w:keepNext w:val="0"/>
              <w:jc w:val="center"/>
              <w:rPr>
                <w:rFonts w:ascii="Times" w:hAnsi="Times"/>
                <w:iCs/>
              </w:rPr>
            </w:pPr>
            <w:r w:rsidRPr="00C62A13">
              <w:rPr>
                <w:iCs/>
              </w:rPr>
              <w:t>$</w:t>
            </w:r>
            <w:r w:rsidR="00B95E7E">
              <w:rPr>
                <w:iCs/>
                <w:noProof/>
                <w:color w:val="000000"/>
                <w:highlight w:val="black"/>
              </w:rPr>
              <w:t>'''''''''''''''''''''''</w:t>
            </w:r>
          </w:p>
        </w:tc>
        <w:tc>
          <w:tcPr>
            <w:tcW w:w="1274" w:type="pct"/>
            <w:vAlign w:val="center"/>
          </w:tcPr>
          <w:p w:rsidR="005058F8" w:rsidRPr="00313A75" w:rsidRDefault="005058F8" w:rsidP="00476809">
            <w:pPr>
              <w:pStyle w:val="TableText0"/>
              <w:keepNext w:val="0"/>
              <w:jc w:val="center"/>
              <w:rPr>
                <w:rFonts w:ascii="Times" w:hAnsi="Times"/>
                <w:iCs/>
              </w:rPr>
            </w:pPr>
            <w:r w:rsidRPr="00313A75">
              <w:rPr>
                <w:iCs/>
              </w:rPr>
              <w:t>$</w:t>
            </w:r>
            <w:r w:rsidR="00983301">
              <w:rPr>
                <w:iCs/>
                <w:noProof/>
                <w:color w:val="000000"/>
                <w:highlight w:val="black"/>
              </w:rPr>
              <w:t>''''''''''''''''''''''''''</w:t>
            </w:r>
          </w:p>
        </w:tc>
        <w:tc>
          <w:tcPr>
            <w:tcW w:w="838" w:type="pct"/>
            <w:vAlign w:val="center"/>
          </w:tcPr>
          <w:p w:rsidR="005058F8" w:rsidRPr="00C62A13" w:rsidRDefault="005058F8" w:rsidP="00476809">
            <w:pPr>
              <w:pStyle w:val="TableText0"/>
              <w:keepNext w:val="0"/>
              <w:jc w:val="center"/>
              <w:rPr>
                <w:rFonts w:ascii="Times" w:hAnsi="Times"/>
                <w:iCs/>
              </w:rPr>
            </w:pPr>
            <w:r w:rsidRPr="00C62A13">
              <w:rPr>
                <w:iCs/>
              </w:rPr>
              <w:t>$</w:t>
            </w:r>
            <w:r w:rsidR="00B95E7E">
              <w:rPr>
                <w:iCs/>
                <w:noProof/>
                <w:color w:val="000000"/>
                <w:highlight w:val="black"/>
              </w:rPr>
              <w:t>''''''''''''''''''''</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Responders</w:t>
            </w:r>
          </w:p>
        </w:tc>
        <w:tc>
          <w:tcPr>
            <w:tcW w:w="1359" w:type="pct"/>
            <w:vAlign w:val="center"/>
          </w:tcPr>
          <w:p w:rsidR="005058F8" w:rsidRPr="00C62A13" w:rsidRDefault="005058F8" w:rsidP="00476809">
            <w:pPr>
              <w:pStyle w:val="TableText0"/>
              <w:keepNext w:val="0"/>
              <w:jc w:val="center"/>
              <w:rPr>
                <w:rFonts w:ascii="Times" w:hAnsi="Times"/>
              </w:rPr>
            </w:pPr>
            <w:r w:rsidRPr="00C62A13">
              <w:t>0.773</w:t>
            </w:r>
          </w:p>
        </w:tc>
        <w:tc>
          <w:tcPr>
            <w:tcW w:w="1274" w:type="pct"/>
            <w:vAlign w:val="center"/>
          </w:tcPr>
          <w:p w:rsidR="005058F8" w:rsidRPr="00313A75" w:rsidRDefault="005058F8" w:rsidP="00476809">
            <w:pPr>
              <w:pStyle w:val="TableText0"/>
              <w:keepNext w:val="0"/>
              <w:jc w:val="center"/>
              <w:rPr>
                <w:rFonts w:ascii="Times" w:hAnsi="Times"/>
              </w:rPr>
            </w:pPr>
            <w:r w:rsidRPr="00313A75">
              <w:t>0.570</w:t>
            </w:r>
          </w:p>
        </w:tc>
        <w:tc>
          <w:tcPr>
            <w:tcW w:w="838" w:type="pct"/>
            <w:vAlign w:val="center"/>
          </w:tcPr>
          <w:p w:rsidR="005058F8" w:rsidRPr="00C62A13" w:rsidRDefault="005058F8" w:rsidP="00476809">
            <w:pPr>
              <w:pStyle w:val="TableText0"/>
              <w:keepNext w:val="0"/>
              <w:jc w:val="center"/>
            </w:pPr>
            <w:r w:rsidRPr="00C62A13">
              <w:t>0.203</w:t>
            </w:r>
          </w:p>
        </w:tc>
      </w:tr>
      <w:tr w:rsidR="005058F8" w:rsidRPr="00C62A13" w:rsidTr="00EF1109">
        <w:tc>
          <w:tcPr>
            <w:tcW w:w="4162" w:type="pct"/>
            <w:gridSpan w:val="3"/>
            <w:vAlign w:val="center"/>
          </w:tcPr>
          <w:p w:rsidR="005058F8" w:rsidRPr="00313A75" w:rsidRDefault="005058F8" w:rsidP="00476809">
            <w:pPr>
              <w:pStyle w:val="TableText0"/>
              <w:keepNext w:val="0"/>
              <w:rPr>
                <w:rFonts w:ascii="Times" w:hAnsi="Times"/>
              </w:rPr>
            </w:pPr>
            <w:r w:rsidRPr="00313A75">
              <w:t>Incremental cost/responder gained at 42 weeks</w:t>
            </w:r>
          </w:p>
        </w:tc>
        <w:tc>
          <w:tcPr>
            <w:tcW w:w="838" w:type="pct"/>
            <w:vAlign w:val="center"/>
          </w:tcPr>
          <w:p w:rsidR="005058F8" w:rsidRPr="00C62A13" w:rsidRDefault="005058F8" w:rsidP="00476809">
            <w:pPr>
              <w:pStyle w:val="TableText0"/>
              <w:keepNext w:val="0"/>
              <w:jc w:val="center"/>
              <w:rPr>
                <w:rFonts w:ascii="Times" w:hAnsi="Times"/>
                <w:iCs/>
              </w:rPr>
            </w:pPr>
            <w:r w:rsidRPr="00C62A13">
              <w:rPr>
                <w:iCs/>
              </w:rPr>
              <w:t>$</w:t>
            </w:r>
            <w:r w:rsidR="00B95E7E">
              <w:rPr>
                <w:iCs/>
                <w:noProof/>
                <w:color w:val="000000"/>
                <w:highlight w:val="black"/>
              </w:rPr>
              <w:t>'''''''''''''''</w:t>
            </w:r>
            <w:r w:rsidR="008C5FD9">
              <w:rPr>
                <w:iCs/>
                <w:vertAlign w:val="superscript"/>
              </w:rPr>
              <w:t>2</w:t>
            </w:r>
          </w:p>
        </w:tc>
      </w:tr>
      <w:tr w:rsidR="005058F8" w:rsidRPr="00C62A13" w:rsidTr="00EF1109">
        <w:tc>
          <w:tcPr>
            <w:tcW w:w="5000" w:type="pct"/>
            <w:gridSpan w:val="4"/>
            <w:vAlign w:val="center"/>
          </w:tcPr>
          <w:p w:rsidR="005058F8" w:rsidRPr="00313A75" w:rsidRDefault="005058F8" w:rsidP="00476809">
            <w:pPr>
              <w:pStyle w:val="In-tableHeading"/>
              <w:keepNext w:val="0"/>
              <w:rPr>
                <w:lang w:val="en-AU"/>
              </w:rPr>
            </w:pPr>
            <w:r w:rsidRPr="00313A75">
              <w:rPr>
                <w:lang w:val="en-AU"/>
              </w:rPr>
              <w:t>Step 3: u</w:t>
            </w:r>
            <w:r w:rsidRPr="00313A75">
              <w:rPr>
                <w:szCs w:val="18"/>
                <w:lang w:val="en-AU"/>
              </w:rPr>
              <w:t>tility values are applied</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Costs</w:t>
            </w:r>
          </w:p>
        </w:tc>
        <w:tc>
          <w:tcPr>
            <w:tcW w:w="1359" w:type="pct"/>
            <w:vAlign w:val="center"/>
          </w:tcPr>
          <w:p w:rsidR="005058F8" w:rsidRPr="00C62A13" w:rsidRDefault="005058F8" w:rsidP="00476809">
            <w:pPr>
              <w:pStyle w:val="TableText0"/>
              <w:keepNext w:val="0"/>
              <w:jc w:val="center"/>
              <w:rPr>
                <w:rFonts w:ascii="Times" w:hAnsi="Times"/>
              </w:rPr>
            </w:pPr>
            <w:r w:rsidRPr="00C62A13">
              <w:rPr>
                <w:iCs/>
              </w:rPr>
              <w:t>$</w:t>
            </w:r>
            <w:r w:rsidR="00B95E7E">
              <w:rPr>
                <w:iCs/>
                <w:noProof/>
                <w:color w:val="000000"/>
                <w:highlight w:val="black"/>
              </w:rPr>
              <w:t>''''''''''''''''''''''''</w:t>
            </w:r>
          </w:p>
        </w:tc>
        <w:tc>
          <w:tcPr>
            <w:tcW w:w="1274" w:type="pct"/>
            <w:vAlign w:val="center"/>
          </w:tcPr>
          <w:p w:rsidR="005058F8" w:rsidRPr="00313A75" w:rsidRDefault="005058F8" w:rsidP="00476809">
            <w:pPr>
              <w:pStyle w:val="TableText0"/>
              <w:keepNext w:val="0"/>
              <w:jc w:val="center"/>
              <w:rPr>
                <w:rFonts w:ascii="Times" w:hAnsi="Times"/>
              </w:rPr>
            </w:pPr>
            <w:r w:rsidRPr="00313A75">
              <w:rPr>
                <w:iCs/>
              </w:rPr>
              <w:t>$</w:t>
            </w:r>
            <w:r w:rsidR="00983301">
              <w:rPr>
                <w:iCs/>
                <w:noProof/>
                <w:color w:val="000000"/>
                <w:highlight w:val="black"/>
              </w:rPr>
              <w:t>''''''''''''''''''''''''</w:t>
            </w:r>
          </w:p>
        </w:tc>
        <w:tc>
          <w:tcPr>
            <w:tcW w:w="838" w:type="pct"/>
            <w:vAlign w:val="center"/>
          </w:tcPr>
          <w:p w:rsidR="005058F8" w:rsidRPr="00C62A13" w:rsidRDefault="005058F8" w:rsidP="00476809">
            <w:pPr>
              <w:pStyle w:val="TableText0"/>
              <w:keepNext w:val="0"/>
              <w:jc w:val="center"/>
              <w:rPr>
                <w:rFonts w:ascii="Times" w:hAnsi="Times"/>
              </w:rPr>
            </w:pPr>
            <w:r w:rsidRPr="00C62A13">
              <w:rPr>
                <w:iCs/>
              </w:rPr>
              <w:t>$</w:t>
            </w:r>
            <w:r w:rsidR="00B95E7E">
              <w:rPr>
                <w:iCs/>
                <w:noProof/>
                <w:color w:val="000000"/>
                <w:highlight w:val="black"/>
              </w:rPr>
              <w:t>''''''''''''''''''''''</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QALYs</w:t>
            </w:r>
          </w:p>
        </w:tc>
        <w:tc>
          <w:tcPr>
            <w:tcW w:w="1359" w:type="pct"/>
            <w:vAlign w:val="center"/>
          </w:tcPr>
          <w:p w:rsidR="005058F8" w:rsidRPr="00C62A13" w:rsidRDefault="005058F8" w:rsidP="00476809">
            <w:pPr>
              <w:pStyle w:val="TableText0"/>
              <w:keepNext w:val="0"/>
              <w:jc w:val="center"/>
              <w:rPr>
                <w:rFonts w:ascii="Times" w:hAnsi="Times"/>
              </w:rPr>
            </w:pPr>
            <w:r w:rsidRPr="00C62A13">
              <w:t>0.648</w:t>
            </w:r>
          </w:p>
        </w:tc>
        <w:tc>
          <w:tcPr>
            <w:tcW w:w="1274" w:type="pct"/>
            <w:vAlign w:val="center"/>
          </w:tcPr>
          <w:p w:rsidR="005058F8" w:rsidRPr="00313A75" w:rsidRDefault="005058F8" w:rsidP="00476809">
            <w:pPr>
              <w:pStyle w:val="TableText0"/>
              <w:keepNext w:val="0"/>
              <w:jc w:val="center"/>
              <w:rPr>
                <w:rFonts w:ascii="Times" w:hAnsi="Times"/>
              </w:rPr>
            </w:pPr>
            <w:r w:rsidRPr="00313A75">
              <w:t>0.6150</w:t>
            </w:r>
          </w:p>
        </w:tc>
        <w:tc>
          <w:tcPr>
            <w:tcW w:w="838" w:type="pct"/>
            <w:vAlign w:val="center"/>
          </w:tcPr>
          <w:p w:rsidR="005058F8" w:rsidRPr="00C62A13" w:rsidRDefault="005058F8" w:rsidP="00476809">
            <w:pPr>
              <w:pStyle w:val="TableText0"/>
              <w:keepNext w:val="0"/>
              <w:jc w:val="center"/>
            </w:pPr>
            <w:r w:rsidRPr="00C62A13">
              <w:t>0.329</w:t>
            </w:r>
          </w:p>
        </w:tc>
      </w:tr>
      <w:tr w:rsidR="005058F8" w:rsidRPr="00C62A13" w:rsidTr="00EF1109">
        <w:tc>
          <w:tcPr>
            <w:tcW w:w="4162" w:type="pct"/>
            <w:gridSpan w:val="3"/>
            <w:vAlign w:val="center"/>
          </w:tcPr>
          <w:p w:rsidR="005058F8" w:rsidRPr="00313A75" w:rsidRDefault="005058F8" w:rsidP="00476809">
            <w:pPr>
              <w:pStyle w:val="TableText0"/>
              <w:keepNext w:val="0"/>
              <w:rPr>
                <w:rFonts w:ascii="Times" w:hAnsi="Times"/>
              </w:rPr>
            </w:pPr>
            <w:r w:rsidRPr="00313A75">
              <w:t>Incremental cost/extra QALY</w:t>
            </w:r>
          </w:p>
        </w:tc>
        <w:tc>
          <w:tcPr>
            <w:tcW w:w="838" w:type="pct"/>
            <w:vAlign w:val="center"/>
          </w:tcPr>
          <w:p w:rsidR="005058F8" w:rsidRPr="00C62A13" w:rsidRDefault="005058F8" w:rsidP="00476809">
            <w:pPr>
              <w:pStyle w:val="TableText0"/>
              <w:keepNext w:val="0"/>
              <w:jc w:val="center"/>
              <w:rPr>
                <w:rFonts w:ascii="Times" w:hAnsi="Times"/>
                <w:iCs/>
              </w:rPr>
            </w:pPr>
            <w:r w:rsidRPr="00C62A13">
              <w:rPr>
                <w:iCs/>
              </w:rPr>
              <w:t>$</w:t>
            </w:r>
            <w:r w:rsidR="00B95E7E">
              <w:rPr>
                <w:iCs/>
                <w:noProof/>
                <w:color w:val="000000"/>
                <w:highlight w:val="black"/>
              </w:rPr>
              <w:t>''''''''''''''''</w:t>
            </w:r>
            <w:r w:rsidR="008C5FD9">
              <w:rPr>
                <w:iCs/>
                <w:vertAlign w:val="superscript"/>
              </w:rPr>
              <w:t>3</w:t>
            </w:r>
          </w:p>
        </w:tc>
      </w:tr>
      <w:tr w:rsidR="005058F8" w:rsidRPr="00C62A13" w:rsidTr="00EF1109">
        <w:tc>
          <w:tcPr>
            <w:tcW w:w="5000" w:type="pct"/>
            <w:gridSpan w:val="4"/>
            <w:vAlign w:val="center"/>
          </w:tcPr>
          <w:p w:rsidR="005058F8" w:rsidRPr="00313A75" w:rsidRDefault="005058F8" w:rsidP="00476809">
            <w:pPr>
              <w:pStyle w:val="In-tableHeading"/>
              <w:keepNext w:val="0"/>
              <w:rPr>
                <w:lang w:val="en-AU"/>
              </w:rPr>
            </w:pPr>
            <w:r w:rsidRPr="00313A75">
              <w:rPr>
                <w:lang w:val="en-AU"/>
              </w:rPr>
              <w:t xml:space="preserve">Step 4: </w:t>
            </w:r>
            <w:r w:rsidRPr="00313A75">
              <w:rPr>
                <w:szCs w:val="18"/>
                <w:lang w:val="en-AU"/>
              </w:rPr>
              <w:t>extrapolated to 5.3 years</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Costs</w:t>
            </w:r>
          </w:p>
        </w:tc>
        <w:tc>
          <w:tcPr>
            <w:tcW w:w="1359"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p>
        </w:tc>
        <w:tc>
          <w:tcPr>
            <w:tcW w:w="1274" w:type="pct"/>
            <w:vAlign w:val="center"/>
          </w:tcPr>
          <w:p w:rsidR="005058F8" w:rsidRPr="00313A75" w:rsidRDefault="005058F8" w:rsidP="00476809">
            <w:pPr>
              <w:pStyle w:val="TableText0"/>
              <w:keepNext w:val="0"/>
              <w:jc w:val="center"/>
              <w:rPr>
                <w:rFonts w:ascii="Times" w:hAnsi="Times"/>
              </w:rPr>
            </w:pPr>
            <w:r w:rsidRPr="00313A75">
              <w:t>$</w:t>
            </w:r>
            <w:r w:rsidR="00983301">
              <w:rPr>
                <w:noProof/>
                <w:color w:val="000000"/>
                <w:highlight w:val="black"/>
              </w:rPr>
              <w:t>'''''''''''''''''''''''</w:t>
            </w:r>
          </w:p>
        </w:tc>
        <w:tc>
          <w:tcPr>
            <w:tcW w:w="838"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QALYs</w:t>
            </w:r>
          </w:p>
        </w:tc>
        <w:tc>
          <w:tcPr>
            <w:tcW w:w="1359" w:type="pct"/>
            <w:vAlign w:val="center"/>
          </w:tcPr>
          <w:p w:rsidR="005058F8" w:rsidRPr="00C62A13" w:rsidRDefault="005058F8" w:rsidP="00476809">
            <w:pPr>
              <w:pStyle w:val="TableText0"/>
              <w:keepNext w:val="0"/>
              <w:jc w:val="center"/>
              <w:rPr>
                <w:rFonts w:ascii="Times" w:hAnsi="Times"/>
              </w:rPr>
            </w:pPr>
            <w:r w:rsidRPr="00C62A13">
              <w:t>3.8548</w:t>
            </w:r>
          </w:p>
        </w:tc>
        <w:tc>
          <w:tcPr>
            <w:tcW w:w="1274" w:type="pct"/>
            <w:vAlign w:val="center"/>
          </w:tcPr>
          <w:p w:rsidR="005058F8" w:rsidRPr="00313A75" w:rsidRDefault="005058F8" w:rsidP="00476809">
            <w:pPr>
              <w:pStyle w:val="TableText0"/>
              <w:keepNext w:val="0"/>
              <w:jc w:val="center"/>
              <w:rPr>
                <w:rFonts w:ascii="Times" w:hAnsi="Times"/>
              </w:rPr>
            </w:pPr>
            <w:r w:rsidRPr="00313A75">
              <w:t>3.6154</w:t>
            </w:r>
          </w:p>
        </w:tc>
        <w:tc>
          <w:tcPr>
            <w:tcW w:w="838" w:type="pct"/>
            <w:vAlign w:val="center"/>
          </w:tcPr>
          <w:p w:rsidR="005058F8" w:rsidRPr="00C62A13" w:rsidRDefault="005058F8" w:rsidP="00476809">
            <w:pPr>
              <w:pStyle w:val="TableText0"/>
              <w:keepNext w:val="0"/>
              <w:jc w:val="center"/>
            </w:pPr>
            <w:r w:rsidRPr="00C62A13">
              <w:t>0.2394</w:t>
            </w:r>
          </w:p>
        </w:tc>
      </w:tr>
      <w:tr w:rsidR="005058F8" w:rsidRPr="00C62A13" w:rsidTr="00EF1109">
        <w:tc>
          <w:tcPr>
            <w:tcW w:w="4162" w:type="pct"/>
            <w:gridSpan w:val="3"/>
            <w:vAlign w:val="center"/>
          </w:tcPr>
          <w:p w:rsidR="005058F8" w:rsidRPr="00313A75" w:rsidRDefault="005058F8" w:rsidP="00476809">
            <w:pPr>
              <w:pStyle w:val="TableText0"/>
              <w:keepNext w:val="0"/>
              <w:rPr>
                <w:rFonts w:ascii="Times" w:hAnsi="Times"/>
              </w:rPr>
            </w:pPr>
            <w:r w:rsidRPr="00313A75">
              <w:t>Incremental cost/extra QALY</w:t>
            </w:r>
          </w:p>
        </w:tc>
        <w:tc>
          <w:tcPr>
            <w:tcW w:w="838"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r w:rsidR="008C5FD9">
              <w:rPr>
                <w:iCs/>
                <w:vertAlign w:val="superscript"/>
              </w:rPr>
              <w:t>3</w:t>
            </w:r>
          </w:p>
        </w:tc>
      </w:tr>
      <w:tr w:rsidR="005058F8" w:rsidRPr="00C62A13" w:rsidTr="00EF1109">
        <w:tc>
          <w:tcPr>
            <w:tcW w:w="5000" w:type="pct"/>
            <w:gridSpan w:val="4"/>
            <w:vAlign w:val="center"/>
          </w:tcPr>
          <w:p w:rsidR="005058F8" w:rsidRPr="00313A75" w:rsidRDefault="005058F8" w:rsidP="00476809">
            <w:pPr>
              <w:pStyle w:val="In-tableHeading"/>
              <w:keepNext w:val="0"/>
              <w:rPr>
                <w:lang w:val="en-AU"/>
              </w:rPr>
            </w:pPr>
            <w:r w:rsidRPr="00313A75">
              <w:rPr>
                <w:lang w:val="en-AU"/>
              </w:rPr>
              <w:t>Step 5: include health care costs – BASE CASE presented in the submission</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Costs</w:t>
            </w:r>
          </w:p>
        </w:tc>
        <w:tc>
          <w:tcPr>
            <w:tcW w:w="1359"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p>
        </w:tc>
        <w:tc>
          <w:tcPr>
            <w:tcW w:w="1274" w:type="pct"/>
            <w:vAlign w:val="center"/>
          </w:tcPr>
          <w:p w:rsidR="005058F8" w:rsidRPr="00313A75" w:rsidRDefault="005058F8" w:rsidP="00476809">
            <w:pPr>
              <w:pStyle w:val="TableText0"/>
              <w:keepNext w:val="0"/>
              <w:jc w:val="center"/>
              <w:rPr>
                <w:rFonts w:ascii="Times" w:hAnsi="Times"/>
              </w:rPr>
            </w:pPr>
            <w:r w:rsidRPr="00313A75">
              <w:t>$</w:t>
            </w:r>
            <w:r w:rsidR="00983301">
              <w:rPr>
                <w:noProof/>
                <w:color w:val="000000"/>
                <w:highlight w:val="black"/>
              </w:rPr>
              <w:t>'''''''''''''''''''''''</w:t>
            </w:r>
          </w:p>
        </w:tc>
        <w:tc>
          <w:tcPr>
            <w:tcW w:w="838"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QALYs</w:t>
            </w:r>
          </w:p>
        </w:tc>
        <w:tc>
          <w:tcPr>
            <w:tcW w:w="1359" w:type="pct"/>
            <w:vAlign w:val="center"/>
          </w:tcPr>
          <w:p w:rsidR="005058F8" w:rsidRPr="00C62A13" w:rsidRDefault="005058F8" w:rsidP="00476809">
            <w:pPr>
              <w:pStyle w:val="TableText0"/>
              <w:keepNext w:val="0"/>
              <w:jc w:val="center"/>
              <w:rPr>
                <w:rFonts w:ascii="Times" w:hAnsi="Times"/>
              </w:rPr>
            </w:pPr>
            <w:r w:rsidRPr="00C62A13">
              <w:t>3.8548</w:t>
            </w:r>
          </w:p>
        </w:tc>
        <w:tc>
          <w:tcPr>
            <w:tcW w:w="1274" w:type="pct"/>
            <w:vAlign w:val="center"/>
          </w:tcPr>
          <w:p w:rsidR="005058F8" w:rsidRPr="00313A75" w:rsidRDefault="005058F8" w:rsidP="00476809">
            <w:pPr>
              <w:pStyle w:val="TableText0"/>
              <w:keepNext w:val="0"/>
              <w:jc w:val="center"/>
              <w:rPr>
                <w:rFonts w:ascii="Times" w:hAnsi="Times"/>
              </w:rPr>
            </w:pPr>
            <w:r w:rsidRPr="00313A75">
              <w:t>3.6154</w:t>
            </w:r>
          </w:p>
        </w:tc>
        <w:tc>
          <w:tcPr>
            <w:tcW w:w="838" w:type="pct"/>
            <w:vAlign w:val="center"/>
          </w:tcPr>
          <w:p w:rsidR="005058F8" w:rsidRPr="00C62A13" w:rsidRDefault="005058F8" w:rsidP="00476809">
            <w:pPr>
              <w:pStyle w:val="TableText0"/>
              <w:keepNext w:val="0"/>
              <w:jc w:val="center"/>
            </w:pPr>
            <w:r w:rsidRPr="00C62A13">
              <w:t>0.2394</w:t>
            </w:r>
          </w:p>
        </w:tc>
      </w:tr>
      <w:tr w:rsidR="005058F8" w:rsidRPr="00C62A13" w:rsidTr="00EF1109">
        <w:tc>
          <w:tcPr>
            <w:tcW w:w="4162" w:type="pct"/>
            <w:gridSpan w:val="3"/>
            <w:vAlign w:val="center"/>
          </w:tcPr>
          <w:p w:rsidR="005058F8" w:rsidRPr="00313A75" w:rsidRDefault="005058F8" w:rsidP="00476809">
            <w:pPr>
              <w:pStyle w:val="TableText0"/>
              <w:keepNext w:val="0"/>
              <w:rPr>
                <w:rFonts w:ascii="Times" w:hAnsi="Times"/>
                <w:bCs w:val="0"/>
              </w:rPr>
            </w:pPr>
            <w:r w:rsidRPr="00313A75">
              <w:rPr>
                <w:bCs w:val="0"/>
              </w:rPr>
              <w:t>Incremental cost/extra QALY</w:t>
            </w:r>
          </w:p>
        </w:tc>
        <w:tc>
          <w:tcPr>
            <w:tcW w:w="838" w:type="pct"/>
            <w:vAlign w:val="center"/>
          </w:tcPr>
          <w:p w:rsidR="005058F8" w:rsidRPr="00C62A13" w:rsidRDefault="005058F8" w:rsidP="00476809">
            <w:pPr>
              <w:pStyle w:val="TableText0"/>
              <w:keepNext w:val="0"/>
              <w:jc w:val="center"/>
              <w:rPr>
                <w:rFonts w:ascii="Times" w:hAnsi="Times"/>
                <w:b/>
              </w:rPr>
            </w:pPr>
            <w:r w:rsidRPr="00C62A13">
              <w:rPr>
                <w:b/>
              </w:rPr>
              <w:t>$</w:t>
            </w:r>
            <w:r w:rsidR="00B95E7E">
              <w:rPr>
                <w:b/>
                <w:noProof/>
                <w:color w:val="000000"/>
                <w:highlight w:val="black"/>
              </w:rPr>
              <w:t>''''''''</w:t>
            </w:r>
            <w:r w:rsidR="00B95E7E">
              <w:rPr>
                <w:b/>
                <w:i/>
                <w:noProof/>
                <w:color w:val="000000"/>
                <w:highlight w:val="black"/>
              </w:rPr>
              <w:t>'''''</w:t>
            </w:r>
            <w:r w:rsidR="008C5FD9">
              <w:rPr>
                <w:iCs/>
                <w:vertAlign w:val="superscript"/>
              </w:rPr>
              <w:t>4</w:t>
            </w:r>
          </w:p>
        </w:tc>
      </w:tr>
      <w:tr w:rsidR="005058F8" w:rsidRPr="00C62A13" w:rsidTr="00EF1109">
        <w:tc>
          <w:tcPr>
            <w:tcW w:w="5000" w:type="pct"/>
            <w:gridSpan w:val="4"/>
            <w:vAlign w:val="center"/>
          </w:tcPr>
          <w:p w:rsidR="005058F8" w:rsidRPr="00313A75" w:rsidRDefault="005058F8" w:rsidP="00476809">
            <w:pPr>
              <w:pStyle w:val="In-tableHeading"/>
              <w:keepNext w:val="0"/>
              <w:rPr>
                <w:lang w:val="en-AU"/>
              </w:rPr>
            </w:pPr>
            <w:r w:rsidRPr="00313A75">
              <w:rPr>
                <w:lang w:val="en-AU"/>
              </w:rPr>
              <w:t>Step 5*: Corrected health care costs</w:t>
            </w:r>
            <w:r w:rsidRPr="00313A75">
              <w:rPr>
                <w:vertAlign w:val="superscript"/>
                <w:lang w:val="en-AU"/>
              </w:rPr>
              <w:t>a,b</w:t>
            </w:r>
            <w:r w:rsidRPr="00313A75">
              <w:rPr>
                <w:lang w:val="en-AU"/>
              </w:rPr>
              <w:t xml:space="preserve"> – BASE CASE, corrected during the evaluation</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Costs</w:t>
            </w:r>
          </w:p>
        </w:tc>
        <w:tc>
          <w:tcPr>
            <w:tcW w:w="1359"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p>
        </w:tc>
        <w:tc>
          <w:tcPr>
            <w:tcW w:w="1274" w:type="pct"/>
            <w:vAlign w:val="center"/>
          </w:tcPr>
          <w:p w:rsidR="005058F8" w:rsidRPr="00313A75" w:rsidRDefault="005058F8" w:rsidP="00476809">
            <w:pPr>
              <w:pStyle w:val="TableText0"/>
              <w:keepNext w:val="0"/>
              <w:jc w:val="center"/>
              <w:rPr>
                <w:rFonts w:ascii="Times" w:hAnsi="Times"/>
              </w:rPr>
            </w:pPr>
            <w:r w:rsidRPr="00313A75">
              <w:t>$</w:t>
            </w:r>
            <w:r w:rsidR="00983301">
              <w:rPr>
                <w:noProof/>
                <w:color w:val="000000"/>
                <w:highlight w:val="black"/>
              </w:rPr>
              <w:t>'''''''''''''''''''''''</w:t>
            </w:r>
          </w:p>
        </w:tc>
        <w:tc>
          <w:tcPr>
            <w:tcW w:w="838" w:type="pct"/>
            <w:vAlign w:val="center"/>
          </w:tcPr>
          <w:p w:rsidR="005058F8" w:rsidRPr="00C62A13" w:rsidRDefault="005058F8" w:rsidP="00476809">
            <w:pPr>
              <w:pStyle w:val="TableText0"/>
              <w:keepNext w:val="0"/>
              <w:jc w:val="center"/>
              <w:rPr>
                <w:rFonts w:ascii="Times" w:hAnsi="Times"/>
              </w:rPr>
            </w:pPr>
            <w:r w:rsidRPr="00C62A13">
              <w:t>$</w:t>
            </w:r>
            <w:r w:rsidR="00B95E7E">
              <w:rPr>
                <w:noProof/>
                <w:color w:val="000000"/>
                <w:highlight w:val="black"/>
              </w:rPr>
              <w:t>''''''''''''''''''''''''''</w:t>
            </w:r>
          </w:p>
        </w:tc>
      </w:tr>
      <w:tr w:rsidR="005058F8" w:rsidRPr="00C62A13" w:rsidTr="00EF1109">
        <w:tc>
          <w:tcPr>
            <w:tcW w:w="1529" w:type="pct"/>
            <w:vAlign w:val="center"/>
          </w:tcPr>
          <w:p w:rsidR="005058F8" w:rsidRPr="00C62A13" w:rsidRDefault="005058F8" w:rsidP="00476809">
            <w:pPr>
              <w:pStyle w:val="TableText0"/>
              <w:keepNext w:val="0"/>
              <w:rPr>
                <w:rFonts w:ascii="Times" w:hAnsi="Times"/>
              </w:rPr>
            </w:pPr>
            <w:r w:rsidRPr="00C62A13">
              <w:t>QALYs</w:t>
            </w:r>
          </w:p>
        </w:tc>
        <w:tc>
          <w:tcPr>
            <w:tcW w:w="1359" w:type="pct"/>
            <w:vAlign w:val="center"/>
          </w:tcPr>
          <w:p w:rsidR="005058F8" w:rsidRPr="00C62A13" w:rsidRDefault="005058F8" w:rsidP="00476809">
            <w:pPr>
              <w:pStyle w:val="TableText0"/>
              <w:keepNext w:val="0"/>
              <w:jc w:val="center"/>
              <w:rPr>
                <w:rFonts w:ascii="Times" w:hAnsi="Times"/>
              </w:rPr>
            </w:pPr>
            <w:r w:rsidRPr="00C62A13">
              <w:t>3.8548</w:t>
            </w:r>
          </w:p>
        </w:tc>
        <w:tc>
          <w:tcPr>
            <w:tcW w:w="1274" w:type="pct"/>
            <w:vAlign w:val="center"/>
          </w:tcPr>
          <w:p w:rsidR="005058F8" w:rsidRPr="00C62A13" w:rsidRDefault="005058F8" w:rsidP="00476809">
            <w:pPr>
              <w:pStyle w:val="TableText0"/>
              <w:keepNext w:val="0"/>
              <w:jc w:val="center"/>
              <w:rPr>
                <w:rFonts w:ascii="Times" w:hAnsi="Times"/>
              </w:rPr>
            </w:pPr>
            <w:r w:rsidRPr="00C62A13">
              <w:t>3.6154</w:t>
            </w:r>
          </w:p>
        </w:tc>
        <w:tc>
          <w:tcPr>
            <w:tcW w:w="838" w:type="pct"/>
            <w:vAlign w:val="center"/>
          </w:tcPr>
          <w:p w:rsidR="005058F8" w:rsidRPr="00C62A13" w:rsidRDefault="005058F8" w:rsidP="00476809">
            <w:pPr>
              <w:pStyle w:val="TableText0"/>
              <w:keepNext w:val="0"/>
              <w:jc w:val="center"/>
            </w:pPr>
            <w:r w:rsidRPr="00C62A13">
              <w:t>0.2394</w:t>
            </w:r>
          </w:p>
        </w:tc>
      </w:tr>
      <w:tr w:rsidR="005058F8" w:rsidRPr="00C62A13" w:rsidTr="00EF1109">
        <w:tc>
          <w:tcPr>
            <w:tcW w:w="4162" w:type="pct"/>
            <w:gridSpan w:val="3"/>
            <w:vAlign w:val="center"/>
          </w:tcPr>
          <w:p w:rsidR="005058F8" w:rsidRPr="00C62A13" w:rsidRDefault="005058F8" w:rsidP="00476809">
            <w:pPr>
              <w:pStyle w:val="TableText0"/>
              <w:keepNext w:val="0"/>
              <w:rPr>
                <w:rFonts w:ascii="Times" w:hAnsi="Times"/>
                <w:bCs w:val="0"/>
              </w:rPr>
            </w:pPr>
            <w:r w:rsidRPr="00C62A13">
              <w:rPr>
                <w:bCs w:val="0"/>
              </w:rPr>
              <w:t>Incremental cost/extra QALY</w:t>
            </w:r>
          </w:p>
        </w:tc>
        <w:tc>
          <w:tcPr>
            <w:tcW w:w="838" w:type="pct"/>
            <w:vAlign w:val="center"/>
          </w:tcPr>
          <w:p w:rsidR="005058F8" w:rsidRPr="00C62A13" w:rsidRDefault="005058F8" w:rsidP="00476809">
            <w:pPr>
              <w:pStyle w:val="TableText0"/>
              <w:keepNext w:val="0"/>
              <w:jc w:val="center"/>
              <w:rPr>
                <w:rFonts w:ascii="Times" w:hAnsi="Times"/>
                <w:b/>
              </w:rPr>
            </w:pPr>
            <w:r w:rsidRPr="00C62A13">
              <w:rPr>
                <w:b/>
              </w:rPr>
              <w:t>$</w:t>
            </w:r>
            <w:r w:rsidR="00B95E7E">
              <w:rPr>
                <w:b/>
                <w:noProof/>
                <w:color w:val="000000"/>
                <w:highlight w:val="black"/>
              </w:rPr>
              <w:t>''''''''''''''</w:t>
            </w:r>
            <w:r w:rsidR="008C5FD9">
              <w:rPr>
                <w:iCs/>
                <w:vertAlign w:val="superscript"/>
              </w:rPr>
              <w:t>4</w:t>
            </w:r>
          </w:p>
        </w:tc>
      </w:tr>
    </w:tbl>
    <w:p w:rsidR="005058F8" w:rsidRPr="003B3DB0" w:rsidRDefault="005058F8" w:rsidP="005058F8">
      <w:pPr>
        <w:pStyle w:val="TableFigureFooter"/>
        <w:rPr>
          <w:szCs w:val="18"/>
        </w:rPr>
      </w:pPr>
      <w:r w:rsidRPr="003B3DB0">
        <w:rPr>
          <w:szCs w:val="18"/>
        </w:rPr>
        <w:t>Source: Table3-19; 3-22, pp160-161 of the submission.</w:t>
      </w:r>
    </w:p>
    <w:p w:rsidR="006D5119" w:rsidRPr="003B3DB0" w:rsidRDefault="0043243D" w:rsidP="006D5119">
      <w:pPr>
        <w:pStyle w:val="TableFigureFooter"/>
        <w:rPr>
          <w:iCs/>
          <w:szCs w:val="18"/>
        </w:rPr>
      </w:pPr>
      <w:r w:rsidRPr="003B3DB0">
        <w:rPr>
          <w:rFonts w:cs="Calibri"/>
          <w:szCs w:val="18"/>
        </w:rPr>
        <w:t>DUPI = dupilumab;</w:t>
      </w:r>
      <w:r w:rsidR="006D5119" w:rsidRPr="003B3DB0">
        <w:rPr>
          <w:rFonts w:cs="Calibri"/>
          <w:szCs w:val="18"/>
        </w:rPr>
        <w:t xml:space="preserve"> UPA = upadacitinib</w:t>
      </w:r>
    </w:p>
    <w:p w:rsidR="005058F8" w:rsidRDefault="005058F8" w:rsidP="008C5FD9">
      <w:pPr>
        <w:pStyle w:val="TableFigureFooter"/>
        <w:tabs>
          <w:tab w:val="left" w:pos="142"/>
        </w:tabs>
        <w:spacing w:after="0"/>
        <w:ind w:left="136" w:hanging="136"/>
        <w:contextualSpacing w:val="0"/>
        <w:rPr>
          <w:szCs w:val="18"/>
        </w:rPr>
      </w:pPr>
      <w:r w:rsidRPr="003B3DB0">
        <w:rPr>
          <w:szCs w:val="18"/>
          <w:vertAlign w:val="superscript"/>
        </w:rPr>
        <w:t>a</w:t>
      </w:r>
      <w:r w:rsidRPr="003B3DB0">
        <w:rPr>
          <w:szCs w:val="18"/>
        </w:rPr>
        <w:tab/>
        <w:t>The formula for pre-Markov ‘other’ costs (c_HS_preMarkov_other) has been corrected to refer to i) ‘other’ costs instead of phototherapy costs for non-responders, and ii) annual costs rather than 6-monthly costs.</w:t>
      </w:r>
    </w:p>
    <w:p w:rsidR="008C5FD9" w:rsidRPr="009A6D58" w:rsidRDefault="008C5FD9" w:rsidP="008C5FD9">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rsidR="008C5FD9" w:rsidRPr="009A6D58" w:rsidRDefault="008C5FD9" w:rsidP="008C5FD9">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C5FD9">
        <w:rPr>
          <w:rFonts w:ascii="Arial Narrow" w:hAnsi="Arial Narrow"/>
          <w:i/>
          <w:sz w:val="18"/>
          <w:szCs w:val="18"/>
        </w:rPr>
        <w:t>$0 to &lt; $5,000</w:t>
      </w:r>
    </w:p>
    <w:p w:rsidR="008C5FD9" w:rsidRPr="009A6D58" w:rsidRDefault="008C5FD9" w:rsidP="008C5FD9">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C5FD9">
        <w:rPr>
          <w:rFonts w:ascii="Arial Narrow" w:hAnsi="Arial Narrow"/>
          <w:i/>
          <w:sz w:val="18"/>
          <w:szCs w:val="18"/>
        </w:rPr>
        <w:t>$5,000 to &lt; $15,000</w:t>
      </w:r>
    </w:p>
    <w:p w:rsidR="008C5FD9" w:rsidRDefault="008C5FD9" w:rsidP="008C5FD9">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C5FD9">
        <w:rPr>
          <w:rFonts w:ascii="Arial Narrow" w:hAnsi="Arial Narrow"/>
          <w:i/>
          <w:sz w:val="18"/>
          <w:szCs w:val="18"/>
        </w:rPr>
        <w:t>$75,000 to &lt; $95,000</w:t>
      </w:r>
    </w:p>
    <w:p w:rsidR="008C5FD9" w:rsidRPr="008C5FD9" w:rsidRDefault="008C5FD9" w:rsidP="008C5FD9">
      <w:pPr>
        <w:spacing w:after="240"/>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C5FD9">
        <w:rPr>
          <w:rFonts w:ascii="Arial Narrow" w:hAnsi="Arial Narrow"/>
          <w:i/>
          <w:sz w:val="18"/>
          <w:szCs w:val="18"/>
        </w:rPr>
        <w:t>$55,000 to &lt; $75,000</w:t>
      </w:r>
    </w:p>
    <w:p w:rsidR="005058F8" w:rsidRPr="00C62A13" w:rsidRDefault="001F4F56" w:rsidP="008C5FD9">
      <w:pPr>
        <w:pStyle w:val="3-BodyText"/>
      </w:pPr>
      <w:r w:rsidRPr="00C62A13">
        <w:t xml:space="preserve">Based on the </w:t>
      </w:r>
      <w:r w:rsidR="005058F8" w:rsidRPr="00C62A13">
        <w:t xml:space="preserve">‘proxy’ effective </w:t>
      </w:r>
      <w:r w:rsidR="00695847" w:rsidRPr="00C62A13">
        <w:t xml:space="preserve">DPMQ </w:t>
      </w:r>
      <w:r w:rsidRPr="00C62A13">
        <w:t>price</w:t>
      </w:r>
      <w:r w:rsidR="005058F8" w:rsidRPr="00C62A13">
        <w:t xml:space="preserve"> for DUPI </w:t>
      </w:r>
      <w:r w:rsidRPr="00C62A13">
        <w:t>300</w:t>
      </w:r>
      <w:r w:rsidR="00796933" w:rsidRPr="00C62A13">
        <w:t xml:space="preserve"> </w:t>
      </w:r>
      <w:r w:rsidRPr="00C62A13">
        <w:t xml:space="preserve">mg </w:t>
      </w:r>
      <w:r w:rsidR="005058F8" w:rsidRPr="00C62A13">
        <w:t>of $</w:t>
      </w:r>
      <w:r w:rsidR="00B95E7E">
        <w:rPr>
          <w:noProof/>
          <w:color w:val="000000"/>
          <w:highlight w:val="black"/>
        </w:rPr>
        <w:t>''''''''''''''''</w:t>
      </w:r>
      <w:r w:rsidR="005058F8" w:rsidRPr="00C62A13">
        <w:t xml:space="preserve">, </w:t>
      </w:r>
      <w:r w:rsidRPr="00C62A13">
        <w:t xml:space="preserve">the submission estimated an ICER of approximately </w:t>
      </w:r>
      <w:r w:rsidR="008C5FD9" w:rsidRPr="008C5FD9">
        <w:t xml:space="preserve">$55,000 to &lt; $75,000 </w:t>
      </w:r>
      <w:r w:rsidRPr="00C62A13">
        <w:t>/QALY for UPA 30</w:t>
      </w:r>
      <w:r w:rsidR="00796933" w:rsidRPr="00C62A13">
        <w:t xml:space="preserve"> </w:t>
      </w:r>
      <w:r w:rsidRPr="00C62A13">
        <w:t>mg. The incremental costs and QALYs were driven by more time spent in the responder health state (on treatment) compared to the non-responder health state with UPA 30</w:t>
      </w:r>
      <w:r w:rsidR="00796933" w:rsidRPr="00C62A13">
        <w:t xml:space="preserve"> </w:t>
      </w:r>
      <w:r w:rsidRPr="00C62A13">
        <w:t>mg compared to DUPI.</w:t>
      </w:r>
      <w:r w:rsidR="00C73EF8" w:rsidRPr="00C62A13">
        <w:t xml:space="preserve"> </w:t>
      </w:r>
      <w:r w:rsidR="00C73EF8" w:rsidRPr="00C62A13">
        <w:rPr>
          <w:iCs/>
        </w:rPr>
        <w:t>Two errors were identified during the evaluation in the calculation of health state costs in th</w:t>
      </w:r>
      <w:r w:rsidR="00CD6CE2" w:rsidRPr="00C62A13">
        <w:rPr>
          <w:iCs/>
        </w:rPr>
        <w:t>e decision-tree</w:t>
      </w:r>
      <w:r w:rsidR="00C73EF8" w:rsidRPr="00C62A13">
        <w:rPr>
          <w:iCs/>
        </w:rPr>
        <w:t xml:space="preserve">; once corrected </w:t>
      </w:r>
      <w:r w:rsidR="00D45A08" w:rsidRPr="00C62A13">
        <w:rPr>
          <w:iCs/>
        </w:rPr>
        <w:t xml:space="preserve">they </w:t>
      </w:r>
      <w:r w:rsidR="00C73EF8" w:rsidRPr="00C62A13">
        <w:rPr>
          <w:iCs/>
        </w:rPr>
        <w:t>reduce</w:t>
      </w:r>
      <w:r w:rsidR="00895E84" w:rsidRPr="00C62A13">
        <w:rPr>
          <w:iCs/>
        </w:rPr>
        <w:t>d</w:t>
      </w:r>
      <w:r w:rsidR="00C73EF8" w:rsidRPr="00C62A13">
        <w:rPr>
          <w:iCs/>
        </w:rPr>
        <w:t xml:space="preserve"> the ICER to approximately </w:t>
      </w:r>
      <w:r w:rsidR="008C5FD9" w:rsidRPr="008C5FD9">
        <w:rPr>
          <w:iCs/>
        </w:rPr>
        <w:t xml:space="preserve">$55,000 to &lt; $75,000 </w:t>
      </w:r>
      <w:r w:rsidR="00C73EF8" w:rsidRPr="00C62A13">
        <w:rPr>
          <w:iCs/>
        </w:rPr>
        <w:t>/QALY in Step 5.</w:t>
      </w:r>
    </w:p>
    <w:p w:rsidR="005058F8" w:rsidRPr="00C62A13" w:rsidRDefault="005058F8" w:rsidP="005058F8">
      <w:pPr>
        <w:pStyle w:val="3-BodyText"/>
      </w:pPr>
      <w:r w:rsidRPr="00C62A13">
        <w:t>The results o</w:t>
      </w:r>
      <w:r w:rsidR="004A26F3" w:rsidRPr="00C62A13">
        <w:t xml:space="preserve">f key univariate </w:t>
      </w:r>
      <w:r w:rsidRPr="00C62A13">
        <w:t xml:space="preserve">sensitivity analyses </w:t>
      </w:r>
      <w:r w:rsidR="004B307D" w:rsidRPr="00C62A13">
        <w:t xml:space="preserve">and additional multivariate sensitivity analyses as suggested by the ESC </w:t>
      </w:r>
      <w:r w:rsidRPr="00C62A13">
        <w:t>are summarised in Table 15.</w:t>
      </w:r>
    </w:p>
    <w:p w:rsidR="005058F8" w:rsidRPr="00C62A13" w:rsidRDefault="005058F8" w:rsidP="00684832">
      <w:pPr>
        <w:pStyle w:val="3-BodyText"/>
        <w:keepNext/>
        <w:keepLines/>
        <w:numPr>
          <w:ilvl w:val="0"/>
          <w:numId w:val="0"/>
        </w:numPr>
        <w:spacing w:after="0"/>
        <w:rPr>
          <w:rStyle w:val="CommentReference"/>
          <w:rFonts w:asciiTheme="minorHAnsi" w:hAnsiTheme="minorHAnsi"/>
          <w:b w:val="0"/>
          <w:sz w:val="24"/>
          <w:szCs w:val="24"/>
          <w:highlight w:val="yellow"/>
        </w:rPr>
      </w:pPr>
      <w:r w:rsidRPr="00C62A13">
        <w:rPr>
          <w:rStyle w:val="CommentReference"/>
          <w:szCs w:val="24"/>
        </w:rPr>
        <w:t>Table 15: Sensitivity analyses conducted in the submission and additional sensitivity analyses conducted during the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639"/>
        <w:gridCol w:w="1511"/>
        <w:gridCol w:w="1648"/>
        <w:gridCol w:w="1219"/>
      </w:tblGrid>
      <w:tr w:rsidR="005058F8" w:rsidRPr="00C62A13" w:rsidTr="00EF1109">
        <w:trPr>
          <w:tblHeader/>
        </w:trPr>
        <w:tc>
          <w:tcPr>
            <w:tcW w:w="2572" w:type="pct"/>
          </w:tcPr>
          <w:p w:rsidR="005058F8" w:rsidRPr="00C62A13" w:rsidRDefault="005058F8" w:rsidP="00684832">
            <w:pPr>
              <w:pStyle w:val="In-tableHeading"/>
              <w:keepLines/>
              <w:spacing w:after="100" w:afterAutospacing="1"/>
              <w:rPr>
                <w:lang w:val="en-AU"/>
              </w:rPr>
            </w:pPr>
            <w:r w:rsidRPr="00C62A13">
              <w:rPr>
                <w:lang w:val="en-AU"/>
              </w:rPr>
              <w:t>Analyses</w:t>
            </w:r>
          </w:p>
        </w:tc>
        <w:tc>
          <w:tcPr>
            <w:tcW w:w="838" w:type="pct"/>
          </w:tcPr>
          <w:p w:rsidR="005058F8" w:rsidRPr="00C62A13" w:rsidRDefault="005058F8" w:rsidP="00684832">
            <w:pPr>
              <w:pStyle w:val="In-tableHeading"/>
              <w:keepLines/>
              <w:spacing w:after="100" w:afterAutospacing="1"/>
              <w:jc w:val="center"/>
              <w:rPr>
                <w:lang w:val="en-AU"/>
              </w:rPr>
            </w:pPr>
            <w:r w:rsidRPr="00C62A13">
              <w:rPr>
                <w:lang w:val="en-AU"/>
              </w:rPr>
              <w:t>Incremental cost</w:t>
            </w:r>
          </w:p>
        </w:tc>
        <w:tc>
          <w:tcPr>
            <w:tcW w:w="914" w:type="pct"/>
          </w:tcPr>
          <w:p w:rsidR="005058F8" w:rsidRPr="00C62A13" w:rsidRDefault="005058F8" w:rsidP="00684832">
            <w:pPr>
              <w:pStyle w:val="In-tableHeading"/>
              <w:keepLines/>
              <w:spacing w:after="100" w:afterAutospacing="1"/>
              <w:jc w:val="center"/>
              <w:rPr>
                <w:lang w:val="en-AU"/>
              </w:rPr>
            </w:pPr>
            <w:r w:rsidRPr="00C62A13">
              <w:rPr>
                <w:lang w:val="en-AU"/>
              </w:rPr>
              <w:t>Incremental QALY</w:t>
            </w:r>
          </w:p>
        </w:tc>
        <w:tc>
          <w:tcPr>
            <w:tcW w:w="676" w:type="pct"/>
          </w:tcPr>
          <w:p w:rsidR="005058F8" w:rsidRPr="00C62A13" w:rsidRDefault="005058F8" w:rsidP="00684832">
            <w:pPr>
              <w:pStyle w:val="In-tableHeading"/>
              <w:keepLines/>
              <w:spacing w:after="100" w:afterAutospacing="1"/>
              <w:jc w:val="center"/>
              <w:rPr>
                <w:lang w:val="en-AU"/>
              </w:rPr>
            </w:pPr>
            <w:r w:rsidRPr="00C62A13">
              <w:rPr>
                <w:lang w:val="en-AU"/>
              </w:rPr>
              <w:t>ICER</w:t>
            </w:r>
          </w:p>
        </w:tc>
      </w:tr>
      <w:tr w:rsidR="005058F8" w:rsidRPr="00C62A13" w:rsidTr="00EF1109">
        <w:tc>
          <w:tcPr>
            <w:tcW w:w="2572" w:type="pct"/>
            <w:tcBorders>
              <w:bottom w:val="single" w:sz="4" w:space="0" w:color="auto"/>
            </w:tcBorders>
          </w:tcPr>
          <w:p w:rsidR="005058F8" w:rsidRPr="00C62A13" w:rsidRDefault="005058F8" w:rsidP="00684832">
            <w:pPr>
              <w:pStyle w:val="TableText0"/>
              <w:keepLines/>
              <w:spacing w:after="100" w:afterAutospacing="1"/>
              <w:rPr>
                <w:b/>
              </w:rPr>
            </w:pPr>
            <w:r w:rsidRPr="00C62A13">
              <w:rPr>
                <w:b/>
              </w:rPr>
              <w:t>Base case</w:t>
            </w:r>
          </w:p>
        </w:tc>
        <w:tc>
          <w:tcPr>
            <w:tcW w:w="838" w:type="pct"/>
            <w:tcBorders>
              <w:bottom w:val="single" w:sz="4" w:space="0" w:color="auto"/>
            </w:tcBorders>
          </w:tcPr>
          <w:p w:rsidR="005058F8" w:rsidRPr="00C62A13" w:rsidRDefault="005058F8" w:rsidP="00684832">
            <w:pPr>
              <w:pStyle w:val="TableText0"/>
              <w:keepLines/>
              <w:spacing w:after="100" w:afterAutospacing="1"/>
              <w:jc w:val="center"/>
              <w:rPr>
                <w:b/>
              </w:rPr>
            </w:pPr>
            <w:r w:rsidRPr="00C62A13">
              <w:rPr>
                <w:b/>
              </w:rPr>
              <w:t>$</w:t>
            </w:r>
            <w:r w:rsidR="00B95E7E">
              <w:rPr>
                <w:b/>
                <w:noProof/>
                <w:color w:val="000000"/>
                <w:highlight w:val="black"/>
              </w:rPr>
              <w:t>''''''''''''''</w:t>
            </w:r>
          </w:p>
        </w:tc>
        <w:tc>
          <w:tcPr>
            <w:tcW w:w="914" w:type="pct"/>
            <w:tcBorders>
              <w:bottom w:val="single" w:sz="4" w:space="0" w:color="auto"/>
            </w:tcBorders>
          </w:tcPr>
          <w:p w:rsidR="005058F8" w:rsidRPr="00C62A13" w:rsidRDefault="005058F8" w:rsidP="00684832">
            <w:pPr>
              <w:pStyle w:val="TableText0"/>
              <w:keepLines/>
              <w:spacing w:after="100" w:afterAutospacing="1"/>
              <w:jc w:val="center"/>
              <w:rPr>
                <w:b/>
              </w:rPr>
            </w:pPr>
            <w:r w:rsidRPr="00C62A13">
              <w:rPr>
                <w:b/>
              </w:rPr>
              <w:t>0.239</w:t>
            </w:r>
          </w:p>
        </w:tc>
        <w:tc>
          <w:tcPr>
            <w:tcW w:w="676" w:type="pct"/>
            <w:tcBorders>
              <w:bottom w:val="single" w:sz="4" w:space="0" w:color="auto"/>
            </w:tcBorders>
          </w:tcPr>
          <w:p w:rsidR="005058F8" w:rsidRPr="00003D1B" w:rsidRDefault="005058F8" w:rsidP="00684832">
            <w:pPr>
              <w:pStyle w:val="TableText0"/>
              <w:keepLines/>
              <w:spacing w:after="100" w:afterAutospacing="1"/>
              <w:jc w:val="center"/>
              <w:rPr>
                <w:b/>
                <w:vertAlign w:val="superscript"/>
              </w:rPr>
            </w:pPr>
            <w:r w:rsidRPr="00C62A13">
              <w:rPr>
                <w:b/>
              </w:rPr>
              <w:t>$</w:t>
            </w:r>
            <w:r w:rsidR="00B95E7E">
              <w:rPr>
                <w:b/>
                <w:noProof/>
                <w:color w:val="000000"/>
                <w:highlight w:val="black"/>
              </w:rPr>
              <w:t>'''''''''''''</w:t>
            </w:r>
            <w:r w:rsidR="00003D1B" w:rsidRPr="00C81E65">
              <w:rPr>
                <w:vertAlign w:val="superscript"/>
              </w:rPr>
              <w:t>1</w:t>
            </w:r>
          </w:p>
        </w:tc>
      </w:tr>
      <w:tr w:rsidR="005058F8" w:rsidRPr="00C62A13" w:rsidTr="00EF1109">
        <w:tc>
          <w:tcPr>
            <w:tcW w:w="2572" w:type="pct"/>
            <w:tcBorders>
              <w:top w:val="single" w:sz="4" w:space="0" w:color="auto"/>
              <w:left w:val="single" w:sz="4" w:space="0" w:color="auto"/>
              <w:bottom w:val="nil"/>
              <w:right w:val="single" w:sz="4" w:space="0" w:color="auto"/>
            </w:tcBorders>
          </w:tcPr>
          <w:p w:rsidR="005058F8" w:rsidRPr="00C62A13" w:rsidRDefault="005058F8" w:rsidP="00684832">
            <w:pPr>
              <w:pStyle w:val="TableText0"/>
              <w:keepLines/>
              <w:spacing w:after="100" w:afterAutospacing="1"/>
            </w:pPr>
            <w:r w:rsidRPr="00C62A13">
              <w:t>UPA 30</w:t>
            </w:r>
            <w:r w:rsidR="00424E0F" w:rsidRPr="00C62A13">
              <w:t xml:space="preserve"> </w:t>
            </w:r>
            <w:r w:rsidRPr="00C62A13">
              <w:t>mg Week 16 response (base case 0.808)</w:t>
            </w:r>
          </w:p>
        </w:tc>
        <w:tc>
          <w:tcPr>
            <w:tcW w:w="838" w:type="pct"/>
            <w:tcBorders>
              <w:top w:val="single" w:sz="4" w:space="0" w:color="auto"/>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p>
        </w:tc>
        <w:tc>
          <w:tcPr>
            <w:tcW w:w="914" w:type="pct"/>
            <w:tcBorders>
              <w:top w:val="single" w:sz="4" w:space="0" w:color="auto"/>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p>
        </w:tc>
        <w:tc>
          <w:tcPr>
            <w:tcW w:w="676" w:type="pct"/>
            <w:tcBorders>
              <w:top w:val="single" w:sz="4" w:space="0" w:color="auto"/>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p>
        </w:tc>
      </w:tr>
      <w:tr w:rsidR="005058F8" w:rsidRPr="00C62A13" w:rsidTr="00EF1109">
        <w:trPr>
          <w:trHeight w:val="80"/>
        </w:trPr>
        <w:tc>
          <w:tcPr>
            <w:tcW w:w="2572" w:type="pct"/>
            <w:tcBorders>
              <w:top w:val="nil"/>
              <w:left w:val="single" w:sz="4" w:space="0" w:color="auto"/>
              <w:bottom w:val="nil"/>
              <w:right w:val="single" w:sz="4" w:space="0" w:color="auto"/>
            </w:tcBorders>
          </w:tcPr>
          <w:p w:rsidR="005058F8" w:rsidRPr="00C62A13" w:rsidRDefault="005058F8" w:rsidP="008A3974">
            <w:pPr>
              <w:pStyle w:val="TableText0"/>
              <w:keepLines/>
              <w:numPr>
                <w:ilvl w:val="0"/>
                <w:numId w:val="11"/>
              </w:numPr>
              <w:ind w:left="254" w:hanging="183"/>
            </w:pPr>
            <w:r w:rsidRPr="00C62A13">
              <w:t>0.763 (‘lower 95%CI’)</w:t>
            </w:r>
          </w:p>
        </w:tc>
        <w:tc>
          <w:tcPr>
            <w:tcW w:w="838"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w:t>
            </w:r>
            <w:r w:rsidR="00B95E7E">
              <w:rPr>
                <w:noProof/>
                <w:color w:val="000000"/>
                <w:highlight w:val="black"/>
              </w:rPr>
              <w:t>'''''''''''''''</w:t>
            </w:r>
          </w:p>
        </w:tc>
        <w:tc>
          <w:tcPr>
            <w:tcW w:w="914"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0.189</w:t>
            </w:r>
          </w:p>
        </w:tc>
        <w:tc>
          <w:tcPr>
            <w:tcW w:w="676"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w:t>
            </w:r>
            <w:r w:rsidR="00B95E7E">
              <w:rPr>
                <w:noProof/>
                <w:color w:val="000000"/>
                <w:highlight w:val="black"/>
              </w:rPr>
              <w:t>''''''''''''''''''</w:t>
            </w:r>
            <w:r w:rsidR="00003D1B" w:rsidRPr="00003D1B">
              <w:rPr>
                <w:vertAlign w:val="superscript"/>
              </w:rPr>
              <w:t>2</w:t>
            </w:r>
          </w:p>
        </w:tc>
      </w:tr>
      <w:tr w:rsidR="005058F8" w:rsidRPr="00C62A13" w:rsidTr="00BE12A7">
        <w:tc>
          <w:tcPr>
            <w:tcW w:w="2572" w:type="pct"/>
            <w:tcBorders>
              <w:top w:val="nil"/>
              <w:left w:val="single" w:sz="4" w:space="0" w:color="auto"/>
              <w:bottom w:val="nil"/>
              <w:right w:val="single" w:sz="4" w:space="0" w:color="auto"/>
            </w:tcBorders>
          </w:tcPr>
          <w:p w:rsidR="005058F8" w:rsidRPr="00C62A13" w:rsidRDefault="005058F8" w:rsidP="008A3974">
            <w:pPr>
              <w:pStyle w:val="TableText0"/>
              <w:keepLines/>
              <w:numPr>
                <w:ilvl w:val="0"/>
                <w:numId w:val="11"/>
              </w:numPr>
              <w:ind w:left="254" w:hanging="183"/>
            </w:pPr>
            <w:r w:rsidRPr="00C62A13">
              <w:t>0.845 (‘upper 95%CI’)</w:t>
            </w:r>
          </w:p>
        </w:tc>
        <w:tc>
          <w:tcPr>
            <w:tcW w:w="838"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w:t>
            </w:r>
            <w:r w:rsidR="00B95E7E">
              <w:rPr>
                <w:noProof/>
                <w:color w:val="000000"/>
                <w:highlight w:val="black"/>
              </w:rPr>
              <w:t>''''''''''''''''</w:t>
            </w:r>
          </w:p>
        </w:tc>
        <w:tc>
          <w:tcPr>
            <w:tcW w:w="914"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0.281</w:t>
            </w:r>
          </w:p>
        </w:tc>
        <w:tc>
          <w:tcPr>
            <w:tcW w:w="676"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w:t>
            </w:r>
            <w:r w:rsidR="00B95E7E">
              <w:rPr>
                <w:noProof/>
                <w:color w:val="000000"/>
                <w:highlight w:val="black"/>
              </w:rPr>
              <w:t>'''''''''''''''</w:t>
            </w:r>
            <w:r w:rsidR="00003D1B" w:rsidRPr="00003D1B">
              <w:rPr>
                <w:vertAlign w:val="superscript"/>
              </w:rPr>
              <w:t>1</w:t>
            </w:r>
          </w:p>
        </w:tc>
      </w:tr>
      <w:tr w:rsidR="005058F8" w:rsidRPr="00C62A13" w:rsidTr="00BE12A7">
        <w:tc>
          <w:tcPr>
            <w:tcW w:w="2572" w:type="pct"/>
            <w:tcBorders>
              <w:top w:val="nil"/>
              <w:left w:val="single" w:sz="4" w:space="0" w:color="auto"/>
              <w:bottom w:val="nil"/>
              <w:right w:val="single" w:sz="4" w:space="0" w:color="auto"/>
            </w:tcBorders>
          </w:tcPr>
          <w:p w:rsidR="005058F8" w:rsidRPr="00C62A13" w:rsidRDefault="005058F8" w:rsidP="008A3974">
            <w:pPr>
              <w:pStyle w:val="TableText0"/>
              <w:keepLines/>
              <w:numPr>
                <w:ilvl w:val="0"/>
                <w:numId w:val="11"/>
              </w:numPr>
              <w:ind w:left="254" w:hanging="183"/>
              <w:rPr>
                <w:iCs/>
              </w:rPr>
            </w:pPr>
            <w:r w:rsidRPr="00C62A13">
              <w:rPr>
                <w:iCs/>
              </w:rPr>
              <w:t>0.702 (halve absolute treatment difference)</w:t>
            </w:r>
          </w:p>
        </w:tc>
        <w:tc>
          <w:tcPr>
            <w:tcW w:w="838"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w:t>
            </w:r>
            <w:r w:rsidR="00B95E7E">
              <w:rPr>
                <w:noProof/>
                <w:color w:val="000000"/>
                <w:highlight w:val="black"/>
              </w:rPr>
              <w:t>''''''''''''''''</w:t>
            </w:r>
          </w:p>
        </w:tc>
        <w:tc>
          <w:tcPr>
            <w:tcW w:w="914"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0.120</w:t>
            </w:r>
          </w:p>
        </w:tc>
        <w:tc>
          <w:tcPr>
            <w:tcW w:w="676" w:type="pct"/>
            <w:tcBorders>
              <w:top w:val="nil"/>
              <w:left w:val="single" w:sz="4" w:space="0" w:color="auto"/>
              <w:bottom w:val="nil"/>
              <w:right w:val="single" w:sz="4" w:space="0" w:color="auto"/>
            </w:tcBorders>
          </w:tcPr>
          <w:p w:rsidR="005058F8" w:rsidRPr="00C62A13" w:rsidRDefault="005058F8" w:rsidP="00684832">
            <w:pPr>
              <w:pStyle w:val="TableText0"/>
              <w:keepLines/>
              <w:spacing w:after="100" w:afterAutospacing="1"/>
              <w:jc w:val="center"/>
            </w:pPr>
            <w:r w:rsidRPr="00C62A13">
              <w:t>$</w:t>
            </w:r>
            <w:r w:rsidR="00B95E7E">
              <w:rPr>
                <w:noProof/>
                <w:color w:val="000000"/>
                <w:highlight w:val="black"/>
              </w:rPr>
              <w:t>'''''''''''''''</w:t>
            </w:r>
            <w:r w:rsidR="00C158D3">
              <w:rPr>
                <w:vertAlign w:val="superscript"/>
              </w:rPr>
              <w:t>3</w:t>
            </w:r>
          </w:p>
        </w:tc>
      </w:tr>
      <w:tr w:rsidR="00BE12A7" w:rsidRPr="00C62A13" w:rsidTr="00D970F5">
        <w:tc>
          <w:tcPr>
            <w:tcW w:w="2572" w:type="pct"/>
            <w:tcBorders>
              <w:top w:val="nil"/>
              <w:left w:val="single" w:sz="4" w:space="0" w:color="auto"/>
              <w:bottom w:val="single" w:sz="4" w:space="0" w:color="auto"/>
              <w:right w:val="single" w:sz="4" w:space="0" w:color="auto"/>
            </w:tcBorders>
          </w:tcPr>
          <w:p w:rsidR="00BE12A7" w:rsidRPr="00C62A13" w:rsidRDefault="00BE12A7" w:rsidP="008A3974">
            <w:pPr>
              <w:pStyle w:val="TableText0"/>
              <w:keepLines/>
              <w:numPr>
                <w:ilvl w:val="0"/>
                <w:numId w:val="11"/>
              </w:numPr>
              <w:ind w:left="254" w:hanging="183"/>
              <w:rPr>
                <w:iCs/>
              </w:rPr>
            </w:pPr>
            <w:r w:rsidRPr="00C62A13">
              <w:rPr>
                <w:iCs/>
              </w:rPr>
              <w:t>0.696 (RD = 0.10 for UPA vs DUPI in HEADS UP)</w:t>
            </w:r>
          </w:p>
        </w:tc>
        <w:tc>
          <w:tcPr>
            <w:tcW w:w="838" w:type="pct"/>
            <w:tcBorders>
              <w:top w:val="nil"/>
              <w:left w:val="single" w:sz="4" w:space="0" w:color="auto"/>
              <w:bottom w:val="single" w:sz="4" w:space="0" w:color="auto"/>
              <w:right w:val="single" w:sz="4" w:space="0" w:color="auto"/>
            </w:tcBorders>
            <w:vAlign w:val="center"/>
          </w:tcPr>
          <w:p w:rsidR="00BE12A7" w:rsidRPr="00C62A13" w:rsidRDefault="00BE12A7" w:rsidP="00684832">
            <w:pPr>
              <w:pStyle w:val="TableText0"/>
              <w:keepLines/>
              <w:spacing w:after="100" w:afterAutospacing="1"/>
              <w:jc w:val="center"/>
            </w:pPr>
            <w:r w:rsidRPr="00C62A13">
              <w:rPr>
                <w:iCs/>
              </w:rPr>
              <w:t>$</w:t>
            </w:r>
            <w:r w:rsidR="00B95E7E">
              <w:rPr>
                <w:iCs/>
                <w:noProof/>
                <w:color w:val="000000"/>
                <w:highlight w:val="black"/>
              </w:rPr>
              <w:t>''''''''''''''''''</w:t>
            </w:r>
          </w:p>
        </w:tc>
        <w:tc>
          <w:tcPr>
            <w:tcW w:w="914" w:type="pct"/>
            <w:tcBorders>
              <w:top w:val="nil"/>
              <w:left w:val="single" w:sz="4" w:space="0" w:color="auto"/>
              <w:bottom w:val="single" w:sz="4" w:space="0" w:color="auto"/>
              <w:right w:val="single" w:sz="4" w:space="0" w:color="auto"/>
            </w:tcBorders>
            <w:vAlign w:val="center"/>
          </w:tcPr>
          <w:p w:rsidR="00BE12A7" w:rsidRPr="00C62A13" w:rsidRDefault="00BE12A7" w:rsidP="00684832">
            <w:pPr>
              <w:pStyle w:val="TableText0"/>
              <w:keepLines/>
              <w:spacing w:after="100" w:afterAutospacing="1"/>
              <w:jc w:val="center"/>
            </w:pPr>
            <w:r w:rsidRPr="00C62A13">
              <w:rPr>
                <w:iCs/>
              </w:rPr>
              <w:t>0.113</w:t>
            </w:r>
          </w:p>
        </w:tc>
        <w:tc>
          <w:tcPr>
            <w:tcW w:w="676" w:type="pct"/>
            <w:tcBorders>
              <w:top w:val="nil"/>
              <w:left w:val="single" w:sz="4" w:space="0" w:color="auto"/>
              <w:bottom w:val="single" w:sz="4" w:space="0" w:color="auto"/>
              <w:right w:val="single" w:sz="4" w:space="0" w:color="auto"/>
            </w:tcBorders>
            <w:vAlign w:val="center"/>
          </w:tcPr>
          <w:p w:rsidR="00BE12A7" w:rsidRPr="00C62A13" w:rsidRDefault="00BE12A7" w:rsidP="00684832">
            <w:pPr>
              <w:pStyle w:val="TableText0"/>
              <w:keepLines/>
              <w:spacing w:after="100" w:afterAutospacing="1"/>
              <w:jc w:val="center"/>
            </w:pPr>
            <w:r w:rsidRPr="00C62A13">
              <w:rPr>
                <w:iCs/>
              </w:rPr>
              <w:t>$</w:t>
            </w:r>
            <w:r w:rsidR="00B95E7E">
              <w:rPr>
                <w:iCs/>
                <w:noProof/>
                <w:color w:val="000000"/>
                <w:highlight w:val="black"/>
              </w:rPr>
              <w:t>''''''''''''''''''</w:t>
            </w:r>
            <w:r w:rsidR="00C158D3">
              <w:rPr>
                <w:vertAlign w:val="superscript"/>
              </w:rPr>
              <w:t>3</w:t>
            </w:r>
          </w:p>
        </w:tc>
      </w:tr>
      <w:tr w:rsidR="00BE12A7" w:rsidRPr="00C62A13" w:rsidTr="00EF1109">
        <w:tc>
          <w:tcPr>
            <w:tcW w:w="2572"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rPr>
                <w:iCs/>
              </w:rPr>
            </w:pPr>
            <w:r w:rsidRPr="00C62A13">
              <w:rPr>
                <w:iCs/>
              </w:rPr>
              <w:t>Adjusted UPA 30 mg Week 16 response (base case 0.808), versus DUPI response of 0.596 (CsA naïve population)</w:t>
            </w:r>
          </w:p>
        </w:tc>
        <w:tc>
          <w:tcPr>
            <w:tcW w:w="838"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p>
        </w:tc>
        <w:tc>
          <w:tcPr>
            <w:tcW w:w="914"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p>
        </w:tc>
        <w:tc>
          <w:tcPr>
            <w:tcW w:w="676"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p>
        </w:tc>
      </w:tr>
      <w:tr w:rsidR="00BE12A7" w:rsidRPr="00C62A13" w:rsidTr="00EF1109">
        <w:tc>
          <w:tcPr>
            <w:tcW w:w="2572" w:type="pct"/>
            <w:tcBorders>
              <w:top w:val="nil"/>
              <w:left w:val="single" w:sz="4" w:space="0" w:color="auto"/>
              <w:bottom w:val="nil"/>
              <w:right w:val="single" w:sz="4" w:space="0" w:color="auto"/>
            </w:tcBorders>
          </w:tcPr>
          <w:p w:rsidR="00BE12A7" w:rsidRPr="00C62A13" w:rsidRDefault="00BE12A7" w:rsidP="008A3974">
            <w:pPr>
              <w:pStyle w:val="TableText0"/>
              <w:keepLines/>
              <w:numPr>
                <w:ilvl w:val="0"/>
                <w:numId w:val="11"/>
              </w:numPr>
              <w:ind w:left="254" w:hanging="183"/>
            </w:pPr>
            <w:r w:rsidRPr="00C62A13">
              <w:t>0.659 using pooled RR of UPA v PBO</w:t>
            </w:r>
          </w:p>
        </w:tc>
        <w:tc>
          <w:tcPr>
            <w:tcW w:w="838"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0.071</w:t>
            </w:r>
          </w:p>
        </w:tc>
        <w:tc>
          <w:tcPr>
            <w:tcW w:w="676"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B97AC3" w:rsidRPr="00C81E65">
              <w:rPr>
                <w:vertAlign w:val="superscript"/>
              </w:rPr>
              <w:t>4</w:t>
            </w:r>
          </w:p>
        </w:tc>
      </w:tr>
      <w:tr w:rsidR="00BE12A7" w:rsidRPr="00C62A13" w:rsidTr="00EF1109">
        <w:tc>
          <w:tcPr>
            <w:tcW w:w="2572" w:type="pct"/>
            <w:tcBorders>
              <w:top w:val="nil"/>
              <w:left w:val="single" w:sz="4" w:space="0" w:color="auto"/>
              <w:bottom w:val="nil"/>
              <w:right w:val="single" w:sz="4" w:space="0" w:color="auto"/>
            </w:tcBorders>
          </w:tcPr>
          <w:p w:rsidR="00BE12A7" w:rsidRPr="00C62A13" w:rsidRDefault="00BE12A7" w:rsidP="008A3974">
            <w:pPr>
              <w:pStyle w:val="TableText0"/>
              <w:keepLines/>
              <w:numPr>
                <w:ilvl w:val="0"/>
                <w:numId w:val="11"/>
              </w:numPr>
              <w:ind w:left="254" w:hanging="183"/>
            </w:pPr>
            <w:r w:rsidRPr="00C62A13">
              <w:t>0.769 using pooled RD of UPA v PBO</w:t>
            </w:r>
          </w:p>
        </w:tc>
        <w:tc>
          <w:tcPr>
            <w:tcW w:w="838"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0.195</w:t>
            </w:r>
          </w:p>
        </w:tc>
        <w:tc>
          <w:tcPr>
            <w:tcW w:w="676"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BE12A7" w:rsidRPr="00C62A13" w:rsidTr="00EF1109">
        <w:tc>
          <w:tcPr>
            <w:tcW w:w="2572" w:type="pct"/>
            <w:tcBorders>
              <w:top w:val="nil"/>
              <w:left w:val="single" w:sz="4" w:space="0" w:color="auto"/>
              <w:bottom w:val="nil"/>
              <w:right w:val="single" w:sz="4" w:space="0" w:color="auto"/>
            </w:tcBorders>
          </w:tcPr>
          <w:p w:rsidR="00BE12A7" w:rsidRPr="00C62A13" w:rsidRDefault="00BE12A7" w:rsidP="008A3974">
            <w:pPr>
              <w:pStyle w:val="TableText0"/>
              <w:keepLines/>
              <w:numPr>
                <w:ilvl w:val="0"/>
                <w:numId w:val="11"/>
              </w:numPr>
              <w:ind w:left="254" w:hanging="183"/>
            </w:pPr>
            <w:r w:rsidRPr="00C62A13">
              <w:t>0.662 using RR from indirect comparison of UPA v DUPI</w:t>
            </w:r>
          </w:p>
        </w:tc>
        <w:tc>
          <w:tcPr>
            <w:tcW w:w="838"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0.075</w:t>
            </w:r>
          </w:p>
        </w:tc>
        <w:tc>
          <w:tcPr>
            <w:tcW w:w="676"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B97AC3">
              <w:rPr>
                <w:vertAlign w:val="superscript"/>
              </w:rPr>
              <w:t>4</w:t>
            </w:r>
          </w:p>
        </w:tc>
      </w:tr>
      <w:tr w:rsidR="00BE12A7" w:rsidRPr="00C62A13" w:rsidTr="00EF1109">
        <w:tc>
          <w:tcPr>
            <w:tcW w:w="2572" w:type="pct"/>
            <w:tcBorders>
              <w:top w:val="nil"/>
              <w:left w:val="single" w:sz="4" w:space="0" w:color="auto"/>
              <w:bottom w:val="single" w:sz="4" w:space="0" w:color="auto"/>
              <w:right w:val="single" w:sz="4" w:space="0" w:color="auto"/>
            </w:tcBorders>
          </w:tcPr>
          <w:p w:rsidR="00BE12A7" w:rsidRPr="00C62A13" w:rsidRDefault="00BE12A7" w:rsidP="008A3974">
            <w:pPr>
              <w:pStyle w:val="TableText0"/>
              <w:keepLines/>
              <w:numPr>
                <w:ilvl w:val="0"/>
                <w:numId w:val="11"/>
              </w:numPr>
              <w:ind w:left="254" w:hanging="183"/>
            </w:pPr>
            <w:r w:rsidRPr="00C62A13">
              <w:t>0.766 using RD from indirect comparison of UPA v DUPI</w:t>
            </w:r>
          </w:p>
        </w:tc>
        <w:tc>
          <w:tcPr>
            <w:tcW w:w="838" w:type="pct"/>
            <w:tcBorders>
              <w:top w:val="nil"/>
              <w:left w:val="single" w:sz="4" w:space="0" w:color="auto"/>
              <w:bottom w:val="single" w:sz="4" w:space="0" w:color="auto"/>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single" w:sz="4" w:space="0" w:color="auto"/>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0.192</w:t>
            </w:r>
          </w:p>
        </w:tc>
        <w:tc>
          <w:tcPr>
            <w:tcW w:w="676" w:type="pct"/>
            <w:tcBorders>
              <w:top w:val="nil"/>
              <w:left w:val="single" w:sz="4" w:space="0" w:color="auto"/>
              <w:bottom w:val="single" w:sz="4" w:space="0" w:color="auto"/>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1C15E0" w:rsidRPr="00C62A13" w:rsidTr="001D25BE">
        <w:tc>
          <w:tcPr>
            <w:tcW w:w="2572" w:type="pct"/>
            <w:tcBorders>
              <w:top w:val="single" w:sz="4" w:space="0" w:color="auto"/>
              <w:left w:val="single" w:sz="4" w:space="0" w:color="auto"/>
              <w:bottom w:val="nil"/>
              <w:right w:val="single" w:sz="4" w:space="0" w:color="auto"/>
            </w:tcBorders>
          </w:tcPr>
          <w:p w:rsidR="001C15E0" w:rsidRPr="00C62A13" w:rsidRDefault="001C15E0" w:rsidP="001D25BE">
            <w:pPr>
              <w:pStyle w:val="TableText0"/>
              <w:keepNext w:val="0"/>
            </w:pPr>
            <w:r w:rsidRPr="00C62A13">
              <w:rPr>
                <w:iCs/>
              </w:rPr>
              <w:t>Adjusted UPA 30 mg Week 16 response (base case 0.808), versus DUPI response of 0.597 (ITT))</w:t>
            </w:r>
          </w:p>
        </w:tc>
        <w:tc>
          <w:tcPr>
            <w:tcW w:w="838" w:type="pct"/>
            <w:tcBorders>
              <w:top w:val="single" w:sz="4" w:space="0" w:color="auto"/>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p>
        </w:tc>
        <w:tc>
          <w:tcPr>
            <w:tcW w:w="914" w:type="pct"/>
            <w:tcBorders>
              <w:top w:val="single" w:sz="4" w:space="0" w:color="auto"/>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p>
        </w:tc>
        <w:tc>
          <w:tcPr>
            <w:tcW w:w="676" w:type="pct"/>
            <w:tcBorders>
              <w:top w:val="single" w:sz="4" w:space="0" w:color="auto"/>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p>
        </w:tc>
      </w:tr>
      <w:tr w:rsidR="001C15E0" w:rsidRPr="00C62A13" w:rsidTr="001D25BE">
        <w:tc>
          <w:tcPr>
            <w:tcW w:w="2572" w:type="pct"/>
            <w:tcBorders>
              <w:top w:val="nil"/>
              <w:left w:val="single" w:sz="4" w:space="0" w:color="auto"/>
              <w:bottom w:val="nil"/>
              <w:right w:val="single" w:sz="4" w:space="0" w:color="auto"/>
            </w:tcBorders>
          </w:tcPr>
          <w:p w:rsidR="001C15E0" w:rsidRPr="00C62A13" w:rsidRDefault="001C15E0" w:rsidP="008A3974">
            <w:pPr>
              <w:pStyle w:val="TableText0"/>
              <w:keepNext w:val="0"/>
              <w:numPr>
                <w:ilvl w:val="0"/>
                <w:numId w:val="11"/>
              </w:numPr>
              <w:ind w:left="254" w:hanging="183"/>
            </w:pPr>
            <w:r w:rsidRPr="00C62A13">
              <w:t>0.707: using pooled RR of UPA v PBO</w:t>
            </w:r>
          </w:p>
        </w:tc>
        <w:tc>
          <w:tcPr>
            <w:tcW w:w="838"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0.124</w:t>
            </w:r>
          </w:p>
        </w:tc>
        <w:tc>
          <w:tcPr>
            <w:tcW w:w="676"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r w:rsidR="00C158D3">
              <w:rPr>
                <w:vertAlign w:val="superscript"/>
              </w:rPr>
              <w:t>3</w:t>
            </w:r>
          </w:p>
        </w:tc>
      </w:tr>
      <w:tr w:rsidR="001C15E0" w:rsidRPr="00C62A13" w:rsidTr="001D25BE">
        <w:tc>
          <w:tcPr>
            <w:tcW w:w="2572" w:type="pct"/>
            <w:tcBorders>
              <w:top w:val="nil"/>
              <w:left w:val="single" w:sz="4" w:space="0" w:color="auto"/>
              <w:bottom w:val="nil"/>
              <w:right w:val="single" w:sz="4" w:space="0" w:color="auto"/>
            </w:tcBorders>
          </w:tcPr>
          <w:p w:rsidR="001C15E0" w:rsidRPr="00C62A13" w:rsidRDefault="001C15E0" w:rsidP="008A3974">
            <w:pPr>
              <w:pStyle w:val="TableText0"/>
              <w:keepNext w:val="0"/>
              <w:numPr>
                <w:ilvl w:val="0"/>
                <w:numId w:val="11"/>
              </w:numPr>
              <w:ind w:left="254" w:hanging="183"/>
            </w:pPr>
            <w:r w:rsidRPr="00C62A13">
              <w:t>0.775 using pooled RD of UPA v PBO</w:t>
            </w:r>
          </w:p>
        </w:tc>
        <w:tc>
          <w:tcPr>
            <w:tcW w:w="838"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0.201</w:t>
            </w:r>
          </w:p>
        </w:tc>
        <w:tc>
          <w:tcPr>
            <w:tcW w:w="676"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1C15E0" w:rsidRPr="00C62A13" w:rsidTr="001D25BE">
        <w:tc>
          <w:tcPr>
            <w:tcW w:w="2572" w:type="pct"/>
            <w:tcBorders>
              <w:top w:val="nil"/>
              <w:left w:val="single" w:sz="4" w:space="0" w:color="auto"/>
              <w:bottom w:val="nil"/>
              <w:right w:val="single" w:sz="4" w:space="0" w:color="auto"/>
            </w:tcBorders>
          </w:tcPr>
          <w:p w:rsidR="001C15E0" w:rsidRPr="00C62A13" w:rsidRDefault="001C15E0" w:rsidP="008A3974">
            <w:pPr>
              <w:pStyle w:val="TableText0"/>
              <w:keepNext w:val="0"/>
              <w:numPr>
                <w:ilvl w:val="0"/>
                <w:numId w:val="11"/>
              </w:numPr>
              <w:ind w:left="254" w:hanging="183"/>
            </w:pPr>
            <w:r w:rsidRPr="00C62A13">
              <w:t>0.705 using RR from indirect comparison of UPA v DUPI</w:t>
            </w:r>
          </w:p>
        </w:tc>
        <w:tc>
          <w:tcPr>
            <w:tcW w:w="838"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0.122</w:t>
            </w:r>
          </w:p>
        </w:tc>
        <w:tc>
          <w:tcPr>
            <w:tcW w:w="676" w:type="pct"/>
            <w:tcBorders>
              <w:top w:val="nil"/>
              <w:left w:val="single" w:sz="4" w:space="0" w:color="auto"/>
              <w:bottom w:val="nil"/>
              <w:right w:val="single" w:sz="4" w:space="0" w:color="auto"/>
            </w:tcBorders>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r w:rsidR="00C158D3">
              <w:rPr>
                <w:vertAlign w:val="superscript"/>
              </w:rPr>
              <w:t>3</w:t>
            </w:r>
          </w:p>
        </w:tc>
      </w:tr>
      <w:tr w:rsidR="001C15E0" w:rsidRPr="00C62A13" w:rsidTr="001C15E0">
        <w:tc>
          <w:tcPr>
            <w:tcW w:w="2572" w:type="pct"/>
            <w:tcBorders>
              <w:top w:val="nil"/>
              <w:left w:val="single" w:sz="4" w:space="0" w:color="auto"/>
              <w:bottom w:val="single" w:sz="4" w:space="0" w:color="auto"/>
              <w:right w:val="single" w:sz="4" w:space="0" w:color="auto"/>
            </w:tcBorders>
            <w:shd w:val="clear" w:color="auto" w:fill="B8CCE4" w:themeFill="accent1" w:themeFillTint="66"/>
          </w:tcPr>
          <w:p w:rsidR="001C15E0" w:rsidRPr="00C62A13" w:rsidRDefault="001C15E0" w:rsidP="008A3974">
            <w:pPr>
              <w:pStyle w:val="TableText0"/>
              <w:keepNext w:val="0"/>
              <w:numPr>
                <w:ilvl w:val="0"/>
                <w:numId w:val="11"/>
              </w:numPr>
              <w:ind w:left="254" w:hanging="183"/>
            </w:pPr>
            <w:r w:rsidRPr="00C62A13">
              <w:t>0.777 using RD from indirect comparison of UPA v DUPI</w:t>
            </w:r>
          </w:p>
        </w:tc>
        <w:tc>
          <w:tcPr>
            <w:tcW w:w="838" w:type="pct"/>
            <w:tcBorders>
              <w:top w:val="nil"/>
              <w:left w:val="single" w:sz="4" w:space="0" w:color="auto"/>
              <w:bottom w:val="single" w:sz="4" w:space="0" w:color="auto"/>
              <w:right w:val="single" w:sz="4" w:space="0" w:color="auto"/>
            </w:tcBorders>
            <w:shd w:val="clear" w:color="auto" w:fill="B8CCE4" w:themeFill="accent1" w:themeFillTint="66"/>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single" w:sz="4" w:space="0" w:color="auto"/>
              <w:right w:val="single" w:sz="4" w:space="0" w:color="auto"/>
            </w:tcBorders>
            <w:shd w:val="clear" w:color="auto" w:fill="B8CCE4" w:themeFill="accent1" w:themeFillTint="66"/>
          </w:tcPr>
          <w:p w:rsidR="001C15E0" w:rsidRPr="00C62A13" w:rsidRDefault="001C15E0" w:rsidP="001D25BE">
            <w:pPr>
              <w:pStyle w:val="TableText0"/>
              <w:keepNext w:val="0"/>
              <w:spacing w:after="100" w:afterAutospacing="1"/>
              <w:jc w:val="center"/>
              <w:rPr>
                <w:iCs/>
              </w:rPr>
            </w:pPr>
            <w:r w:rsidRPr="00C62A13">
              <w:rPr>
                <w:iCs/>
              </w:rPr>
              <w:t>0.203</w:t>
            </w:r>
          </w:p>
        </w:tc>
        <w:tc>
          <w:tcPr>
            <w:tcW w:w="676" w:type="pct"/>
            <w:tcBorders>
              <w:top w:val="nil"/>
              <w:left w:val="single" w:sz="4" w:space="0" w:color="auto"/>
              <w:bottom w:val="single" w:sz="4" w:space="0" w:color="auto"/>
              <w:right w:val="single" w:sz="4" w:space="0" w:color="auto"/>
            </w:tcBorders>
            <w:shd w:val="clear" w:color="auto" w:fill="B8CCE4" w:themeFill="accent1" w:themeFillTint="66"/>
          </w:tcPr>
          <w:p w:rsidR="001C15E0" w:rsidRPr="00C62A13" w:rsidRDefault="001C15E0" w:rsidP="001D25BE">
            <w:pPr>
              <w:pStyle w:val="TableText0"/>
              <w:keepNext w:val="0"/>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BE12A7" w:rsidRPr="00C62A13" w:rsidTr="00EF1109">
        <w:tc>
          <w:tcPr>
            <w:tcW w:w="2572"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rPr>
                <w:iCs/>
              </w:rPr>
            </w:pPr>
            <w:r w:rsidRPr="00C62A13">
              <w:rPr>
                <w:iCs/>
              </w:rPr>
              <w:t>Adjusted DUPI Week 16 response (base case 0.596), versus UPA 30 mg response of 0.808 (CsA naïve population)</w:t>
            </w:r>
          </w:p>
        </w:tc>
        <w:tc>
          <w:tcPr>
            <w:tcW w:w="838"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highlight w:val="yellow"/>
              </w:rPr>
            </w:pPr>
          </w:p>
        </w:tc>
        <w:tc>
          <w:tcPr>
            <w:tcW w:w="914"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highlight w:val="yellow"/>
              </w:rPr>
            </w:pPr>
          </w:p>
        </w:tc>
        <w:tc>
          <w:tcPr>
            <w:tcW w:w="676" w:type="pct"/>
            <w:tcBorders>
              <w:top w:val="single" w:sz="4" w:space="0" w:color="auto"/>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highlight w:val="yellow"/>
              </w:rPr>
            </w:pPr>
          </w:p>
        </w:tc>
      </w:tr>
      <w:tr w:rsidR="00BE12A7" w:rsidRPr="00C62A13" w:rsidTr="00EF1109">
        <w:tc>
          <w:tcPr>
            <w:tcW w:w="2572" w:type="pct"/>
            <w:tcBorders>
              <w:top w:val="nil"/>
              <w:left w:val="single" w:sz="4" w:space="0" w:color="auto"/>
              <w:bottom w:val="nil"/>
              <w:right w:val="single" w:sz="4" w:space="0" w:color="auto"/>
            </w:tcBorders>
          </w:tcPr>
          <w:p w:rsidR="00BE12A7" w:rsidRPr="00C62A13" w:rsidRDefault="00BE12A7" w:rsidP="008A3974">
            <w:pPr>
              <w:pStyle w:val="TableText0"/>
              <w:keepLines/>
              <w:numPr>
                <w:ilvl w:val="0"/>
                <w:numId w:val="11"/>
              </w:numPr>
              <w:ind w:left="254" w:hanging="183"/>
            </w:pPr>
            <w:r w:rsidRPr="00C62A13">
              <w:t xml:space="preserve">0.742 using pooled RR of DUPI v PBO </w:t>
            </w:r>
          </w:p>
        </w:tc>
        <w:tc>
          <w:tcPr>
            <w:tcW w:w="838"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0.075</w:t>
            </w:r>
          </w:p>
        </w:tc>
        <w:tc>
          <w:tcPr>
            <w:tcW w:w="676"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B97AC3">
              <w:rPr>
                <w:vertAlign w:val="superscript"/>
              </w:rPr>
              <w:t>5</w:t>
            </w:r>
          </w:p>
        </w:tc>
      </w:tr>
      <w:tr w:rsidR="00BE12A7" w:rsidRPr="00C62A13" w:rsidTr="00EF1109">
        <w:tc>
          <w:tcPr>
            <w:tcW w:w="2572" w:type="pct"/>
            <w:tcBorders>
              <w:top w:val="nil"/>
              <w:left w:val="single" w:sz="4" w:space="0" w:color="auto"/>
              <w:bottom w:val="nil"/>
              <w:right w:val="single" w:sz="4" w:space="0" w:color="auto"/>
            </w:tcBorders>
          </w:tcPr>
          <w:p w:rsidR="00BE12A7" w:rsidRPr="00C62A13" w:rsidRDefault="00BE12A7" w:rsidP="008A3974">
            <w:pPr>
              <w:pStyle w:val="TableText0"/>
              <w:keepLines/>
              <w:numPr>
                <w:ilvl w:val="0"/>
                <w:numId w:val="11"/>
              </w:numPr>
              <w:ind w:left="254" w:hanging="183"/>
            </w:pPr>
            <w:r w:rsidRPr="00C62A13">
              <w:t>0.648 using pooled RD of DUPI v PBO</w:t>
            </w:r>
          </w:p>
        </w:tc>
        <w:tc>
          <w:tcPr>
            <w:tcW w:w="838"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0.181</w:t>
            </w:r>
          </w:p>
        </w:tc>
        <w:tc>
          <w:tcPr>
            <w:tcW w:w="676"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BE12A7" w:rsidRPr="00C62A13" w:rsidTr="00EF1109">
        <w:tc>
          <w:tcPr>
            <w:tcW w:w="2572" w:type="pct"/>
            <w:tcBorders>
              <w:top w:val="nil"/>
              <w:left w:val="single" w:sz="4" w:space="0" w:color="auto"/>
              <w:bottom w:val="nil"/>
              <w:right w:val="single" w:sz="4" w:space="0" w:color="auto"/>
            </w:tcBorders>
          </w:tcPr>
          <w:p w:rsidR="00BE12A7" w:rsidRPr="00C62A13" w:rsidRDefault="00BE12A7" w:rsidP="008A3974">
            <w:pPr>
              <w:pStyle w:val="TableText0"/>
              <w:keepLines/>
              <w:numPr>
                <w:ilvl w:val="0"/>
                <w:numId w:val="11"/>
              </w:numPr>
              <w:ind w:left="254" w:hanging="183"/>
            </w:pPr>
            <w:r w:rsidRPr="00C62A13">
              <w:t>0.728 using RR from indirect comparison of UPA v DUPI</w:t>
            </w:r>
          </w:p>
        </w:tc>
        <w:tc>
          <w:tcPr>
            <w:tcW w:w="838"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0.090</w:t>
            </w:r>
          </w:p>
        </w:tc>
        <w:tc>
          <w:tcPr>
            <w:tcW w:w="676" w:type="pct"/>
            <w:tcBorders>
              <w:top w:val="nil"/>
              <w:left w:val="single" w:sz="4" w:space="0" w:color="auto"/>
              <w:bottom w:val="nil"/>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B97AC3" w:rsidRPr="00C81E65">
              <w:rPr>
                <w:vertAlign w:val="superscript"/>
              </w:rPr>
              <w:t>4</w:t>
            </w:r>
          </w:p>
        </w:tc>
      </w:tr>
      <w:tr w:rsidR="00BE12A7" w:rsidRPr="00C62A13" w:rsidTr="00EF1109">
        <w:tc>
          <w:tcPr>
            <w:tcW w:w="2572" w:type="pct"/>
            <w:tcBorders>
              <w:top w:val="nil"/>
              <w:left w:val="single" w:sz="4" w:space="0" w:color="auto"/>
              <w:bottom w:val="single" w:sz="4" w:space="0" w:color="auto"/>
              <w:right w:val="single" w:sz="4" w:space="0" w:color="auto"/>
            </w:tcBorders>
          </w:tcPr>
          <w:p w:rsidR="00BE12A7" w:rsidRPr="00C62A13" w:rsidRDefault="00BE12A7" w:rsidP="008A3974">
            <w:pPr>
              <w:pStyle w:val="TableText0"/>
              <w:keepLines/>
              <w:numPr>
                <w:ilvl w:val="0"/>
                <w:numId w:val="11"/>
              </w:numPr>
              <w:ind w:left="254" w:hanging="183"/>
            </w:pPr>
            <w:r w:rsidRPr="00C62A13">
              <w:t>0.638 using RD from indirect comparison of UPA v DUPI</w:t>
            </w:r>
          </w:p>
        </w:tc>
        <w:tc>
          <w:tcPr>
            <w:tcW w:w="838" w:type="pct"/>
            <w:tcBorders>
              <w:top w:val="nil"/>
              <w:left w:val="single" w:sz="4" w:space="0" w:color="auto"/>
              <w:bottom w:val="single" w:sz="4" w:space="0" w:color="auto"/>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single" w:sz="4" w:space="0" w:color="auto"/>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0.192</w:t>
            </w:r>
          </w:p>
        </w:tc>
        <w:tc>
          <w:tcPr>
            <w:tcW w:w="676" w:type="pct"/>
            <w:tcBorders>
              <w:top w:val="nil"/>
              <w:left w:val="single" w:sz="4" w:space="0" w:color="auto"/>
              <w:bottom w:val="single" w:sz="4" w:space="0" w:color="auto"/>
              <w:right w:val="single" w:sz="4" w:space="0" w:color="auto"/>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BE12A7" w:rsidRPr="00C62A13" w:rsidTr="00D970F5">
        <w:tc>
          <w:tcPr>
            <w:tcW w:w="2572" w:type="pct"/>
            <w:tcBorders>
              <w:top w:val="single" w:sz="4" w:space="0" w:color="auto"/>
            </w:tcBorders>
          </w:tcPr>
          <w:p w:rsidR="00BE12A7" w:rsidRPr="00C62A13" w:rsidRDefault="00BE12A7" w:rsidP="00684832">
            <w:pPr>
              <w:pStyle w:val="TableText0"/>
              <w:keepLines/>
              <w:spacing w:after="100" w:afterAutospacing="1"/>
            </w:pPr>
            <w:r w:rsidRPr="00C62A13">
              <w:rPr>
                <w:iCs/>
              </w:rPr>
              <w:t>Assuming higher loss of response for UPA 30 mg</w:t>
            </w:r>
            <w:r w:rsidR="00DF527F" w:rsidRPr="00C62A13">
              <w:rPr>
                <w:iCs/>
              </w:rPr>
              <w:t xml:space="preserve"> from Week 42</w:t>
            </w:r>
            <w:r w:rsidRPr="00C62A13">
              <w:rPr>
                <w:iCs/>
              </w:rPr>
              <w:t xml:space="preserve"> (responder curves </w:t>
            </w:r>
            <w:r w:rsidR="00BF6BC0" w:rsidRPr="00C62A13">
              <w:rPr>
                <w:iCs/>
              </w:rPr>
              <w:t xml:space="preserve">converge </w:t>
            </w:r>
            <w:r w:rsidRPr="00C62A13">
              <w:rPr>
                <w:iCs/>
              </w:rPr>
              <w:t>at 5.3 years)</w:t>
            </w:r>
          </w:p>
        </w:tc>
        <w:tc>
          <w:tcPr>
            <w:tcW w:w="838" w:type="pct"/>
            <w:tcBorders>
              <w:top w:val="single" w:sz="4" w:space="0" w:color="auto"/>
            </w:tcBorders>
            <w:vAlign w:val="center"/>
          </w:tcPr>
          <w:p w:rsidR="00BE12A7" w:rsidRPr="00C62A13" w:rsidRDefault="00BE12A7" w:rsidP="00684832">
            <w:pPr>
              <w:pStyle w:val="TableText0"/>
              <w:keepLines/>
              <w:spacing w:after="100" w:afterAutospacing="1"/>
              <w:jc w:val="center"/>
            </w:pPr>
            <w:r w:rsidRPr="00C62A13">
              <w:rPr>
                <w:iCs/>
              </w:rPr>
              <w:t>$</w:t>
            </w:r>
            <w:r w:rsidR="00B95E7E">
              <w:rPr>
                <w:iCs/>
                <w:noProof/>
                <w:color w:val="000000"/>
                <w:highlight w:val="black"/>
              </w:rPr>
              <w:t>''''''''''''''''</w:t>
            </w:r>
          </w:p>
        </w:tc>
        <w:tc>
          <w:tcPr>
            <w:tcW w:w="914" w:type="pct"/>
            <w:tcBorders>
              <w:top w:val="single" w:sz="4" w:space="0" w:color="auto"/>
            </w:tcBorders>
            <w:vAlign w:val="center"/>
          </w:tcPr>
          <w:p w:rsidR="00BE12A7" w:rsidRPr="00C62A13" w:rsidRDefault="00BE12A7" w:rsidP="00684832">
            <w:pPr>
              <w:pStyle w:val="TableText0"/>
              <w:keepLines/>
              <w:spacing w:after="100" w:afterAutospacing="1"/>
              <w:jc w:val="center"/>
            </w:pPr>
            <w:r w:rsidRPr="00C62A13">
              <w:rPr>
                <w:iCs/>
              </w:rPr>
              <w:t>0.134</w:t>
            </w:r>
          </w:p>
        </w:tc>
        <w:tc>
          <w:tcPr>
            <w:tcW w:w="676" w:type="pct"/>
            <w:tcBorders>
              <w:top w:val="single" w:sz="4" w:space="0" w:color="auto"/>
            </w:tcBorders>
            <w:vAlign w:val="center"/>
          </w:tcPr>
          <w:p w:rsidR="00BE12A7" w:rsidRPr="00C62A13" w:rsidRDefault="00BE12A7" w:rsidP="00684832">
            <w:pPr>
              <w:pStyle w:val="TableText0"/>
              <w:keepLines/>
              <w:spacing w:after="100" w:afterAutospacing="1"/>
              <w:jc w:val="center"/>
            </w:pPr>
            <w:r w:rsidRPr="00C62A13">
              <w:rPr>
                <w:iCs/>
              </w:rPr>
              <w:t>$</w:t>
            </w:r>
            <w:r w:rsidR="00B95E7E">
              <w:rPr>
                <w:iCs/>
                <w:noProof/>
                <w:color w:val="000000"/>
                <w:highlight w:val="black"/>
              </w:rPr>
              <w:t>'''''''''''''''</w:t>
            </w:r>
            <w:r w:rsidR="00C158D3" w:rsidRPr="00003D1B">
              <w:rPr>
                <w:vertAlign w:val="superscript"/>
              </w:rPr>
              <w:t>2</w:t>
            </w:r>
          </w:p>
        </w:tc>
      </w:tr>
      <w:tr w:rsidR="00BE12A7" w:rsidRPr="00C62A13" w:rsidTr="00EF1109">
        <w:tc>
          <w:tcPr>
            <w:tcW w:w="2572" w:type="pct"/>
            <w:tcBorders>
              <w:bottom w:val="single" w:sz="4" w:space="0" w:color="auto"/>
            </w:tcBorders>
          </w:tcPr>
          <w:p w:rsidR="00BE12A7" w:rsidRPr="00C62A13" w:rsidRDefault="00BE12A7" w:rsidP="00684832">
            <w:pPr>
              <w:pStyle w:val="TableText0"/>
              <w:keepLines/>
              <w:spacing w:after="100" w:afterAutospacing="1"/>
            </w:pPr>
            <w:r w:rsidRPr="00C62A13">
              <w:t>Costs of phototherapy included</w:t>
            </w:r>
          </w:p>
        </w:tc>
        <w:tc>
          <w:tcPr>
            <w:tcW w:w="838" w:type="pct"/>
            <w:tcBorders>
              <w:bottom w:val="single" w:sz="4" w:space="0" w:color="auto"/>
            </w:tcBorders>
          </w:tcPr>
          <w:p w:rsidR="00BE12A7" w:rsidRPr="00C62A13" w:rsidRDefault="00BE12A7" w:rsidP="00684832">
            <w:pPr>
              <w:pStyle w:val="TableText0"/>
              <w:keepLines/>
              <w:spacing w:after="100" w:afterAutospacing="1"/>
              <w:jc w:val="center"/>
            </w:pPr>
            <w:r w:rsidRPr="00C62A13">
              <w:t>$</w:t>
            </w:r>
            <w:r w:rsidR="00B95E7E">
              <w:rPr>
                <w:noProof/>
                <w:color w:val="000000"/>
                <w:highlight w:val="black"/>
              </w:rPr>
              <w:t>''''''''''''''''''</w:t>
            </w:r>
          </w:p>
        </w:tc>
        <w:tc>
          <w:tcPr>
            <w:tcW w:w="914" w:type="pct"/>
            <w:tcBorders>
              <w:bottom w:val="single" w:sz="4" w:space="0" w:color="auto"/>
            </w:tcBorders>
          </w:tcPr>
          <w:p w:rsidR="00BE12A7" w:rsidRPr="00C62A13" w:rsidRDefault="00BE12A7" w:rsidP="00684832">
            <w:pPr>
              <w:pStyle w:val="TableText0"/>
              <w:keepLines/>
              <w:spacing w:after="100" w:afterAutospacing="1"/>
              <w:jc w:val="center"/>
            </w:pPr>
            <w:r w:rsidRPr="00C62A13">
              <w:t>0.239</w:t>
            </w:r>
          </w:p>
        </w:tc>
        <w:tc>
          <w:tcPr>
            <w:tcW w:w="676" w:type="pct"/>
            <w:tcBorders>
              <w:bottom w:val="single" w:sz="4" w:space="0" w:color="auto"/>
            </w:tcBorders>
          </w:tcPr>
          <w:p w:rsidR="00BE12A7" w:rsidRPr="00C62A13" w:rsidRDefault="00BE12A7" w:rsidP="00684832">
            <w:pPr>
              <w:pStyle w:val="TableText0"/>
              <w:keepLines/>
              <w:spacing w:after="100" w:afterAutospacing="1"/>
              <w:jc w:val="center"/>
            </w:pPr>
            <w:r w:rsidRPr="00C62A13">
              <w:t>$</w:t>
            </w:r>
            <w:r w:rsidR="00B95E7E">
              <w:rPr>
                <w:noProof/>
                <w:color w:val="000000"/>
                <w:highlight w:val="black"/>
              </w:rPr>
              <w:t>'''''''''''''''''</w:t>
            </w:r>
            <w:r w:rsidR="00003D1B" w:rsidRPr="00003D1B">
              <w:rPr>
                <w:vertAlign w:val="superscript"/>
              </w:rPr>
              <w:t>1</w:t>
            </w:r>
          </w:p>
        </w:tc>
      </w:tr>
      <w:tr w:rsidR="00BE12A7" w:rsidRPr="00C62A13" w:rsidTr="00EF1109">
        <w:tc>
          <w:tcPr>
            <w:tcW w:w="2572" w:type="pct"/>
            <w:tcBorders>
              <w:bottom w:val="nil"/>
            </w:tcBorders>
          </w:tcPr>
          <w:p w:rsidR="00BE12A7" w:rsidRPr="00C62A13" w:rsidRDefault="00BE12A7" w:rsidP="00684832">
            <w:pPr>
              <w:pStyle w:val="TableText0"/>
              <w:keepLines/>
              <w:spacing w:after="100" w:afterAutospacing="1"/>
            </w:pPr>
            <w:r w:rsidRPr="00C62A13">
              <w:t>Utility values</w:t>
            </w:r>
          </w:p>
        </w:tc>
        <w:tc>
          <w:tcPr>
            <w:tcW w:w="838" w:type="pct"/>
            <w:tcBorders>
              <w:bottom w:val="nil"/>
            </w:tcBorders>
          </w:tcPr>
          <w:p w:rsidR="00BE12A7" w:rsidRPr="00C62A13" w:rsidRDefault="00BE12A7" w:rsidP="00684832">
            <w:pPr>
              <w:pStyle w:val="TableText0"/>
              <w:keepLines/>
              <w:spacing w:after="100" w:afterAutospacing="1"/>
              <w:jc w:val="center"/>
              <w:rPr>
                <w:iCs/>
              </w:rPr>
            </w:pPr>
          </w:p>
        </w:tc>
        <w:tc>
          <w:tcPr>
            <w:tcW w:w="914" w:type="pct"/>
            <w:tcBorders>
              <w:bottom w:val="nil"/>
            </w:tcBorders>
          </w:tcPr>
          <w:p w:rsidR="00BE12A7" w:rsidRPr="00C62A13" w:rsidRDefault="00BE12A7" w:rsidP="00684832">
            <w:pPr>
              <w:pStyle w:val="TableText0"/>
              <w:keepLines/>
              <w:spacing w:after="100" w:afterAutospacing="1"/>
              <w:jc w:val="center"/>
              <w:rPr>
                <w:iCs/>
              </w:rPr>
            </w:pPr>
          </w:p>
        </w:tc>
        <w:tc>
          <w:tcPr>
            <w:tcW w:w="676" w:type="pct"/>
            <w:tcBorders>
              <w:bottom w:val="nil"/>
            </w:tcBorders>
          </w:tcPr>
          <w:p w:rsidR="00BE12A7" w:rsidRPr="00C62A13" w:rsidRDefault="00BE12A7" w:rsidP="00684832">
            <w:pPr>
              <w:pStyle w:val="TableText0"/>
              <w:keepLines/>
              <w:spacing w:after="100" w:afterAutospacing="1"/>
              <w:jc w:val="center"/>
              <w:rPr>
                <w:iCs/>
              </w:rPr>
            </w:pPr>
          </w:p>
        </w:tc>
      </w:tr>
      <w:tr w:rsidR="00BE12A7" w:rsidRPr="00C62A13" w:rsidTr="00EF1109">
        <w:tc>
          <w:tcPr>
            <w:tcW w:w="2572" w:type="pct"/>
            <w:tcBorders>
              <w:top w:val="nil"/>
              <w:bottom w:val="nil"/>
            </w:tcBorders>
          </w:tcPr>
          <w:p w:rsidR="00BE12A7" w:rsidRPr="00C62A13" w:rsidRDefault="00BE12A7" w:rsidP="008A3974">
            <w:pPr>
              <w:pStyle w:val="TableText0"/>
              <w:keepLines/>
              <w:numPr>
                <w:ilvl w:val="0"/>
                <w:numId w:val="11"/>
              </w:numPr>
              <w:ind w:left="254" w:hanging="183"/>
            </w:pPr>
            <w:r w:rsidRPr="00C62A13">
              <w:t>0.79 for long-term responder</w:t>
            </w:r>
          </w:p>
        </w:tc>
        <w:tc>
          <w:tcPr>
            <w:tcW w:w="838" w:type="pct"/>
            <w:tcBorders>
              <w:top w:val="nil"/>
              <w:bottom w:val="nil"/>
            </w:tcBorders>
          </w:tcPr>
          <w:p w:rsidR="00BE12A7" w:rsidRPr="00C62A13" w:rsidRDefault="00BE12A7" w:rsidP="00684832">
            <w:pPr>
              <w:pStyle w:val="TableText0"/>
              <w:keepLines/>
              <w:spacing w:after="100" w:afterAutospacing="1"/>
              <w:jc w:val="center"/>
              <w:rPr>
                <w:iCs/>
              </w:rPr>
            </w:pPr>
            <w:r w:rsidRPr="00C62A13">
              <w:t>$</w:t>
            </w:r>
            <w:r w:rsidR="00B95E7E">
              <w:rPr>
                <w:noProof/>
                <w:color w:val="000000"/>
                <w:highlight w:val="black"/>
              </w:rPr>
              <w:t>''''''''''''''''</w:t>
            </w:r>
          </w:p>
        </w:tc>
        <w:tc>
          <w:tcPr>
            <w:tcW w:w="914" w:type="pct"/>
            <w:tcBorders>
              <w:top w:val="nil"/>
              <w:bottom w:val="nil"/>
            </w:tcBorders>
          </w:tcPr>
          <w:p w:rsidR="00BE12A7" w:rsidRPr="00C62A13" w:rsidRDefault="00BE12A7" w:rsidP="00684832">
            <w:pPr>
              <w:pStyle w:val="TableText0"/>
              <w:keepLines/>
              <w:spacing w:after="100" w:afterAutospacing="1"/>
              <w:jc w:val="center"/>
              <w:rPr>
                <w:iCs/>
              </w:rPr>
            </w:pPr>
            <w:r w:rsidRPr="00C62A13">
              <w:t>0.159</w:t>
            </w:r>
          </w:p>
        </w:tc>
        <w:tc>
          <w:tcPr>
            <w:tcW w:w="676" w:type="pct"/>
            <w:tcBorders>
              <w:top w:val="nil"/>
              <w:bottom w:val="nil"/>
            </w:tcBorders>
          </w:tcPr>
          <w:p w:rsidR="00BE12A7" w:rsidRPr="00C62A13" w:rsidRDefault="00BE12A7" w:rsidP="00684832">
            <w:pPr>
              <w:pStyle w:val="TableText0"/>
              <w:keepLines/>
              <w:spacing w:after="100" w:afterAutospacing="1"/>
              <w:jc w:val="center"/>
              <w:rPr>
                <w:iCs/>
              </w:rPr>
            </w:pPr>
            <w:r w:rsidRPr="00C62A13">
              <w:t>$</w:t>
            </w:r>
            <w:r w:rsidR="00B95E7E">
              <w:rPr>
                <w:noProof/>
                <w:color w:val="000000"/>
                <w:highlight w:val="black"/>
              </w:rPr>
              <w:t>'''''''''''''''''</w:t>
            </w:r>
            <w:r w:rsidR="00C158D3">
              <w:rPr>
                <w:vertAlign w:val="superscript"/>
              </w:rPr>
              <w:t>3</w:t>
            </w:r>
          </w:p>
        </w:tc>
      </w:tr>
      <w:tr w:rsidR="00BE12A7" w:rsidRPr="00C62A13" w:rsidTr="004B307D">
        <w:tc>
          <w:tcPr>
            <w:tcW w:w="2572" w:type="pct"/>
            <w:tcBorders>
              <w:top w:val="nil"/>
              <w:bottom w:val="nil"/>
            </w:tcBorders>
          </w:tcPr>
          <w:p w:rsidR="00BE12A7" w:rsidRPr="00C62A13" w:rsidRDefault="00BE12A7" w:rsidP="008A3974">
            <w:pPr>
              <w:pStyle w:val="TableText0"/>
              <w:keepLines/>
              <w:numPr>
                <w:ilvl w:val="0"/>
                <w:numId w:val="11"/>
              </w:numPr>
              <w:ind w:left="254" w:hanging="183"/>
              <w:rPr>
                <w:iCs/>
              </w:rPr>
            </w:pPr>
            <w:r w:rsidRPr="00C62A13">
              <w:rPr>
                <w:iCs/>
              </w:rPr>
              <w:t>0.75 non-responder Week 16-42, and 0.62 ≥Week 42</w:t>
            </w:r>
          </w:p>
        </w:tc>
        <w:tc>
          <w:tcPr>
            <w:tcW w:w="838" w:type="pct"/>
            <w:tcBorders>
              <w:top w:val="nil"/>
              <w:bottom w:val="nil"/>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p>
        </w:tc>
        <w:tc>
          <w:tcPr>
            <w:tcW w:w="914" w:type="pct"/>
            <w:tcBorders>
              <w:top w:val="nil"/>
              <w:bottom w:val="nil"/>
            </w:tcBorders>
          </w:tcPr>
          <w:p w:rsidR="00BE12A7" w:rsidRPr="00C62A13" w:rsidRDefault="00BE12A7" w:rsidP="00684832">
            <w:pPr>
              <w:pStyle w:val="TableText0"/>
              <w:keepLines/>
              <w:spacing w:after="100" w:afterAutospacing="1"/>
              <w:jc w:val="center"/>
              <w:rPr>
                <w:iCs/>
              </w:rPr>
            </w:pPr>
            <w:r w:rsidRPr="00C62A13">
              <w:rPr>
                <w:iCs/>
              </w:rPr>
              <w:t>0.210</w:t>
            </w:r>
          </w:p>
        </w:tc>
        <w:tc>
          <w:tcPr>
            <w:tcW w:w="676" w:type="pct"/>
            <w:tcBorders>
              <w:top w:val="nil"/>
              <w:bottom w:val="nil"/>
            </w:tcBorders>
          </w:tcPr>
          <w:p w:rsidR="00BE12A7" w:rsidRPr="00C62A13" w:rsidRDefault="00BE12A7" w:rsidP="00684832">
            <w:pPr>
              <w:pStyle w:val="TableText0"/>
              <w:keepLines/>
              <w:spacing w:after="100" w:afterAutospacing="1"/>
              <w:jc w:val="center"/>
              <w:rPr>
                <w:iCs/>
              </w:rPr>
            </w:pPr>
            <w:r w:rsidRPr="00C62A13">
              <w:rPr>
                <w:iCs/>
              </w:rPr>
              <w:t>$</w:t>
            </w:r>
            <w:r w:rsidR="00B95E7E">
              <w:rPr>
                <w:iCs/>
                <w:noProof/>
                <w:color w:val="000000"/>
                <w:highlight w:val="black"/>
              </w:rPr>
              <w:t>''''''''''''''''</w:t>
            </w:r>
            <w:r w:rsidR="00C158D3" w:rsidRPr="00003D1B">
              <w:rPr>
                <w:vertAlign w:val="superscript"/>
              </w:rPr>
              <w:t>2</w:t>
            </w:r>
          </w:p>
        </w:tc>
      </w:tr>
      <w:tr w:rsidR="004B307D" w:rsidRPr="00C62A13" w:rsidTr="004B307D">
        <w:tc>
          <w:tcPr>
            <w:tcW w:w="5000" w:type="pct"/>
            <w:gridSpan w:val="4"/>
            <w:tcBorders>
              <w:top w:val="single" w:sz="4" w:space="0" w:color="auto"/>
              <w:left w:val="single" w:sz="4" w:space="0" w:color="auto"/>
              <w:bottom w:val="nil"/>
              <w:right w:val="single" w:sz="4" w:space="0" w:color="auto"/>
            </w:tcBorders>
            <w:vAlign w:val="center"/>
          </w:tcPr>
          <w:p w:rsidR="004B307D" w:rsidRPr="00C62A13" w:rsidRDefault="004B307D" w:rsidP="00155909">
            <w:pPr>
              <w:pStyle w:val="TableText0"/>
              <w:keepNext w:val="0"/>
              <w:keepLines/>
              <w:spacing w:after="100" w:afterAutospacing="1"/>
              <w:rPr>
                <w:b/>
                <w:bCs w:val="0"/>
                <w:i/>
                <w:iCs/>
              </w:rPr>
            </w:pPr>
            <w:r w:rsidRPr="00C62A13">
              <w:rPr>
                <w:b/>
                <w:bCs w:val="0"/>
                <w:i/>
                <w:iCs/>
              </w:rPr>
              <w:t>Multivariate sensitivities</w:t>
            </w:r>
          </w:p>
        </w:tc>
      </w:tr>
      <w:tr w:rsidR="004B307D" w:rsidRPr="00C62A13" w:rsidTr="00155909">
        <w:tc>
          <w:tcPr>
            <w:tcW w:w="2572" w:type="pct"/>
            <w:tcBorders>
              <w:top w:val="single" w:sz="4" w:space="0" w:color="auto"/>
              <w:left w:val="single" w:sz="4" w:space="0" w:color="auto"/>
              <w:bottom w:val="nil"/>
              <w:right w:val="single" w:sz="4" w:space="0" w:color="auto"/>
            </w:tcBorders>
          </w:tcPr>
          <w:p w:rsidR="004B307D" w:rsidRPr="00C62A13" w:rsidRDefault="004B307D" w:rsidP="00155909">
            <w:pPr>
              <w:pStyle w:val="TableText0"/>
              <w:keepNext w:val="0"/>
              <w:keepLines/>
              <w:rPr>
                <w:iCs/>
              </w:rPr>
            </w:pPr>
            <w:r w:rsidRPr="00C62A13">
              <w:rPr>
                <w:iCs/>
              </w:rPr>
              <w:t>Assuming higher loss of response for UPA 30 mg from Week 42 (responder curves converge at 5.3 years)</w:t>
            </w:r>
          </w:p>
          <w:p w:rsidR="004B307D" w:rsidRPr="00C62A13" w:rsidRDefault="004B307D" w:rsidP="00155909">
            <w:pPr>
              <w:pStyle w:val="TableText0"/>
              <w:keepNext w:val="0"/>
              <w:keepLines/>
              <w:rPr>
                <w:iCs/>
              </w:rPr>
            </w:pPr>
            <w:r w:rsidRPr="00C62A13">
              <w:rPr>
                <w:iCs/>
              </w:rPr>
              <w:t>AND</w:t>
            </w:r>
          </w:p>
          <w:p w:rsidR="004B307D" w:rsidRPr="00C62A13" w:rsidRDefault="004B307D" w:rsidP="00155909">
            <w:pPr>
              <w:pStyle w:val="TableText0"/>
              <w:keepNext w:val="0"/>
              <w:keepLines/>
              <w:rPr>
                <w:iCs/>
              </w:rPr>
            </w:pPr>
            <w:r w:rsidRPr="00C62A13">
              <w:rPr>
                <w:iCs/>
              </w:rPr>
              <w:t>Adjusted UPA 30 mg Week 16 response (base case 0.808), versus DUPI response of 0.596 (CsA naïve population)</w:t>
            </w:r>
          </w:p>
        </w:tc>
        <w:tc>
          <w:tcPr>
            <w:tcW w:w="838" w:type="pct"/>
            <w:tcBorders>
              <w:top w:val="single" w:sz="4" w:space="0" w:color="auto"/>
              <w:left w:val="single" w:sz="4" w:space="0" w:color="auto"/>
              <w:bottom w:val="nil"/>
              <w:right w:val="single" w:sz="4" w:space="0" w:color="auto"/>
            </w:tcBorders>
          </w:tcPr>
          <w:p w:rsidR="004B307D" w:rsidRPr="00C62A13" w:rsidRDefault="004B307D" w:rsidP="00155909">
            <w:pPr>
              <w:pStyle w:val="TableText0"/>
              <w:keepNext w:val="0"/>
              <w:keepLines/>
              <w:jc w:val="center"/>
              <w:rPr>
                <w:iCs/>
              </w:rPr>
            </w:pPr>
          </w:p>
        </w:tc>
        <w:tc>
          <w:tcPr>
            <w:tcW w:w="914" w:type="pct"/>
            <w:tcBorders>
              <w:top w:val="single" w:sz="4" w:space="0" w:color="auto"/>
              <w:left w:val="single" w:sz="4" w:space="0" w:color="auto"/>
              <w:bottom w:val="nil"/>
              <w:right w:val="single" w:sz="4" w:space="0" w:color="auto"/>
            </w:tcBorders>
          </w:tcPr>
          <w:p w:rsidR="004B307D" w:rsidRPr="00C62A13" w:rsidRDefault="004B307D" w:rsidP="00155909">
            <w:pPr>
              <w:pStyle w:val="TableText0"/>
              <w:keepNext w:val="0"/>
              <w:keepLines/>
              <w:jc w:val="center"/>
              <w:rPr>
                <w:iCs/>
              </w:rPr>
            </w:pPr>
          </w:p>
        </w:tc>
        <w:tc>
          <w:tcPr>
            <w:tcW w:w="676" w:type="pct"/>
            <w:tcBorders>
              <w:top w:val="single" w:sz="4" w:space="0" w:color="auto"/>
              <w:left w:val="single" w:sz="4" w:space="0" w:color="auto"/>
              <w:bottom w:val="nil"/>
              <w:right w:val="single" w:sz="4" w:space="0" w:color="auto"/>
            </w:tcBorders>
          </w:tcPr>
          <w:p w:rsidR="004B307D" w:rsidRPr="00C62A13" w:rsidRDefault="004B307D" w:rsidP="00155909">
            <w:pPr>
              <w:pStyle w:val="TableText0"/>
              <w:keepNext w:val="0"/>
              <w:keepLines/>
              <w:jc w:val="center"/>
              <w:rPr>
                <w:iCs/>
              </w:rPr>
            </w:pPr>
          </w:p>
        </w:tc>
      </w:tr>
      <w:tr w:rsidR="004B307D" w:rsidRPr="00C62A13" w:rsidTr="00155909">
        <w:tc>
          <w:tcPr>
            <w:tcW w:w="2572" w:type="pct"/>
            <w:tcBorders>
              <w:top w:val="nil"/>
              <w:left w:val="single" w:sz="4" w:space="0" w:color="auto"/>
              <w:bottom w:val="nil"/>
              <w:right w:val="single" w:sz="4" w:space="0" w:color="auto"/>
            </w:tcBorders>
          </w:tcPr>
          <w:p w:rsidR="004B307D" w:rsidRPr="00C62A13" w:rsidRDefault="004B307D" w:rsidP="004B307D">
            <w:pPr>
              <w:pStyle w:val="TableText0"/>
              <w:keepNext w:val="0"/>
              <w:keepLines/>
              <w:numPr>
                <w:ilvl w:val="0"/>
                <w:numId w:val="11"/>
              </w:numPr>
              <w:ind w:left="254" w:hanging="183"/>
            </w:pPr>
            <w:r w:rsidRPr="00C62A13">
              <w:t>0.662 using RR from indirect comparison of UPA v DUPI</w:t>
            </w:r>
          </w:p>
        </w:tc>
        <w:tc>
          <w:tcPr>
            <w:tcW w:w="838" w:type="pct"/>
            <w:tcBorders>
              <w:top w:val="nil"/>
              <w:left w:val="single" w:sz="4" w:space="0" w:color="auto"/>
              <w:bottom w:val="nil"/>
              <w:right w:val="single" w:sz="4" w:space="0" w:color="auto"/>
            </w:tcBorders>
          </w:tcPr>
          <w:p w:rsidR="004B307D" w:rsidRPr="00C62A13" w:rsidRDefault="004B307D" w:rsidP="00155909">
            <w:pPr>
              <w:pStyle w:val="TableText0"/>
              <w:keepNext w:val="0"/>
              <w:keepLines/>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nil"/>
              <w:right w:val="single" w:sz="4" w:space="0" w:color="auto"/>
            </w:tcBorders>
          </w:tcPr>
          <w:p w:rsidR="004B307D" w:rsidRPr="00C62A13" w:rsidRDefault="004B307D" w:rsidP="00155909">
            <w:pPr>
              <w:pStyle w:val="TableText0"/>
              <w:keepNext w:val="0"/>
              <w:keepLines/>
              <w:jc w:val="center"/>
              <w:rPr>
                <w:iCs/>
              </w:rPr>
            </w:pPr>
            <w:r w:rsidRPr="00C62A13">
              <w:rPr>
                <w:iCs/>
              </w:rPr>
              <w:t>0.043</w:t>
            </w:r>
          </w:p>
        </w:tc>
        <w:tc>
          <w:tcPr>
            <w:tcW w:w="676" w:type="pct"/>
            <w:tcBorders>
              <w:top w:val="nil"/>
              <w:left w:val="single" w:sz="4" w:space="0" w:color="auto"/>
              <w:bottom w:val="nil"/>
              <w:right w:val="single" w:sz="4" w:space="0" w:color="auto"/>
            </w:tcBorders>
          </w:tcPr>
          <w:p w:rsidR="004B307D" w:rsidRPr="00C62A13" w:rsidRDefault="004B307D" w:rsidP="00155909">
            <w:pPr>
              <w:pStyle w:val="TableText0"/>
              <w:keepNext w:val="0"/>
              <w:keepLines/>
              <w:jc w:val="center"/>
              <w:rPr>
                <w:iCs/>
              </w:rPr>
            </w:pPr>
            <w:r w:rsidRPr="00C62A13">
              <w:rPr>
                <w:iCs/>
              </w:rPr>
              <w:t>$</w:t>
            </w:r>
            <w:r w:rsidR="00B95E7E">
              <w:rPr>
                <w:iCs/>
                <w:noProof/>
                <w:color w:val="000000"/>
                <w:highlight w:val="black"/>
              </w:rPr>
              <w:t>'''''''''''''''''''''</w:t>
            </w:r>
            <w:r w:rsidR="00B97AC3">
              <w:rPr>
                <w:vertAlign w:val="superscript"/>
              </w:rPr>
              <w:t>6</w:t>
            </w:r>
          </w:p>
        </w:tc>
      </w:tr>
      <w:tr w:rsidR="004B307D" w:rsidRPr="00C62A13" w:rsidTr="00155909">
        <w:tc>
          <w:tcPr>
            <w:tcW w:w="2572" w:type="pct"/>
            <w:tcBorders>
              <w:top w:val="nil"/>
              <w:left w:val="single" w:sz="4" w:space="0" w:color="auto"/>
              <w:bottom w:val="single" w:sz="4" w:space="0" w:color="auto"/>
              <w:right w:val="single" w:sz="4" w:space="0" w:color="auto"/>
            </w:tcBorders>
          </w:tcPr>
          <w:p w:rsidR="004B307D" w:rsidRPr="00C62A13" w:rsidRDefault="004B307D" w:rsidP="004B307D">
            <w:pPr>
              <w:pStyle w:val="TableText0"/>
              <w:keepNext w:val="0"/>
              <w:keepLines/>
              <w:numPr>
                <w:ilvl w:val="0"/>
                <w:numId w:val="11"/>
              </w:numPr>
              <w:ind w:left="254" w:hanging="183"/>
            </w:pPr>
            <w:r w:rsidRPr="00C62A13">
              <w:t>0.766 using RD from indirect comparison of UPA v DUPI</w:t>
            </w:r>
          </w:p>
        </w:tc>
        <w:tc>
          <w:tcPr>
            <w:tcW w:w="838" w:type="pct"/>
            <w:tcBorders>
              <w:top w:val="nil"/>
              <w:left w:val="single" w:sz="4" w:space="0" w:color="auto"/>
              <w:bottom w:val="single" w:sz="4" w:space="0" w:color="auto"/>
              <w:right w:val="single" w:sz="4" w:space="0" w:color="auto"/>
            </w:tcBorders>
          </w:tcPr>
          <w:p w:rsidR="004B307D" w:rsidRPr="00C62A13" w:rsidRDefault="004B307D" w:rsidP="00155909">
            <w:pPr>
              <w:pStyle w:val="TableText0"/>
              <w:keepNext w:val="0"/>
              <w:keepLines/>
              <w:jc w:val="center"/>
              <w:rPr>
                <w:iCs/>
              </w:rPr>
            </w:pPr>
            <w:r w:rsidRPr="00C62A13">
              <w:rPr>
                <w:iCs/>
              </w:rPr>
              <w:t>$</w:t>
            </w:r>
            <w:r w:rsidR="00B95E7E">
              <w:rPr>
                <w:iCs/>
                <w:noProof/>
                <w:color w:val="000000"/>
                <w:highlight w:val="black"/>
              </w:rPr>
              <w:t>''''''''''''''''</w:t>
            </w:r>
          </w:p>
        </w:tc>
        <w:tc>
          <w:tcPr>
            <w:tcW w:w="914" w:type="pct"/>
            <w:tcBorders>
              <w:top w:val="nil"/>
              <w:left w:val="single" w:sz="4" w:space="0" w:color="auto"/>
              <w:bottom w:val="single" w:sz="4" w:space="0" w:color="auto"/>
              <w:right w:val="single" w:sz="4" w:space="0" w:color="auto"/>
            </w:tcBorders>
          </w:tcPr>
          <w:p w:rsidR="004B307D" w:rsidRPr="00C62A13" w:rsidRDefault="004B307D" w:rsidP="00155909">
            <w:pPr>
              <w:pStyle w:val="TableText0"/>
              <w:keepNext w:val="0"/>
              <w:keepLines/>
              <w:jc w:val="center"/>
              <w:rPr>
                <w:iCs/>
              </w:rPr>
            </w:pPr>
            <w:r w:rsidRPr="00C62A13">
              <w:rPr>
                <w:iCs/>
              </w:rPr>
              <w:t>0.108</w:t>
            </w:r>
          </w:p>
        </w:tc>
        <w:tc>
          <w:tcPr>
            <w:tcW w:w="676" w:type="pct"/>
            <w:tcBorders>
              <w:top w:val="nil"/>
              <w:left w:val="single" w:sz="4" w:space="0" w:color="auto"/>
              <w:bottom w:val="single" w:sz="4" w:space="0" w:color="auto"/>
              <w:right w:val="single" w:sz="4" w:space="0" w:color="auto"/>
            </w:tcBorders>
          </w:tcPr>
          <w:p w:rsidR="004B307D" w:rsidRPr="00C62A13" w:rsidRDefault="004B307D" w:rsidP="00155909">
            <w:pPr>
              <w:pStyle w:val="TableText0"/>
              <w:keepNext w:val="0"/>
              <w:keepLines/>
              <w:jc w:val="center"/>
              <w:rPr>
                <w:iCs/>
              </w:rPr>
            </w:pPr>
            <w:r w:rsidRPr="00C62A13">
              <w:rPr>
                <w:iCs/>
              </w:rPr>
              <w:t>$</w:t>
            </w:r>
            <w:r w:rsidR="00B95E7E">
              <w:rPr>
                <w:iCs/>
                <w:noProof/>
                <w:color w:val="000000"/>
                <w:highlight w:val="black"/>
              </w:rPr>
              <w:t>''''''''''''''''''</w:t>
            </w:r>
            <w:r w:rsidR="00C158D3">
              <w:rPr>
                <w:vertAlign w:val="superscript"/>
              </w:rPr>
              <w:t>3</w:t>
            </w:r>
          </w:p>
        </w:tc>
      </w:tr>
    </w:tbl>
    <w:p w:rsidR="005058F8" w:rsidRPr="00C62A13" w:rsidRDefault="005058F8" w:rsidP="00684832">
      <w:pPr>
        <w:pStyle w:val="TableFigureFooter"/>
        <w:keepNext/>
        <w:keepLines/>
      </w:pPr>
      <w:r w:rsidRPr="00C62A13">
        <w:t>Source: Table 3-23, p163 of the submission; constructed during the evaluation</w:t>
      </w:r>
      <w:r w:rsidRPr="00C62A13">
        <w:rPr>
          <w:szCs w:val="18"/>
        </w:rPr>
        <w:t>.</w:t>
      </w:r>
    </w:p>
    <w:p w:rsidR="00C73EF8" w:rsidRDefault="005058F8" w:rsidP="00003D1B">
      <w:pPr>
        <w:pStyle w:val="TableFigureFooter"/>
        <w:keepNext/>
        <w:keepLines/>
        <w:spacing w:after="0"/>
        <w:contextualSpacing w:val="0"/>
        <w:rPr>
          <w:szCs w:val="18"/>
        </w:rPr>
      </w:pPr>
      <w:r w:rsidRPr="00C62A13">
        <w:rPr>
          <w:szCs w:val="18"/>
        </w:rPr>
        <w:t>DUPI = dupilumab; UPA = upadacitinib.</w:t>
      </w:r>
    </w:p>
    <w:p w:rsidR="00003D1B" w:rsidRPr="009A6D58" w:rsidRDefault="00003D1B" w:rsidP="00003D1B">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rsidR="00003D1B" w:rsidRPr="009A6D58" w:rsidRDefault="00003D1B" w:rsidP="00003D1B">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003D1B">
        <w:rPr>
          <w:rFonts w:ascii="Arial Narrow" w:hAnsi="Arial Narrow"/>
          <w:i/>
          <w:sz w:val="18"/>
          <w:szCs w:val="18"/>
        </w:rPr>
        <w:t>$55,000 to &lt; $75,000</w:t>
      </w:r>
    </w:p>
    <w:p w:rsidR="00003D1B" w:rsidRPr="009A6D58" w:rsidRDefault="00003D1B" w:rsidP="00003D1B">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003D1B">
        <w:rPr>
          <w:rFonts w:ascii="Arial Narrow" w:hAnsi="Arial Narrow"/>
          <w:i/>
          <w:sz w:val="18"/>
          <w:szCs w:val="18"/>
        </w:rPr>
        <w:t>$75,000 to &lt; $95,000</w:t>
      </w:r>
    </w:p>
    <w:p w:rsidR="00003D1B" w:rsidRDefault="00003D1B" w:rsidP="00003D1B">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003D1B">
        <w:rPr>
          <w:rFonts w:ascii="Arial Narrow" w:hAnsi="Arial Narrow"/>
          <w:i/>
          <w:sz w:val="18"/>
          <w:szCs w:val="18"/>
        </w:rPr>
        <w:t>$95,000 to &lt; $115,000</w:t>
      </w:r>
    </w:p>
    <w:p w:rsidR="00003D1B" w:rsidRDefault="00003D1B" w:rsidP="00003D1B">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00B97AC3" w:rsidRPr="00B97AC3">
        <w:rPr>
          <w:rFonts w:ascii="Arial Narrow" w:hAnsi="Arial Narrow"/>
          <w:i/>
          <w:sz w:val="18"/>
          <w:szCs w:val="18"/>
        </w:rPr>
        <w:t>$115,000 to &lt; $135,000</w:t>
      </w:r>
    </w:p>
    <w:p w:rsidR="00003D1B" w:rsidRDefault="00003D1B" w:rsidP="00003D1B">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B97AC3" w:rsidRPr="00B97AC3">
        <w:rPr>
          <w:rFonts w:ascii="Arial Narrow" w:hAnsi="Arial Narrow"/>
          <w:i/>
          <w:sz w:val="18"/>
          <w:szCs w:val="18"/>
        </w:rPr>
        <w:t>$135,000 to &lt; $155,000</w:t>
      </w:r>
    </w:p>
    <w:p w:rsidR="00003D1B" w:rsidRPr="00003D1B" w:rsidRDefault="00003D1B" w:rsidP="00003D1B">
      <w:pPr>
        <w:spacing w:after="240"/>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B97AC3" w:rsidRPr="00B97AC3">
        <w:rPr>
          <w:rFonts w:ascii="Arial Narrow" w:hAnsi="Arial Narrow"/>
          <w:i/>
          <w:sz w:val="18"/>
          <w:szCs w:val="18"/>
        </w:rPr>
        <w:t>$155,000 to &lt; $255,000</w:t>
      </w:r>
    </w:p>
    <w:p w:rsidR="00686D35" w:rsidRPr="00C62A13" w:rsidRDefault="00C73EF8" w:rsidP="00657D94">
      <w:pPr>
        <w:pStyle w:val="3-BodyText"/>
      </w:pPr>
      <w:r w:rsidRPr="00C62A13">
        <w:t xml:space="preserve">Aside from the assumed proxy drug costs, the model was sensitive to the assumed utility values and the difference in the treatment response at Week 16. </w:t>
      </w:r>
      <w:r w:rsidR="00686D35" w:rsidRPr="00C62A13">
        <w:t>As discussed above (see Clinical claim), the treatment effect in the model was approximately double that observed in the direct evidence (</w:t>
      </w:r>
      <w:r w:rsidR="00E63EE6" w:rsidRPr="00C62A13">
        <w:t>for</w:t>
      </w:r>
      <w:r w:rsidR="00686D35" w:rsidRPr="00C62A13">
        <w:t xml:space="preserve"> EASI 75</w:t>
      </w:r>
      <w:r w:rsidR="00E63EE6" w:rsidRPr="00C62A13">
        <w:t xml:space="preserve"> or EASI 50</w:t>
      </w:r>
      <w:r w:rsidR="00686D35" w:rsidRPr="00C62A13">
        <w:t xml:space="preserve">). Halving the assumed absolute treatment difference in the model increased the ICER by 30.3% to </w:t>
      </w:r>
      <w:r w:rsidR="00657D94" w:rsidRPr="00657D94">
        <w:rPr>
          <w:iCs/>
        </w:rPr>
        <w:t xml:space="preserve">$95,000 to &lt; $115,000 </w:t>
      </w:r>
      <w:r w:rsidR="00686D35" w:rsidRPr="00C62A13">
        <w:t>/QALY, illustrated in Figure 4.</w:t>
      </w:r>
    </w:p>
    <w:p w:rsidR="005C6F85" w:rsidRPr="00C62A13" w:rsidRDefault="005C6F85" w:rsidP="005C6F85">
      <w:pPr>
        <w:pStyle w:val="3-BodyText"/>
        <w:numPr>
          <w:ilvl w:val="0"/>
          <w:numId w:val="0"/>
        </w:numPr>
        <w:ind w:left="720"/>
        <w:rPr>
          <w:iCs/>
        </w:rPr>
      </w:pPr>
    </w:p>
    <w:p w:rsidR="005058F8" w:rsidRPr="00C62A13" w:rsidRDefault="005058F8" w:rsidP="005058F8">
      <w:pPr>
        <w:keepNext/>
        <w:jc w:val="left"/>
        <w:rPr>
          <w:rFonts w:ascii="Arial Narrow" w:hAnsi="Arial Narrow"/>
          <w:b/>
          <w:bCs/>
          <w:sz w:val="20"/>
          <w:szCs w:val="20"/>
        </w:rPr>
      </w:pPr>
      <w:r w:rsidRPr="00C62A13">
        <w:rPr>
          <w:rFonts w:ascii="Arial Narrow" w:hAnsi="Arial Narrow"/>
          <w:b/>
          <w:bCs/>
          <w:iCs/>
          <w:sz w:val="20"/>
          <w:szCs w:val="20"/>
        </w:rPr>
        <w:t>Figure 4: Relationship between the ICER (cost per QALY) and UPA 30mg response at Week 16, expressed as a risk difference versus DUPI</w:t>
      </w:r>
      <w:r w:rsidR="00686D35" w:rsidRPr="00C62A13">
        <w:rPr>
          <w:rFonts w:ascii="Arial Narrow" w:hAnsi="Arial Narrow"/>
          <w:b/>
          <w:bCs/>
          <w:iCs/>
          <w:sz w:val="20"/>
          <w:szCs w:val="20"/>
        </w:rPr>
        <w:t xml:space="preserve"> 300mg</w:t>
      </w:r>
      <w:r w:rsidRPr="00C62A13">
        <w:rPr>
          <w:rFonts w:ascii="Arial Narrow" w:hAnsi="Arial Narrow"/>
          <w:b/>
          <w:bCs/>
          <w:iCs/>
          <w:sz w:val="20"/>
          <w:szCs w:val="20"/>
        </w:rPr>
        <w:t xml:space="preserve"> (with 16 week response of 0.596)</w:t>
      </w:r>
    </w:p>
    <w:p w:rsidR="005058F8" w:rsidRPr="00C62A13" w:rsidRDefault="00B13415" w:rsidP="005058F8">
      <w:pPr>
        <w:jc w:val="left"/>
      </w:pPr>
      <w:r>
        <w:rPr>
          <w:noProof/>
        </w:rPr>
        <w:drawing>
          <wp:inline distT="0" distB="0" distL="0" distR="0" wp14:anchorId="750D6EF4" wp14:editId="1F6678C2">
            <wp:extent cx="5732145" cy="3521710"/>
            <wp:effectExtent l="0" t="0" r="1905" b="2540"/>
            <wp:docPr id="1" name="Picture 1" title="Figure 4: Relationship between the ICER (cost per QALY) and UPA 30mg response at Week 16, expressed as a risk difference versus DUPI 300mg (with 16 week response of 0.5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32145" cy="3521710"/>
                    </a:xfrm>
                    <a:prstGeom prst="rect">
                      <a:avLst/>
                    </a:prstGeom>
                  </pic:spPr>
                </pic:pic>
              </a:graphicData>
            </a:graphic>
          </wp:inline>
        </w:drawing>
      </w:r>
    </w:p>
    <w:p w:rsidR="005058F8" w:rsidRPr="003B3DB0" w:rsidRDefault="005058F8" w:rsidP="005058F8">
      <w:pPr>
        <w:jc w:val="left"/>
        <w:rPr>
          <w:rFonts w:ascii="Arial Narrow" w:hAnsi="Arial Narrow"/>
          <w:sz w:val="18"/>
          <w:szCs w:val="18"/>
        </w:rPr>
      </w:pPr>
      <w:r w:rsidRPr="003B3DB0">
        <w:rPr>
          <w:rFonts w:ascii="Arial Narrow" w:hAnsi="Arial Narrow"/>
          <w:sz w:val="18"/>
          <w:szCs w:val="18"/>
        </w:rPr>
        <w:t>Source: constructed during the evaluation</w:t>
      </w:r>
      <w:r w:rsidR="00065452" w:rsidRPr="003B3DB0">
        <w:rPr>
          <w:rFonts w:ascii="Arial Narrow" w:hAnsi="Arial Narrow"/>
          <w:sz w:val="18"/>
          <w:szCs w:val="18"/>
        </w:rPr>
        <w:t>.</w:t>
      </w:r>
    </w:p>
    <w:p w:rsidR="00065452" w:rsidRPr="003B3DB0" w:rsidRDefault="00065452" w:rsidP="005058F8">
      <w:pPr>
        <w:jc w:val="left"/>
        <w:rPr>
          <w:rFonts w:ascii="Arial Narrow" w:hAnsi="Arial Narrow"/>
          <w:sz w:val="18"/>
          <w:szCs w:val="18"/>
        </w:rPr>
      </w:pPr>
      <w:r w:rsidRPr="003B3DB0">
        <w:rPr>
          <w:rFonts w:ascii="Arial Narrow" w:hAnsi="Arial Narrow"/>
          <w:sz w:val="18"/>
          <w:szCs w:val="18"/>
        </w:rPr>
        <w:t>DUPI = dupilumab; UPA =- upadacitinib.</w:t>
      </w:r>
    </w:p>
    <w:p w:rsidR="00CA6AC5" w:rsidRPr="00C62A13" w:rsidRDefault="00CA6AC5" w:rsidP="005058F8">
      <w:pPr>
        <w:jc w:val="left"/>
        <w:rPr>
          <w:rFonts w:ascii="Arial Narrow" w:hAnsi="Arial Narrow"/>
          <w:i/>
          <w:iCs/>
          <w:sz w:val="18"/>
          <w:szCs w:val="18"/>
        </w:rPr>
      </w:pPr>
    </w:p>
    <w:p w:rsidR="008642E9" w:rsidRPr="00C62A13" w:rsidRDefault="008642E9" w:rsidP="00657D94">
      <w:pPr>
        <w:pStyle w:val="3-BodyText"/>
      </w:pPr>
      <w:bookmarkStart w:id="34" w:name="_Toc22897646"/>
      <w:bookmarkStart w:id="35" w:name="_Toc72315506"/>
      <w:r w:rsidRPr="00C62A13">
        <w:t>The PBAC noted that 1) adjusting UPA week 16 response (0.662, based on RR from the indirect comparison of UPA and DUPI, in the CsA naïve subgroup); and 2) assuming higher loss of response for UPA 30 mg from Week 42 (responder curves converge at 5.3 years) resulted in an ICER of $</w:t>
      </w:r>
      <w:r w:rsidR="00657D94" w:rsidRPr="00657D94">
        <w:rPr>
          <w:iCs/>
        </w:rPr>
        <w:t>$155,000 to &lt; $255,000</w:t>
      </w:r>
      <w:r w:rsidRPr="00C62A13">
        <w:t xml:space="preserve">/QALY. The PBAC considered that this ICER may still be underestimated due to uncertainty in the magnitude of benefit for UPA as described in paragraph </w:t>
      </w:r>
      <w:r w:rsidR="006A119B">
        <w:t>6.46</w:t>
      </w:r>
      <w:r w:rsidRPr="00C62A13">
        <w:t xml:space="preserve"> and because convergence of the responder curves over a shorter period would be more appropriate as described in paragraph </w:t>
      </w:r>
      <w:r w:rsidR="006A119B">
        <w:t>6.63</w:t>
      </w:r>
      <w:r w:rsidRPr="00C62A13">
        <w:t>.</w:t>
      </w:r>
    </w:p>
    <w:p w:rsidR="005058F8" w:rsidRPr="00C62A13" w:rsidRDefault="005058F8" w:rsidP="005058F8">
      <w:pPr>
        <w:pStyle w:val="4-SubsectionHeading"/>
      </w:pPr>
      <w:r w:rsidRPr="00C62A13">
        <w:t>Drug cost/patient/year</w:t>
      </w:r>
      <w:bookmarkEnd w:id="34"/>
      <w:bookmarkEnd w:id="35"/>
    </w:p>
    <w:p w:rsidR="005756CB" w:rsidRPr="00C62A13" w:rsidRDefault="0097140E" w:rsidP="0097140E">
      <w:pPr>
        <w:pStyle w:val="3-BodyText"/>
        <w:rPr>
          <w:rFonts w:ascii="Arial Narrow" w:hAnsi="Arial Narrow"/>
          <w:b/>
          <w:i/>
          <w:iCs/>
          <w:sz w:val="20"/>
        </w:rPr>
      </w:pPr>
      <w:r w:rsidRPr="00C62A13">
        <w:t>The annual drug cost is $</w:t>
      </w:r>
      <w:r w:rsidR="00B95E7E">
        <w:rPr>
          <w:noProof/>
          <w:color w:val="000000"/>
          <w:highlight w:val="black"/>
        </w:rPr>
        <w:t>''''''''''''''''''</w:t>
      </w:r>
      <w:r w:rsidRPr="00C62A13">
        <w:t xml:space="preserve"> for UPA 15</w:t>
      </w:r>
      <w:r w:rsidR="00424E0F" w:rsidRPr="00C62A13">
        <w:t xml:space="preserve"> </w:t>
      </w:r>
      <w:r w:rsidRPr="00C62A13">
        <w:t>mg and $</w:t>
      </w:r>
      <w:r w:rsidR="00B95E7E">
        <w:rPr>
          <w:noProof/>
          <w:color w:val="000000"/>
          <w:highlight w:val="black"/>
        </w:rPr>
        <w:t>''''''''''''''''''''</w:t>
      </w:r>
      <w:r w:rsidRPr="00C62A13">
        <w:t xml:space="preserve"> for UPA 30</w:t>
      </w:r>
      <w:r w:rsidR="00424E0F" w:rsidRPr="00C62A13">
        <w:t xml:space="preserve"> </w:t>
      </w:r>
      <w:r w:rsidRPr="00C62A13">
        <w:t>mg, assuming 13 scripts per year at the proxy effective DPMQs (</w:t>
      </w:r>
      <w:r w:rsidR="005756CB" w:rsidRPr="00C62A13">
        <w:t>$</w:t>
      </w:r>
      <w:r w:rsidR="00B95E7E">
        <w:rPr>
          <w:noProof/>
          <w:color w:val="000000"/>
          <w:highlight w:val="black"/>
        </w:rPr>
        <w:t>''''''''''''''''</w:t>
      </w:r>
      <w:r w:rsidR="005756CB" w:rsidRPr="00C62A13">
        <w:t xml:space="preserve"> and $</w:t>
      </w:r>
      <w:r w:rsidR="00B95E7E">
        <w:rPr>
          <w:noProof/>
          <w:color w:val="000000"/>
          <w:highlight w:val="black"/>
        </w:rPr>
        <w:t>'''''''''''''''''</w:t>
      </w:r>
      <w:r w:rsidRPr="00C62A13">
        <w:t>, respectively).</w:t>
      </w:r>
      <w:r w:rsidR="001D6C73" w:rsidRPr="00C62A13">
        <w:t xml:space="preserve"> The annual drug cost is $</w:t>
      </w:r>
      <w:r w:rsidR="00B95E7E">
        <w:rPr>
          <w:noProof/>
          <w:color w:val="000000"/>
          <w:highlight w:val="black"/>
        </w:rPr>
        <w:t>''''''''''''''''''</w:t>
      </w:r>
      <w:r w:rsidR="001D6C73" w:rsidRPr="00C62A13">
        <w:t xml:space="preserve"> for DUPI 300 mg, assuming 13 scripts per year at the proxy effective DPMQ of $</w:t>
      </w:r>
      <w:r w:rsidR="00B95E7E">
        <w:rPr>
          <w:noProof/>
          <w:color w:val="000000"/>
          <w:highlight w:val="black"/>
        </w:rPr>
        <w:t>''''''''''''''''''</w:t>
      </w:r>
      <w:r w:rsidR="001D6C73" w:rsidRPr="00C62A13">
        <w:t>.</w:t>
      </w:r>
    </w:p>
    <w:p w:rsidR="00644515" w:rsidRPr="00C62A13" w:rsidRDefault="00644515" w:rsidP="00644515">
      <w:pPr>
        <w:pStyle w:val="4-SubsectionHeading"/>
      </w:pPr>
      <w:bookmarkStart w:id="36" w:name="_Toc22897647"/>
      <w:bookmarkStart w:id="37" w:name="_Toc72315507"/>
      <w:bookmarkStart w:id="38" w:name="_Toc22897650"/>
      <w:r w:rsidRPr="00C62A13">
        <w:t>Estimated PBS usage &amp; financial implications</w:t>
      </w:r>
      <w:bookmarkEnd w:id="36"/>
      <w:bookmarkEnd w:id="37"/>
    </w:p>
    <w:p w:rsidR="00644515" w:rsidRPr="00C62A13" w:rsidRDefault="00644515" w:rsidP="0097140E">
      <w:pPr>
        <w:pStyle w:val="3-BodyText"/>
      </w:pPr>
      <w:r w:rsidRPr="00C62A13">
        <w:t xml:space="preserve">This submission </w:t>
      </w:r>
      <w:r w:rsidR="003A5E48" w:rsidRPr="00C62A13">
        <w:t xml:space="preserve">was </w:t>
      </w:r>
      <w:r w:rsidR="00BA1071" w:rsidRPr="00C62A13">
        <w:t>not</w:t>
      </w:r>
      <w:r w:rsidRPr="00C62A13">
        <w:t xml:space="preserve"> considered by DUSC. The submission estimated the financial implications of the proposed listing using an epidemiological approach, </w:t>
      </w:r>
      <w:r w:rsidR="004F272E">
        <w:t>including</w:t>
      </w:r>
      <w:r w:rsidRPr="00C62A13">
        <w:t xml:space="preserve"> treatment of approximately </w:t>
      </w:r>
      <w:r w:rsidR="00B13415">
        <w:t>&lt; 500</w:t>
      </w:r>
      <w:r w:rsidR="00B13415" w:rsidRPr="00C62A13">
        <w:t xml:space="preserve"> </w:t>
      </w:r>
      <w:r w:rsidRPr="00C62A13">
        <w:t>grandfathered patients. The analysis presented in the submission used proxy effective prices</w:t>
      </w:r>
      <w:r w:rsidR="0097140E" w:rsidRPr="00C62A13">
        <w:t>,</w:t>
      </w:r>
      <w:r w:rsidRPr="00C62A13">
        <w:t xml:space="preserve"> </w:t>
      </w:r>
      <w:r w:rsidR="00256A78" w:rsidRPr="00C62A13">
        <w:t xml:space="preserve">consistent with the </w:t>
      </w:r>
      <w:r w:rsidRPr="00C62A13">
        <w:t>cost-minimisation analysis and modelled economic evaluation.</w:t>
      </w:r>
    </w:p>
    <w:p w:rsidR="00644515" w:rsidRPr="00C62A13" w:rsidRDefault="00644515" w:rsidP="00644515">
      <w:pPr>
        <w:pStyle w:val="3-BodyText"/>
      </w:pPr>
      <w:r w:rsidRPr="00C62A13">
        <w:t xml:space="preserve">The epidemiological approach was based on the following assumptions: </w:t>
      </w:r>
    </w:p>
    <w:p w:rsidR="00644515" w:rsidRPr="00C62A13" w:rsidRDefault="00644515" w:rsidP="008A3974">
      <w:pPr>
        <w:pStyle w:val="3-BodyText"/>
        <w:numPr>
          <w:ilvl w:val="3"/>
          <w:numId w:val="9"/>
        </w:numPr>
        <w:ind w:hanging="371"/>
      </w:pPr>
      <w:r w:rsidRPr="00C62A13">
        <w:t>The model estimated the number of patients each year who initiate any treatment (DUPI or UPA) by multiplying the assumed uptake rates to the prevalent pool of eligible patients.</w:t>
      </w:r>
    </w:p>
    <w:p w:rsidR="00644515" w:rsidRPr="00C62A13" w:rsidRDefault="00644515" w:rsidP="008A3974">
      <w:pPr>
        <w:pStyle w:val="3-BodyText"/>
        <w:numPr>
          <w:ilvl w:val="3"/>
          <w:numId w:val="9"/>
        </w:numPr>
        <w:ind w:hanging="371"/>
      </w:pPr>
      <w:r w:rsidRPr="00C62A13">
        <w:t xml:space="preserve">Patients initiated treatment with either DUPI or UPA based on the assumed market shares. Patients could only initiate one treatment </w:t>
      </w:r>
      <w:r w:rsidR="008D0C2A" w:rsidRPr="00C62A13">
        <w:t xml:space="preserve">(in the main analysis) </w:t>
      </w:r>
      <w:r w:rsidRPr="00C62A13">
        <w:t xml:space="preserve">in a lifetime and patients initiating UPA in Year 1 included the </w:t>
      </w:r>
      <w:r w:rsidR="00B13415">
        <w:t>&lt; 500</w:t>
      </w:r>
      <w:r w:rsidRPr="00C62A13">
        <w:t>-grandfathered patients.</w:t>
      </w:r>
    </w:p>
    <w:p w:rsidR="00644515" w:rsidRPr="00C62A13" w:rsidRDefault="00644515" w:rsidP="008A3974">
      <w:pPr>
        <w:pStyle w:val="3-BodyText"/>
        <w:numPr>
          <w:ilvl w:val="3"/>
          <w:numId w:val="9"/>
        </w:numPr>
        <w:ind w:hanging="371"/>
      </w:pPr>
      <w:r w:rsidRPr="00C62A13">
        <w:t>The model estimated the number of patients continuing treatment each year based on the assumed continuation rates. The assumed difference in response rates at Week 16 drives the difference in continuation rates between the agents, where more patients remain on UPA compared to DUPI.</w:t>
      </w:r>
    </w:p>
    <w:p w:rsidR="00644515" w:rsidRPr="00C62A13" w:rsidRDefault="00644515" w:rsidP="008A3974">
      <w:pPr>
        <w:pStyle w:val="3-BodyText"/>
        <w:numPr>
          <w:ilvl w:val="3"/>
          <w:numId w:val="9"/>
        </w:numPr>
        <w:ind w:hanging="371"/>
      </w:pPr>
      <w:r w:rsidRPr="00C62A13">
        <w:t>The model estimate</w:t>
      </w:r>
      <w:r w:rsidR="00E63EE6" w:rsidRPr="00C62A13">
        <w:t>d</w:t>
      </w:r>
      <w:r w:rsidRPr="00C62A13">
        <w:t xml:space="preserve"> the corresponding number of scripts each year, based on the number of patients on initial and continuing treatment.</w:t>
      </w:r>
    </w:p>
    <w:p w:rsidR="00644515" w:rsidRPr="00C62A13" w:rsidRDefault="00644515" w:rsidP="0097140E">
      <w:pPr>
        <w:pStyle w:val="3-BodyText"/>
      </w:pPr>
      <w:r w:rsidRPr="00C62A13">
        <w:t xml:space="preserve">Table </w:t>
      </w:r>
      <w:r w:rsidR="0097140E" w:rsidRPr="00C62A13">
        <w:t>16</w:t>
      </w:r>
      <w:r w:rsidRPr="00C62A13">
        <w:t xml:space="preserve"> summarises the key inputs in the financial estimates.</w:t>
      </w:r>
    </w:p>
    <w:p w:rsidR="00644515" w:rsidRPr="00C62A13" w:rsidRDefault="00644515" w:rsidP="0092701E">
      <w:pPr>
        <w:pStyle w:val="TableFigureHeading"/>
        <w:rPr>
          <w:rStyle w:val="CommentReference"/>
          <w:b/>
          <w:szCs w:val="24"/>
        </w:rPr>
      </w:pPr>
      <w:r w:rsidRPr="00C62A13">
        <w:rPr>
          <w:rStyle w:val="CommentReference"/>
          <w:b/>
          <w:szCs w:val="24"/>
        </w:rPr>
        <w:t xml:space="preserve">Table </w:t>
      </w:r>
      <w:r w:rsidR="0097140E" w:rsidRPr="00C62A13">
        <w:rPr>
          <w:rStyle w:val="CommentReference"/>
          <w:b/>
          <w:szCs w:val="24"/>
        </w:rPr>
        <w:t>16</w:t>
      </w:r>
      <w:r w:rsidRPr="00C62A13">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14"/>
        <w:gridCol w:w="3116"/>
        <w:gridCol w:w="4487"/>
      </w:tblGrid>
      <w:tr w:rsidR="00644515" w:rsidRPr="00C62A13" w:rsidTr="0092701E">
        <w:trPr>
          <w:cantSplit/>
          <w:tblHeader/>
        </w:trPr>
        <w:tc>
          <w:tcPr>
            <w:tcW w:w="784" w:type="pct"/>
            <w:shd w:val="clear" w:color="auto" w:fill="auto"/>
            <w:vAlign w:val="center"/>
          </w:tcPr>
          <w:p w:rsidR="00644515" w:rsidRPr="00C62A13" w:rsidRDefault="00644515" w:rsidP="0092701E">
            <w:pPr>
              <w:pStyle w:val="In-tableHeading"/>
              <w:rPr>
                <w:lang w:val="en-AU"/>
              </w:rPr>
            </w:pPr>
            <w:r w:rsidRPr="00C62A13">
              <w:rPr>
                <w:lang w:val="en-AU"/>
              </w:rPr>
              <w:t>Parameter</w:t>
            </w:r>
          </w:p>
        </w:tc>
        <w:tc>
          <w:tcPr>
            <w:tcW w:w="1728" w:type="pct"/>
            <w:shd w:val="clear" w:color="auto" w:fill="auto"/>
            <w:vAlign w:val="center"/>
          </w:tcPr>
          <w:p w:rsidR="00644515" w:rsidRPr="00C62A13" w:rsidRDefault="00644515" w:rsidP="0092701E">
            <w:pPr>
              <w:pStyle w:val="In-tableHeading"/>
              <w:rPr>
                <w:lang w:val="en-AU"/>
              </w:rPr>
            </w:pPr>
            <w:r w:rsidRPr="00C62A13">
              <w:rPr>
                <w:lang w:val="en-AU"/>
              </w:rPr>
              <w:t>Value applied and source</w:t>
            </w:r>
          </w:p>
        </w:tc>
        <w:tc>
          <w:tcPr>
            <w:tcW w:w="2488" w:type="pct"/>
            <w:shd w:val="clear" w:color="auto" w:fill="auto"/>
            <w:vAlign w:val="center"/>
          </w:tcPr>
          <w:p w:rsidR="00644515" w:rsidRPr="00C62A13" w:rsidRDefault="00644515" w:rsidP="0092701E">
            <w:pPr>
              <w:pStyle w:val="In-tableHeading"/>
              <w:rPr>
                <w:lang w:val="en-AU"/>
              </w:rPr>
            </w:pPr>
            <w:r w:rsidRPr="00C62A13">
              <w:rPr>
                <w:lang w:val="en-AU"/>
              </w:rPr>
              <w:t>Comment</w:t>
            </w:r>
          </w:p>
        </w:tc>
      </w:tr>
      <w:tr w:rsidR="00644515" w:rsidRPr="00C62A13" w:rsidTr="0092701E">
        <w:trPr>
          <w:cantSplit/>
        </w:trPr>
        <w:tc>
          <w:tcPr>
            <w:tcW w:w="784" w:type="pct"/>
            <w:shd w:val="clear" w:color="auto" w:fill="auto"/>
            <w:vAlign w:val="center"/>
          </w:tcPr>
          <w:p w:rsidR="00644515" w:rsidRPr="00C62A13" w:rsidRDefault="00644515" w:rsidP="0092701E">
            <w:pPr>
              <w:pStyle w:val="TableText0"/>
            </w:pPr>
            <w:r w:rsidRPr="00C62A13">
              <w:t>Australian population aged ≥12 years</w:t>
            </w:r>
          </w:p>
        </w:tc>
        <w:tc>
          <w:tcPr>
            <w:tcW w:w="1728" w:type="pct"/>
            <w:shd w:val="clear" w:color="auto" w:fill="auto"/>
            <w:vAlign w:val="center"/>
          </w:tcPr>
          <w:p w:rsidR="00644515" w:rsidRPr="00C62A13" w:rsidRDefault="00644515" w:rsidP="0092701E">
            <w:pPr>
              <w:pStyle w:val="TableText0"/>
            </w:pPr>
            <w:r w:rsidRPr="00C62A13">
              <w:t>Yr 1: 22,320,412</w:t>
            </w:r>
          </w:p>
          <w:p w:rsidR="00644515" w:rsidRPr="00C62A13" w:rsidRDefault="00644515" w:rsidP="0092701E">
            <w:pPr>
              <w:pStyle w:val="TableText0"/>
            </w:pPr>
            <w:r w:rsidRPr="00C62A13">
              <w:t>Yr 2: 22,696,040</w:t>
            </w:r>
          </w:p>
          <w:p w:rsidR="00644515" w:rsidRPr="00C62A13" w:rsidRDefault="00644515" w:rsidP="0092701E">
            <w:pPr>
              <w:pStyle w:val="TableText0"/>
            </w:pPr>
            <w:r w:rsidRPr="00C62A13">
              <w:t>Yr 3: 23,062,732</w:t>
            </w:r>
          </w:p>
          <w:p w:rsidR="00644515" w:rsidRPr="00C62A13" w:rsidRDefault="00644515" w:rsidP="0092701E">
            <w:pPr>
              <w:pStyle w:val="TableText0"/>
            </w:pPr>
            <w:r w:rsidRPr="00C62A13">
              <w:t>Yr 4: 23,423,761</w:t>
            </w:r>
          </w:p>
          <w:p w:rsidR="00644515" w:rsidRPr="00C62A13" w:rsidRDefault="00644515" w:rsidP="0092701E">
            <w:pPr>
              <w:pStyle w:val="TableText0"/>
            </w:pPr>
            <w:r w:rsidRPr="00C62A13">
              <w:t>Yr 5: 23,780,244</w:t>
            </w:r>
          </w:p>
          <w:p w:rsidR="00644515" w:rsidRPr="00C62A13" w:rsidRDefault="00644515" w:rsidP="0092701E">
            <w:pPr>
              <w:pStyle w:val="TableText0"/>
            </w:pPr>
            <w:r w:rsidRPr="00C62A13">
              <w:t>Yr 6: 24,125,467</w:t>
            </w:r>
          </w:p>
          <w:p w:rsidR="00644515" w:rsidRPr="00C62A13" w:rsidRDefault="00644515" w:rsidP="0092701E">
            <w:pPr>
              <w:pStyle w:val="TableText0"/>
            </w:pPr>
            <w:r w:rsidRPr="00C62A13">
              <w:t>Source: ABS 3222.0 Population Projection</w:t>
            </w:r>
          </w:p>
        </w:tc>
        <w:tc>
          <w:tcPr>
            <w:tcW w:w="2488" w:type="pct"/>
            <w:shd w:val="clear" w:color="auto" w:fill="auto"/>
            <w:vAlign w:val="center"/>
          </w:tcPr>
          <w:p w:rsidR="00644515" w:rsidRPr="00C62A13" w:rsidRDefault="00644515" w:rsidP="0092701E">
            <w:pPr>
              <w:pStyle w:val="TableText0"/>
            </w:pPr>
            <w:r w:rsidRPr="00C62A13">
              <w:t>Reasonable.</w:t>
            </w:r>
          </w:p>
        </w:tc>
      </w:tr>
      <w:tr w:rsidR="00644515" w:rsidRPr="00C62A13" w:rsidTr="0092701E">
        <w:trPr>
          <w:cantSplit/>
        </w:trPr>
        <w:tc>
          <w:tcPr>
            <w:tcW w:w="784" w:type="pct"/>
            <w:shd w:val="clear" w:color="auto" w:fill="auto"/>
            <w:vAlign w:val="center"/>
          </w:tcPr>
          <w:p w:rsidR="00644515" w:rsidRPr="00C62A13" w:rsidRDefault="00644515" w:rsidP="0092701E">
            <w:pPr>
              <w:pStyle w:val="TableText0"/>
            </w:pPr>
            <w:r w:rsidRPr="00C62A13">
              <w:t>Prevalence of severe AD</w:t>
            </w:r>
          </w:p>
        </w:tc>
        <w:tc>
          <w:tcPr>
            <w:tcW w:w="1728" w:type="pct"/>
            <w:shd w:val="clear" w:color="auto" w:fill="auto"/>
            <w:vAlign w:val="center"/>
          </w:tcPr>
          <w:p w:rsidR="00644515" w:rsidRPr="00C62A13" w:rsidRDefault="00644515" w:rsidP="0092701E">
            <w:pPr>
              <w:pStyle w:val="TableText0"/>
            </w:pPr>
            <w:r w:rsidRPr="00C62A13">
              <w:t>45 per 10,000</w:t>
            </w:r>
          </w:p>
          <w:p w:rsidR="00644515" w:rsidRPr="00C62A13" w:rsidRDefault="00644515" w:rsidP="0092701E">
            <w:pPr>
              <w:pStyle w:val="TableText0"/>
            </w:pPr>
            <w:r w:rsidRPr="00C62A13">
              <w:t>Source: Table 19, Dupilumab PSD March 2020 PBAC meeting. Assumed 9% of Australian adults have AD and 5% have severe AD</w:t>
            </w:r>
          </w:p>
        </w:tc>
        <w:tc>
          <w:tcPr>
            <w:tcW w:w="2488" w:type="pct"/>
            <w:shd w:val="clear" w:color="auto" w:fill="auto"/>
            <w:vAlign w:val="center"/>
          </w:tcPr>
          <w:p w:rsidR="00644515" w:rsidRPr="00C62A13" w:rsidRDefault="00C067F7" w:rsidP="0092701E">
            <w:pPr>
              <w:pStyle w:val="TableText0"/>
            </w:pPr>
            <w:r w:rsidRPr="00C62A13">
              <w:t>Consistent with estimate used for dupilumab PBAC submission</w:t>
            </w:r>
            <w:r w:rsidR="00644515" w:rsidRPr="00C62A13">
              <w:t>.</w:t>
            </w:r>
          </w:p>
        </w:tc>
      </w:tr>
      <w:tr w:rsidR="00644515" w:rsidRPr="00C62A13" w:rsidTr="0092701E">
        <w:trPr>
          <w:cantSplit/>
        </w:trPr>
        <w:tc>
          <w:tcPr>
            <w:tcW w:w="784" w:type="pct"/>
            <w:shd w:val="clear" w:color="auto" w:fill="auto"/>
            <w:vAlign w:val="center"/>
          </w:tcPr>
          <w:p w:rsidR="00644515" w:rsidRPr="00C62A13" w:rsidRDefault="00644515" w:rsidP="0092701E">
            <w:pPr>
              <w:pStyle w:val="TableText0"/>
            </w:pPr>
            <w:r w:rsidRPr="00C62A13">
              <w:t>Proportion of severe AD patients with EASI</w:t>
            </w:r>
            <w:r w:rsidR="005D61E1">
              <w:t xml:space="preserve"> </w:t>
            </w:r>
            <w:r w:rsidRPr="00C62A13">
              <w:t>≥20</w:t>
            </w:r>
          </w:p>
        </w:tc>
        <w:tc>
          <w:tcPr>
            <w:tcW w:w="1728" w:type="pct"/>
            <w:shd w:val="clear" w:color="auto" w:fill="auto"/>
            <w:vAlign w:val="center"/>
          </w:tcPr>
          <w:p w:rsidR="00644515" w:rsidRPr="00C62A13" w:rsidRDefault="00644515" w:rsidP="0092701E">
            <w:pPr>
              <w:pStyle w:val="TableText0"/>
            </w:pPr>
            <w:r w:rsidRPr="00C62A13">
              <w:t>95%</w:t>
            </w:r>
          </w:p>
          <w:p w:rsidR="00644515" w:rsidRPr="00C62A13" w:rsidRDefault="00644515" w:rsidP="0092701E">
            <w:pPr>
              <w:pStyle w:val="TableText0"/>
            </w:pPr>
            <w:r w:rsidRPr="00C62A13">
              <w:t>Source: Table 19, Dupilumab PSD March 2020 PBAC meeting</w:t>
            </w:r>
          </w:p>
        </w:tc>
        <w:tc>
          <w:tcPr>
            <w:tcW w:w="2488" w:type="pct"/>
            <w:shd w:val="clear" w:color="auto" w:fill="auto"/>
            <w:vAlign w:val="center"/>
          </w:tcPr>
          <w:p w:rsidR="00644515" w:rsidRPr="00C62A13" w:rsidRDefault="00C067F7" w:rsidP="0092701E">
            <w:pPr>
              <w:pStyle w:val="TableText0"/>
            </w:pPr>
            <w:r w:rsidRPr="00C62A13">
              <w:t xml:space="preserve">Consistent with estimate used for dupilumab PBAC </w:t>
            </w:r>
            <w:r w:rsidR="005D61E1" w:rsidRPr="00C62A13">
              <w:t>submission.</w:t>
            </w:r>
            <w:r w:rsidR="00644515" w:rsidRPr="00C62A13">
              <w:t xml:space="preserve"> The eligible PBS population initiating treatment must have severe disease defined by PGA=4 and EASI</w:t>
            </w:r>
            <w:r w:rsidR="005D61E1">
              <w:t xml:space="preserve"> </w:t>
            </w:r>
            <w:r w:rsidR="00644515" w:rsidRPr="00C62A13">
              <w:t>≥20.</w:t>
            </w:r>
          </w:p>
        </w:tc>
      </w:tr>
      <w:tr w:rsidR="00644515" w:rsidRPr="00C62A13" w:rsidTr="0092701E">
        <w:trPr>
          <w:cantSplit/>
        </w:trPr>
        <w:tc>
          <w:tcPr>
            <w:tcW w:w="784" w:type="pct"/>
            <w:shd w:val="clear" w:color="auto" w:fill="auto"/>
            <w:vAlign w:val="center"/>
          </w:tcPr>
          <w:p w:rsidR="00644515" w:rsidRPr="00C62A13" w:rsidRDefault="00644515" w:rsidP="0092701E">
            <w:pPr>
              <w:pStyle w:val="TableText0"/>
            </w:pPr>
            <w:r w:rsidRPr="00C62A13">
              <w:t>Proportion of patients on TCS therapy with uncontrolled AD</w:t>
            </w:r>
          </w:p>
        </w:tc>
        <w:tc>
          <w:tcPr>
            <w:tcW w:w="1728" w:type="pct"/>
            <w:shd w:val="clear" w:color="auto" w:fill="auto"/>
            <w:vAlign w:val="center"/>
          </w:tcPr>
          <w:p w:rsidR="00644515" w:rsidRPr="00C62A13" w:rsidRDefault="00644515" w:rsidP="0092701E">
            <w:pPr>
              <w:pStyle w:val="TableText0"/>
            </w:pPr>
            <w:r w:rsidRPr="00C62A13">
              <w:t>68%</w:t>
            </w:r>
          </w:p>
          <w:p w:rsidR="00644515" w:rsidRPr="00C62A13" w:rsidRDefault="00644515" w:rsidP="0092701E">
            <w:pPr>
              <w:pStyle w:val="TableText0"/>
            </w:pPr>
            <w:r w:rsidRPr="00C62A13">
              <w:t>Source: Table 19, Dupilumab PSD March 2020 PBAC meeting</w:t>
            </w:r>
          </w:p>
        </w:tc>
        <w:tc>
          <w:tcPr>
            <w:tcW w:w="2488" w:type="pct"/>
            <w:shd w:val="clear" w:color="auto" w:fill="auto"/>
            <w:vAlign w:val="center"/>
          </w:tcPr>
          <w:p w:rsidR="00644515" w:rsidRPr="00C62A13" w:rsidRDefault="00C067F7" w:rsidP="0092701E">
            <w:pPr>
              <w:pStyle w:val="TableText0"/>
            </w:pPr>
            <w:r w:rsidRPr="00C62A13">
              <w:t>Consistent with estimate used for dupilumab PBAC submission.</w:t>
            </w:r>
          </w:p>
        </w:tc>
      </w:tr>
      <w:tr w:rsidR="00644515" w:rsidRPr="00C62A13" w:rsidTr="0092701E">
        <w:trPr>
          <w:cantSplit/>
        </w:trPr>
        <w:tc>
          <w:tcPr>
            <w:tcW w:w="784" w:type="pct"/>
            <w:shd w:val="clear" w:color="auto" w:fill="auto"/>
            <w:vAlign w:val="center"/>
          </w:tcPr>
          <w:p w:rsidR="00644515" w:rsidRPr="00C62A13" w:rsidRDefault="00644515" w:rsidP="0092701E">
            <w:pPr>
              <w:pStyle w:val="TableText0"/>
            </w:pPr>
            <w:r w:rsidRPr="00C62A13">
              <w:t>DUPI/UPA annual uptake (initiation) rate</w:t>
            </w:r>
          </w:p>
        </w:tc>
        <w:tc>
          <w:tcPr>
            <w:tcW w:w="1728" w:type="pct"/>
            <w:shd w:val="clear" w:color="auto" w:fill="auto"/>
            <w:vAlign w:val="center"/>
          </w:tcPr>
          <w:p w:rsidR="00644515" w:rsidRPr="00C62A13" w:rsidRDefault="00644515" w:rsidP="0092701E">
            <w:pPr>
              <w:pStyle w:val="TableText0"/>
            </w:pPr>
            <w:r w:rsidRPr="00C62A13">
              <w:t>Yr 1: 5%</w:t>
            </w:r>
          </w:p>
          <w:p w:rsidR="00644515" w:rsidRPr="00C62A13" w:rsidRDefault="00644515" w:rsidP="0092701E">
            <w:pPr>
              <w:pStyle w:val="TableText0"/>
            </w:pPr>
            <w:r w:rsidRPr="00C62A13">
              <w:t>Yr 2 to Yr 6: 9%</w:t>
            </w:r>
          </w:p>
          <w:p w:rsidR="00644515" w:rsidRPr="00C62A13" w:rsidRDefault="00644515" w:rsidP="0092701E">
            <w:pPr>
              <w:pStyle w:val="TableText0"/>
            </w:pPr>
            <w:r w:rsidRPr="00C62A13">
              <w:t>Source: Assumption, applied to pool of prevalent patients. Calculated based on assumed cumulative uptake rate: 5% in Yr 1, up to 50% in Yr 6.</w:t>
            </w:r>
          </w:p>
          <w:p w:rsidR="00644515" w:rsidRPr="00C62A13" w:rsidRDefault="00644515" w:rsidP="0092701E">
            <w:pPr>
              <w:pStyle w:val="TableText0"/>
            </w:pPr>
            <w:r w:rsidRPr="00C62A13">
              <w:t>Assumed patients only receive up to one treatment per lifetime.</w:t>
            </w:r>
          </w:p>
        </w:tc>
        <w:tc>
          <w:tcPr>
            <w:tcW w:w="2488" w:type="pct"/>
            <w:shd w:val="clear" w:color="auto" w:fill="auto"/>
            <w:vAlign w:val="center"/>
          </w:tcPr>
          <w:p w:rsidR="00644515" w:rsidRPr="00C62A13" w:rsidRDefault="00644515" w:rsidP="0092701E">
            <w:pPr>
              <w:pStyle w:val="TableText0"/>
            </w:pPr>
            <w:r w:rsidRPr="00C62A13">
              <w:t xml:space="preserve">The submission did not provide any data to support this assumption. </w:t>
            </w:r>
            <w:r w:rsidRPr="00C62A13">
              <w:rPr>
                <w:iCs/>
              </w:rPr>
              <w:t xml:space="preserve">The assumed uptake rate, applied to the pool of prevalent patients, was higher than DUPI November 2020 estimates (cumulative 24% by Year 6) or those recommended by the PBAC (cumulative 19.7% by Year 6) (Table 1, Dupilumab PSD November 2020 PBAC meeting). The submission argued (p171) that the sponsor expected a sizeable proportion of patients would be treated over time, and therefore a cumulative uptake rate of 50% by Year 6 was assumed. </w:t>
            </w:r>
            <w:r w:rsidRPr="00C62A13">
              <w:t>SA conducted during the evaluation showed the net financial estimates are sensitive to the assumed uptake rate.</w:t>
            </w:r>
          </w:p>
        </w:tc>
      </w:tr>
      <w:tr w:rsidR="00644515" w:rsidRPr="00C62A13" w:rsidTr="0092701E">
        <w:trPr>
          <w:cantSplit/>
        </w:trPr>
        <w:tc>
          <w:tcPr>
            <w:tcW w:w="784" w:type="pct"/>
            <w:shd w:val="clear" w:color="auto" w:fill="auto"/>
            <w:vAlign w:val="center"/>
          </w:tcPr>
          <w:p w:rsidR="00644515" w:rsidRPr="00C62A13" w:rsidRDefault="00644515" w:rsidP="0092701E">
            <w:pPr>
              <w:pStyle w:val="TableText0"/>
            </w:pPr>
            <w:r w:rsidRPr="00C62A13">
              <w:t>DUPI/UPA market share</w:t>
            </w:r>
          </w:p>
        </w:tc>
        <w:tc>
          <w:tcPr>
            <w:tcW w:w="1728" w:type="pct"/>
            <w:shd w:val="clear" w:color="auto" w:fill="auto"/>
            <w:vAlign w:val="center"/>
          </w:tcPr>
          <w:tbl>
            <w:tblPr>
              <w:tblStyle w:val="TableGrid"/>
              <w:tblW w:w="2933" w:type="dxa"/>
              <w:tblLayout w:type="fixed"/>
              <w:tblCellMar>
                <w:left w:w="28" w:type="dxa"/>
                <w:right w:w="28" w:type="dxa"/>
              </w:tblCellMar>
              <w:tblLook w:val="04A0" w:firstRow="1" w:lastRow="0" w:firstColumn="1" w:lastColumn="0" w:noHBand="0" w:noVBand="1"/>
              <w:tblCaption w:val="DUPI/UPA market share"/>
            </w:tblPr>
            <w:tblGrid>
              <w:gridCol w:w="949"/>
              <w:gridCol w:w="992"/>
              <w:gridCol w:w="992"/>
            </w:tblGrid>
            <w:tr w:rsidR="00644515" w:rsidRPr="00C62A13" w:rsidTr="0079789B">
              <w:trPr>
                <w:tblHeader/>
              </w:trPr>
              <w:tc>
                <w:tcPr>
                  <w:tcW w:w="949" w:type="dxa"/>
                </w:tcPr>
                <w:p w:rsidR="00644515" w:rsidRPr="00C62A13" w:rsidRDefault="00644515" w:rsidP="0092701E">
                  <w:pPr>
                    <w:pStyle w:val="TableText0"/>
                  </w:pPr>
                </w:p>
              </w:tc>
              <w:tc>
                <w:tcPr>
                  <w:tcW w:w="992" w:type="dxa"/>
                  <w:vAlign w:val="center"/>
                </w:tcPr>
                <w:p w:rsidR="00644515" w:rsidRPr="00C62A13" w:rsidRDefault="00644515" w:rsidP="0092701E">
                  <w:pPr>
                    <w:pStyle w:val="TableText0"/>
                    <w:jc w:val="center"/>
                    <w:rPr>
                      <w:b/>
                    </w:rPr>
                  </w:pPr>
                  <w:r w:rsidRPr="00C62A13">
                    <w:rPr>
                      <w:b/>
                    </w:rPr>
                    <w:t>DUPI</w:t>
                  </w:r>
                </w:p>
              </w:tc>
              <w:tc>
                <w:tcPr>
                  <w:tcW w:w="992" w:type="dxa"/>
                  <w:vAlign w:val="center"/>
                </w:tcPr>
                <w:p w:rsidR="00644515" w:rsidRPr="00C62A13" w:rsidRDefault="00644515" w:rsidP="0092701E">
                  <w:pPr>
                    <w:pStyle w:val="TableText0"/>
                    <w:jc w:val="center"/>
                    <w:rPr>
                      <w:b/>
                    </w:rPr>
                  </w:pPr>
                  <w:r w:rsidRPr="00C62A13">
                    <w:rPr>
                      <w:b/>
                    </w:rPr>
                    <w:t>UPA</w:t>
                  </w:r>
                </w:p>
              </w:tc>
            </w:tr>
            <w:tr w:rsidR="00644515" w:rsidRPr="00C62A13" w:rsidTr="00644515">
              <w:tc>
                <w:tcPr>
                  <w:tcW w:w="949" w:type="dxa"/>
                  <w:vAlign w:val="center"/>
                </w:tcPr>
                <w:p w:rsidR="00644515" w:rsidRPr="00C62A13" w:rsidRDefault="00644515" w:rsidP="0092701E">
                  <w:pPr>
                    <w:pStyle w:val="TableText0"/>
                  </w:pPr>
                  <w:r w:rsidRPr="00C62A13">
                    <w:t>Yr 1</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r>
            <w:tr w:rsidR="00644515" w:rsidRPr="00C62A13" w:rsidTr="00644515">
              <w:tc>
                <w:tcPr>
                  <w:tcW w:w="949" w:type="dxa"/>
                  <w:vAlign w:val="center"/>
                </w:tcPr>
                <w:p w:rsidR="00644515" w:rsidRPr="00C62A13" w:rsidRDefault="00644515" w:rsidP="0092701E">
                  <w:pPr>
                    <w:pStyle w:val="TableText0"/>
                  </w:pPr>
                  <w:r w:rsidRPr="00C62A13">
                    <w:t>Yr 2</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r>
            <w:tr w:rsidR="00644515" w:rsidRPr="00C62A13" w:rsidTr="00644515">
              <w:tc>
                <w:tcPr>
                  <w:tcW w:w="949" w:type="dxa"/>
                  <w:vAlign w:val="center"/>
                </w:tcPr>
                <w:p w:rsidR="00644515" w:rsidRPr="00C62A13" w:rsidRDefault="00644515" w:rsidP="0092701E">
                  <w:pPr>
                    <w:pStyle w:val="TableText0"/>
                  </w:pPr>
                  <w:r w:rsidRPr="00C62A13">
                    <w:t>Yr 3</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r>
            <w:tr w:rsidR="00644515" w:rsidRPr="00C62A13" w:rsidTr="00644515">
              <w:tc>
                <w:tcPr>
                  <w:tcW w:w="949" w:type="dxa"/>
                  <w:vAlign w:val="center"/>
                </w:tcPr>
                <w:p w:rsidR="00644515" w:rsidRPr="00C62A13" w:rsidRDefault="00644515" w:rsidP="0092701E">
                  <w:pPr>
                    <w:pStyle w:val="TableText0"/>
                  </w:pPr>
                  <w:r w:rsidRPr="00C62A13">
                    <w:t>Yr 4</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r>
            <w:tr w:rsidR="00644515" w:rsidRPr="00C62A13" w:rsidTr="00644515">
              <w:tc>
                <w:tcPr>
                  <w:tcW w:w="949" w:type="dxa"/>
                  <w:vAlign w:val="center"/>
                </w:tcPr>
                <w:p w:rsidR="00644515" w:rsidRPr="00C62A13" w:rsidRDefault="00644515" w:rsidP="0092701E">
                  <w:pPr>
                    <w:pStyle w:val="TableText0"/>
                  </w:pPr>
                  <w:r w:rsidRPr="00C62A13">
                    <w:t>Yr 5 / Yr 6</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c>
                <w:tcPr>
                  <w:tcW w:w="992" w:type="dxa"/>
                  <w:vAlign w:val="center"/>
                </w:tcPr>
                <w:p w:rsidR="00644515" w:rsidRPr="00313A75" w:rsidRDefault="00B95E7E" w:rsidP="0092701E">
                  <w:pPr>
                    <w:pStyle w:val="TableText0"/>
                    <w:jc w:val="center"/>
                  </w:pPr>
                  <w:r>
                    <w:rPr>
                      <w:noProof/>
                      <w:color w:val="000000"/>
                      <w:highlight w:val="black"/>
                    </w:rPr>
                    <w:t>'''''''</w:t>
                  </w:r>
                  <w:r w:rsidR="00644515" w:rsidRPr="00313A75">
                    <w:t>%</w:t>
                  </w:r>
                </w:p>
              </w:tc>
            </w:tr>
          </w:tbl>
          <w:p w:rsidR="00644515" w:rsidRPr="00C62A13" w:rsidRDefault="00644515" w:rsidP="0092701E">
            <w:pPr>
              <w:pStyle w:val="TableText0"/>
            </w:pPr>
            <w:r w:rsidRPr="00C62A13">
              <w:t>Source: Assumption</w:t>
            </w:r>
          </w:p>
        </w:tc>
        <w:tc>
          <w:tcPr>
            <w:tcW w:w="2488" w:type="pct"/>
            <w:shd w:val="clear" w:color="auto" w:fill="auto"/>
            <w:vAlign w:val="center"/>
          </w:tcPr>
          <w:p w:rsidR="00644515" w:rsidRPr="00C62A13" w:rsidRDefault="00644515" w:rsidP="0092701E">
            <w:pPr>
              <w:pStyle w:val="TableText0"/>
            </w:pPr>
            <w:r w:rsidRPr="00C62A13">
              <w:t>The submission did not provide any data to support this assumption. Overall, the market share of UPA was likely an underestimate, given the claimed superiority of UPA 30</w:t>
            </w:r>
            <w:r w:rsidR="00424E0F" w:rsidRPr="00C62A13">
              <w:t xml:space="preserve"> </w:t>
            </w:r>
            <w:r w:rsidRPr="00C62A13">
              <w:t>mg versus DUPI, and convenience of oral administration versus SC injection.</w:t>
            </w:r>
            <w:r w:rsidR="00AA68F3" w:rsidRPr="00C62A13">
              <w:t xml:space="preserve"> The ESC considered that UPA 30 mg would be expected to have a higher uptake and a higher proportion of the market than DUPI due to the perceived superior efficacy and as an oral formulation.</w:t>
            </w:r>
            <w:r w:rsidR="003A5E48" w:rsidRPr="00C62A13">
              <w:t xml:space="preserve"> The PBAC considered that safety was also a factor that would moderate uptake of UPA.</w:t>
            </w:r>
          </w:p>
        </w:tc>
      </w:tr>
      <w:tr w:rsidR="00644515" w:rsidRPr="00C62A13" w:rsidTr="0092701E">
        <w:trPr>
          <w:cantSplit/>
        </w:trPr>
        <w:tc>
          <w:tcPr>
            <w:tcW w:w="784" w:type="pct"/>
            <w:shd w:val="clear" w:color="auto" w:fill="auto"/>
            <w:vAlign w:val="center"/>
          </w:tcPr>
          <w:p w:rsidR="00644515" w:rsidRPr="00C62A13" w:rsidRDefault="00644515" w:rsidP="006639B9">
            <w:pPr>
              <w:pStyle w:val="TableText0"/>
              <w:keepNext w:val="0"/>
            </w:pPr>
            <w:r w:rsidRPr="00C62A13">
              <w:t>Initial response to treatment</w:t>
            </w:r>
          </w:p>
          <w:p w:rsidR="00644515" w:rsidRPr="00C62A13" w:rsidRDefault="00D93F0C" w:rsidP="006639B9">
            <w:pPr>
              <w:pStyle w:val="TableText0"/>
              <w:keepNext w:val="0"/>
            </w:pPr>
            <w:r w:rsidRPr="00C62A13">
              <w:t>(DUPI, UPA 15</w:t>
            </w:r>
            <w:r w:rsidR="005D61E1">
              <w:t xml:space="preserve"> </w:t>
            </w:r>
            <w:r w:rsidR="00644515" w:rsidRPr="00C62A13">
              <w:t>mg, UPA 30 mg)</w:t>
            </w:r>
          </w:p>
        </w:tc>
        <w:tc>
          <w:tcPr>
            <w:tcW w:w="1728"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Caption w:val="Initial response to treatment"/>
            </w:tblPr>
            <w:tblGrid>
              <w:gridCol w:w="888"/>
              <w:gridCol w:w="889"/>
            </w:tblGrid>
            <w:tr w:rsidR="00644515" w:rsidRPr="00C62A13" w:rsidTr="0079789B">
              <w:trPr>
                <w:tblHeader/>
              </w:trPr>
              <w:tc>
                <w:tcPr>
                  <w:tcW w:w="888" w:type="dxa"/>
                </w:tcPr>
                <w:p w:rsidR="00644515" w:rsidRPr="00C62A13" w:rsidRDefault="00644515" w:rsidP="006639B9">
                  <w:pPr>
                    <w:jc w:val="left"/>
                    <w:rPr>
                      <w:rFonts w:ascii="Arial Narrow" w:eastAsiaTheme="majorEastAsia" w:hAnsi="Arial Narrow" w:cstheme="majorBidi"/>
                      <w:b/>
                      <w:sz w:val="18"/>
                      <w:szCs w:val="18"/>
                    </w:rPr>
                  </w:pPr>
                  <w:r w:rsidRPr="00C62A13">
                    <w:rPr>
                      <w:rFonts w:ascii="Arial Narrow" w:eastAsiaTheme="majorEastAsia" w:hAnsi="Arial Narrow" w:cstheme="majorBidi"/>
                      <w:b/>
                      <w:sz w:val="18"/>
                      <w:szCs w:val="18"/>
                    </w:rPr>
                    <w:t>Drug</w:t>
                  </w:r>
                </w:p>
              </w:tc>
              <w:tc>
                <w:tcPr>
                  <w:tcW w:w="889" w:type="dxa"/>
                  <w:vAlign w:val="center"/>
                </w:tcPr>
                <w:p w:rsidR="00644515" w:rsidRPr="00C62A13" w:rsidRDefault="00644515" w:rsidP="006639B9">
                  <w:pPr>
                    <w:jc w:val="center"/>
                    <w:rPr>
                      <w:rFonts w:ascii="Arial Narrow" w:eastAsiaTheme="majorEastAsia" w:hAnsi="Arial Narrow" w:cstheme="majorBidi"/>
                      <w:b/>
                      <w:sz w:val="18"/>
                      <w:szCs w:val="18"/>
                    </w:rPr>
                  </w:pPr>
                  <w:r w:rsidRPr="00C62A13">
                    <w:rPr>
                      <w:rFonts w:ascii="Arial Narrow" w:eastAsiaTheme="majorEastAsia" w:hAnsi="Arial Narrow" w:cstheme="majorBidi"/>
                      <w:b/>
                      <w:sz w:val="18"/>
                      <w:szCs w:val="18"/>
                    </w:rPr>
                    <w:t>% Wk 16</w:t>
                  </w:r>
                </w:p>
              </w:tc>
            </w:tr>
            <w:tr w:rsidR="00644515" w:rsidRPr="00C62A13" w:rsidTr="00644515">
              <w:tc>
                <w:tcPr>
                  <w:tcW w:w="888" w:type="dxa"/>
                </w:tcPr>
                <w:p w:rsidR="00644515" w:rsidRPr="00C62A13" w:rsidRDefault="00644515" w:rsidP="006639B9">
                  <w:pPr>
                    <w:jc w:val="left"/>
                    <w:rPr>
                      <w:rFonts w:ascii="Arial Narrow" w:eastAsiaTheme="majorEastAsia" w:hAnsi="Arial Narrow" w:cstheme="majorBidi"/>
                      <w:bCs/>
                      <w:sz w:val="18"/>
                      <w:szCs w:val="18"/>
                    </w:rPr>
                  </w:pPr>
                  <w:r w:rsidRPr="00C62A13">
                    <w:rPr>
                      <w:rFonts w:ascii="Arial Narrow" w:eastAsiaTheme="majorEastAsia" w:hAnsi="Arial Narrow" w:cstheme="majorBidi"/>
                      <w:bCs/>
                      <w:sz w:val="18"/>
                      <w:szCs w:val="18"/>
                    </w:rPr>
                    <w:t>DUPI</w:t>
                  </w:r>
                </w:p>
              </w:tc>
              <w:tc>
                <w:tcPr>
                  <w:tcW w:w="889" w:type="dxa"/>
                  <w:vAlign w:val="center"/>
                </w:tcPr>
                <w:p w:rsidR="00644515" w:rsidRPr="00C62A13" w:rsidRDefault="00644515" w:rsidP="006639B9">
                  <w:pPr>
                    <w:jc w:val="center"/>
                    <w:rPr>
                      <w:rFonts w:ascii="Arial Narrow" w:eastAsiaTheme="majorEastAsia" w:hAnsi="Arial Narrow" w:cstheme="majorBidi"/>
                      <w:bCs/>
                      <w:sz w:val="18"/>
                      <w:szCs w:val="18"/>
                    </w:rPr>
                  </w:pPr>
                  <w:r w:rsidRPr="00C62A13">
                    <w:rPr>
                      <w:rFonts w:ascii="Arial Narrow" w:eastAsiaTheme="majorEastAsia" w:hAnsi="Arial Narrow" w:cstheme="majorBidi"/>
                      <w:bCs/>
                      <w:sz w:val="18"/>
                      <w:szCs w:val="18"/>
                    </w:rPr>
                    <w:t>59.6%</w:t>
                  </w:r>
                </w:p>
              </w:tc>
            </w:tr>
            <w:tr w:rsidR="00644515" w:rsidRPr="00C62A13" w:rsidTr="00644515">
              <w:tc>
                <w:tcPr>
                  <w:tcW w:w="888" w:type="dxa"/>
                </w:tcPr>
                <w:p w:rsidR="00644515" w:rsidRPr="00C62A13" w:rsidRDefault="00D93F0C" w:rsidP="006639B9">
                  <w:pPr>
                    <w:jc w:val="left"/>
                    <w:rPr>
                      <w:rFonts w:ascii="Arial Narrow" w:eastAsiaTheme="majorEastAsia" w:hAnsi="Arial Narrow" w:cstheme="majorBidi"/>
                      <w:bCs/>
                      <w:sz w:val="18"/>
                      <w:szCs w:val="18"/>
                    </w:rPr>
                  </w:pPr>
                  <w:r w:rsidRPr="00C62A13">
                    <w:rPr>
                      <w:rFonts w:ascii="Arial Narrow" w:eastAsiaTheme="majorEastAsia" w:hAnsi="Arial Narrow" w:cstheme="majorBidi"/>
                      <w:bCs/>
                      <w:sz w:val="18"/>
                      <w:szCs w:val="18"/>
                    </w:rPr>
                    <w:t>UPA 15</w:t>
                  </w:r>
                  <w:r w:rsidR="005D61E1">
                    <w:rPr>
                      <w:rFonts w:ascii="Arial Narrow" w:eastAsiaTheme="majorEastAsia" w:hAnsi="Arial Narrow" w:cstheme="majorBidi"/>
                      <w:bCs/>
                      <w:sz w:val="18"/>
                      <w:szCs w:val="18"/>
                    </w:rPr>
                    <w:t xml:space="preserve"> </w:t>
                  </w:r>
                  <w:r w:rsidR="00644515" w:rsidRPr="00C62A13">
                    <w:rPr>
                      <w:rFonts w:ascii="Arial Narrow" w:eastAsiaTheme="majorEastAsia" w:hAnsi="Arial Narrow" w:cstheme="majorBidi"/>
                      <w:bCs/>
                      <w:sz w:val="18"/>
                      <w:szCs w:val="18"/>
                    </w:rPr>
                    <w:t>mg</w:t>
                  </w:r>
                </w:p>
              </w:tc>
              <w:tc>
                <w:tcPr>
                  <w:tcW w:w="889" w:type="dxa"/>
                  <w:vAlign w:val="center"/>
                </w:tcPr>
                <w:p w:rsidR="00644515" w:rsidRPr="00C62A13" w:rsidRDefault="00644515" w:rsidP="006639B9">
                  <w:pPr>
                    <w:jc w:val="center"/>
                    <w:rPr>
                      <w:rFonts w:ascii="Arial Narrow" w:eastAsiaTheme="majorEastAsia" w:hAnsi="Arial Narrow" w:cstheme="majorBidi"/>
                      <w:bCs/>
                      <w:sz w:val="18"/>
                      <w:szCs w:val="18"/>
                    </w:rPr>
                  </w:pPr>
                  <w:r w:rsidRPr="00C62A13">
                    <w:rPr>
                      <w:rFonts w:ascii="Arial Narrow" w:eastAsiaTheme="majorEastAsia" w:hAnsi="Arial Narrow" w:cstheme="majorBidi"/>
                      <w:bCs/>
                      <w:sz w:val="18"/>
                      <w:szCs w:val="18"/>
                    </w:rPr>
                    <w:t>69.6%</w:t>
                  </w:r>
                </w:p>
              </w:tc>
            </w:tr>
            <w:tr w:rsidR="00644515" w:rsidRPr="00C62A13" w:rsidTr="00644515">
              <w:tc>
                <w:tcPr>
                  <w:tcW w:w="888" w:type="dxa"/>
                </w:tcPr>
                <w:p w:rsidR="00644515" w:rsidRPr="00C62A13" w:rsidRDefault="00D93F0C" w:rsidP="006639B9">
                  <w:pPr>
                    <w:jc w:val="left"/>
                    <w:rPr>
                      <w:rFonts w:ascii="Arial Narrow" w:eastAsiaTheme="majorEastAsia" w:hAnsi="Arial Narrow" w:cstheme="majorBidi"/>
                      <w:bCs/>
                      <w:sz w:val="18"/>
                      <w:szCs w:val="18"/>
                    </w:rPr>
                  </w:pPr>
                  <w:r w:rsidRPr="00C62A13">
                    <w:rPr>
                      <w:rFonts w:ascii="Arial Narrow" w:eastAsiaTheme="majorEastAsia" w:hAnsi="Arial Narrow" w:cstheme="majorBidi"/>
                      <w:bCs/>
                      <w:sz w:val="18"/>
                      <w:szCs w:val="18"/>
                    </w:rPr>
                    <w:t>UPA 30</w:t>
                  </w:r>
                  <w:r w:rsidR="005D61E1">
                    <w:rPr>
                      <w:rFonts w:ascii="Arial Narrow" w:eastAsiaTheme="majorEastAsia" w:hAnsi="Arial Narrow" w:cstheme="majorBidi"/>
                      <w:bCs/>
                      <w:sz w:val="18"/>
                      <w:szCs w:val="18"/>
                    </w:rPr>
                    <w:t xml:space="preserve"> </w:t>
                  </w:r>
                  <w:r w:rsidR="00644515" w:rsidRPr="00C62A13">
                    <w:rPr>
                      <w:rFonts w:ascii="Arial Narrow" w:eastAsiaTheme="majorEastAsia" w:hAnsi="Arial Narrow" w:cstheme="majorBidi"/>
                      <w:bCs/>
                      <w:sz w:val="18"/>
                      <w:szCs w:val="18"/>
                    </w:rPr>
                    <w:t>mg</w:t>
                  </w:r>
                </w:p>
              </w:tc>
              <w:tc>
                <w:tcPr>
                  <w:tcW w:w="889" w:type="dxa"/>
                  <w:vAlign w:val="center"/>
                </w:tcPr>
                <w:p w:rsidR="00644515" w:rsidRPr="00C62A13" w:rsidRDefault="00644515" w:rsidP="006639B9">
                  <w:pPr>
                    <w:jc w:val="center"/>
                    <w:rPr>
                      <w:rFonts w:ascii="Arial Narrow" w:eastAsiaTheme="majorEastAsia" w:hAnsi="Arial Narrow" w:cstheme="majorBidi"/>
                      <w:bCs/>
                      <w:sz w:val="18"/>
                      <w:szCs w:val="18"/>
                    </w:rPr>
                  </w:pPr>
                  <w:r w:rsidRPr="00C62A13">
                    <w:rPr>
                      <w:rFonts w:ascii="Arial Narrow" w:eastAsiaTheme="majorEastAsia" w:hAnsi="Arial Narrow" w:cstheme="majorBidi"/>
                      <w:bCs/>
                      <w:sz w:val="18"/>
                      <w:szCs w:val="18"/>
                    </w:rPr>
                    <w:t>80.8%</w:t>
                  </w:r>
                </w:p>
              </w:tc>
            </w:tr>
          </w:tbl>
          <w:p w:rsidR="00644515" w:rsidRPr="00C62A13" w:rsidRDefault="00644515" w:rsidP="00AA68F3">
            <w:pPr>
              <w:pStyle w:val="TableText0"/>
              <w:keepNext w:val="0"/>
            </w:pPr>
            <w:r w:rsidRPr="00C62A13">
              <w:t>Source:</w:t>
            </w:r>
            <w:r w:rsidRPr="00C62A13">
              <w:rPr>
                <w:bCs w:val="0"/>
              </w:rPr>
              <w:t xml:space="preserve"> Clinical trial data, corresponding to response at Week 16</w:t>
            </w:r>
            <w:r w:rsidR="00AA68F3" w:rsidRPr="00C62A13">
              <w:rPr>
                <w:bCs w:val="0"/>
              </w:rPr>
              <w:t xml:space="preserve"> (unadjusted).</w:t>
            </w:r>
          </w:p>
        </w:tc>
        <w:tc>
          <w:tcPr>
            <w:tcW w:w="2488" w:type="pct"/>
            <w:shd w:val="clear" w:color="auto" w:fill="auto"/>
            <w:vAlign w:val="center"/>
          </w:tcPr>
          <w:p w:rsidR="00644515" w:rsidRPr="00C62A13" w:rsidRDefault="00644515" w:rsidP="00AA68F3">
            <w:pPr>
              <w:pStyle w:val="TableText0"/>
              <w:keepNext w:val="0"/>
            </w:pPr>
            <w:r w:rsidRPr="00C62A13">
              <w:t>The submission applied the naïve proportions observed in the DUPI and UPA trials, without adjusting for differences in the placebo response rates across the two sets of trials</w:t>
            </w:r>
            <w:r w:rsidR="00792A2A" w:rsidRPr="00C62A13">
              <w:t>.</w:t>
            </w:r>
            <w:r w:rsidR="003A5E48" w:rsidRPr="00C62A13">
              <w:t xml:space="preserve"> </w:t>
            </w:r>
            <w:r w:rsidR="00AA68F3" w:rsidRPr="00C62A13">
              <w:t>I</w:t>
            </w:r>
            <w:r w:rsidRPr="00C62A13">
              <w:t>t would be more appropriate to use the RR or RD statistics to derive the response rates for DUPI relative to UPA or UPA relative to DUPI</w:t>
            </w:r>
            <w:r w:rsidR="00AA68F3" w:rsidRPr="00C62A13">
              <w:t xml:space="preserve"> as</w:t>
            </w:r>
            <w:r w:rsidR="00AA68F3" w:rsidRPr="00C62A13">
              <w:rPr>
                <w:i/>
              </w:rPr>
              <w:t xml:space="preserve"> </w:t>
            </w:r>
            <w:r w:rsidR="00AA68F3" w:rsidRPr="00C62A13">
              <w:t xml:space="preserve">discussed in paragraph </w:t>
            </w:r>
            <w:r w:rsidR="006A119B">
              <w:t>6.58</w:t>
            </w:r>
            <w:r w:rsidR="00AA68F3" w:rsidRPr="00C62A13">
              <w:t xml:space="preserve"> and </w:t>
            </w:r>
            <w:r w:rsidR="006A119B">
              <w:t>6.59</w:t>
            </w:r>
            <w:r w:rsidRPr="00C62A13">
              <w:t>. SA conducted during the evaluation showed that the net financial estimates are sensitive to the adjusted response rate for DUPI.</w:t>
            </w:r>
            <w:r w:rsidR="00792A2A" w:rsidRPr="00C62A13">
              <w:t xml:space="preserve"> However, the PBAC did not accept that assuming a difference in response was reasonable. </w:t>
            </w:r>
          </w:p>
        </w:tc>
      </w:tr>
      <w:tr w:rsidR="00644515" w:rsidRPr="00C62A13" w:rsidTr="0092701E">
        <w:trPr>
          <w:cantSplit/>
        </w:trPr>
        <w:tc>
          <w:tcPr>
            <w:tcW w:w="784" w:type="pct"/>
            <w:shd w:val="clear" w:color="auto" w:fill="auto"/>
            <w:vAlign w:val="center"/>
          </w:tcPr>
          <w:p w:rsidR="00644515" w:rsidRPr="00C62A13" w:rsidRDefault="00644515" w:rsidP="006639B9">
            <w:pPr>
              <w:pStyle w:val="TableText0"/>
              <w:keepNext w:val="0"/>
            </w:pPr>
            <w:r w:rsidRPr="00C62A13">
              <w:t>Long term response rates</w:t>
            </w:r>
          </w:p>
          <w:p w:rsidR="00644515" w:rsidRPr="00C62A13" w:rsidRDefault="00644515" w:rsidP="008724DA">
            <w:pPr>
              <w:pStyle w:val="TableText0"/>
              <w:keepNext w:val="0"/>
            </w:pPr>
            <w:r w:rsidRPr="00C62A13">
              <w:t>(DUPI, UPA 15</w:t>
            </w:r>
            <w:r w:rsidR="008724DA" w:rsidRPr="00C62A13">
              <w:t> </w:t>
            </w:r>
            <w:r w:rsidRPr="00C62A13">
              <w:t>mg, UPA 30</w:t>
            </w:r>
            <w:r w:rsidR="005D61E1">
              <w:t xml:space="preserve"> </w:t>
            </w:r>
            <w:r w:rsidRPr="00C62A13">
              <w:t>mg)</w:t>
            </w:r>
          </w:p>
        </w:tc>
        <w:tc>
          <w:tcPr>
            <w:tcW w:w="1728" w:type="pct"/>
            <w:shd w:val="clear" w:color="auto" w:fill="auto"/>
            <w:vAlign w:val="center"/>
          </w:tcPr>
          <w:p w:rsidR="00644515" w:rsidRPr="00C62A13" w:rsidRDefault="00644515" w:rsidP="006639B9">
            <w:pPr>
              <w:rPr>
                <w:rFonts w:ascii="Arial Narrow" w:hAnsi="Arial Narrow"/>
                <w:b/>
                <w:bCs/>
                <w:sz w:val="18"/>
                <w:szCs w:val="18"/>
              </w:rPr>
            </w:pPr>
            <w:r w:rsidRPr="00C62A13">
              <w:rPr>
                <w:rFonts w:ascii="Arial Narrow" w:hAnsi="Arial Narrow"/>
                <w:b/>
                <w:bCs/>
                <w:sz w:val="18"/>
                <w:szCs w:val="18"/>
              </w:rPr>
              <w:t>Maintain response given response at Week 16</w:t>
            </w:r>
          </w:p>
          <w:tbl>
            <w:tblPr>
              <w:tblStyle w:val="TableGrid"/>
              <w:tblW w:w="0" w:type="auto"/>
              <w:tblLayout w:type="fixed"/>
              <w:tblCellMar>
                <w:left w:w="28" w:type="dxa"/>
                <w:right w:w="28" w:type="dxa"/>
              </w:tblCellMar>
              <w:tblLook w:val="04A0" w:firstRow="1" w:lastRow="0" w:firstColumn="1" w:lastColumn="0" w:noHBand="0" w:noVBand="1"/>
              <w:tblCaption w:val="Maintain response given response at Week 16"/>
            </w:tblPr>
            <w:tblGrid>
              <w:gridCol w:w="958"/>
              <w:gridCol w:w="819"/>
            </w:tblGrid>
            <w:tr w:rsidR="00644515" w:rsidRPr="00C62A13" w:rsidTr="0079789B">
              <w:trPr>
                <w:tblHeader/>
              </w:trPr>
              <w:tc>
                <w:tcPr>
                  <w:tcW w:w="958" w:type="dxa"/>
                </w:tcPr>
                <w:p w:rsidR="00644515" w:rsidRPr="00C62A13" w:rsidRDefault="00644515" w:rsidP="006639B9">
                  <w:pPr>
                    <w:jc w:val="left"/>
                    <w:rPr>
                      <w:rFonts w:ascii="Arial Narrow" w:eastAsiaTheme="majorEastAsia" w:hAnsi="Arial Narrow" w:cstheme="majorBidi"/>
                      <w:b/>
                      <w:sz w:val="18"/>
                      <w:szCs w:val="18"/>
                    </w:rPr>
                  </w:pPr>
                  <w:r w:rsidRPr="00C62A13">
                    <w:rPr>
                      <w:rFonts w:ascii="Arial Narrow" w:eastAsiaTheme="majorEastAsia" w:hAnsi="Arial Narrow" w:cstheme="majorBidi"/>
                      <w:b/>
                      <w:sz w:val="18"/>
                      <w:szCs w:val="18"/>
                    </w:rPr>
                    <w:t>Time point</w:t>
                  </w:r>
                </w:p>
              </w:tc>
              <w:tc>
                <w:tcPr>
                  <w:tcW w:w="819" w:type="dxa"/>
                  <w:vAlign w:val="center"/>
                </w:tcPr>
                <w:p w:rsidR="00644515" w:rsidRPr="00C62A13" w:rsidRDefault="00644515" w:rsidP="006639B9">
                  <w:pPr>
                    <w:jc w:val="center"/>
                    <w:rPr>
                      <w:rFonts w:ascii="Arial Narrow" w:eastAsiaTheme="majorEastAsia" w:hAnsi="Arial Narrow" w:cstheme="majorBidi"/>
                      <w:b/>
                      <w:sz w:val="18"/>
                      <w:szCs w:val="18"/>
                    </w:rPr>
                  </w:pPr>
                  <w:r w:rsidRPr="00C62A13">
                    <w:rPr>
                      <w:rFonts w:ascii="Arial Narrow" w:eastAsiaTheme="majorEastAsia" w:hAnsi="Arial Narrow" w:cstheme="majorBidi"/>
                      <w:b/>
                      <w:sz w:val="18"/>
                      <w:szCs w:val="18"/>
                    </w:rPr>
                    <w:t>% respond</w:t>
                  </w:r>
                </w:p>
              </w:tc>
            </w:tr>
            <w:tr w:rsidR="00644515" w:rsidRPr="00C62A13" w:rsidTr="00644515">
              <w:tc>
                <w:tcPr>
                  <w:tcW w:w="958" w:type="dxa"/>
                </w:tcPr>
                <w:p w:rsidR="00644515" w:rsidRPr="00C62A13" w:rsidRDefault="00644515" w:rsidP="006639B9">
                  <w:pPr>
                    <w:jc w:val="left"/>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Week 42/44</w:t>
                  </w:r>
                </w:p>
              </w:tc>
              <w:tc>
                <w:tcPr>
                  <w:tcW w:w="819" w:type="dxa"/>
                  <w:vAlign w:val="center"/>
                </w:tcPr>
                <w:p w:rsidR="00644515" w:rsidRPr="00C62A13" w:rsidRDefault="00644515" w:rsidP="006639B9">
                  <w:pPr>
                    <w:jc w:val="center"/>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95.7%</w:t>
                  </w:r>
                </w:p>
              </w:tc>
            </w:tr>
          </w:tbl>
          <w:p w:rsidR="00644515" w:rsidRPr="00C62A13" w:rsidRDefault="00644515" w:rsidP="006639B9">
            <w:pPr>
              <w:rPr>
                <w:rFonts w:ascii="Arial Narrow" w:hAnsi="Arial Narrow"/>
                <w:sz w:val="18"/>
                <w:szCs w:val="18"/>
              </w:rPr>
            </w:pPr>
          </w:p>
          <w:p w:rsidR="00644515" w:rsidRPr="00C62A13" w:rsidRDefault="00644515" w:rsidP="006639B9">
            <w:r w:rsidRPr="00C62A13">
              <w:rPr>
                <w:rFonts w:ascii="Arial Narrow" w:hAnsi="Arial Narrow"/>
                <w:b/>
                <w:bCs/>
                <w:sz w:val="18"/>
                <w:szCs w:val="18"/>
              </w:rPr>
              <w:t>Maintain response given response at Year 1</w:t>
            </w:r>
          </w:p>
          <w:tbl>
            <w:tblPr>
              <w:tblStyle w:val="TableGrid"/>
              <w:tblW w:w="0" w:type="auto"/>
              <w:tblLayout w:type="fixed"/>
              <w:tblCellMar>
                <w:left w:w="28" w:type="dxa"/>
                <w:right w:w="28" w:type="dxa"/>
              </w:tblCellMar>
              <w:tblLook w:val="04A0" w:firstRow="1" w:lastRow="0" w:firstColumn="1" w:lastColumn="0" w:noHBand="0" w:noVBand="1"/>
              <w:tblCaption w:val="Maintain response given response at Year 1"/>
            </w:tblPr>
            <w:tblGrid>
              <w:gridCol w:w="958"/>
              <w:gridCol w:w="819"/>
            </w:tblGrid>
            <w:tr w:rsidR="00644515" w:rsidRPr="00C62A13" w:rsidTr="0079789B">
              <w:trPr>
                <w:tblHeader/>
              </w:trPr>
              <w:tc>
                <w:tcPr>
                  <w:tcW w:w="958" w:type="dxa"/>
                </w:tcPr>
                <w:p w:rsidR="00644515" w:rsidRPr="00C62A13" w:rsidRDefault="00644515" w:rsidP="006639B9">
                  <w:pPr>
                    <w:jc w:val="left"/>
                    <w:rPr>
                      <w:rFonts w:ascii="Arial Narrow" w:eastAsiaTheme="majorEastAsia" w:hAnsi="Arial Narrow" w:cstheme="majorBidi"/>
                      <w:b/>
                      <w:sz w:val="18"/>
                      <w:szCs w:val="18"/>
                    </w:rPr>
                  </w:pPr>
                </w:p>
              </w:tc>
              <w:tc>
                <w:tcPr>
                  <w:tcW w:w="819" w:type="dxa"/>
                  <w:vAlign w:val="center"/>
                </w:tcPr>
                <w:p w:rsidR="00644515" w:rsidRPr="00C62A13" w:rsidRDefault="00644515" w:rsidP="006639B9">
                  <w:pPr>
                    <w:jc w:val="center"/>
                    <w:rPr>
                      <w:rFonts w:ascii="Arial Narrow" w:eastAsiaTheme="majorEastAsia" w:hAnsi="Arial Narrow" w:cstheme="majorBidi"/>
                      <w:b/>
                      <w:sz w:val="18"/>
                      <w:szCs w:val="18"/>
                    </w:rPr>
                  </w:pPr>
                  <w:r w:rsidRPr="00C62A13">
                    <w:rPr>
                      <w:rFonts w:ascii="Arial Narrow" w:eastAsiaTheme="majorEastAsia" w:hAnsi="Arial Narrow" w:cstheme="majorBidi"/>
                      <w:b/>
                      <w:sz w:val="18"/>
                      <w:szCs w:val="18"/>
                    </w:rPr>
                    <w:t>% respond</w:t>
                  </w:r>
                </w:p>
              </w:tc>
            </w:tr>
            <w:tr w:rsidR="00644515" w:rsidRPr="00C62A13" w:rsidTr="00644515">
              <w:tc>
                <w:tcPr>
                  <w:tcW w:w="958" w:type="dxa"/>
                </w:tcPr>
                <w:p w:rsidR="00644515" w:rsidRPr="00C62A13" w:rsidRDefault="00644515" w:rsidP="006639B9">
                  <w:pPr>
                    <w:jc w:val="left"/>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Year 2</w:t>
                  </w:r>
                </w:p>
              </w:tc>
              <w:tc>
                <w:tcPr>
                  <w:tcW w:w="819" w:type="dxa"/>
                  <w:vAlign w:val="center"/>
                </w:tcPr>
                <w:p w:rsidR="00644515" w:rsidRPr="00C62A13" w:rsidRDefault="00644515" w:rsidP="006639B9">
                  <w:pPr>
                    <w:jc w:val="center"/>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83.2%</w:t>
                  </w:r>
                </w:p>
              </w:tc>
            </w:tr>
            <w:tr w:rsidR="00644515" w:rsidRPr="00C62A13" w:rsidTr="00644515">
              <w:tc>
                <w:tcPr>
                  <w:tcW w:w="958" w:type="dxa"/>
                </w:tcPr>
                <w:p w:rsidR="00644515" w:rsidRPr="00C62A13" w:rsidRDefault="00644515" w:rsidP="006639B9">
                  <w:pPr>
                    <w:jc w:val="left"/>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Tear 3</w:t>
                  </w:r>
                </w:p>
              </w:tc>
              <w:tc>
                <w:tcPr>
                  <w:tcW w:w="819" w:type="dxa"/>
                  <w:vAlign w:val="center"/>
                </w:tcPr>
                <w:p w:rsidR="00644515" w:rsidRPr="00C62A13" w:rsidRDefault="00644515" w:rsidP="006639B9">
                  <w:pPr>
                    <w:jc w:val="center"/>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79.87%</w:t>
                  </w:r>
                </w:p>
              </w:tc>
            </w:tr>
            <w:tr w:rsidR="00644515" w:rsidRPr="00C62A13" w:rsidTr="00644515">
              <w:tc>
                <w:tcPr>
                  <w:tcW w:w="958" w:type="dxa"/>
                </w:tcPr>
                <w:p w:rsidR="00644515" w:rsidRPr="00C62A13" w:rsidRDefault="00644515" w:rsidP="006639B9">
                  <w:pPr>
                    <w:jc w:val="left"/>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Year 4</w:t>
                  </w:r>
                </w:p>
              </w:tc>
              <w:tc>
                <w:tcPr>
                  <w:tcW w:w="819" w:type="dxa"/>
                  <w:vAlign w:val="center"/>
                </w:tcPr>
                <w:p w:rsidR="00644515" w:rsidRPr="00C62A13" w:rsidRDefault="00644515" w:rsidP="006639B9">
                  <w:pPr>
                    <w:jc w:val="center"/>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77.16%</w:t>
                  </w:r>
                </w:p>
              </w:tc>
            </w:tr>
            <w:tr w:rsidR="00644515" w:rsidRPr="00C62A13" w:rsidTr="00644515">
              <w:tc>
                <w:tcPr>
                  <w:tcW w:w="958" w:type="dxa"/>
                </w:tcPr>
                <w:p w:rsidR="00644515" w:rsidRPr="00C62A13" w:rsidRDefault="00644515" w:rsidP="006639B9">
                  <w:pPr>
                    <w:jc w:val="left"/>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Year 5</w:t>
                  </w:r>
                </w:p>
              </w:tc>
              <w:tc>
                <w:tcPr>
                  <w:tcW w:w="819" w:type="dxa"/>
                  <w:vAlign w:val="center"/>
                </w:tcPr>
                <w:p w:rsidR="00644515" w:rsidRPr="00C62A13" w:rsidRDefault="00644515" w:rsidP="006639B9">
                  <w:pPr>
                    <w:jc w:val="center"/>
                    <w:rPr>
                      <w:rFonts w:ascii="Arial Narrow" w:eastAsiaTheme="majorEastAsia" w:hAnsi="Arial Narrow" w:cstheme="majorBidi"/>
                      <w:sz w:val="18"/>
                      <w:szCs w:val="18"/>
                    </w:rPr>
                  </w:pPr>
                  <w:r w:rsidRPr="00C62A13">
                    <w:rPr>
                      <w:rFonts w:ascii="Arial Narrow" w:eastAsiaTheme="majorEastAsia" w:hAnsi="Arial Narrow" w:cstheme="majorBidi"/>
                      <w:sz w:val="18"/>
                      <w:szCs w:val="18"/>
                    </w:rPr>
                    <w:t>74.76%</w:t>
                  </w:r>
                </w:p>
              </w:tc>
            </w:tr>
          </w:tbl>
          <w:p w:rsidR="00644515" w:rsidRPr="00C62A13" w:rsidRDefault="00644515" w:rsidP="006639B9">
            <w:pPr>
              <w:pStyle w:val="TableText0"/>
              <w:keepNext w:val="0"/>
            </w:pPr>
            <w:r w:rsidRPr="00C62A13">
              <w:t>Source: Table 19, Dupilumab PSD March 2020 PBAC meeting.</w:t>
            </w:r>
          </w:p>
          <w:p w:rsidR="00644515" w:rsidRPr="00C62A13" w:rsidRDefault="00644515" w:rsidP="006639B9">
            <w:pPr>
              <w:pStyle w:val="TableText0"/>
              <w:keepNext w:val="0"/>
            </w:pPr>
            <w:r w:rsidRPr="00C62A13">
              <w:t>Assumed equal relative maintenance of response for all active therapies, consistent with the modelled economic evaluation.</w:t>
            </w:r>
          </w:p>
        </w:tc>
        <w:tc>
          <w:tcPr>
            <w:tcW w:w="2488" w:type="pct"/>
            <w:shd w:val="clear" w:color="auto" w:fill="auto"/>
            <w:vAlign w:val="center"/>
          </w:tcPr>
          <w:p w:rsidR="006639B9" w:rsidRPr="00C62A13" w:rsidRDefault="00644515" w:rsidP="006639B9">
            <w:pPr>
              <w:pStyle w:val="TableText0"/>
              <w:keepNext w:val="0"/>
            </w:pPr>
            <w:r w:rsidRPr="00C62A13">
              <w:t xml:space="preserve">The submission applied the same persistence estimates as assumed by the DUPI submission. CHRONOS data informed the maintenance of response at Week 44 given response at Week 16; assumed to apply to Week 52 in the financial estimates. A time-to-event analysis of CHRONOS data (Week 16 to Week 52) informed the maintenance of response beyond CHRONOS (i.e. Week 52). The details of this analysis were not available, but the PBAC considered this extrapolation increased uncertainty in the modelled outcomes (paragraph 7.15, Dupilumab </w:t>
            </w:r>
            <w:r w:rsidR="008642E9" w:rsidRPr="00C62A13">
              <w:t xml:space="preserve">PSD </w:t>
            </w:r>
            <w:r w:rsidRPr="00C62A13">
              <w:t xml:space="preserve">July 2019 PBAC meeting). </w:t>
            </w:r>
          </w:p>
          <w:p w:rsidR="006639B9" w:rsidRPr="00C62A13" w:rsidRDefault="006639B9" w:rsidP="006639B9">
            <w:pPr>
              <w:pStyle w:val="TableText0"/>
              <w:keepNext w:val="0"/>
            </w:pPr>
          </w:p>
          <w:p w:rsidR="00644515" w:rsidRPr="00C62A13" w:rsidRDefault="00644515" w:rsidP="006639B9">
            <w:pPr>
              <w:pStyle w:val="TableText0"/>
              <w:keepNext w:val="0"/>
            </w:pPr>
            <w:r w:rsidRPr="00C62A13">
              <w:t xml:space="preserve">The table below summarises the proportion of initial patients maintaining response over the 6 years of the financial model. The Week 42/44 CHRONOS data informed Week 52. </w:t>
            </w:r>
          </w:p>
          <w:p w:rsidR="006639B9" w:rsidRPr="00C62A13" w:rsidRDefault="006639B9" w:rsidP="006639B9">
            <w:pPr>
              <w:pStyle w:val="TableText0"/>
              <w:keepNext w:val="0"/>
              <w:rPr>
                <w:b/>
                <w:bCs w:val="0"/>
                <w:iCs/>
              </w:rPr>
            </w:pPr>
          </w:p>
          <w:p w:rsidR="00644515" w:rsidRPr="00C62A13" w:rsidRDefault="00644515" w:rsidP="006639B9">
            <w:pPr>
              <w:pStyle w:val="TableText0"/>
              <w:keepNext w:val="0"/>
              <w:rPr>
                <w:b/>
                <w:bCs w:val="0"/>
                <w:iCs/>
              </w:rPr>
            </w:pPr>
            <w:r w:rsidRPr="00C62A13">
              <w:rPr>
                <w:b/>
                <w:bCs w:val="0"/>
                <w:iCs/>
              </w:rPr>
              <w:t>% initial patients maintaining response</w:t>
            </w:r>
          </w:p>
          <w:tbl>
            <w:tblPr>
              <w:tblStyle w:val="TableGrid"/>
              <w:tblW w:w="0" w:type="auto"/>
              <w:tblLayout w:type="fixed"/>
              <w:tblCellMar>
                <w:left w:w="28" w:type="dxa"/>
                <w:right w:w="28" w:type="dxa"/>
              </w:tblCellMar>
              <w:tblLook w:val="04A0" w:firstRow="1" w:lastRow="0" w:firstColumn="1" w:lastColumn="0" w:noHBand="0" w:noVBand="1"/>
              <w:tblCaption w:val="% initial patients maintaining response"/>
            </w:tblPr>
            <w:tblGrid>
              <w:gridCol w:w="1108"/>
              <w:gridCol w:w="708"/>
              <w:gridCol w:w="851"/>
              <w:gridCol w:w="923"/>
            </w:tblGrid>
            <w:tr w:rsidR="00644515" w:rsidRPr="00C62A13" w:rsidTr="0079789B">
              <w:trPr>
                <w:tblHeader/>
              </w:trPr>
              <w:tc>
                <w:tcPr>
                  <w:tcW w:w="1108" w:type="dxa"/>
                </w:tcPr>
                <w:p w:rsidR="00644515" w:rsidRPr="00C62A13" w:rsidRDefault="00644515" w:rsidP="006639B9">
                  <w:pPr>
                    <w:pStyle w:val="TableText0"/>
                    <w:keepNext w:val="0"/>
                    <w:rPr>
                      <w:iCs/>
                      <w:sz w:val="18"/>
                      <w:szCs w:val="18"/>
                    </w:rPr>
                  </w:pPr>
                </w:p>
              </w:tc>
              <w:tc>
                <w:tcPr>
                  <w:tcW w:w="708" w:type="dxa"/>
                  <w:vAlign w:val="center"/>
                </w:tcPr>
                <w:p w:rsidR="00644515" w:rsidRPr="00C62A13" w:rsidRDefault="00644515" w:rsidP="006639B9">
                  <w:pPr>
                    <w:pStyle w:val="TableText0"/>
                    <w:keepNext w:val="0"/>
                    <w:jc w:val="center"/>
                    <w:rPr>
                      <w:b/>
                      <w:bCs w:val="0"/>
                      <w:iCs/>
                      <w:sz w:val="18"/>
                      <w:szCs w:val="18"/>
                    </w:rPr>
                  </w:pPr>
                  <w:r w:rsidRPr="00C62A13">
                    <w:rPr>
                      <w:b/>
                      <w:bCs w:val="0"/>
                      <w:iCs/>
                      <w:sz w:val="18"/>
                      <w:szCs w:val="18"/>
                    </w:rPr>
                    <w:t>DUPI</w:t>
                  </w:r>
                </w:p>
              </w:tc>
              <w:tc>
                <w:tcPr>
                  <w:tcW w:w="851" w:type="dxa"/>
                  <w:vAlign w:val="center"/>
                </w:tcPr>
                <w:p w:rsidR="00644515" w:rsidRPr="00C62A13" w:rsidRDefault="00644515" w:rsidP="006639B9">
                  <w:pPr>
                    <w:pStyle w:val="TableText0"/>
                    <w:keepNext w:val="0"/>
                    <w:jc w:val="center"/>
                    <w:rPr>
                      <w:b/>
                      <w:bCs w:val="0"/>
                      <w:iCs/>
                      <w:sz w:val="18"/>
                      <w:szCs w:val="18"/>
                    </w:rPr>
                  </w:pPr>
                  <w:r w:rsidRPr="00C62A13">
                    <w:rPr>
                      <w:b/>
                      <w:bCs w:val="0"/>
                      <w:iCs/>
                      <w:sz w:val="18"/>
                      <w:szCs w:val="18"/>
                    </w:rPr>
                    <w:t>UPA 15</w:t>
                  </w:r>
                  <w:r w:rsidR="005D61E1">
                    <w:rPr>
                      <w:b/>
                      <w:bCs w:val="0"/>
                      <w:iCs/>
                      <w:sz w:val="18"/>
                      <w:szCs w:val="18"/>
                    </w:rPr>
                    <w:t xml:space="preserve"> </w:t>
                  </w:r>
                  <w:r w:rsidRPr="00C62A13">
                    <w:rPr>
                      <w:b/>
                      <w:bCs w:val="0"/>
                      <w:iCs/>
                      <w:sz w:val="18"/>
                      <w:szCs w:val="18"/>
                    </w:rPr>
                    <w:t>mg</w:t>
                  </w:r>
                </w:p>
              </w:tc>
              <w:tc>
                <w:tcPr>
                  <w:tcW w:w="923" w:type="dxa"/>
                  <w:vAlign w:val="center"/>
                </w:tcPr>
                <w:p w:rsidR="00644515" w:rsidRPr="00C62A13" w:rsidRDefault="00644515" w:rsidP="006639B9">
                  <w:pPr>
                    <w:pStyle w:val="TableText0"/>
                    <w:keepNext w:val="0"/>
                    <w:jc w:val="center"/>
                    <w:rPr>
                      <w:b/>
                      <w:bCs w:val="0"/>
                      <w:iCs/>
                      <w:sz w:val="18"/>
                      <w:szCs w:val="18"/>
                    </w:rPr>
                  </w:pPr>
                  <w:r w:rsidRPr="00C62A13">
                    <w:rPr>
                      <w:b/>
                      <w:bCs w:val="0"/>
                      <w:iCs/>
                      <w:sz w:val="18"/>
                      <w:szCs w:val="18"/>
                    </w:rPr>
                    <w:t>UPA 30</w:t>
                  </w:r>
                  <w:r w:rsidR="005D61E1">
                    <w:rPr>
                      <w:b/>
                      <w:bCs w:val="0"/>
                      <w:iCs/>
                      <w:sz w:val="18"/>
                      <w:szCs w:val="18"/>
                    </w:rPr>
                    <w:t xml:space="preserve"> </w:t>
                  </w:r>
                  <w:r w:rsidRPr="00C62A13">
                    <w:rPr>
                      <w:b/>
                      <w:bCs w:val="0"/>
                      <w:iCs/>
                      <w:sz w:val="18"/>
                      <w:szCs w:val="18"/>
                    </w:rPr>
                    <w:t>mg</w:t>
                  </w:r>
                </w:p>
              </w:tc>
            </w:tr>
            <w:tr w:rsidR="00644515" w:rsidRPr="00C62A13" w:rsidTr="00644515">
              <w:tc>
                <w:tcPr>
                  <w:tcW w:w="1108" w:type="dxa"/>
                </w:tcPr>
                <w:p w:rsidR="00644515" w:rsidRPr="00C62A13" w:rsidRDefault="00644515" w:rsidP="006639B9">
                  <w:pPr>
                    <w:pStyle w:val="TableText0"/>
                    <w:keepNext w:val="0"/>
                    <w:rPr>
                      <w:iCs/>
                      <w:sz w:val="18"/>
                      <w:szCs w:val="18"/>
                    </w:rPr>
                  </w:pPr>
                  <w:r w:rsidRPr="00C62A13">
                    <w:rPr>
                      <w:iCs/>
                      <w:sz w:val="18"/>
                      <w:szCs w:val="18"/>
                    </w:rPr>
                    <w:t>Week 16 to 52</w:t>
                  </w:r>
                </w:p>
              </w:tc>
              <w:tc>
                <w:tcPr>
                  <w:tcW w:w="708" w:type="dxa"/>
                  <w:vAlign w:val="center"/>
                </w:tcPr>
                <w:p w:rsidR="00644515" w:rsidRPr="00C62A13" w:rsidRDefault="00644515" w:rsidP="006639B9">
                  <w:pPr>
                    <w:pStyle w:val="TableText0"/>
                    <w:keepNext w:val="0"/>
                    <w:jc w:val="center"/>
                    <w:rPr>
                      <w:iCs/>
                      <w:sz w:val="18"/>
                      <w:szCs w:val="18"/>
                    </w:rPr>
                  </w:pPr>
                  <w:r w:rsidRPr="00C62A13">
                    <w:rPr>
                      <w:iCs/>
                      <w:sz w:val="18"/>
                      <w:szCs w:val="18"/>
                    </w:rPr>
                    <w:t>59.6%</w:t>
                  </w:r>
                </w:p>
              </w:tc>
              <w:tc>
                <w:tcPr>
                  <w:tcW w:w="851" w:type="dxa"/>
                  <w:vAlign w:val="center"/>
                </w:tcPr>
                <w:p w:rsidR="00644515" w:rsidRPr="00C62A13" w:rsidRDefault="00644515" w:rsidP="006639B9">
                  <w:pPr>
                    <w:pStyle w:val="TableText0"/>
                    <w:keepNext w:val="0"/>
                    <w:jc w:val="center"/>
                    <w:rPr>
                      <w:iCs/>
                      <w:sz w:val="18"/>
                      <w:szCs w:val="18"/>
                    </w:rPr>
                  </w:pPr>
                  <w:r w:rsidRPr="00C62A13">
                    <w:rPr>
                      <w:iCs/>
                      <w:sz w:val="18"/>
                      <w:szCs w:val="18"/>
                    </w:rPr>
                    <w:t>69.7%</w:t>
                  </w:r>
                </w:p>
              </w:tc>
              <w:tc>
                <w:tcPr>
                  <w:tcW w:w="923" w:type="dxa"/>
                  <w:vAlign w:val="center"/>
                </w:tcPr>
                <w:p w:rsidR="00644515" w:rsidRPr="00C62A13" w:rsidRDefault="00644515" w:rsidP="006639B9">
                  <w:pPr>
                    <w:pStyle w:val="TableText0"/>
                    <w:keepNext w:val="0"/>
                    <w:jc w:val="center"/>
                    <w:rPr>
                      <w:iCs/>
                      <w:sz w:val="18"/>
                      <w:szCs w:val="18"/>
                    </w:rPr>
                  </w:pPr>
                  <w:r w:rsidRPr="00C62A13">
                    <w:rPr>
                      <w:iCs/>
                      <w:sz w:val="18"/>
                      <w:szCs w:val="18"/>
                    </w:rPr>
                    <w:t>80.8%</w:t>
                  </w:r>
                </w:p>
              </w:tc>
            </w:tr>
            <w:tr w:rsidR="00644515" w:rsidRPr="00C62A13" w:rsidTr="00644515">
              <w:tc>
                <w:tcPr>
                  <w:tcW w:w="1108" w:type="dxa"/>
                </w:tcPr>
                <w:p w:rsidR="00644515" w:rsidRPr="00C62A13" w:rsidRDefault="00644515" w:rsidP="006639B9">
                  <w:pPr>
                    <w:pStyle w:val="TableText0"/>
                    <w:keepNext w:val="0"/>
                    <w:rPr>
                      <w:iCs/>
                      <w:sz w:val="18"/>
                      <w:szCs w:val="18"/>
                    </w:rPr>
                  </w:pPr>
                  <w:r w:rsidRPr="00C62A13">
                    <w:rPr>
                      <w:iCs/>
                      <w:sz w:val="18"/>
                      <w:szCs w:val="18"/>
                    </w:rPr>
                    <w:t>In Year 2</w:t>
                  </w:r>
                </w:p>
              </w:tc>
              <w:tc>
                <w:tcPr>
                  <w:tcW w:w="708" w:type="dxa"/>
                  <w:vAlign w:val="center"/>
                </w:tcPr>
                <w:p w:rsidR="00644515" w:rsidRPr="00C62A13" w:rsidRDefault="00644515" w:rsidP="006639B9">
                  <w:pPr>
                    <w:pStyle w:val="TableText0"/>
                    <w:keepNext w:val="0"/>
                    <w:jc w:val="center"/>
                    <w:rPr>
                      <w:iCs/>
                      <w:sz w:val="18"/>
                      <w:szCs w:val="18"/>
                    </w:rPr>
                  </w:pPr>
                  <w:r w:rsidRPr="00C62A13">
                    <w:rPr>
                      <w:iCs/>
                      <w:sz w:val="18"/>
                      <w:szCs w:val="18"/>
                    </w:rPr>
                    <w:t>57.0%</w:t>
                  </w:r>
                </w:p>
              </w:tc>
              <w:tc>
                <w:tcPr>
                  <w:tcW w:w="851" w:type="dxa"/>
                  <w:vAlign w:val="center"/>
                </w:tcPr>
                <w:p w:rsidR="00644515" w:rsidRPr="00C62A13" w:rsidRDefault="00644515" w:rsidP="006639B9">
                  <w:pPr>
                    <w:pStyle w:val="TableText0"/>
                    <w:keepNext w:val="0"/>
                    <w:jc w:val="center"/>
                    <w:rPr>
                      <w:iCs/>
                      <w:sz w:val="18"/>
                      <w:szCs w:val="18"/>
                    </w:rPr>
                  </w:pPr>
                  <w:r w:rsidRPr="00C62A13">
                    <w:rPr>
                      <w:iCs/>
                      <w:sz w:val="18"/>
                      <w:szCs w:val="18"/>
                    </w:rPr>
                    <w:t>66.7%</w:t>
                  </w:r>
                </w:p>
              </w:tc>
              <w:tc>
                <w:tcPr>
                  <w:tcW w:w="923" w:type="dxa"/>
                  <w:vAlign w:val="center"/>
                </w:tcPr>
                <w:p w:rsidR="00644515" w:rsidRPr="00C62A13" w:rsidRDefault="00644515" w:rsidP="006639B9">
                  <w:pPr>
                    <w:pStyle w:val="TableText0"/>
                    <w:keepNext w:val="0"/>
                    <w:jc w:val="center"/>
                    <w:rPr>
                      <w:iCs/>
                      <w:sz w:val="18"/>
                      <w:szCs w:val="18"/>
                    </w:rPr>
                  </w:pPr>
                  <w:r w:rsidRPr="00C62A13">
                    <w:rPr>
                      <w:iCs/>
                      <w:sz w:val="18"/>
                      <w:szCs w:val="18"/>
                    </w:rPr>
                    <w:t>77.3%</w:t>
                  </w:r>
                </w:p>
              </w:tc>
            </w:tr>
            <w:tr w:rsidR="00644515" w:rsidRPr="00C62A13" w:rsidTr="00644515">
              <w:tc>
                <w:tcPr>
                  <w:tcW w:w="1108" w:type="dxa"/>
                </w:tcPr>
                <w:p w:rsidR="00644515" w:rsidRPr="00C62A13" w:rsidRDefault="00644515" w:rsidP="006639B9">
                  <w:pPr>
                    <w:pStyle w:val="TableText0"/>
                    <w:keepNext w:val="0"/>
                    <w:rPr>
                      <w:iCs/>
                      <w:sz w:val="18"/>
                      <w:szCs w:val="18"/>
                    </w:rPr>
                  </w:pPr>
                  <w:r w:rsidRPr="00C62A13">
                    <w:rPr>
                      <w:iCs/>
                      <w:sz w:val="18"/>
                      <w:szCs w:val="18"/>
                    </w:rPr>
                    <w:t>In Year 3</w:t>
                  </w:r>
                </w:p>
              </w:tc>
              <w:tc>
                <w:tcPr>
                  <w:tcW w:w="708" w:type="dxa"/>
                  <w:vAlign w:val="center"/>
                </w:tcPr>
                <w:p w:rsidR="00644515" w:rsidRPr="00C62A13" w:rsidRDefault="00644515" w:rsidP="006639B9">
                  <w:pPr>
                    <w:pStyle w:val="TableText0"/>
                    <w:keepNext w:val="0"/>
                    <w:jc w:val="center"/>
                    <w:rPr>
                      <w:iCs/>
                      <w:sz w:val="18"/>
                      <w:szCs w:val="18"/>
                    </w:rPr>
                  </w:pPr>
                  <w:r w:rsidRPr="00C62A13">
                    <w:rPr>
                      <w:iCs/>
                      <w:sz w:val="18"/>
                      <w:szCs w:val="18"/>
                    </w:rPr>
                    <w:t>47.5%</w:t>
                  </w:r>
                </w:p>
              </w:tc>
              <w:tc>
                <w:tcPr>
                  <w:tcW w:w="851" w:type="dxa"/>
                  <w:vAlign w:val="center"/>
                </w:tcPr>
                <w:p w:rsidR="00644515" w:rsidRPr="00C62A13" w:rsidRDefault="00644515" w:rsidP="006639B9">
                  <w:pPr>
                    <w:pStyle w:val="TableText0"/>
                    <w:keepNext w:val="0"/>
                    <w:jc w:val="center"/>
                    <w:rPr>
                      <w:iCs/>
                      <w:sz w:val="18"/>
                      <w:szCs w:val="18"/>
                    </w:rPr>
                  </w:pPr>
                  <w:r w:rsidRPr="00C62A13">
                    <w:rPr>
                      <w:iCs/>
                      <w:sz w:val="18"/>
                      <w:szCs w:val="18"/>
                    </w:rPr>
                    <w:t>55.5%</w:t>
                  </w:r>
                </w:p>
              </w:tc>
              <w:tc>
                <w:tcPr>
                  <w:tcW w:w="923" w:type="dxa"/>
                  <w:vAlign w:val="center"/>
                </w:tcPr>
                <w:p w:rsidR="00644515" w:rsidRPr="00C62A13" w:rsidRDefault="00644515" w:rsidP="006639B9">
                  <w:pPr>
                    <w:pStyle w:val="TableText0"/>
                    <w:keepNext w:val="0"/>
                    <w:jc w:val="center"/>
                    <w:rPr>
                      <w:iCs/>
                      <w:sz w:val="18"/>
                      <w:szCs w:val="18"/>
                    </w:rPr>
                  </w:pPr>
                  <w:r w:rsidRPr="00C62A13">
                    <w:rPr>
                      <w:iCs/>
                      <w:sz w:val="18"/>
                      <w:szCs w:val="18"/>
                    </w:rPr>
                    <w:t>64.3%</w:t>
                  </w:r>
                </w:p>
              </w:tc>
            </w:tr>
            <w:tr w:rsidR="00644515" w:rsidRPr="00C62A13" w:rsidTr="00644515">
              <w:tc>
                <w:tcPr>
                  <w:tcW w:w="1108" w:type="dxa"/>
                </w:tcPr>
                <w:p w:rsidR="00644515" w:rsidRPr="00C62A13" w:rsidRDefault="00644515" w:rsidP="006639B9">
                  <w:pPr>
                    <w:pStyle w:val="TableText0"/>
                    <w:keepNext w:val="0"/>
                    <w:rPr>
                      <w:iCs/>
                      <w:sz w:val="18"/>
                      <w:szCs w:val="18"/>
                    </w:rPr>
                  </w:pPr>
                  <w:r w:rsidRPr="00C62A13">
                    <w:rPr>
                      <w:iCs/>
                      <w:sz w:val="18"/>
                      <w:szCs w:val="18"/>
                    </w:rPr>
                    <w:t>In Year 4</w:t>
                  </w:r>
                </w:p>
              </w:tc>
              <w:tc>
                <w:tcPr>
                  <w:tcW w:w="708" w:type="dxa"/>
                  <w:vAlign w:val="center"/>
                </w:tcPr>
                <w:p w:rsidR="00644515" w:rsidRPr="00C62A13" w:rsidRDefault="00644515" w:rsidP="006639B9">
                  <w:pPr>
                    <w:pStyle w:val="TableText0"/>
                    <w:keepNext w:val="0"/>
                    <w:jc w:val="center"/>
                    <w:rPr>
                      <w:iCs/>
                      <w:sz w:val="18"/>
                      <w:szCs w:val="18"/>
                    </w:rPr>
                  </w:pPr>
                  <w:r w:rsidRPr="00C62A13">
                    <w:rPr>
                      <w:iCs/>
                      <w:sz w:val="18"/>
                      <w:szCs w:val="18"/>
                    </w:rPr>
                    <w:t>45.6%</w:t>
                  </w:r>
                </w:p>
              </w:tc>
              <w:tc>
                <w:tcPr>
                  <w:tcW w:w="851" w:type="dxa"/>
                  <w:vAlign w:val="center"/>
                </w:tcPr>
                <w:p w:rsidR="00644515" w:rsidRPr="00C62A13" w:rsidRDefault="00644515" w:rsidP="006639B9">
                  <w:pPr>
                    <w:pStyle w:val="TableText0"/>
                    <w:keepNext w:val="0"/>
                    <w:jc w:val="center"/>
                    <w:rPr>
                      <w:iCs/>
                      <w:sz w:val="18"/>
                      <w:szCs w:val="18"/>
                    </w:rPr>
                  </w:pPr>
                  <w:r w:rsidRPr="00C62A13">
                    <w:rPr>
                      <w:iCs/>
                      <w:sz w:val="18"/>
                      <w:szCs w:val="18"/>
                    </w:rPr>
                    <w:t>53.3%</w:t>
                  </w:r>
                </w:p>
              </w:tc>
              <w:tc>
                <w:tcPr>
                  <w:tcW w:w="923" w:type="dxa"/>
                  <w:vAlign w:val="center"/>
                </w:tcPr>
                <w:p w:rsidR="00644515" w:rsidRPr="00C62A13" w:rsidRDefault="00644515" w:rsidP="006639B9">
                  <w:pPr>
                    <w:pStyle w:val="TableText0"/>
                    <w:keepNext w:val="0"/>
                    <w:jc w:val="center"/>
                    <w:rPr>
                      <w:iCs/>
                      <w:sz w:val="18"/>
                      <w:szCs w:val="18"/>
                    </w:rPr>
                  </w:pPr>
                  <w:r w:rsidRPr="00C62A13">
                    <w:rPr>
                      <w:iCs/>
                      <w:sz w:val="18"/>
                      <w:szCs w:val="18"/>
                    </w:rPr>
                    <w:t>61.8%</w:t>
                  </w:r>
                </w:p>
              </w:tc>
            </w:tr>
            <w:tr w:rsidR="00644515" w:rsidRPr="00C62A13" w:rsidTr="00644515">
              <w:tc>
                <w:tcPr>
                  <w:tcW w:w="1108" w:type="dxa"/>
                </w:tcPr>
                <w:p w:rsidR="00644515" w:rsidRPr="00C62A13" w:rsidRDefault="00644515" w:rsidP="006639B9">
                  <w:pPr>
                    <w:pStyle w:val="TableText0"/>
                    <w:keepNext w:val="0"/>
                    <w:rPr>
                      <w:iCs/>
                      <w:sz w:val="18"/>
                      <w:szCs w:val="18"/>
                    </w:rPr>
                  </w:pPr>
                  <w:r w:rsidRPr="00C62A13">
                    <w:rPr>
                      <w:iCs/>
                      <w:sz w:val="18"/>
                      <w:szCs w:val="18"/>
                    </w:rPr>
                    <w:t>In Year 5</w:t>
                  </w:r>
                </w:p>
              </w:tc>
              <w:tc>
                <w:tcPr>
                  <w:tcW w:w="708" w:type="dxa"/>
                  <w:vAlign w:val="center"/>
                </w:tcPr>
                <w:p w:rsidR="00644515" w:rsidRPr="00C62A13" w:rsidRDefault="00644515" w:rsidP="006639B9">
                  <w:pPr>
                    <w:pStyle w:val="TableText0"/>
                    <w:keepNext w:val="0"/>
                    <w:jc w:val="center"/>
                    <w:rPr>
                      <w:iCs/>
                      <w:sz w:val="18"/>
                      <w:szCs w:val="18"/>
                    </w:rPr>
                  </w:pPr>
                  <w:r w:rsidRPr="00C62A13">
                    <w:rPr>
                      <w:iCs/>
                      <w:sz w:val="18"/>
                      <w:szCs w:val="18"/>
                    </w:rPr>
                    <w:t>44.0%</w:t>
                  </w:r>
                </w:p>
              </w:tc>
              <w:tc>
                <w:tcPr>
                  <w:tcW w:w="851" w:type="dxa"/>
                  <w:vAlign w:val="center"/>
                </w:tcPr>
                <w:p w:rsidR="00644515" w:rsidRPr="00C62A13" w:rsidRDefault="00644515" w:rsidP="006639B9">
                  <w:pPr>
                    <w:pStyle w:val="TableText0"/>
                    <w:keepNext w:val="0"/>
                    <w:jc w:val="center"/>
                    <w:rPr>
                      <w:iCs/>
                      <w:sz w:val="18"/>
                      <w:szCs w:val="18"/>
                    </w:rPr>
                  </w:pPr>
                  <w:r w:rsidRPr="00C62A13">
                    <w:rPr>
                      <w:iCs/>
                      <w:sz w:val="18"/>
                      <w:szCs w:val="18"/>
                    </w:rPr>
                    <w:t>51.5%</w:t>
                  </w:r>
                </w:p>
              </w:tc>
              <w:tc>
                <w:tcPr>
                  <w:tcW w:w="923" w:type="dxa"/>
                  <w:vAlign w:val="center"/>
                </w:tcPr>
                <w:p w:rsidR="00644515" w:rsidRPr="00C62A13" w:rsidRDefault="00644515" w:rsidP="006639B9">
                  <w:pPr>
                    <w:pStyle w:val="TableText0"/>
                    <w:keepNext w:val="0"/>
                    <w:jc w:val="center"/>
                    <w:rPr>
                      <w:iCs/>
                      <w:sz w:val="18"/>
                      <w:szCs w:val="18"/>
                    </w:rPr>
                  </w:pPr>
                  <w:r w:rsidRPr="00C62A13">
                    <w:rPr>
                      <w:iCs/>
                      <w:sz w:val="18"/>
                      <w:szCs w:val="18"/>
                    </w:rPr>
                    <w:t>59.7%</w:t>
                  </w:r>
                </w:p>
              </w:tc>
            </w:tr>
            <w:tr w:rsidR="00644515" w:rsidRPr="00C62A13" w:rsidTr="00644515">
              <w:tc>
                <w:tcPr>
                  <w:tcW w:w="1108" w:type="dxa"/>
                </w:tcPr>
                <w:p w:rsidR="00644515" w:rsidRPr="00C62A13" w:rsidRDefault="00644515" w:rsidP="006639B9">
                  <w:pPr>
                    <w:pStyle w:val="TableText0"/>
                    <w:keepNext w:val="0"/>
                    <w:rPr>
                      <w:iCs/>
                      <w:sz w:val="18"/>
                      <w:szCs w:val="18"/>
                    </w:rPr>
                  </w:pPr>
                  <w:r w:rsidRPr="00C62A13">
                    <w:rPr>
                      <w:iCs/>
                      <w:sz w:val="18"/>
                      <w:szCs w:val="18"/>
                    </w:rPr>
                    <w:t>In Year 6</w:t>
                  </w:r>
                </w:p>
              </w:tc>
              <w:tc>
                <w:tcPr>
                  <w:tcW w:w="708" w:type="dxa"/>
                  <w:vAlign w:val="center"/>
                </w:tcPr>
                <w:p w:rsidR="00644515" w:rsidRPr="00C62A13" w:rsidRDefault="00644515" w:rsidP="006639B9">
                  <w:pPr>
                    <w:pStyle w:val="TableText0"/>
                    <w:keepNext w:val="0"/>
                    <w:jc w:val="center"/>
                    <w:rPr>
                      <w:iCs/>
                      <w:sz w:val="18"/>
                      <w:szCs w:val="18"/>
                    </w:rPr>
                  </w:pPr>
                  <w:r w:rsidRPr="00C62A13">
                    <w:rPr>
                      <w:iCs/>
                      <w:sz w:val="18"/>
                      <w:szCs w:val="18"/>
                    </w:rPr>
                    <w:t>42.6%</w:t>
                  </w:r>
                </w:p>
              </w:tc>
              <w:tc>
                <w:tcPr>
                  <w:tcW w:w="851" w:type="dxa"/>
                  <w:vAlign w:val="center"/>
                </w:tcPr>
                <w:p w:rsidR="00644515" w:rsidRPr="00C62A13" w:rsidRDefault="00644515" w:rsidP="006639B9">
                  <w:pPr>
                    <w:pStyle w:val="TableText0"/>
                    <w:keepNext w:val="0"/>
                    <w:jc w:val="center"/>
                    <w:rPr>
                      <w:iCs/>
                      <w:sz w:val="18"/>
                      <w:szCs w:val="18"/>
                    </w:rPr>
                  </w:pPr>
                  <w:r w:rsidRPr="00C62A13">
                    <w:rPr>
                      <w:iCs/>
                      <w:sz w:val="18"/>
                      <w:szCs w:val="18"/>
                    </w:rPr>
                    <w:t>49.9%</w:t>
                  </w:r>
                </w:p>
              </w:tc>
              <w:tc>
                <w:tcPr>
                  <w:tcW w:w="923" w:type="dxa"/>
                  <w:vAlign w:val="center"/>
                </w:tcPr>
                <w:p w:rsidR="00644515" w:rsidRPr="00C62A13" w:rsidRDefault="00644515" w:rsidP="006639B9">
                  <w:pPr>
                    <w:pStyle w:val="TableText0"/>
                    <w:keepNext w:val="0"/>
                    <w:jc w:val="center"/>
                    <w:rPr>
                      <w:iCs/>
                      <w:sz w:val="18"/>
                      <w:szCs w:val="18"/>
                    </w:rPr>
                  </w:pPr>
                  <w:r w:rsidRPr="00C62A13">
                    <w:rPr>
                      <w:iCs/>
                      <w:sz w:val="18"/>
                      <w:szCs w:val="18"/>
                    </w:rPr>
                    <w:t>57.8%</w:t>
                  </w:r>
                </w:p>
              </w:tc>
            </w:tr>
          </w:tbl>
          <w:p w:rsidR="00644515" w:rsidRPr="00C62A13" w:rsidRDefault="00644515" w:rsidP="006639B9">
            <w:pPr>
              <w:pStyle w:val="TableText0"/>
              <w:keepNext w:val="0"/>
            </w:pPr>
          </w:p>
        </w:tc>
      </w:tr>
      <w:tr w:rsidR="00644515" w:rsidRPr="00C62A13" w:rsidTr="0092701E">
        <w:trPr>
          <w:cantSplit/>
        </w:trPr>
        <w:tc>
          <w:tcPr>
            <w:tcW w:w="784" w:type="pct"/>
            <w:shd w:val="clear" w:color="auto" w:fill="auto"/>
            <w:vAlign w:val="center"/>
          </w:tcPr>
          <w:p w:rsidR="00644515" w:rsidRPr="00C62A13" w:rsidRDefault="00644515" w:rsidP="006639B9">
            <w:pPr>
              <w:pStyle w:val="TableText0"/>
              <w:keepNext w:val="0"/>
            </w:pPr>
            <w:r w:rsidRPr="00C62A13">
              <w:t>Scripts / patient / year (365 days)</w:t>
            </w:r>
          </w:p>
        </w:tc>
        <w:tc>
          <w:tcPr>
            <w:tcW w:w="1728" w:type="pct"/>
            <w:shd w:val="clear" w:color="auto" w:fill="auto"/>
            <w:vAlign w:val="center"/>
          </w:tcPr>
          <w:tbl>
            <w:tblPr>
              <w:tblStyle w:val="TableGrid"/>
              <w:tblW w:w="0" w:type="auto"/>
              <w:tblLayout w:type="fixed"/>
              <w:tblCellMar>
                <w:left w:w="28" w:type="dxa"/>
                <w:right w:w="28" w:type="dxa"/>
              </w:tblCellMar>
              <w:tblLook w:val="04A0" w:firstRow="1" w:lastRow="0" w:firstColumn="1" w:lastColumn="0" w:noHBand="0" w:noVBand="1"/>
              <w:tblCaption w:val="Scripts / patient / year (365 days)"/>
            </w:tblPr>
            <w:tblGrid>
              <w:gridCol w:w="949"/>
              <w:gridCol w:w="567"/>
              <w:gridCol w:w="567"/>
            </w:tblGrid>
            <w:tr w:rsidR="00644515" w:rsidRPr="00C62A13" w:rsidTr="0079789B">
              <w:trPr>
                <w:tblHeader/>
              </w:trPr>
              <w:tc>
                <w:tcPr>
                  <w:tcW w:w="949" w:type="dxa"/>
                </w:tcPr>
                <w:p w:rsidR="00644515" w:rsidRPr="00C62A13" w:rsidRDefault="00644515" w:rsidP="006639B9">
                  <w:pPr>
                    <w:jc w:val="left"/>
                    <w:rPr>
                      <w:rFonts w:ascii="Arial Narrow" w:eastAsiaTheme="majorEastAsia" w:hAnsi="Arial Narrow" w:cstheme="majorBidi"/>
                      <w:bCs/>
                      <w:sz w:val="20"/>
                    </w:rPr>
                  </w:pPr>
                  <w:bookmarkStart w:id="39" w:name="_GoBack" w:colFirst="0" w:colLast="3"/>
                </w:p>
              </w:tc>
              <w:tc>
                <w:tcPr>
                  <w:tcW w:w="567" w:type="dxa"/>
                </w:tcPr>
                <w:p w:rsidR="00644515" w:rsidRPr="00C62A13" w:rsidRDefault="00644515" w:rsidP="006639B9">
                  <w:pPr>
                    <w:jc w:val="left"/>
                    <w:rPr>
                      <w:rFonts w:ascii="Arial Narrow" w:eastAsiaTheme="majorEastAsia" w:hAnsi="Arial Narrow" w:cstheme="majorBidi"/>
                      <w:b/>
                      <w:bCs/>
                      <w:sz w:val="20"/>
                    </w:rPr>
                  </w:pPr>
                  <w:r w:rsidRPr="00C62A13">
                    <w:rPr>
                      <w:rFonts w:ascii="Arial Narrow" w:eastAsiaTheme="majorEastAsia" w:hAnsi="Arial Narrow" w:cstheme="majorBidi"/>
                      <w:b/>
                      <w:bCs/>
                      <w:sz w:val="20"/>
                    </w:rPr>
                    <w:t>DUPI</w:t>
                  </w:r>
                </w:p>
              </w:tc>
              <w:tc>
                <w:tcPr>
                  <w:tcW w:w="567" w:type="dxa"/>
                </w:tcPr>
                <w:p w:rsidR="00644515" w:rsidRPr="00C62A13" w:rsidRDefault="00644515" w:rsidP="006639B9">
                  <w:pPr>
                    <w:jc w:val="left"/>
                    <w:rPr>
                      <w:rFonts w:ascii="Arial Narrow" w:eastAsiaTheme="majorEastAsia" w:hAnsi="Arial Narrow" w:cstheme="majorBidi"/>
                      <w:b/>
                      <w:bCs/>
                      <w:sz w:val="20"/>
                    </w:rPr>
                  </w:pPr>
                  <w:r w:rsidRPr="00C62A13">
                    <w:rPr>
                      <w:rFonts w:ascii="Arial Narrow" w:eastAsiaTheme="majorEastAsia" w:hAnsi="Arial Narrow" w:cstheme="majorBidi"/>
                      <w:b/>
                      <w:bCs/>
                      <w:sz w:val="20"/>
                    </w:rPr>
                    <w:t>UPA</w:t>
                  </w:r>
                </w:p>
              </w:tc>
            </w:tr>
            <w:tr w:rsidR="00644515" w:rsidRPr="00C62A13" w:rsidTr="00644515">
              <w:tc>
                <w:tcPr>
                  <w:tcW w:w="949"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Initial</w:t>
                  </w:r>
                </w:p>
              </w:tc>
              <w:tc>
                <w:tcPr>
                  <w:tcW w:w="567"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6</w:t>
                  </w:r>
                </w:p>
              </w:tc>
              <w:tc>
                <w:tcPr>
                  <w:tcW w:w="567"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5</w:t>
                  </w:r>
                </w:p>
              </w:tc>
            </w:tr>
            <w:tr w:rsidR="00644515" w:rsidRPr="00C62A13" w:rsidTr="00644515">
              <w:tc>
                <w:tcPr>
                  <w:tcW w:w="949"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Yr 1 Continuing</w:t>
                  </w:r>
                </w:p>
              </w:tc>
              <w:tc>
                <w:tcPr>
                  <w:tcW w:w="567"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7.04</w:t>
                  </w:r>
                </w:p>
              </w:tc>
              <w:tc>
                <w:tcPr>
                  <w:tcW w:w="567"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8.04</w:t>
                  </w:r>
                </w:p>
              </w:tc>
            </w:tr>
            <w:tr w:rsidR="00644515" w:rsidRPr="00C62A13" w:rsidTr="00644515">
              <w:tc>
                <w:tcPr>
                  <w:tcW w:w="949"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Yr 2</w:t>
                  </w:r>
                </w:p>
              </w:tc>
              <w:tc>
                <w:tcPr>
                  <w:tcW w:w="567"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13.04</w:t>
                  </w:r>
                </w:p>
              </w:tc>
              <w:tc>
                <w:tcPr>
                  <w:tcW w:w="567" w:type="dxa"/>
                </w:tcPr>
                <w:p w:rsidR="00644515" w:rsidRPr="00C62A13" w:rsidRDefault="00644515"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13.04</w:t>
                  </w:r>
                </w:p>
              </w:tc>
            </w:tr>
          </w:tbl>
          <w:bookmarkEnd w:id="39"/>
          <w:p w:rsidR="00644515" w:rsidRPr="00C62A13" w:rsidRDefault="00644515" w:rsidP="006639B9">
            <w:pPr>
              <w:pStyle w:val="TableText0"/>
              <w:keepNext w:val="0"/>
            </w:pPr>
            <w:r w:rsidRPr="00C62A13">
              <w:t xml:space="preserve">Source: </w:t>
            </w:r>
            <w:r w:rsidRPr="00C62A13">
              <w:rPr>
                <w:bCs w:val="0"/>
              </w:rPr>
              <w:t>Current and proposed PBS listing</w:t>
            </w:r>
            <w:r w:rsidRPr="00C62A13">
              <w:t>.</w:t>
            </w:r>
          </w:p>
        </w:tc>
        <w:tc>
          <w:tcPr>
            <w:tcW w:w="2488" w:type="pct"/>
            <w:shd w:val="clear" w:color="auto" w:fill="auto"/>
            <w:vAlign w:val="center"/>
          </w:tcPr>
          <w:p w:rsidR="00644515" w:rsidRPr="00C62A13" w:rsidRDefault="00644515" w:rsidP="006639B9">
            <w:pPr>
              <w:pStyle w:val="TableText0"/>
              <w:keepNext w:val="0"/>
            </w:pPr>
            <w:r w:rsidRPr="00C62A13">
              <w:t>Reasonable.</w:t>
            </w:r>
          </w:p>
        </w:tc>
      </w:tr>
      <w:tr w:rsidR="00644515" w:rsidRPr="00C62A13" w:rsidTr="0092701E">
        <w:trPr>
          <w:cantSplit/>
        </w:trPr>
        <w:tc>
          <w:tcPr>
            <w:tcW w:w="784" w:type="pct"/>
            <w:shd w:val="clear" w:color="auto" w:fill="auto"/>
            <w:vAlign w:val="center"/>
          </w:tcPr>
          <w:p w:rsidR="00644515" w:rsidRPr="00C62A13" w:rsidRDefault="00644515" w:rsidP="006639B9">
            <w:pPr>
              <w:pStyle w:val="TableText0"/>
              <w:keepNext w:val="0"/>
            </w:pPr>
            <w:r w:rsidRPr="00C62A13">
              <w:t>UPA scripts by strength</w:t>
            </w:r>
          </w:p>
        </w:tc>
        <w:tc>
          <w:tcPr>
            <w:tcW w:w="1728" w:type="pct"/>
            <w:shd w:val="clear" w:color="auto" w:fill="auto"/>
            <w:vAlign w:val="center"/>
          </w:tcPr>
          <w:p w:rsidR="00644515" w:rsidRPr="00C62A13" w:rsidRDefault="00D93F0C" w:rsidP="006639B9">
            <w:pPr>
              <w:jc w:val="left"/>
              <w:rPr>
                <w:rFonts w:ascii="Arial Narrow" w:eastAsiaTheme="majorEastAsia" w:hAnsi="Arial Narrow" w:cstheme="majorBidi"/>
                <w:bCs/>
                <w:sz w:val="20"/>
              </w:rPr>
            </w:pPr>
            <w:r w:rsidRPr="00C62A13">
              <w:rPr>
                <w:rFonts w:ascii="Arial Narrow" w:eastAsiaTheme="majorEastAsia" w:hAnsi="Arial Narrow" w:cstheme="majorBidi"/>
                <w:bCs/>
                <w:sz w:val="20"/>
              </w:rPr>
              <w:t>15</w:t>
            </w:r>
            <w:r w:rsidR="008724DA" w:rsidRPr="00C62A13">
              <w:rPr>
                <w:rFonts w:ascii="Arial Narrow" w:eastAsiaTheme="majorEastAsia" w:hAnsi="Arial Narrow" w:cstheme="majorBidi"/>
                <w:bCs/>
                <w:sz w:val="20"/>
              </w:rPr>
              <w:t xml:space="preserve"> </w:t>
            </w:r>
            <w:r w:rsidR="00644515" w:rsidRPr="00C62A13">
              <w:rPr>
                <w:rFonts w:ascii="Arial Narrow" w:eastAsiaTheme="majorEastAsia" w:hAnsi="Arial Narrow" w:cstheme="majorBidi"/>
                <w:bCs/>
                <w:sz w:val="20"/>
              </w:rPr>
              <w:t xml:space="preserve">mg: </w:t>
            </w:r>
            <w:r w:rsidR="00B95E7E">
              <w:rPr>
                <w:rFonts w:ascii="Arial Narrow" w:eastAsiaTheme="majorEastAsia" w:hAnsi="Arial Narrow" w:cstheme="majorBidi"/>
                <w:bCs/>
                <w:noProof/>
                <w:color w:val="000000"/>
                <w:sz w:val="20"/>
                <w:highlight w:val="black"/>
              </w:rPr>
              <w:t>'''''''</w:t>
            </w:r>
            <w:r w:rsidR="00644515" w:rsidRPr="00C62A13">
              <w:rPr>
                <w:rFonts w:ascii="Arial Narrow" w:eastAsiaTheme="majorEastAsia" w:hAnsi="Arial Narrow" w:cstheme="majorBidi"/>
                <w:bCs/>
                <w:sz w:val="20"/>
              </w:rPr>
              <w:t>%</w:t>
            </w:r>
          </w:p>
          <w:p w:rsidR="00644515" w:rsidRPr="00C62A13" w:rsidRDefault="00D93F0C" w:rsidP="006639B9">
            <w:pPr>
              <w:pStyle w:val="TableText0"/>
              <w:keepNext w:val="0"/>
              <w:rPr>
                <w:bCs w:val="0"/>
              </w:rPr>
            </w:pPr>
            <w:r w:rsidRPr="00C62A13">
              <w:rPr>
                <w:bCs w:val="0"/>
              </w:rPr>
              <w:t>30</w:t>
            </w:r>
            <w:r w:rsidR="008724DA" w:rsidRPr="00C62A13">
              <w:rPr>
                <w:bCs w:val="0"/>
              </w:rPr>
              <w:t xml:space="preserve"> </w:t>
            </w:r>
            <w:r w:rsidR="00644515" w:rsidRPr="00C62A13">
              <w:rPr>
                <w:bCs w:val="0"/>
              </w:rPr>
              <w:t xml:space="preserve">mg: </w:t>
            </w:r>
            <w:r w:rsidR="00B95E7E">
              <w:rPr>
                <w:bCs w:val="0"/>
                <w:noProof/>
                <w:color w:val="000000"/>
                <w:highlight w:val="black"/>
              </w:rPr>
              <w:t>'''''''</w:t>
            </w:r>
            <w:r w:rsidR="00644515" w:rsidRPr="00C62A13">
              <w:rPr>
                <w:bCs w:val="0"/>
              </w:rPr>
              <w:t>%</w:t>
            </w:r>
          </w:p>
          <w:p w:rsidR="00644515" w:rsidRPr="00C62A13" w:rsidRDefault="00644515" w:rsidP="006639B9">
            <w:pPr>
              <w:pStyle w:val="TableText0"/>
              <w:keepNext w:val="0"/>
            </w:pPr>
            <w:r w:rsidRPr="00C62A13">
              <w:t>Source: Assumption.</w:t>
            </w:r>
          </w:p>
        </w:tc>
        <w:tc>
          <w:tcPr>
            <w:tcW w:w="2488" w:type="pct"/>
            <w:shd w:val="clear" w:color="auto" w:fill="auto"/>
            <w:vAlign w:val="center"/>
          </w:tcPr>
          <w:p w:rsidR="00644515" w:rsidRPr="00C62A13" w:rsidRDefault="003142E6" w:rsidP="003A5E48">
            <w:pPr>
              <w:pStyle w:val="TableText0"/>
              <w:keepNext w:val="0"/>
            </w:pPr>
            <w:r w:rsidRPr="00C62A13">
              <w:t xml:space="preserve">The submission did not provide any data to support this assumption. </w:t>
            </w:r>
            <w:r w:rsidR="00644515" w:rsidRPr="00C62A13">
              <w:t>The draft PI recommended 15 mg or 30 mg in adults, and 15</w:t>
            </w:r>
            <w:r w:rsidR="008724DA" w:rsidRPr="00C62A13">
              <w:t xml:space="preserve"> </w:t>
            </w:r>
            <w:r w:rsidR="00644515" w:rsidRPr="00C62A13">
              <w:t xml:space="preserve">mg for adolescents (weighing ≥40 kg; no studies in &lt;40 kg), although in the UPA trials that included adolescents both 15 mg and 30 mg were used in adolescents. </w:t>
            </w:r>
            <w:r w:rsidRPr="00C62A13">
              <w:t xml:space="preserve">Based on the ABS population 2021-2026 data, approximately 9% of the prevalent population are adolescents aged </w:t>
            </w:r>
            <w:r w:rsidR="00BF6BC0" w:rsidRPr="00C62A13">
              <w:t>1</w:t>
            </w:r>
            <w:r w:rsidRPr="00C62A13">
              <w:t xml:space="preserve">2-17 years who would receive UPA 15 mg as recommended by the draft PI. </w:t>
            </w:r>
            <w:r w:rsidR="00644515" w:rsidRPr="00C62A13">
              <w:t>The financial estimates were sensitive to the script proportions by strength.</w:t>
            </w:r>
            <w:r w:rsidR="003A5E48" w:rsidRPr="00C62A13">
              <w:t xml:space="preserve"> The PBAC considered that the relative proportions of doses would be impacted by the dosing approach recommended by the TGA and adopted by clinicians.</w:t>
            </w:r>
          </w:p>
        </w:tc>
      </w:tr>
      <w:tr w:rsidR="00644515" w:rsidRPr="00C62A13" w:rsidTr="0092701E">
        <w:trPr>
          <w:cantSplit/>
        </w:trPr>
        <w:tc>
          <w:tcPr>
            <w:tcW w:w="784" w:type="pct"/>
            <w:shd w:val="clear" w:color="auto" w:fill="auto"/>
            <w:vAlign w:val="center"/>
          </w:tcPr>
          <w:p w:rsidR="00644515" w:rsidRPr="00C62A13" w:rsidRDefault="00644515" w:rsidP="006639B9">
            <w:pPr>
              <w:pStyle w:val="TableText0"/>
              <w:keepNext w:val="0"/>
            </w:pPr>
            <w:r w:rsidRPr="00C62A13">
              <w:t>UPA cost</w:t>
            </w:r>
          </w:p>
        </w:tc>
        <w:tc>
          <w:tcPr>
            <w:tcW w:w="1728" w:type="pct"/>
            <w:shd w:val="clear" w:color="auto" w:fill="auto"/>
            <w:vAlign w:val="center"/>
          </w:tcPr>
          <w:p w:rsidR="00C005B1" w:rsidRPr="00C62A13" w:rsidRDefault="00C005B1" w:rsidP="00C005B1">
            <w:pPr>
              <w:pStyle w:val="TableText0"/>
              <w:keepNext w:val="0"/>
            </w:pPr>
            <w:r w:rsidRPr="00C62A13">
              <w:t>Proxy effective price</w:t>
            </w:r>
          </w:p>
          <w:p w:rsidR="00C005B1" w:rsidRPr="00C62A13" w:rsidRDefault="00D93F0C" w:rsidP="00C005B1">
            <w:pPr>
              <w:pStyle w:val="TableText0"/>
              <w:keepNext w:val="0"/>
              <w:ind w:left="121"/>
            </w:pPr>
            <w:r w:rsidRPr="00C62A13">
              <w:t>UPA 30</w:t>
            </w:r>
            <w:r w:rsidR="008724DA" w:rsidRPr="00C62A13">
              <w:t xml:space="preserve"> </w:t>
            </w:r>
            <w:r w:rsidR="00C005B1" w:rsidRPr="00C62A13">
              <w:t>mg $</w:t>
            </w:r>
            <w:r w:rsidR="00B95E7E">
              <w:rPr>
                <w:noProof/>
                <w:color w:val="000000"/>
                <w:highlight w:val="black"/>
              </w:rPr>
              <w:t>''''''''''''''''''</w:t>
            </w:r>
          </w:p>
          <w:p w:rsidR="00C005B1" w:rsidRPr="00C62A13" w:rsidRDefault="00D93F0C" w:rsidP="00C005B1">
            <w:pPr>
              <w:pStyle w:val="TableText0"/>
              <w:keepNext w:val="0"/>
              <w:ind w:left="121"/>
            </w:pPr>
            <w:r w:rsidRPr="00C62A13">
              <w:t>UPA 15</w:t>
            </w:r>
            <w:r w:rsidR="008724DA" w:rsidRPr="00C62A13">
              <w:t xml:space="preserve"> </w:t>
            </w:r>
            <w:r w:rsidR="00C005B1" w:rsidRPr="00C62A13">
              <w:t>mg $</w:t>
            </w:r>
            <w:r w:rsidR="00B95E7E">
              <w:rPr>
                <w:noProof/>
                <w:color w:val="000000"/>
                <w:highlight w:val="black"/>
              </w:rPr>
              <w:t>''''''''''''''''''''</w:t>
            </w:r>
          </w:p>
          <w:p w:rsidR="00644515" w:rsidRPr="00C62A13" w:rsidRDefault="00644515" w:rsidP="006639B9">
            <w:pPr>
              <w:pStyle w:val="TableText0"/>
              <w:keepNext w:val="0"/>
            </w:pPr>
            <w:r w:rsidRPr="00C62A13">
              <w:t>Published DPMQ</w:t>
            </w:r>
          </w:p>
          <w:p w:rsidR="00644515" w:rsidRPr="00C62A13" w:rsidRDefault="00D93F0C" w:rsidP="00C005B1">
            <w:pPr>
              <w:pStyle w:val="TableText0"/>
              <w:keepNext w:val="0"/>
              <w:ind w:left="121"/>
            </w:pPr>
            <w:r w:rsidRPr="00C62A13">
              <w:t>UPA 30</w:t>
            </w:r>
            <w:r w:rsidR="008724DA" w:rsidRPr="00C62A13">
              <w:t xml:space="preserve"> </w:t>
            </w:r>
            <w:r w:rsidR="00644515" w:rsidRPr="00C62A13">
              <w:t>mg $</w:t>
            </w:r>
            <w:r w:rsidR="00B95E7E">
              <w:rPr>
                <w:noProof/>
                <w:color w:val="000000"/>
                <w:highlight w:val="black"/>
              </w:rPr>
              <w:t>'''''''''''''''''''</w:t>
            </w:r>
          </w:p>
          <w:p w:rsidR="00644515" w:rsidRPr="00C62A13" w:rsidRDefault="00D93F0C" w:rsidP="00C005B1">
            <w:pPr>
              <w:pStyle w:val="TableText0"/>
              <w:keepNext w:val="0"/>
              <w:ind w:left="121"/>
            </w:pPr>
            <w:r w:rsidRPr="00C62A13">
              <w:t>UPA 15</w:t>
            </w:r>
            <w:r w:rsidR="008724DA" w:rsidRPr="00C62A13">
              <w:t xml:space="preserve"> </w:t>
            </w:r>
            <w:r w:rsidR="00644515" w:rsidRPr="00C62A13">
              <w:t>mg $</w:t>
            </w:r>
            <w:r w:rsidR="00B95E7E">
              <w:rPr>
                <w:noProof/>
                <w:color w:val="000000"/>
                <w:highlight w:val="black"/>
              </w:rPr>
              <w:t>'''''''''''''''''</w:t>
            </w:r>
          </w:p>
          <w:p w:rsidR="00644515" w:rsidRPr="00C62A13" w:rsidRDefault="00644515" w:rsidP="006639B9">
            <w:pPr>
              <w:pStyle w:val="TableText0"/>
              <w:keepNext w:val="0"/>
            </w:pPr>
            <w:r w:rsidRPr="00C62A13">
              <w:t>Source: Requested price</w:t>
            </w:r>
          </w:p>
        </w:tc>
        <w:tc>
          <w:tcPr>
            <w:tcW w:w="2488" w:type="pct"/>
            <w:vMerge w:val="restart"/>
            <w:shd w:val="clear" w:color="auto" w:fill="auto"/>
            <w:vAlign w:val="center"/>
          </w:tcPr>
          <w:p w:rsidR="00644515" w:rsidRPr="00C62A13" w:rsidRDefault="00644515" w:rsidP="006639B9">
            <w:pPr>
              <w:pStyle w:val="TableText0"/>
              <w:keepNext w:val="0"/>
            </w:pPr>
            <w:r w:rsidRPr="00C62A13">
              <w:t xml:space="preserve">The submission presented estimates using the published DPMQs, and the ‘proxy’ effective </w:t>
            </w:r>
            <w:r w:rsidR="005D61E1" w:rsidRPr="00C62A13">
              <w:t>DPMQs</w:t>
            </w:r>
            <w:r w:rsidRPr="00C62A13">
              <w:t xml:space="preserve"> used in the cost-minimisation analysis and cost-effectiveness analysis. </w:t>
            </w:r>
          </w:p>
          <w:p w:rsidR="00644515" w:rsidRPr="00C62A13" w:rsidRDefault="00644515" w:rsidP="00AA68F3">
            <w:pPr>
              <w:pStyle w:val="TableText0"/>
              <w:keepNext w:val="0"/>
            </w:pPr>
          </w:p>
        </w:tc>
      </w:tr>
      <w:tr w:rsidR="00644515" w:rsidRPr="00C62A13" w:rsidTr="0092701E">
        <w:trPr>
          <w:cantSplit/>
        </w:trPr>
        <w:tc>
          <w:tcPr>
            <w:tcW w:w="784" w:type="pct"/>
            <w:shd w:val="clear" w:color="auto" w:fill="auto"/>
            <w:vAlign w:val="center"/>
          </w:tcPr>
          <w:p w:rsidR="00644515" w:rsidRPr="00C62A13" w:rsidRDefault="00644515" w:rsidP="006639B9">
            <w:pPr>
              <w:pStyle w:val="TableText0"/>
              <w:keepNext w:val="0"/>
            </w:pPr>
            <w:r w:rsidRPr="00C62A13">
              <w:t>DUPI cost</w:t>
            </w:r>
          </w:p>
        </w:tc>
        <w:tc>
          <w:tcPr>
            <w:tcW w:w="1728" w:type="pct"/>
            <w:shd w:val="clear" w:color="auto" w:fill="auto"/>
            <w:vAlign w:val="center"/>
          </w:tcPr>
          <w:p w:rsidR="00C005B1" w:rsidRPr="00C62A13" w:rsidRDefault="00C005B1" w:rsidP="00C005B1">
            <w:pPr>
              <w:pStyle w:val="TableText0"/>
              <w:keepNext w:val="0"/>
            </w:pPr>
            <w:r w:rsidRPr="00C62A13">
              <w:t>Proxy effective price</w:t>
            </w:r>
          </w:p>
          <w:p w:rsidR="00C005B1" w:rsidRPr="00C62A13" w:rsidRDefault="00D93F0C" w:rsidP="00C005B1">
            <w:pPr>
              <w:pStyle w:val="TableText0"/>
              <w:keepNext w:val="0"/>
              <w:ind w:left="121"/>
            </w:pPr>
            <w:r w:rsidRPr="00C62A13">
              <w:t>DUPI 200</w:t>
            </w:r>
            <w:r w:rsidR="008724DA" w:rsidRPr="00C62A13">
              <w:t xml:space="preserve"> </w:t>
            </w:r>
            <w:r w:rsidR="00C005B1" w:rsidRPr="00C62A13">
              <w:t>mg $</w:t>
            </w:r>
            <w:r w:rsidR="00B95E7E">
              <w:rPr>
                <w:noProof/>
                <w:color w:val="000000"/>
                <w:highlight w:val="black"/>
              </w:rPr>
              <w:t>''''''''''''''''''''</w:t>
            </w:r>
          </w:p>
          <w:p w:rsidR="00C005B1" w:rsidRPr="00C62A13" w:rsidRDefault="00D93F0C" w:rsidP="00C005B1">
            <w:pPr>
              <w:pStyle w:val="TableText0"/>
              <w:keepNext w:val="0"/>
              <w:ind w:left="121"/>
            </w:pPr>
            <w:r w:rsidRPr="00C62A13">
              <w:t>DUPI 300</w:t>
            </w:r>
            <w:r w:rsidR="008724DA" w:rsidRPr="00C62A13">
              <w:t xml:space="preserve"> </w:t>
            </w:r>
            <w:r w:rsidR="00C005B1" w:rsidRPr="00C62A13">
              <w:t>mg $</w:t>
            </w:r>
            <w:r w:rsidR="00B95E7E">
              <w:rPr>
                <w:noProof/>
                <w:color w:val="000000"/>
                <w:highlight w:val="black"/>
              </w:rPr>
              <w:t>'''''''''''''''''''''</w:t>
            </w:r>
          </w:p>
          <w:p w:rsidR="00644515" w:rsidRPr="00C62A13" w:rsidRDefault="00644515" w:rsidP="006639B9">
            <w:pPr>
              <w:pStyle w:val="TableText0"/>
              <w:keepNext w:val="0"/>
            </w:pPr>
            <w:r w:rsidRPr="00C62A13">
              <w:t xml:space="preserve">Published DPMQ </w:t>
            </w:r>
          </w:p>
          <w:p w:rsidR="00644515" w:rsidRPr="00C62A13" w:rsidRDefault="00D93F0C" w:rsidP="00C005B1">
            <w:pPr>
              <w:pStyle w:val="TableText0"/>
              <w:keepNext w:val="0"/>
              <w:ind w:left="121"/>
            </w:pPr>
            <w:r w:rsidRPr="00C62A13">
              <w:t>DUPI 200</w:t>
            </w:r>
            <w:r w:rsidR="008724DA" w:rsidRPr="00C62A13">
              <w:t xml:space="preserve"> </w:t>
            </w:r>
            <w:r w:rsidR="00644515" w:rsidRPr="00C62A13">
              <w:t>mg $</w:t>
            </w:r>
            <w:r w:rsidR="00B95E7E">
              <w:rPr>
                <w:noProof/>
                <w:color w:val="000000"/>
                <w:highlight w:val="black"/>
              </w:rPr>
              <w:t>'''''''''''''''''''</w:t>
            </w:r>
          </w:p>
          <w:p w:rsidR="00644515" w:rsidRPr="00C62A13" w:rsidRDefault="00D93F0C" w:rsidP="00C005B1">
            <w:pPr>
              <w:pStyle w:val="TableText0"/>
              <w:keepNext w:val="0"/>
              <w:ind w:left="121"/>
            </w:pPr>
            <w:r w:rsidRPr="00C62A13">
              <w:t>DUPI 300</w:t>
            </w:r>
            <w:r w:rsidR="008724DA" w:rsidRPr="00C62A13">
              <w:t xml:space="preserve"> </w:t>
            </w:r>
            <w:r w:rsidR="00644515" w:rsidRPr="00C62A13">
              <w:t>mg $</w:t>
            </w:r>
            <w:r w:rsidR="00B95E7E">
              <w:rPr>
                <w:noProof/>
                <w:color w:val="000000"/>
                <w:highlight w:val="black"/>
              </w:rPr>
              <w:t>'''''''''''''''''''</w:t>
            </w:r>
          </w:p>
          <w:p w:rsidR="00644515" w:rsidRPr="00C62A13" w:rsidRDefault="00644515" w:rsidP="006639B9">
            <w:pPr>
              <w:pStyle w:val="TableText0"/>
              <w:keepNext w:val="0"/>
            </w:pPr>
            <w:r w:rsidRPr="00C62A13">
              <w:t>Source: PBS item 12292Y</w:t>
            </w:r>
          </w:p>
        </w:tc>
        <w:tc>
          <w:tcPr>
            <w:tcW w:w="2488" w:type="pct"/>
            <w:vMerge/>
            <w:shd w:val="clear" w:color="auto" w:fill="auto"/>
            <w:vAlign w:val="center"/>
          </w:tcPr>
          <w:p w:rsidR="00644515" w:rsidRPr="00C62A13" w:rsidRDefault="00644515" w:rsidP="006639B9">
            <w:pPr>
              <w:pStyle w:val="TableText0"/>
              <w:keepNext w:val="0"/>
            </w:pPr>
          </w:p>
        </w:tc>
      </w:tr>
    </w:tbl>
    <w:p w:rsidR="00D93F0C" w:rsidRPr="00C62A13" w:rsidRDefault="00D93F0C" w:rsidP="00D93F0C">
      <w:pPr>
        <w:spacing w:after="120"/>
        <w:contextualSpacing/>
        <w:rPr>
          <w:rFonts w:ascii="Arial Narrow" w:hAnsi="Arial Narrow"/>
          <w:snapToGrid w:val="0"/>
          <w:sz w:val="18"/>
          <w:szCs w:val="22"/>
        </w:rPr>
      </w:pPr>
      <w:r w:rsidRPr="00C62A13">
        <w:rPr>
          <w:rFonts w:ascii="Arial Narrow" w:hAnsi="Arial Narrow"/>
          <w:snapToGrid w:val="0"/>
          <w:sz w:val="18"/>
          <w:szCs w:val="22"/>
        </w:rPr>
        <w:t>Source: Tables 4.1, 4.5 to 4.10, pp168-177 of the submission.</w:t>
      </w:r>
    </w:p>
    <w:p w:rsidR="00644515" w:rsidRPr="00C62A13" w:rsidRDefault="00644515" w:rsidP="00644515">
      <w:pPr>
        <w:spacing w:after="120"/>
        <w:contextualSpacing/>
        <w:rPr>
          <w:rFonts w:ascii="Arial Narrow" w:hAnsi="Arial Narrow"/>
          <w:snapToGrid w:val="0"/>
          <w:sz w:val="18"/>
          <w:szCs w:val="22"/>
        </w:rPr>
      </w:pPr>
      <w:r w:rsidRPr="00C62A13">
        <w:rPr>
          <w:rFonts w:ascii="Arial Narrow" w:hAnsi="Arial Narrow"/>
          <w:snapToGrid w:val="0"/>
          <w:sz w:val="18"/>
          <w:szCs w:val="22"/>
        </w:rPr>
        <w:t>AD</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atopic dermatitis; BSC</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best supportive care; DUPI</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dupilumab; EASI</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Eczema Area and Severity Index; TCS</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topical corticosteroids; PGA</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Physician’s Global Assessment; SA</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sensitivity analysis; UPA</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upadacitinib; Yr</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year</w:t>
      </w:r>
    </w:p>
    <w:p w:rsidR="00644515" w:rsidRPr="00C62A13" w:rsidRDefault="00644515" w:rsidP="00644515">
      <w:pPr>
        <w:pStyle w:val="3-BodyText"/>
      </w:pPr>
      <w:r w:rsidRPr="00C62A13">
        <w:t xml:space="preserve">Table </w:t>
      </w:r>
      <w:r w:rsidR="0097140E" w:rsidRPr="00C62A13">
        <w:t>17</w:t>
      </w:r>
      <w:r w:rsidRPr="00C62A13">
        <w:t xml:space="preserve"> summarises the estimated net financial implications for the proposed listing of UPA on the PBS/RPBS for AD.</w:t>
      </w:r>
      <w:r w:rsidR="00590E81" w:rsidRPr="00C62A13">
        <w:t xml:space="preserve"> As noted below, the sponsor proposed </w:t>
      </w:r>
      <w:r w:rsidR="00A23344" w:rsidRPr="00C62A13">
        <w:t>that any</w:t>
      </w:r>
      <w:r w:rsidR="00590E81" w:rsidRPr="00C62A13">
        <w:t xml:space="preserve"> RSA caps in place should increase for each additional therapy added to the PBS to allow for sequential treatment. The submission presented increased caps assuming </w:t>
      </w:r>
      <w:r w:rsidR="00B95E7E">
        <w:rPr>
          <w:noProof/>
          <w:color w:val="000000"/>
          <w:highlight w:val="black"/>
        </w:rPr>
        <w:t>'''''</w:t>
      </w:r>
      <w:r w:rsidR="00590E81" w:rsidRPr="00C62A13">
        <w:t>% of newly initiating patients would re-initiate a second alternative therapy in the same year</w:t>
      </w:r>
      <w:r w:rsidR="004175D5" w:rsidRPr="00C62A13">
        <w:t xml:space="preserve"> assuming the same cost and treatment response as UPA 15 mg</w:t>
      </w:r>
      <w:r w:rsidR="00590E81" w:rsidRPr="00C62A13">
        <w:t>.</w:t>
      </w:r>
    </w:p>
    <w:p w:rsidR="00644515" w:rsidRPr="00C62A13" w:rsidRDefault="00644515" w:rsidP="00684832">
      <w:pPr>
        <w:keepNext/>
        <w:keepLines/>
        <w:jc w:val="left"/>
        <w:rPr>
          <w:rFonts w:ascii="Arial Narrow" w:eastAsiaTheme="majorEastAsia" w:hAnsi="Arial Narrow" w:cstheme="majorBidi"/>
          <w:b/>
          <w:bCs/>
          <w:sz w:val="20"/>
        </w:rPr>
      </w:pPr>
      <w:r w:rsidRPr="00C62A13">
        <w:rPr>
          <w:rFonts w:ascii="Arial Narrow" w:eastAsiaTheme="majorEastAsia" w:hAnsi="Arial Narrow" w:cstheme="majorBidi"/>
          <w:b/>
          <w:bCs/>
          <w:sz w:val="20"/>
        </w:rPr>
        <w:t xml:space="preserve">Table </w:t>
      </w:r>
      <w:r w:rsidR="0097140E" w:rsidRPr="00C62A13">
        <w:rPr>
          <w:rFonts w:ascii="Arial Narrow" w:eastAsiaTheme="majorEastAsia" w:hAnsi="Arial Narrow" w:cstheme="majorBidi"/>
          <w:b/>
          <w:bCs/>
          <w:sz w:val="20"/>
        </w:rPr>
        <w:t>17</w:t>
      </w:r>
      <w:r w:rsidRPr="00C62A13">
        <w:rPr>
          <w:rFonts w:ascii="Arial Narrow" w:eastAsiaTheme="majorEastAsia" w:hAnsi="Arial Narrow" w:cstheme="majorBidi"/>
          <w:b/>
          <w:bCs/>
          <w:sz w:val="20"/>
        </w:rPr>
        <w:t xml:space="preserve">: Estimated use and financial implications to the PBS/RPBS for the proposed listing of UPA using </w:t>
      </w:r>
      <w:r w:rsidR="00C005B1" w:rsidRPr="00C62A13">
        <w:rPr>
          <w:rFonts w:ascii="Arial Narrow" w:eastAsiaTheme="majorEastAsia" w:hAnsi="Arial Narrow" w:cstheme="majorBidi"/>
          <w:b/>
          <w:bCs/>
          <w:sz w:val="20"/>
        </w:rPr>
        <w:t>the proxy effective prices</w:t>
      </w:r>
      <w:r w:rsidRPr="00C62A13">
        <w:rPr>
          <w:rFonts w:ascii="Arial Narrow" w:eastAsiaTheme="majorEastAsia" w:hAnsi="Arial Narrow" w:cstheme="majorBidi"/>
          <w:b/>
          <w:bCs/>
          <w:sz w:val="20"/>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22"/>
        <w:gridCol w:w="1134"/>
        <w:gridCol w:w="1134"/>
        <w:gridCol w:w="1250"/>
        <w:gridCol w:w="1301"/>
        <w:gridCol w:w="1276"/>
        <w:gridCol w:w="1417"/>
      </w:tblGrid>
      <w:tr w:rsidR="00644515" w:rsidRPr="00C62A13" w:rsidTr="001A654F">
        <w:trPr>
          <w:tblHeader/>
        </w:trPr>
        <w:tc>
          <w:tcPr>
            <w:tcW w:w="2122" w:type="dxa"/>
            <w:shd w:val="clear" w:color="auto" w:fill="auto"/>
            <w:vAlign w:val="center"/>
          </w:tcPr>
          <w:p w:rsidR="00644515" w:rsidRPr="00C62A13" w:rsidRDefault="00644515" w:rsidP="00684832">
            <w:pPr>
              <w:keepNext/>
              <w:keepLines/>
              <w:jc w:val="center"/>
              <w:rPr>
                <w:rFonts w:ascii="Arial Narrow" w:eastAsiaTheme="majorEastAsia" w:hAnsi="Arial Narrow" w:cs="Times New Roman"/>
                <w:b/>
                <w:sz w:val="20"/>
              </w:rPr>
            </w:pPr>
          </w:p>
        </w:tc>
        <w:tc>
          <w:tcPr>
            <w:tcW w:w="1134" w:type="dxa"/>
            <w:shd w:val="clear" w:color="auto" w:fill="auto"/>
            <w:vAlign w:val="center"/>
          </w:tcPr>
          <w:p w:rsidR="00644515" w:rsidRPr="00C62A13" w:rsidRDefault="00644515" w:rsidP="00684832">
            <w:pPr>
              <w:keepNext/>
              <w:keepLines/>
              <w:jc w:val="center"/>
              <w:rPr>
                <w:rFonts w:ascii="Arial Narrow" w:eastAsiaTheme="majorEastAsia" w:hAnsi="Arial Narrow" w:cs="Times New Roman"/>
                <w:b/>
                <w:sz w:val="20"/>
              </w:rPr>
            </w:pPr>
            <w:r w:rsidRPr="00C62A13">
              <w:rPr>
                <w:rFonts w:ascii="Arial Narrow" w:eastAsiaTheme="majorEastAsia" w:hAnsi="Arial Narrow" w:cs="Times New Roman"/>
                <w:b/>
                <w:sz w:val="20"/>
              </w:rPr>
              <w:t>Year 1</w:t>
            </w:r>
          </w:p>
        </w:tc>
        <w:tc>
          <w:tcPr>
            <w:tcW w:w="1134" w:type="dxa"/>
            <w:shd w:val="clear" w:color="auto" w:fill="auto"/>
            <w:vAlign w:val="center"/>
          </w:tcPr>
          <w:p w:rsidR="00644515" w:rsidRPr="00C62A13" w:rsidRDefault="00644515" w:rsidP="00684832">
            <w:pPr>
              <w:keepNext/>
              <w:keepLines/>
              <w:jc w:val="center"/>
              <w:rPr>
                <w:rFonts w:ascii="Arial Narrow" w:eastAsiaTheme="majorEastAsia" w:hAnsi="Arial Narrow" w:cs="Times New Roman"/>
                <w:b/>
                <w:sz w:val="20"/>
              </w:rPr>
            </w:pPr>
            <w:r w:rsidRPr="00C62A13">
              <w:rPr>
                <w:rFonts w:ascii="Arial Narrow" w:eastAsiaTheme="majorEastAsia" w:hAnsi="Arial Narrow" w:cs="Times New Roman"/>
                <w:b/>
                <w:sz w:val="20"/>
              </w:rPr>
              <w:t>Year 2</w:t>
            </w:r>
          </w:p>
        </w:tc>
        <w:tc>
          <w:tcPr>
            <w:tcW w:w="1250" w:type="dxa"/>
            <w:shd w:val="clear" w:color="auto" w:fill="auto"/>
            <w:vAlign w:val="center"/>
          </w:tcPr>
          <w:p w:rsidR="00644515" w:rsidRPr="00C62A13" w:rsidRDefault="00644515" w:rsidP="00684832">
            <w:pPr>
              <w:keepNext/>
              <w:keepLines/>
              <w:jc w:val="center"/>
              <w:rPr>
                <w:rFonts w:ascii="Arial Narrow" w:eastAsiaTheme="majorEastAsia" w:hAnsi="Arial Narrow" w:cs="Times New Roman"/>
                <w:b/>
                <w:sz w:val="20"/>
              </w:rPr>
            </w:pPr>
            <w:r w:rsidRPr="00C62A13">
              <w:rPr>
                <w:rFonts w:ascii="Arial Narrow" w:eastAsiaTheme="majorEastAsia" w:hAnsi="Arial Narrow" w:cs="Times New Roman"/>
                <w:b/>
                <w:sz w:val="20"/>
              </w:rPr>
              <w:t>Year 3</w:t>
            </w:r>
          </w:p>
        </w:tc>
        <w:tc>
          <w:tcPr>
            <w:tcW w:w="1301" w:type="dxa"/>
            <w:shd w:val="clear" w:color="auto" w:fill="auto"/>
            <w:vAlign w:val="center"/>
          </w:tcPr>
          <w:p w:rsidR="00644515" w:rsidRPr="00C62A13" w:rsidRDefault="00644515" w:rsidP="00684832">
            <w:pPr>
              <w:keepNext/>
              <w:keepLines/>
              <w:jc w:val="center"/>
              <w:rPr>
                <w:rFonts w:ascii="Arial Narrow" w:eastAsiaTheme="majorEastAsia" w:hAnsi="Arial Narrow" w:cs="Times New Roman"/>
                <w:b/>
                <w:sz w:val="20"/>
              </w:rPr>
            </w:pPr>
            <w:r w:rsidRPr="00C62A13">
              <w:rPr>
                <w:rFonts w:ascii="Arial Narrow" w:eastAsiaTheme="majorEastAsia" w:hAnsi="Arial Narrow" w:cs="Times New Roman"/>
                <w:b/>
                <w:sz w:val="20"/>
              </w:rPr>
              <w:t>Year 4</w:t>
            </w:r>
          </w:p>
        </w:tc>
        <w:tc>
          <w:tcPr>
            <w:tcW w:w="1276" w:type="dxa"/>
            <w:shd w:val="clear" w:color="auto" w:fill="auto"/>
            <w:vAlign w:val="center"/>
          </w:tcPr>
          <w:p w:rsidR="00644515" w:rsidRPr="00C62A13" w:rsidRDefault="00644515" w:rsidP="00684832">
            <w:pPr>
              <w:keepNext/>
              <w:keepLines/>
              <w:jc w:val="center"/>
              <w:rPr>
                <w:rFonts w:ascii="Arial Narrow" w:eastAsiaTheme="majorEastAsia" w:hAnsi="Arial Narrow" w:cs="Times New Roman"/>
                <w:b/>
                <w:sz w:val="20"/>
              </w:rPr>
            </w:pPr>
            <w:r w:rsidRPr="00C62A13">
              <w:rPr>
                <w:rFonts w:ascii="Arial Narrow" w:eastAsiaTheme="majorEastAsia" w:hAnsi="Arial Narrow" w:cs="Times New Roman"/>
                <w:b/>
                <w:sz w:val="20"/>
              </w:rPr>
              <w:t>Year 5</w:t>
            </w:r>
          </w:p>
        </w:tc>
        <w:tc>
          <w:tcPr>
            <w:tcW w:w="1417" w:type="dxa"/>
          </w:tcPr>
          <w:p w:rsidR="00644515" w:rsidRPr="00C62A13" w:rsidRDefault="00644515" w:rsidP="00684832">
            <w:pPr>
              <w:keepNext/>
              <w:keepLines/>
              <w:jc w:val="center"/>
              <w:rPr>
                <w:rFonts w:ascii="Arial Narrow" w:eastAsiaTheme="majorEastAsia" w:hAnsi="Arial Narrow" w:cs="Times New Roman"/>
                <w:b/>
                <w:sz w:val="20"/>
              </w:rPr>
            </w:pPr>
            <w:r w:rsidRPr="00C62A13">
              <w:rPr>
                <w:rFonts w:ascii="Arial Narrow" w:eastAsiaTheme="majorEastAsia" w:hAnsi="Arial Narrow" w:cs="Times New Roman"/>
                <w:b/>
                <w:sz w:val="20"/>
              </w:rPr>
              <w:t>Year 6</w:t>
            </w:r>
          </w:p>
        </w:tc>
      </w:tr>
      <w:tr w:rsidR="00644515" w:rsidRPr="00C62A13" w:rsidTr="001A654F">
        <w:tc>
          <w:tcPr>
            <w:tcW w:w="9634" w:type="dxa"/>
            <w:gridSpan w:val="7"/>
            <w:tcBorders>
              <w:bottom w:val="single" w:sz="4" w:space="0" w:color="auto"/>
            </w:tcBorders>
            <w:shd w:val="clear" w:color="auto" w:fill="auto"/>
            <w:vAlign w:val="center"/>
          </w:tcPr>
          <w:p w:rsidR="00644515" w:rsidRPr="00C62A13" w:rsidRDefault="00644515" w:rsidP="00684832">
            <w:pPr>
              <w:keepNext/>
              <w:keepLines/>
              <w:jc w:val="left"/>
              <w:rPr>
                <w:rFonts w:ascii="Arial Narrow" w:eastAsiaTheme="majorEastAsia" w:hAnsi="Arial Narrow" w:cs="Times New Roman"/>
                <w:b/>
                <w:bCs/>
                <w:color w:val="000000"/>
                <w:sz w:val="20"/>
              </w:rPr>
            </w:pPr>
            <w:r w:rsidRPr="00C62A13">
              <w:rPr>
                <w:rFonts w:ascii="Arial Narrow" w:eastAsiaTheme="majorEastAsia" w:hAnsi="Arial Narrow" w:cs="Times New Roman"/>
                <w:b/>
                <w:bCs/>
                <w:color w:val="000000"/>
                <w:sz w:val="20"/>
              </w:rPr>
              <w:t>Estimated number of prevalent patients</w:t>
            </w:r>
          </w:p>
        </w:tc>
      </w:tr>
      <w:tr w:rsidR="00644515" w:rsidRPr="00C62A13" w:rsidTr="001A654F">
        <w:tc>
          <w:tcPr>
            <w:tcW w:w="2122" w:type="dxa"/>
            <w:tcBorders>
              <w:bottom w:val="nil"/>
            </w:tcBorders>
            <w:shd w:val="clear" w:color="auto" w:fill="auto"/>
            <w:vAlign w:val="center"/>
          </w:tcPr>
          <w:p w:rsidR="00644515" w:rsidRPr="00C62A13" w:rsidRDefault="00644515" w:rsidP="00684832">
            <w:pPr>
              <w:keepNext/>
              <w:keepLines/>
              <w:jc w:val="left"/>
              <w:rPr>
                <w:rFonts w:ascii="Times" w:eastAsiaTheme="majorEastAsia" w:hAnsi="Times" w:cstheme="majorBidi"/>
                <w:bCs/>
                <w:sz w:val="20"/>
              </w:rPr>
            </w:pPr>
            <w:r w:rsidRPr="00C62A13">
              <w:rPr>
                <w:rFonts w:ascii="Arial Narrow" w:eastAsiaTheme="majorEastAsia" w:hAnsi="Arial Narrow" w:cstheme="majorBidi"/>
                <w:bCs/>
                <w:sz w:val="20"/>
              </w:rPr>
              <w:t>Prevalent patients, severe AD</w:t>
            </w:r>
          </w:p>
        </w:tc>
        <w:tc>
          <w:tcPr>
            <w:tcW w:w="1134"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vertAlign w:val="superscript"/>
              </w:rPr>
            </w:pPr>
            <w:r>
              <w:rPr>
                <w:rFonts w:ascii="Arial Narrow" w:eastAsiaTheme="majorEastAsia" w:hAnsi="Arial Narrow" w:cstheme="majorBidi"/>
                <w:bCs/>
                <w:noProof/>
                <w:color w:val="000000"/>
                <w:sz w:val="20"/>
                <w:highlight w:val="black"/>
              </w:rPr>
              <w:t>''''''''''''''''''</w:t>
            </w:r>
            <w:r w:rsidR="00FF26ED" w:rsidRPr="00FF26ED">
              <w:rPr>
                <w:rFonts w:ascii="Arial Narrow" w:eastAsiaTheme="majorEastAsia" w:hAnsi="Arial Narrow" w:cstheme="majorBidi"/>
                <w:bCs/>
                <w:color w:val="000000"/>
                <w:sz w:val="20"/>
                <w:vertAlign w:val="superscript"/>
              </w:rPr>
              <w:t>1</w:t>
            </w:r>
          </w:p>
        </w:tc>
        <w:tc>
          <w:tcPr>
            <w:tcW w:w="1134"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sidRPr="00FF26ED">
              <w:rPr>
                <w:rFonts w:ascii="Arial Narrow" w:eastAsiaTheme="majorEastAsia" w:hAnsi="Arial Narrow" w:cstheme="majorBidi"/>
                <w:bCs/>
                <w:color w:val="000000"/>
                <w:sz w:val="20"/>
                <w:vertAlign w:val="superscript"/>
              </w:rPr>
              <w:t>1</w:t>
            </w:r>
          </w:p>
        </w:tc>
        <w:tc>
          <w:tcPr>
            <w:tcW w:w="1250"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sidRPr="00FF26ED">
              <w:rPr>
                <w:rFonts w:ascii="Arial Narrow" w:eastAsiaTheme="majorEastAsia" w:hAnsi="Arial Narrow" w:cstheme="majorBidi"/>
                <w:bCs/>
                <w:color w:val="000000"/>
                <w:sz w:val="20"/>
                <w:vertAlign w:val="superscript"/>
              </w:rPr>
              <w:t>1</w:t>
            </w:r>
          </w:p>
        </w:tc>
        <w:tc>
          <w:tcPr>
            <w:tcW w:w="1301"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sidRPr="00FF26ED">
              <w:rPr>
                <w:rFonts w:ascii="Arial Narrow" w:eastAsiaTheme="majorEastAsia" w:hAnsi="Arial Narrow" w:cstheme="majorBidi"/>
                <w:bCs/>
                <w:color w:val="000000"/>
                <w:sz w:val="20"/>
                <w:vertAlign w:val="superscript"/>
              </w:rPr>
              <w:t>1</w:t>
            </w:r>
          </w:p>
        </w:tc>
        <w:tc>
          <w:tcPr>
            <w:tcW w:w="1276"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sidRPr="00FF26ED">
              <w:rPr>
                <w:rFonts w:ascii="Arial Narrow" w:eastAsiaTheme="majorEastAsia" w:hAnsi="Arial Narrow" w:cstheme="majorBidi"/>
                <w:bCs/>
                <w:color w:val="000000"/>
                <w:sz w:val="20"/>
                <w:vertAlign w:val="superscript"/>
              </w:rPr>
              <w:t>1</w:t>
            </w:r>
          </w:p>
        </w:tc>
        <w:tc>
          <w:tcPr>
            <w:tcW w:w="1417" w:type="dxa"/>
            <w:tcBorders>
              <w:bottom w:val="nil"/>
            </w:tcBorders>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sidRPr="00FF26ED">
              <w:rPr>
                <w:rFonts w:ascii="Arial Narrow" w:eastAsiaTheme="majorEastAsia" w:hAnsi="Arial Narrow" w:cstheme="majorBidi"/>
                <w:bCs/>
                <w:color w:val="000000"/>
                <w:sz w:val="20"/>
                <w:vertAlign w:val="superscript"/>
              </w:rPr>
              <w:t>1</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20"/>
              </w:rPr>
              <w:t>Eligible population</w:t>
            </w:r>
          </w:p>
        </w:tc>
        <w:tc>
          <w:tcPr>
            <w:tcW w:w="1134" w:type="dxa"/>
            <w:tcBorders>
              <w:top w:val="nil"/>
              <w:bottom w:val="nil"/>
            </w:tcBorders>
            <w:shd w:val="clear" w:color="auto" w:fill="auto"/>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2</w:t>
            </w:r>
            <w:r>
              <w:rPr>
                <w:rFonts w:ascii="Arial Narrow" w:eastAsiaTheme="majorEastAsia" w:hAnsi="Arial Narrow" w:cstheme="majorBidi"/>
                <w:bCs/>
                <w:noProof/>
                <w:color w:val="000000"/>
                <w:sz w:val="20"/>
                <w:highlight w:val="black"/>
              </w:rPr>
              <w:t xml:space="preserve"> </w:t>
            </w:r>
          </w:p>
        </w:tc>
        <w:tc>
          <w:tcPr>
            <w:tcW w:w="1134" w:type="dxa"/>
            <w:tcBorders>
              <w:top w:val="nil"/>
              <w:bottom w:val="nil"/>
            </w:tcBorders>
            <w:shd w:val="clear" w:color="auto" w:fill="auto"/>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2</w:t>
            </w:r>
            <w:r>
              <w:rPr>
                <w:rFonts w:ascii="Arial Narrow" w:eastAsiaTheme="majorEastAsia" w:hAnsi="Arial Narrow" w:cstheme="majorBidi"/>
                <w:bCs/>
                <w:noProof/>
                <w:color w:val="000000"/>
                <w:sz w:val="20"/>
                <w:highlight w:val="black"/>
              </w:rPr>
              <w:t xml:space="preserve"> </w:t>
            </w:r>
          </w:p>
        </w:tc>
        <w:tc>
          <w:tcPr>
            <w:tcW w:w="1250" w:type="dxa"/>
            <w:tcBorders>
              <w:top w:val="nil"/>
              <w:bottom w:val="nil"/>
            </w:tcBorders>
            <w:shd w:val="clear" w:color="auto" w:fill="auto"/>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2</w:t>
            </w:r>
            <w:r>
              <w:rPr>
                <w:rFonts w:ascii="Arial Narrow" w:eastAsiaTheme="majorEastAsia" w:hAnsi="Arial Narrow" w:cstheme="majorBidi"/>
                <w:bCs/>
                <w:noProof/>
                <w:color w:val="000000"/>
                <w:sz w:val="20"/>
                <w:highlight w:val="black"/>
              </w:rPr>
              <w:t xml:space="preserve"> </w:t>
            </w:r>
          </w:p>
        </w:tc>
        <w:tc>
          <w:tcPr>
            <w:tcW w:w="1301" w:type="dxa"/>
            <w:tcBorders>
              <w:top w:val="nil"/>
              <w:bottom w:val="nil"/>
            </w:tcBorders>
            <w:shd w:val="clear" w:color="auto" w:fill="auto"/>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2</w:t>
            </w:r>
            <w:r>
              <w:rPr>
                <w:rFonts w:ascii="Arial Narrow" w:eastAsiaTheme="majorEastAsia" w:hAnsi="Arial Narrow" w:cstheme="majorBidi"/>
                <w:bCs/>
                <w:noProof/>
                <w:color w:val="000000"/>
                <w:sz w:val="20"/>
                <w:highlight w:val="black"/>
              </w:rPr>
              <w:t xml:space="preserve"> </w:t>
            </w:r>
          </w:p>
        </w:tc>
        <w:tc>
          <w:tcPr>
            <w:tcW w:w="1276" w:type="dxa"/>
            <w:tcBorders>
              <w:top w:val="nil"/>
              <w:bottom w:val="nil"/>
            </w:tcBorders>
            <w:shd w:val="clear" w:color="auto" w:fill="auto"/>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2</w:t>
            </w:r>
            <w:r>
              <w:rPr>
                <w:rFonts w:ascii="Arial Narrow" w:eastAsiaTheme="majorEastAsia" w:hAnsi="Arial Narrow" w:cstheme="majorBidi"/>
                <w:bCs/>
                <w:noProof/>
                <w:color w:val="000000"/>
                <w:sz w:val="20"/>
                <w:highlight w:val="black"/>
              </w:rPr>
              <w:t xml:space="preserve"> </w:t>
            </w:r>
          </w:p>
        </w:tc>
        <w:tc>
          <w:tcPr>
            <w:tcW w:w="1417" w:type="dxa"/>
            <w:tcBorders>
              <w:top w:val="nil"/>
              <w:bottom w:val="nil"/>
            </w:tcBorders>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2</w:t>
            </w:r>
            <w:r>
              <w:rPr>
                <w:rFonts w:ascii="Arial Narrow" w:eastAsiaTheme="majorEastAsia" w:hAnsi="Arial Narrow" w:cstheme="majorBidi"/>
                <w:bCs/>
                <w:noProof/>
                <w:color w:val="000000"/>
                <w:sz w:val="20"/>
                <w:highlight w:val="black"/>
              </w:rPr>
              <w:t xml:space="preserve"> </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20"/>
              </w:rPr>
              <w:t>Patients initiating DUPI/UPA</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250"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301"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276"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417" w:type="dxa"/>
            <w:tcBorders>
              <w:top w:val="nil"/>
              <w:bottom w:val="nil"/>
            </w:tcBorders>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r>
      <w:tr w:rsidR="00644515" w:rsidRPr="00C62A13" w:rsidTr="001A654F">
        <w:tc>
          <w:tcPr>
            <w:tcW w:w="9634" w:type="dxa"/>
            <w:gridSpan w:val="7"/>
            <w:shd w:val="clear" w:color="auto" w:fill="auto"/>
            <w:vAlign w:val="center"/>
          </w:tcPr>
          <w:p w:rsidR="00644515" w:rsidRPr="00C62A13" w:rsidRDefault="00644515" w:rsidP="00684832">
            <w:pPr>
              <w:keepNext/>
              <w:keepLines/>
              <w:jc w:val="left"/>
              <w:rPr>
                <w:rFonts w:ascii="Arial Narrow" w:eastAsiaTheme="majorEastAsia" w:hAnsi="Arial Narrow" w:cs="Times New Roman"/>
                <w:b/>
                <w:sz w:val="20"/>
              </w:rPr>
            </w:pPr>
            <w:r w:rsidRPr="00C62A13">
              <w:rPr>
                <w:rFonts w:ascii="Arial Narrow" w:eastAsiaTheme="majorEastAsia" w:hAnsi="Arial Narrow" w:cs="Times New Roman"/>
                <w:b/>
                <w:sz w:val="20"/>
              </w:rPr>
              <w:t>Estimated use of UPA</w:t>
            </w:r>
          </w:p>
        </w:tc>
      </w:tr>
      <w:tr w:rsidR="00644515" w:rsidRPr="00C62A13" w:rsidTr="001A654F">
        <w:tc>
          <w:tcPr>
            <w:tcW w:w="2122" w:type="dxa"/>
            <w:tcBorders>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
                <w:bCs/>
                <w:sz w:val="19"/>
                <w:szCs w:val="19"/>
              </w:rPr>
            </w:pPr>
            <w:r w:rsidRPr="00C62A13">
              <w:rPr>
                <w:rFonts w:ascii="Arial Narrow" w:eastAsiaTheme="majorEastAsia" w:hAnsi="Arial Narrow" w:cstheme="majorBidi"/>
                <w:b/>
                <w:bCs/>
                <w:sz w:val="19"/>
                <w:szCs w:val="19"/>
              </w:rPr>
              <w:t>Patients treated with UPA</w:t>
            </w:r>
          </w:p>
        </w:tc>
        <w:tc>
          <w:tcPr>
            <w:tcW w:w="1134"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134"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250"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301"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276"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417" w:type="dxa"/>
            <w:tcBorders>
              <w:bottom w:val="nil"/>
            </w:tcBorders>
            <w:vAlign w:val="center"/>
          </w:tcPr>
          <w:p w:rsidR="00644515" w:rsidRPr="00C62A13" w:rsidRDefault="00644515" w:rsidP="005D61E1">
            <w:pPr>
              <w:keepNext/>
              <w:keepLines/>
              <w:jc w:val="right"/>
              <w:rPr>
                <w:rFonts w:ascii="Arial Narrow" w:eastAsiaTheme="majorEastAsia" w:hAnsi="Arial Narrow" w:cstheme="majorBidi"/>
                <w:bCs/>
                <w:sz w:val="20"/>
              </w:rPr>
            </w:pP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19"/>
                <w:szCs w:val="19"/>
              </w:rPr>
            </w:pPr>
            <w:r w:rsidRPr="00C62A13">
              <w:rPr>
                <w:rFonts w:ascii="Arial Narrow" w:eastAsiaTheme="majorEastAsia" w:hAnsi="Arial Narrow" w:cstheme="majorBidi"/>
                <w:bCs/>
                <w:sz w:val="19"/>
                <w:szCs w:val="19"/>
              </w:rPr>
              <w:t>Initiating patients</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5</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301"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76"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417" w:type="dxa"/>
            <w:tcBorders>
              <w:top w:val="nil"/>
              <w:bottom w:val="nil"/>
            </w:tcBorders>
            <w:vAlign w:val="center"/>
          </w:tcPr>
          <w:p w:rsidR="00644515" w:rsidRPr="00B95E7E" w:rsidRDefault="00B95E7E" w:rsidP="005D61E1">
            <w:pPr>
              <w:keepNext/>
              <w:keepLines/>
              <w:jc w:val="right"/>
              <w:rPr>
                <w:rFonts w:ascii="Arial Narrow" w:eastAsiaTheme="majorEastAsia" w:hAnsi="Arial Narrow" w:cstheme="majorBidi"/>
                <w:bCs/>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19"/>
                <w:szCs w:val="19"/>
              </w:rPr>
            </w:pPr>
            <w:r w:rsidRPr="00C62A13">
              <w:rPr>
                <w:rFonts w:ascii="Arial Narrow" w:eastAsiaTheme="majorEastAsia" w:hAnsi="Arial Narrow" w:cstheme="majorBidi"/>
                <w:bCs/>
                <w:sz w:val="19"/>
                <w:szCs w:val="19"/>
              </w:rPr>
              <w:t>Continuing patients</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5</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301"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76"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417" w:type="dxa"/>
            <w:tcBorders>
              <w:top w:val="nil"/>
              <w:bottom w:val="nil"/>
            </w:tcBorders>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r>
      <w:tr w:rsidR="00644515" w:rsidRPr="00C62A13" w:rsidTr="001A654F">
        <w:tc>
          <w:tcPr>
            <w:tcW w:w="2122" w:type="dxa"/>
            <w:tcBorders>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19"/>
                <w:szCs w:val="19"/>
              </w:rPr>
            </w:pPr>
            <w:r w:rsidRPr="00C62A13">
              <w:rPr>
                <w:rFonts w:ascii="Arial Narrow" w:eastAsiaTheme="majorEastAsia" w:hAnsi="Arial Narrow" w:cstheme="majorBidi"/>
                <w:bCs/>
                <w:sz w:val="19"/>
                <w:szCs w:val="19"/>
              </w:rPr>
              <w:t>UPA scripts</w:t>
            </w:r>
          </w:p>
        </w:tc>
        <w:tc>
          <w:tcPr>
            <w:tcW w:w="1134"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134"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6</w:t>
            </w:r>
          </w:p>
        </w:tc>
        <w:tc>
          <w:tcPr>
            <w:tcW w:w="1250"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7</w:t>
            </w:r>
          </w:p>
        </w:tc>
        <w:tc>
          <w:tcPr>
            <w:tcW w:w="1301"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8</w:t>
            </w:r>
          </w:p>
        </w:tc>
        <w:tc>
          <w:tcPr>
            <w:tcW w:w="1276" w:type="dxa"/>
            <w:tcBorders>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9</w:t>
            </w:r>
          </w:p>
        </w:tc>
        <w:tc>
          <w:tcPr>
            <w:tcW w:w="1417" w:type="dxa"/>
            <w:tcBorders>
              <w:bottom w:val="nil"/>
            </w:tcBorders>
            <w:vAlign w:val="center"/>
          </w:tcPr>
          <w:p w:rsidR="00644515" w:rsidRPr="00B95E7E" w:rsidRDefault="00B95E7E" w:rsidP="005D61E1">
            <w:pPr>
              <w:keepNext/>
              <w:keepLines/>
              <w:jc w:val="right"/>
              <w:rPr>
                <w:rFonts w:ascii="Arial Narrow" w:eastAsiaTheme="majorEastAsia" w:hAnsi="Arial Narrow" w:cstheme="majorBidi"/>
                <w:bCs/>
                <w:color w:val="000000"/>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1</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ind w:left="115"/>
              <w:jc w:val="lef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UPA 15</w:t>
            </w:r>
            <w:r w:rsidR="008724DA" w:rsidRPr="00C62A13">
              <w:rPr>
                <w:rFonts w:ascii="Arial Narrow" w:eastAsiaTheme="majorEastAsia" w:hAnsi="Arial Narrow" w:cstheme="majorBidi"/>
                <w:bCs/>
                <w:color w:val="A6A6A6" w:themeColor="background1" w:themeShade="A6"/>
                <w:sz w:val="20"/>
              </w:rPr>
              <w:t xml:space="preserve"> </w:t>
            </w:r>
            <w:r w:rsidRPr="00C62A13">
              <w:rPr>
                <w:rFonts w:ascii="Arial Narrow" w:eastAsiaTheme="majorEastAsia" w:hAnsi="Arial Narrow" w:cstheme="majorBidi"/>
                <w:bCs/>
                <w:color w:val="A6A6A6" w:themeColor="background1" w:themeShade="A6"/>
                <w:sz w:val="20"/>
              </w:rPr>
              <w:t>mg initial</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301" w:type="dxa"/>
            <w:tcBorders>
              <w:top w:val="nil"/>
              <w:bottom w:val="nil"/>
            </w:tcBorders>
            <w:shd w:val="clear" w:color="auto" w:fill="auto"/>
            <w:vAlign w:val="center"/>
          </w:tcPr>
          <w:p w:rsidR="00644515" w:rsidRPr="00B95E7E" w:rsidRDefault="00B95E7E" w:rsidP="00FF26ED">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276"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417" w:type="dxa"/>
            <w:tcBorders>
              <w:top w:val="nil"/>
              <w:bottom w:val="nil"/>
            </w:tcBorders>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ind w:left="115"/>
              <w:jc w:val="lef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UPA 15</w:t>
            </w:r>
            <w:r w:rsidR="008724DA" w:rsidRPr="00C62A13">
              <w:rPr>
                <w:rFonts w:ascii="Arial Narrow" w:eastAsiaTheme="majorEastAsia" w:hAnsi="Arial Narrow" w:cstheme="majorBidi"/>
                <w:bCs/>
                <w:color w:val="A6A6A6" w:themeColor="background1" w:themeShade="A6"/>
                <w:sz w:val="20"/>
              </w:rPr>
              <w:t xml:space="preserve"> </w:t>
            </w:r>
            <w:r w:rsidRPr="00C62A13">
              <w:rPr>
                <w:rFonts w:ascii="Arial Narrow" w:eastAsiaTheme="majorEastAsia" w:hAnsi="Arial Narrow" w:cstheme="majorBidi"/>
                <w:bCs/>
                <w:color w:val="A6A6A6" w:themeColor="background1" w:themeShade="A6"/>
                <w:sz w:val="20"/>
              </w:rPr>
              <w:t>mg continuing</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6</w:t>
            </w:r>
          </w:p>
        </w:tc>
        <w:tc>
          <w:tcPr>
            <w:tcW w:w="1301"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10</w:t>
            </w:r>
          </w:p>
        </w:tc>
        <w:tc>
          <w:tcPr>
            <w:tcW w:w="1276"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31F7F">
              <w:rPr>
                <w:rFonts w:ascii="Arial Narrow" w:eastAsiaTheme="majorEastAsia" w:hAnsi="Arial Narrow" w:cstheme="majorBidi"/>
                <w:bCs/>
                <w:color w:val="000000"/>
                <w:sz w:val="20"/>
                <w:vertAlign w:val="superscript"/>
              </w:rPr>
              <w:t>7</w:t>
            </w:r>
          </w:p>
        </w:tc>
        <w:tc>
          <w:tcPr>
            <w:tcW w:w="1417" w:type="dxa"/>
            <w:tcBorders>
              <w:top w:val="nil"/>
              <w:bottom w:val="nil"/>
            </w:tcBorders>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31F7F">
              <w:rPr>
                <w:rFonts w:ascii="Arial Narrow" w:eastAsiaTheme="majorEastAsia" w:hAnsi="Arial Narrow" w:cstheme="majorBidi"/>
                <w:bCs/>
                <w:color w:val="000000"/>
                <w:sz w:val="20"/>
                <w:vertAlign w:val="superscript"/>
              </w:rPr>
              <w:t>11</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ind w:left="115"/>
              <w:jc w:val="lef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UPA 30</w:t>
            </w:r>
            <w:r w:rsidR="008724DA" w:rsidRPr="00C62A13">
              <w:rPr>
                <w:rFonts w:ascii="Arial Narrow" w:eastAsiaTheme="majorEastAsia" w:hAnsi="Arial Narrow" w:cstheme="majorBidi"/>
                <w:bCs/>
                <w:color w:val="A6A6A6" w:themeColor="background1" w:themeShade="A6"/>
                <w:sz w:val="20"/>
              </w:rPr>
              <w:t xml:space="preserve"> </w:t>
            </w:r>
            <w:r w:rsidRPr="00C62A13">
              <w:rPr>
                <w:rFonts w:ascii="Arial Narrow" w:eastAsiaTheme="majorEastAsia" w:hAnsi="Arial Narrow" w:cstheme="majorBidi"/>
                <w:bCs/>
                <w:color w:val="A6A6A6" w:themeColor="background1" w:themeShade="A6"/>
                <w:sz w:val="20"/>
              </w:rPr>
              <w:t>mg initial</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134"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301"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276" w:type="dxa"/>
            <w:tcBorders>
              <w:top w:val="nil"/>
              <w:bottom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417" w:type="dxa"/>
            <w:tcBorders>
              <w:top w:val="nil"/>
              <w:bottom w:val="nil"/>
            </w:tcBorders>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r>
      <w:tr w:rsidR="00644515" w:rsidRPr="00C62A13" w:rsidTr="001A654F">
        <w:tc>
          <w:tcPr>
            <w:tcW w:w="2122" w:type="dxa"/>
            <w:tcBorders>
              <w:top w:val="nil"/>
            </w:tcBorders>
            <w:shd w:val="clear" w:color="auto" w:fill="auto"/>
            <w:vAlign w:val="center"/>
          </w:tcPr>
          <w:p w:rsidR="00644515" w:rsidRPr="00C62A13" w:rsidRDefault="00644515" w:rsidP="00684832">
            <w:pPr>
              <w:keepNext/>
              <w:keepLines/>
              <w:ind w:left="115"/>
              <w:jc w:val="lef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UPA 30</w:t>
            </w:r>
            <w:r w:rsidR="008724DA" w:rsidRPr="00C62A13">
              <w:rPr>
                <w:rFonts w:ascii="Arial Narrow" w:eastAsiaTheme="majorEastAsia" w:hAnsi="Arial Narrow" w:cstheme="majorBidi"/>
                <w:bCs/>
                <w:color w:val="A6A6A6" w:themeColor="background1" w:themeShade="A6"/>
                <w:sz w:val="20"/>
              </w:rPr>
              <w:t xml:space="preserve"> </w:t>
            </w:r>
            <w:r w:rsidRPr="00C62A13">
              <w:rPr>
                <w:rFonts w:ascii="Arial Narrow" w:eastAsiaTheme="majorEastAsia" w:hAnsi="Arial Narrow" w:cstheme="majorBidi"/>
                <w:bCs/>
                <w:color w:val="A6A6A6" w:themeColor="background1" w:themeShade="A6"/>
                <w:sz w:val="20"/>
              </w:rPr>
              <w:t>mg continuing</w:t>
            </w:r>
          </w:p>
        </w:tc>
        <w:tc>
          <w:tcPr>
            <w:tcW w:w="1134" w:type="dxa"/>
            <w:tcBorders>
              <w:top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3</w:t>
            </w:r>
          </w:p>
        </w:tc>
        <w:tc>
          <w:tcPr>
            <w:tcW w:w="1134" w:type="dxa"/>
            <w:tcBorders>
              <w:top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4</w:t>
            </w:r>
          </w:p>
        </w:tc>
        <w:tc>
          <w:tcPr>
            <w:tcW w:w="1250" w:type="dxa"/>
            <w:tcBorders>
              <w:top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6</w:t>
            </w:r>
          </w:p>
        </w:tc>
        <w:tc>
          <w:tcPr>
            <w:tcW w:w="1301" w:type="dxa"/>
            <w:tcBorders>
              <w:top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FF26ED">
              <w:rPr>
                <w:rFonts w:ascii="Arial Narrow" w:eastAsiaTheme="majorEastAsia" w:hAnsi="Arial Narrow" w:cstheme="majorBidi"/>
                <w:bCs/>
                <w:color w:val="000000"/>
                <w:sz w:val="20"/>
                <w:vertAlign w:val="superscript"/>
              </w:rPr>
              <w:t>10</w:t>
            </w:r>
          </w:p>
        </w:tc>
        <w:tc>
          <w:tcPr>
            <w:tcW w:w="1276" w:type="dxa"/>
            <w:tcBorders>
              <w:top w:val="nil"/>
            </w:tcBorders>
            <w:shd w:val="clear" w:color="auto" w:fill="auto"/>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31F7F">
              <w:rPr>
                <w:rFonts w:ascii="Arial Narrow" w:eastAsiaTheme="majorEastAsia" w:hAnsi="Arial Narrow" w:cstheme="majorBidi"/>
                <w:bCs/>
                <w:color w:val="000000"/>
                <w:sz w:val="20"/>
                <w:vertAlign w:val="superscript"/>
              </w:rPr>
              <w:t>7</w:t>
            </w:r>
          </w:p>
        </w:tc>
        <w:tc>
          <w:tcPr>
            <w:tcW w:w="1417" w:type="dxa"/>
            <w:tcBorders>
              <w:top w:val="nil"/>
            </w:tcBorders>
            <w:vAlign w:val="center"/>
          </w:tcPr>
          <w:p w:rsidR="00644515" w:rsidRPr="00B95E7E" w:rsidRDefault="00B95E7E" w:rsidP="005D61E1">
            <w:pPr>
              <w:keepNext/>
              <w:keepLines/>
              <w:jc w:val="right"/>
              <w:rPr>
                <w:rFonts w:ascii="Arial Narrow" w:eastAsiaTheme="majorEastAsia" w:hAnsi="Arial Narrow" w:cstheme="majorBidi"/>
                <w:bCs/>
                <w:color w:val="A6A6A6" w:themeColor="background1" w:themeShade="A6"/>
                <w:sz w:val="20"/>
              </w:rPr>
            </w:pPr>
            <w:r>
              <w:rPr>
                <w:rFonts w:ascii="Arial Narrow" w:eastAsiaTheme="majorEastAsia" w:hAnsi="Arial Narrow" w:cstheme="majorBidi"/>
                <w:bCs/>
                <w:noProof/>
                <w:color w:val="000000"/>
                <w:sz w:val="20"/>
                <w:highlight w:val="black"/>
              </w:rPr>
              <w:t>''''''''''''''''</w:t>
            </w:r>
            <w:r w:rsidR="00731F7F">
              <w:rPr>
                <w:rFonts w:ascii="Arial Narrow" w:eastAsiaTheme="majorEastAsia" w:hAnsi="Arial Narrow" w:cstheme="majorBidi"/>
                <w:bCs/>
                <w:color w:val="000000"/>
                <w:sz w:val="20"/>
                <w:vertAlign w:val="superscript"/>
              </w:rPr>
              <w:t>11</w:t>
            </w:r>
          </w:p>
        </w:tc>
      </w:tr>
      <w:tr w:rsidR="003F23CD" w:rsidRPr="00C62A13" w:rsidTr="001A654F">
        <w:tc>
          <w:tcPr>
            <w:tcW w:w="2122" w:type="dxa"/>
            <w:shd w:val="clear" w:color="auto" w:fill="auto"/>
            <w:vAlign w:val="center"/>
          </w:tcPr>
          <w:p w:rsidR="003F23CD" w:rsidRPr="00C62A13" w:rsidRDefault="003F23CD"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20"/>
              </w:rPr>
              <w:t>UPA PBS/RPBS cost#</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12</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13</w:t>
            </w:r>
          </w:p>
        </w:tc>
        <w:tc>
          <w:tcPr>
            <w:tcW w:w="1250"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14</w:t>
            </w:r>
          </w:p>
        </w:tc>
        <w:tc>
          <w:tcPr>
            <w:tcW w:w="1301"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15</w:t>
            </w:r>
          </w:p>
        </w:tc>
        <w:tc>
          <w:tcPr>
            <w:tcW w:w="1276"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16</w:t>
            </w:r>
          </w:p>
        </w:tc>
        <w:tc>
          <w:tcPr>
            <w:tcW w:w="1417" w:type="dxa"/>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16</w:t>
            </w:r>
          </w:p>
        </w:tc>
      </w:tr>
      <w:tr w:rsidR="003F23CD" w:rsidRPr="00C62A13" w:rsidTr="001A654F">
        <w:tc>
          <w:tcPr>
            <w:tcW w:w="2122" w:type="dxa"/>
            <w:shd w:val="clear" w:color="auto" w:fill="auto"/>
            <w:vAlign w:val="center"/>
          </w:tcPr>
          <w:p w:rsidR="003F23CD" w:rsidRPr="00C62A13" w:rsidRDefault="003F23CD" w:rsidP="00684832">
            <w:pPr>
              <w:keepNext/>
              <w:keepLines/>
              <w:jc w:val="left"/>
              <w:rPr>
                <w:rFonts w:ascii="Arial Narrow" w:eastAsiaTheme="majorEastAsia" w:hAnsi="Arial Narrow" w:cstheme="majorBidi"/>
                <w:b/>
                <w:bCs/>
                <w:sz w:val="20"/>
              </w:rPr>
            </w:pPr>
            <w:r w:rsidRPr="00C62A13">
              <w:rPr>
                <w:rFonts w:ascii="Arial Narrow" w:eastAsiaTheme="majorEastAsia" w:hAnsi="Arial Narrow" w:cstheme="majorBidi"/>
                <w:b/>
                <w:bCs/>
                <w:sz w:val="20"/>
              </w:rPr>
              <w:t>UPA net PBS/RPBS cost#</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B65A46">
              <w:rPr>
                <w:rFonts w:ascii="Arial Narrow" w:eastAsiaTheme="majorEastAsia" w:hAnsi="Arial Narrow" w:cstheme="majorBidi"/>
                <w:bCs/>
                <w:color w:val="000000"/>
                <w:sz w:val="20"/>
                <w:vertAlign w:val="superscript"/>
              </w:rPr>
              <w:t>12</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40698">
              <w:rPr>
                <w:rFonts w:ascii="Arial Narrow" w:eastAsiaTheme="majorEastAsia" w:hAnsi="Arial Narrow" w:cstheme="majorBidi"/>
                <w:b/>
                <w:bCs/>
                <w:noProof/>
                <w:color w:val="000000"/>
                <w:sz w:val="20"/>
                <w:highlight w:val="black"/>
              </w:rPr>
              <w:t>''''''''''''''''</w:t>
            </w:r>
            <w:r w:rsidR="00B95E7E">
              <w:rPr>
                <w:rFonts w:ascii="Arial Narrow" w:eastAsiaTheme="majorEastAsia" w:hAnsi="Arial Narrow" w:cstheme="majorBidi"/>
                <w:b/>
                <w:bCs/>
                <w:noProof/>
                <w:color w:val="000000"/>
                <w:sz w:val="20"/>
                <w:highlight w:val="black"/>
              </w:rPr>
              <w:t>''''''</w:t>
            </w:r>
            <w:r w:rsidR="00B65A46">
              <w:rPr>
                <w:rFonts w:ascii="Arial Narrow" w:eastAsiaTheme="majorEastAsia" w:hAnsi="Arial Narrow" w:cstheme="majorBidi"/>
                <w:bCs/>
                <w:color w:val="000000"/>
                <w:sz w:val="20"/>
                <w:vertAlign w:val="superscript"/>
              </w:rPr>
              <w:t>13</w:t>
            </w:r>
          </w:p>
        </w:tc>
        <w:tc>
          <w:tcPr>
            <w:tcW w:w="1250"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B65A46">
              <w:rPr>
                <w:rFonts w:ascii="Arial Narrow" w:eastAsiaTheme="majorEastAsia" w:hAnsi="Arial Narrow" w:cstheme="majorBidi"/>
                <w:bCs/>
                <w:color w:val="000000"/>
                <w:sz w:val="20"/>
                <w:vertAlign w:val="superscript"/>
              </w:rPr>
              <w:t>17</w:t>
            </w:r>
          </w:p>
        </w:tc>
        <w:tc>
          <w:tcPr>
            <w:tcW w:w="1301"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B65A46">
              <w:rPr>
                <w:rFonts w:ascii="Arial Narrow" w:eastAsiaTheme="majorEastAsia" w:hAnsi="Arial Narrow" w:cstheme="majorBidi"/>
                <w:bCs/>
                <w:color w:val="000000"/>
                <w:sz w:val="20"/>
                <w:vertAlign w:val="superscript"/>
              </w:rPr>
              <w:t>15</w:t>
            </w:r>
          </w:p>
        </w:tc>
        <w:tc>
          <w:tcPr>
            <w:tcW w:w="1276"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B65A46">
              <w:rPr>
                <w:rFonts w:ascii="Arial Narrow" w:eastAsiaTheme="majorEastAsia" w:hAnsi="Arial Narrow" w:cstheme="majorBidi"/>
                <w:bCs/>
                <w:color w:val="000000"/>
                <w:sz w:val="20"/>
                <w:vertAlign w:val="superscript"/>
              </w:rPr>
              <w:t>16</w:t>
            </w:r>
          </w:p>
        </w:tc>
        <w:tc>
          <w:tcPr>
            <w:tcW w:w="1417" w:type="dxa"/>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B65A46">
              <w:rPr>
                <w:rFonts w:ascii="Arial Narrow" w:eastAsiaTheme="majorEastAsia" w:hAnsi="Arial Narrow" w:cstheme="majorBidi"/>
                <w:bCs/>
                <w:color w:val="000000"/>
                <w:sz w:val="20"/>
                <w:vertAlign w:val="superscript"/>
              </w:rPr>
              <w:t>16</w:t>
            </w:r>
          </w:p>
        </w:tc>
      </w:tr>
      <w:tr w:rsidR="00644515" w:rsidRPr="00C62A13" w:rsidTr="001A654F">
        <w:tc>
          <w:tcPr>
            <w:tcW w:w="9634" w:type="dxa"/>
            <w:gridSpan w:val="7"/>
            <w:shd w:val="clear" w:color="auto" w:fill="auto"/>
            <w:vAlign w:val="center"/>
          </w:tcPr>
          <w:p w:rsidR="00644515" w:rsidRPr="00C62A13" w:rsidRDefault="00644515" w:rsidP="00684832">
            <w:pPr>
              <w:keepNext/>
              <w:keepLines/>
              <w:jc w:val="left"/>
              <w:rPr>
                <w:rFonts w:ascii="Arial Narrow" w:eastAsiaTheme="majorEastAsia" w:hAnsi="Arial Narrow" w:cstheme="majorBidi"/>
                <w:b/>
                <w:bCs/>
                <w:sz w:val="20"/>
              </w:rPr>
            </w:pPr>
            <w:r w:rsidRPr="00C62A13">
              <w:rPr>
                <w:rFonts w:ascii="Arial Narrow" w:eastAsiaTheme="majorEastAsia" w:hAnsi="Arial Narrow" w:cstheme="majorBidi"/>
                <w:b/>
                <w:bCs/>
                <w:sz w:val="20"/>
              </w:rPr>
              <w:t>Estimated changes of use of the proposed listing</w:t>
            </w:r>
          </w:p>
        </w:tc>
      </w:tr>
      <w:tr w:rsidR="00644515" w:rsidRPr="00C62A13" w:rsidTr="001A654F">
        <w:tc>
          <w:tcPr>
            <w:tcW w:w="2122" w:type="dxa"/>
            <w:tcBorders>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
                <w:bCs/>
                <w:sz w:val="19"/>
                <w:szCs w:val="19"/>
              </w:rPr>
            </w:pPr>
            <w:r w:rsidRPr="00C62A13">
              <w:rPr>
                <w:rFonts w:ascii="Arial Narrow" w:eastAsiaTheme="majorEastAsia" w:hAnsi="Arial Narrow" w:cstheme="majorBidi"/>
                <w:b/>
                <w:bCs/>
                <w:sz w:val="19"/>
                <w:szCs w:val="19"/>
              </w:rPr>
              <w:t>Patients treated with DUPI</w:t>
            </w:r>
          </w:p>
        </w:tc>
        <w:tc>
          <w:tcPr>
            <w:tcW w:w="1134"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134"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250"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301"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276" w:type="dxa"/>
            <w:tcBorders>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sz w:val="20"/>
              </w:rPr>
            </w:pPr>
          </w:p>
        </w:tc>
        <w:tc>
          <w:tcPr>
            <w:tcW w:w="1417" w:type="dxa"/>
            <w:tcBorders>
              <w:bottom w:val="nil"/>
            </w:tcBorders>
            <w:vAlign w:val="center"/>
          </w:tcPr>
          <w:p w:rsidR="00644515" w:rsidRPr="00C62A13" w:rsidRDefault="00644515" w:rsidP="005D61E1">
            <w:pPr>
              <w:keepNext/>
              <w:keepLines/>
              <w:jc w:val="right"/>
              <w:rPr>
                <w:rFonts w:ascii="Arial Narrow" w:eastAsiaTheme="majorEastAsia" w:hAnsi="Arial Narrow" w:cstheme="majorBidi"/>
                <w:bCs/>
                <w:sz w:val="20"/>
              </w:rPr>
            </w:pP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19"/>
                <w:szCs w:val="19"/>
              </w:rPr>
              <w:t>Initiating patients</w:t>
            </w:r>
          </w:p>
        </w:tc>
        <w:tc>
          <w:tcPr>
            <w:tcW w:w="1134"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5</w:t>
            </w:r>
          </w:p>
        </w:tc>
        <w:tc>
          <w:tcPr>
            <w:tcW w:w="1134"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301"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276"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417" w:type="dxa"/>
            <w:tcBorders>
              <w:top w:val="nil"/>
              <w:bottom w:val="nil"/>
            </w:tcBorders>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19"/>
                <w:szCs w:val="19"/>
              </w:rPr>
              <w:t>Continuing patients</w:t>
            </w:r>
          </w:p>
        </w:tc>
        <w:tc>
          <w:tcPr>
            <w:tcW w:w="1134"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5</w:t>
            </w:r>
          </w:p>
        </w:tc>
        <w:tc>
          <w:tcPr>
            <w:tcW w:w="1134"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250"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301"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276"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417" w:type="dxa"/>
            <w:tcBorders>
              <w:top w:val="nil"/>
              <w:bottom w:val="nil"/>
            </w:tcBorders>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4</w:t>
            </w:r>
          </w:p>
        </w:tc>
      </w:tr>
      <w:tr w:rsidR="00644515" w:rsidRPr="00C62A13" w:rsidTr="001A654F">
        <w:tc>
          <w:tcPr>
            <w:tcW w:w="2122" w:type="dxa"/>
            <w:tcBorders>
              <w:top w:val="single" w:sz="4" w:space="0" w:color="auto"/>
              <w:bottom w:val="nil"/>
            </w:tcBorders>
            <w:shd w:val="clear" w:color="auto" w:fill="auto"/>
            <w:vAlign w:val="center"/>
          </w:tcPr>
          <w:p w:rsidR="00644515" w:rsidRPr="00C62A13" w:rsidRDefault="00644515"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20"/>
              </w:rPr>
              <w:t>DUPI scripts</w:t>
            </w:r>
          </w:p>
        </w:tc>
        <w:tc>
          <w:tcPr>
            <w:tcW w:w="1134" w:type="dxa"/>
            <w:tcBorders>
              <w:top w:val="single" w:sz="4" w:space="0" w:color="auto"/>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4</w:t>
            </w:r>
          </w:p>
        </w:tc>
        <w:tc>
          <w:tcPr>
            <w:tcW w:w="1134" w:type="dxa"/>
            <w:tcBorders>
              <w:top w:val="single" w:sz="4" w:space="0" w:color="auto"/>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c>
          <w:tcPr>
            <w:tcW w:w="1250" w:type="dxa"/>
            <w:tcBorders>
              <w:top w:val="single" w:sz="4" w:space="0" w:color="auto"/>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c>
          <w:tcPr>
            <w:tcW w:w="1301" w:type="dxa"/>
            <w:tcBorders>
              <w:top w:val="single" w:sz="4" w:space="0" w:color="auto"/>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11</w:t>
            </w:r>
          </w:p>
        </w:tc>
        <w:tc>
          <w:tcPr>
            <w:tcW w:w="1276" w:type="dxa"/>
            <w:tcBorders>
              <w:top w:val="single" w:sz="4" w:space="0" w:color="auto"/>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18</w:t>
            </w:r>
          </w:p>
        </w:tc>
        <w:tc>
          <w:tcPr>
            <w:tcW w:w="1417" w:type="dxa"/>
            <w:tcBorders>
              <w:top w:val="single" w:sz="4" w:space="0" w:color="auto"/>
              <w:bottom w:val="nil"/>
            </w:tcBorders>
            <w:vAlign w:val="center"/>
          </w:tcPr>
          <w:p w:rsidR="00644515" w:rsidRPr="00C62A13" w:rsidRDefault="00644515"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9</w:t>
            </w:r>
          </w:p>
        </w:tc>
      </w:tr>
      <w:tr w:rsidR="00644515" w:rsidRPr="00C62A13" w:rsidTr="001A654F">
        <w:tc>
          <w:tcPr>
            <w:tcW w:w="2122" w:type="dxa"/>
            <w:tcBorders>
              <w:top w:val="nil"/>
              <w:bottom w:val="nil"/>
            </w:tcBorders>
            <w:shd w:val="clear" w:color="auto" w:fill="auto"/>
            <w:vAlign w:val="center"/>
          </w:tcPr>
          <w:p w:rsidR="00644515" w:rsidRPr="00C62A13" w:rsidRDefault="00644515" w:rsidP="00684832">
            <w:pPr>
              <w:keepNext/>
              <w:keepLines/>
              <w:ind w:left="115"/>
              <w:jc w:val="lef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DUPI 200/300 mg initial</w:t>
            </w:r>
          </w:p>
        </w:tc>
        <w:tc>
          <w:tcPr>
            <w:tcW w:w="1134"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134"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4</w:t>
            </w:r>
          </w:p>
        </w:tc>
        <w:tc>
          <w:tcPr>
            <w:tcW w:w="1250"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c>
          <w:tcPr>
            <w:tcW w:w="1301"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c>
          <w:tcPr>
            <w:tcW w:w="1276" w:type="dxa"/>
            <w:tcBorders>
              <w:top w:val="nil"/>
              <w:bottom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c>
          <w:tcPr>
            <w:tcW w:w="1417" w:type="dxa"/>
            <w:tcBorders>
              <w:top w:val="nil"/>
              <w:bottom w:val="nil"/>
            </w:tcBorders>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r>
      <w:tr w:rsidR="00644515" w:rsidRPr="00C62A13" w:rsidTr="001A654F">
        <w:tc>
          <w:tcPr>
            <w:tcW w:w="2122" w:type="dxa"/>
            <w:tcBorders>
              <w:top w:val="nil"/>
            </w:tcBorders>
            <w:shd w:val="clear" w:color="auto" w:fill="auto"/>
            <w:vAlign w:val="center"/>
          </w:tcPr>
          <w:p w:rsidR="00644515" w:rsidRPr="00C62A13" w:rsidRDefault="00644515" w:rsidP="00684832">
            <w:pPr>
              <w:keepNext/>
              <w:keepLines/>
              <w:ind w:left="115"/>
              <w:jc w:val="lef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DUPI 200/300 mg continuing</w:t>
            </w:r>
          </w:p>
        </w:tc>
        <w:tc>
          <w:tcPr>
            <w:tcW w:w="1134" w:type="dxa"/>
            <w:tcBorders>
              <w:top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3</w:t>
            </w:r>
          </w:p>
        </w:tc>
        <w:tc>
          <w:tcPr>
            <w:tcW w:w="1134" w:type="dxa"/>
            <w:tcBorders>
              <w:top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4</w:t>
            </w:r>
          </w:p>
        </w:tc>
        <w:tc>
          <w:tcPr>
            <w:tcW w:w="1250" w:type="dxa"/>
            <w:tcBorders>
              <w:top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6</w:t>
            </w:r>
          </w:p>
        </w:tc>
        <w:tc>
          <w:tcPr>
            <w:tcW w:w="1301" w:type="dxa"/>
            <w:tcBorders>
              <w:top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7</w:t>
            </w:r>
          </w:p>
        </w:tc>
        <w:tc>
          <w:tcPr>
            <w:tcW w:w="1276" w:type="dxa"/>
            <w:tcBorders>
              <w:top w:val="nil"/>
            </w:tcBorders>
            <w:shd w:val="clear" w:color="auto" w:fill="auto"/>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8</w:t>
            </w:r>
          </w:p>
        </w:tc>
        <w:tc>
          <w:tcPr>
            <w:tcW w:w="1417" w:type="dxa"/>
            <w:tcBorders>
              <w:top w:val="nil"/>
            </w:tcBorders>
            <w:vAlign w:val="center"/>
          </w:tcPr>
          <w:p w:rsidR="00644515" w:rsidRPr="00C62A13" w:rsidRDefault="00644515" w:rsidP="005D61E1">
            <w:pPr>
              <w:keepNext/>
              <w:keepLines/>
              <w:jc w:val="right"/>
              <w:rPr>
                <w:rFonts w:ascii="Arial Narrow" w:eastAsiaTheme="majorEastAsia" w:hAnsi="Arial Narrow" w:cstheme="majorBidi"/>
                <w:bCs/>
                <w:color w:val="A6A6A6" w:themeColor="background1" w:themeShade="A6"/>
                <w:sz w:val="20"/>
              </w:rPr>
            </w:pPr>
            <w:r w:rsidRPr="00C62A13">
              <w:rPr>
                <w:rFonts w:ascii="Arial Narrow" w:eastAsiaTheme="majorEastAsia" w:hAnsi="Arial Narrow" w:cstheme="majorBidi"/>
                <w:bCs/>
                <w:color w:val="A6A6A6" w:themeColor="background1" w:themeShade="A6"/>
                <w:sz w:val="20"/>
              </w:rPr>
              <w:t>-</w:t>
            </w:r>
            <w:r w:rsidR="00B95E7E">
              <w:rPr>
                <w:rFonts w:ascii="Arial Narrow" w:eastAsiaTheme="majorEastAsia" w:hAnsi="Arial Narrow" w:cstheme="majorBidi"/>
                <w:bCs/>
                <w:noProof/>
                <w:color w:val="000000"/>
                <w:sz w:val="20"/>
                <w:highlight w:val="black"/>
              </w:rPr>
              <w:t>''''''''''''''''''</w:t>
            </w:r>
            <w:r w:rsidR="00B65A46">
              <w:rPr>
                <w:rFonts w:ascii="Arial Narrow" w:eastAsiaTheme="majorEastAsia" w:hAnsi="Arial Narrow" w:cstheme="majorBidi"/>
                <w:bCs/>
                <w:color w:val="000000"/>
                <w:sz w:val="20"/>
                <w:vertAlign w:val="superscript"/>
              </w:rPr>
              <w:t>18</w:t>
            </w:r>
          </w:p>
        </w:tc>
      </w:tr>
      <w:tr w:rsidR="003F23CD" w:rsidRPr="00C62A13" w:rsidTr="001A654F">
        <w:trPr>
          <w:trHeight w:val="70"/>
        </w:trPr>
        <w:tc>
          <w:tcPr>
            <w:tcW w:w="2122" w:type="dxa"/>
            <w:shd w:val="clear" w:color="auto" w:fill="auto"/>
            <w:vAlign w:val="center"/>
          </w:tcPr>
          <w:p w:rsidR="003F23CD" w:rsidRPr="00C62A13" w:rsidRDefault="003F23CD"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Cs/>
                <w:sz w:val="20"/>
              </w:rPr>
              <w:t>DUPI PBS/RPBS cost</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7613CD">
              <w:rPr>
                <w:rFonts w:ascii="Arial Narrow" w:eastAsiaTheme="majorEastAsia" w:hAnsi="Arial Narrow" w:cstheme="majorBidi"/>
                <w:bCs/>
                <w:color w:val="000000"/>
                <w:sz w:val="20"/>
                <w:vertAlign w:val="superscript"/>
              </w:rPr>
              <w:t>12</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7613CD">
              <w:rPr>
                <w:rFonts w:ascii="Arial Narrow" w:eastAsiaTheme="majorEastAsia" w:hAnsi="Arial Narrow" w:cstheme="majorBidi"/>
                <w:bCs/>
                <w:color w:val="000000"/>
                <w:sz w:val="20"/>
                <w:vertAlign w:val="superscript"/>
              </w:rPr>
              <w:t>13</w:t>
            </w:r>
          </w:p>
        </w:tc>
        <w:tc>
          <w:tcPr>
            <w:tcW w:w="1250"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7613CD">
              <w:rPr>
                <w:rFonts w:ascii="Arial Narrow" w:eastAsiaTheme="majorEastAsia" w:hAnsi="Arial Narrow" w:cstheme="majorBidi"/>
                <w:bCs/>
                <w:color w:val="000000"/>
                <w:sz w:val="20"/>
                <w:vertAlign w:val="superscript"/>
              </w:rPr>
              <w:t>17</w:t>
            </w:r>
          </w:p>
        </w:tc>
        <w:tc>
          <w:tcPr>
            <w:tcW w:w="1301"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7613CD">
              <w:rPr>
                <w:rFonts w:ascii="Arial Narrow" w:eastAsiaTheme="majorEastAsia" w:hAnsi="Arial Narrow" w:cstheme="majorBidi"/>
                <w:bCs/>
                <w:color w:val="000000"/>
                <w:sz w:val="20"/>
                <w:vertAlign w:val="superscript"/>
              </w:rPr>
              <w:t>20</w:t>
            </w:r>
          </w:p>
        </w:tc>
        <w:tc>
          <w:tcPr>
            <w:tcW w:w="1276" w:type="dxa"/>
            <w:shd w:val="clear" w:color="auto" w:fill="auto"/>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7613CD">
              <w:rPr>
                <w:rFonts w:ascii="Arial Narrow" w:eastAsiaTheme="majorEastAsia" w:hAnsi="Arial Narrow" w:cstheme="majorBidi"/>
                <w:bCs/>
                <w:color w:val="000000"/>
                <w:sz w:val="20"/>
                <w:vertAlign w:val="superscript"/>
              </w:rPr>
              <w:t>22</w:t>
            </w:r>
          </w:p>
        </w:tc>
        <w:tc>
          <w:tcPr>
            <w:tcW w:w="1417" w:type="dxa"/>
          </w:tcPr>
          <w:p w:rsidR="003F23CD" w:rsidRPr="00C62A13" w:rsidRDefault="003F23CD" w:rsidP="005D61E1">
            <w:pPr>
              <w:keepNext/>
              <w:keepLines/>
              <w:jc w:val="right"/>
              <w:rPr>
                <w:rFonts w:ascii="Arial Narrow" w:eastAsiaTheme="majorEastAsia" w:hAnsi="Arial Narrow" w:cstheme="majorBidi"/>
                <w:bCs/>
                <w:color w:val="000000"/>
                <w:sz w:val="20"/>
              </w:rPr>
            </w:pPr>
            <w:r w:rsidRPr="00C62A13">
              <w:rPr>
                <w:rFonts w:ascii="Arial Narrow" w:eastAsiaTheme="majorEastAsia" w:hAnsi="Arial Narrow" w:cstheme="majorBidi"/>
                <w:bCs/>
                <w:color w:val="000000"/>
                <w:sz w:val="20"/>
              </w:rPr>
              <w:t>-$</w:t>
            </w:r>
            <w:r w:rsidR="00B95E7E">
              <w:rPr>
                <w:rFonts w:ascii="Arial Narrow" w:eastAsiaTheme="majorEastAsia" w:hAnsi="Arial Narrow" w:cstheme="majorBidi"/>
                <w:bCs/>
                <w:noProof/>
                <w:color w:val="000000"/>
                <w:sz w:val="20"/>
                <w:highlight w:val="black"/>
              </w:rPr>
              <w:t>''''''''''''''''''''''''''''</w:t>
            </w:r>
            <w:r w:rsidR="007613CD">
              <w:rPr>
                <w:rFonts w:ascii="Arial Narrow" w:eastAsiaTheme="majorEastAsia" w:hAnsi="Arial Narrow" w:cstheme="majorBidi"/>
                <w:bCs/>
                <w:color w:val="000000"/>
                <w:sz w:val="20"/>
                <w:vertAlign w:val="superscript"/>
              </w:rPr>
              <w:t>16</w:t>
            </w:r>
          </w:p>
        </w:tc>
      </w:tr>
      <w:tr w:rsidR="003F23CD" w:rsidRPr="00C62A13" w:rsidTr="001A654F">
        <w:tc>
          <w:tcPr>
            <w:tcW w:w="2122" w:type="dxa"/>
            <w:shd w:val="clear" w:color="auto" w:fill="auto"/>
            <w:vAlign w:val="center"/>
          </w:tcPr>
          <w:p w:rsidR="003F23CD" w:rsidRPr="00C62A13" w:rsidRDefault="003F23CD" w:rsidP="00684832">
            <w:pPr>
              <w:keepNext/>
              <w:keepLines/>
              <w:jc w:val="left"/>
              <w:rPr>
                <w:rFonts w:ascii="Arial Narrow" w:eastAsiaTheme="majorEastAsia" w:hAnsi="Arial Narrow" w:cstheme="majorBidi"/>
                <w:bCs/>
                <w:sz w:val="20"/>
              </w:rPr>
            </w:pPr>
            <w:r w:rsidRPr="00C62A13">
              <w:rPr>
                <w:rFonts w:ascii="Arial Narrow" w:eastAsiaTheme="majorEastAsia" w:hAnsi="Arial Narrow" w:cstheme="majorBidi"/>
                <w:b/>
                <w:bCs/>
                <w:sz w:val="20"/>
              </w:rPr>
              <w:t>DUPI net PBS/RPBS cost</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12</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p>
        </w:tc>
        <w:tc>
          <w:tcPr>
            <w:tcW w:w="1250"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19</w:t>
            </w:r>
          </w:p>
        </w:tc>
        <w:tc>
          <w:tcPr>
            <w:tcW w:w="1301"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20</w:t>
            </w:r>
          </w:p>
        </w:tc>
        <w:tc>
          <w:tcPr>
            <w:tcW w:w="1276"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22</w:t>
            </w:r>
          </w:p>
        </w:tc>
        <w:tc>
          <w:tcPr>
            <w:tcW w:w="1417" w:type="dxa"/>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16</w:t>
            </w:r>
          </w:p>
        </w:tc>
      </w:tr>
      <w:tr w:rsidR="00644515" w:rsidRPr="00C62A13" w:rsidTr="001A654F">
        <w:tc>
          <w:tcPr>
            <w:tcW w:w="9634" w:type="dxa"/>
            <w:gridSpan w:val="7"/>
            <w:shd w:val="clear" w:color="auto" w:fill="auto"/>
            <w:vAlign w:val="center"/>
          </w:tcPr>
          <w:p w:rsidR="00644515" w:rsidRPr="00C62A13" w:rsidRDefault="00644515" w:rsidP="00684832">
            <w:pPr>
              <w:keepNext/>
              <w:keepLines/>
              <w:jc w:val="left"/>
              <w:rPr>
                <w:rFonts w:ascii="Arial Narrow" w:eastAsiaTheme="majorEastAsia" w:hAnsi="Arial Narrow" w:cs="Times New Roman"/>
                <w:b/>
                <w:sz w:val="20"/>
              </w:rPr>
            </w:pPr>
            <w:r w:rsidRPr="00C62A13">
              <w:rPr>
                <w:rFonts w:ascii="Arial Narrow" w:eastAsiaTheme="majorEastAsia" w:hAnsi="Arial Narrow" w:cs="Times New Roman"/>
                <w:b/>
                <w:sz w:val="20"/>
              </w:rPr>
              <w:t>Net financial implications to the government</w:t>
            </w:r>
          </w:p>
        </w:tc>
      </w:tr>
      <w:tr w:rsidR="003F23CD" w:rsidRPr="00C62A13" w:rsidTr="001A654F">
        <w:tc>
          <w:tcPr>
            <w:tcW w:w="2122" w:type="dxa"/>
            <w:shd w:val="clear" w:color="auto" w:fill="auto"/>
            <w:vAlign w:val="center"/>
          </w:tcPr>
          <w:p w:rsidR="003F23CD" w:rsidRPr="00C62A13" w:rsidRDefault="003F23CD" w:rsidP="00684832">
            <w:pPr>
              <w:keepNext/>
              <w:keepLines/>
              <w:jc w:val="left"/>
              <w:rPr>
                <w:rFonts w:ascii="Arial Narrow" w:eastAsiaTheme="majorEastAsia" w:hAnsi="Arial Narrow" w:cstheme="majorBidi"/>
                <w:b/>
                <w:bCs/>
                <w:sz w:val="19"/>
                <w:szCs w:val="19"/>
              </w:rPr>
            </w:pPr>
            <w:r w:rsidRPr="00C62A13">
              <w:rPr>
                <w:rFonts w:ascii="Arial Narrow" w:eastAsiaTheme="majorEastAsia" w:hAnsi="Arial Narrow" w:cstheme="majorBidi"/>
                <w:b/>
                <w:bCs/>
                <w:sz w:val="19"/>
                <w:szCs w:val="19"/>
              </w:rPr>
              <w:t>Net cost to PBS/RPBS</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12</w:t>
            </w:r>
          </w:p>
        </w:tc>
        <w:tc>
          <w:tcPr>
            <w:tcW w:w="1134"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12</w:t>
            </w:r>
          </w:p>
        </w:tc>
        <w:tc>
          <w:tcPr>
            <w:tcW w:w="1250"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12</w:t>
            </w:r>
          </w:p>
        </w:tc>
        <w:tc>
          <w:tcPr>
            <w:tcW w:w="1301"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21</w:t>
            </w:r>
          </w:p>
        </w:tc>
        <w:tc>
          <w:tcPr>
            <w:tcW w:w="1276" w:type="dxa"/>
            <w:shd w:val="clear" w:color="auto" w:fill="auto"/>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13</w:t>
            </w:r>
          </w:p>
        </w:tc>
        <w:tc>
          <w:tcPr>
            <w:tcW w:w="1417" w:type="dxa"/>
          </w:tcPr>
          <w:p w:rsidR="003F23CD" w:rsidRPr="00C62A13" w:rsidRDefault="003F23CD"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19</w:t>
            </w:r>
          </w:p>
        </w:tc>
      </w:tr>
      <w:tr w:rsidR="003142E6" w:rsidRPr="00C62A13" w:rsidTr="001A654F">
        <w:tc>
          <w:tcPr>
            <w:tcW w:w="9634" w:type="dxa"/>
            <w:gridSpan w:val="7"/>
            <w:shd w:val="clear" w:color="auto" w:fill="auto"/>
            <w:vAlign w:val="center"/>
          </w:tcPr>
          <w:p w:rsidR="003142E6" w:rsidRPr="00C62A13" w:rsidRDefault="003142E6" w:rsidP="00684832">
            <w:pPr>
              <w:keepNext/>
              <w:keepLines/>
              <w:jc w:val="lef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Estimated increase in net PBS/RPBS cost for the proposed listing of UPA</w:t>
            </w:r>
            <w:r w:rsidR="00BF6BC0" w:rsidRPr="00C62A13">
              <w:rPr>
                <w:rFonts w:ascii="Arial Narrow" w:eastAsiaTheme="majorEastAsia" w:hAnsi="Arial Narrow" w:cstheme="majorBidi"/>
                <w:b/>
                <w:bCs/>
                <w:color w:val="000000"/>
                <w:sz w:val="20"/>
              </w:rPr>
              <w:t xml:space="preserve">, allowing for a second treatment </w:t>
            </w:r>
            <w:r w:rsidRPr="00C62A13">
              <w:rPr>
                <w:rFonts w:ascii="Arial Narrow" w:eastAsiaTheme="majorEastAsia" w:hAnsi="Arial Narrow" w:cstheme="majorBidi"/>
                <w:b/>
                <w:bCs/>
                <w:color w:val="000000"/>
                <w:sz w:val="20"/>
              </w:rPr>
              <w:t>if the first treatment was unsuccessful or not tolerated (two drug market scenario), using UPA 15mg price as proxy for second alternative therapy</w:t>
            </w:r>
          </w:p>
        </w:tc>
      </w:tr>
      <w:tr w:rsidR="003142E6" w:rsidRPr="00C62A13" w:rsidTr="001A654F">
        <w:tc>
          <w:tcPr>
            <w:tcW w:w="2122" w:type="dxa"/>
            <w:shd w:val="clear" w:color="auto" w:fill="auto"/>
            <w:vAlign w:val="center"/>
          </w:tcPr>
          <w:p w:rsidR="003142E6" w:rsidRPr="00C62A13" w:rsidRDefault="003142E6" w:rsidP="00684832">
            <w:pPr>
              <w:keepNext/>
              <w:keepLines/>
              <w:jc w:val="left"/>
              <w:rPr>
                <w:rFonts w:ascii="Arial Narrow" w:eastAsiaTheme="majorEastAsia" w:hAnsi="Arial Narrow" w:cstheme="majorBidi"/>
                <w:b/>
                <w:bCs/>
                <w:sz w:val="19"/>
                <w:szCs w:val="19"/>
              </w:rPr>
            </w:pPr>
            <w:r w:rsidRPr="00C62A13">
              <w:rPr>
                <w:rFonts w:ascii="Arial Narrow" w:eastAsiaTheme="majorEastAsia" w:hAnsi="Arial Narrow" w:cstheme="majorBidi"/>
                <w:b/>
                <w:bCs/>
                <w:sz w:val="20"/>
              </w:rPr>
              <w:t>Net PBS/RPBS cost</w:t>
            </w:r>
          </w:p>
        </w:tc>
        <w:tc>
          <w:tcPr>
            <w:tcW w:w="1134" w:type="dxa"/>
            <w:shd w:val="clear" w:color="auto" w:fill="auto"/>
            <w:vAlign w:val="center"/>
          </w:tcPr>
          <w:p w:rsidR="003142E6" w:rsidRPr="00C62A13" w:rsidRDefault="003142E6"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12</w:t>
            </w:r>
          </w:p>
        </w:tc>
        <w:tc>
          <w:tcPr>
            <w:tcW w:w="1134" w:type="dxa"/>
            <w:shd w:val="clear" w:color="auto" w:fill="auto"/>
            <w:vAlign w:val="center"/>
          </w:tcPr>
          <w:p w:rsidR="003142E6" w:rsidRPr="00C62A13" w:rsidRDefault="003142E6"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13</w:t>
            </w:r>
          </w:p>
        </w:tc>
        <w:tc>
          <w:tcPr>
            <w:tcW w:w="1250" w:type="dxa"/>
            <w:shd w:val="clear" w:color="auto" w:fill="auto"/>
            <w:vAlign w:val="center"/>
          </w:tcPr>
          <w:p w:rsidR="003142E6" w:rsidRPr="00C62A13" w:rsidRDefault="003142E6"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19</w:t>
            </w:r>
          </w:p>
        </w:tc>
        <w:tc>
          <w:tcPr>
            <w:tcW w:w="1301" w:type="dxa"/>
            <w:shd w:val="clear" w:color="auto" w:fill="auto"/>
            <w:vAlign w:val="center"/>
          </w:tcPr>
          <w:p w:rsidR="003142E6" w:rsidRPr="00C62A13" w:rsidRDefault="003142E6"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14</w:t>
            </w:r>
          </w:p>
        </w:tc>
        <w:tc>
          <w:tcPr>
            <w:tcW w:w="1276" w:type="dxa"/>
            <w:shd w:val="clear" w:color="auto" w:fill="auto"/>
            <w:vAlign w:val="center"/>
          </w:tcPr>
          <w:p w:rsidR="003142E6" w:rsidRPr="00C62A13" w:rsidRDefault="003142E6"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20</w:t>
            </w:r>
          </w:p>
        </w:tc>
        <w:tc>
          <w:tcPr>
            <w:tcW w:w="1417" w:type="dxa"/>
            <w:vAlign w:val="center"/>
          </w:tcPr>
          <w:p w:rsidR="003142E6" w:rsidRPr="00C62A13" w:rsidRDefault="003142E6" w:rsidP="005D61E1">
            <w:pPr>
              <w:keepNext/>
              <w:keepLines/>
              <w:jc w:val="right"/>
              <w:rPr>
                <w:rFonts w:ascii="Arial Narrow" w:eastAsiaTheme="majorEastAsia" w:hAnsi="Arial Narrow" w:cstheme="majorBidi"/>
                <w:b/>
                <w:bCs/>
                <w:color w:val="000000"/>
                <w:sz w:val="20"/>
              </w:rPr>
            </w:pPr>
            <w:r w:rsidRPr="00C62A13">
              <w:rPr>
                <w:rFonts w:ascii="Arial Narrow" w:eastAsiaTheme="majorEastAsia" w:hAnsi="Arial Narrow" w:cstheme="majorBidi"/>
                <w:b/>
                <w:bCs/>
                <w:color w:val="000000"/>
                <w:sz w:val="20"/>
              </w:rPr>
              <w:t>$</w:t>
            </w:r>
            <w:r w:rsidR="00B95E7E">
              <w:rPr>
                <w:rFonts w:ascii="Arial Narrow" w:eastAsiaTheme="majorEastAsia" w:hAnsi="Arial Narrow" w:cstheme="majorBidi"/>
                <w:b/>
                <w:bCs/>
                <w:noProof/>
                <w:color w:val="000000"/>
                <w:sz w:val="20"/>
                <w:highlight w:val="black"/>
              </w:rPr>
              <w:t>''''''''''''''''''''''</w:t>
            </w:r>
            <w:r w:rsidR="007613CD">
              <w:rPr>
                <w:rFonts w:ascii="Arial Narrow" w:eastAsiaTheme="majorEastAsia" w:hAnsi="Arial Narrow" w:cstheme="majorBidi"/>
                <w:bCs/>
                <w:color w:val="000000"/>
                <w:sz w:val="20"/>
                <w:vertAlign w:val="superscript"/>
              </w:rPr>
              <w:t>23</w:t>
            </w:r>
          </w:p>
        </w:tc>
      </w:tr>
    </w:tbl>
    <w:p w:rsidR="00D93F0C" w:rsidRPr="00C62A13" w:rsidRDefault="00D93F0C" w:rsidP="00D93F0C">
      <w:pPr>
        <w:spacing w:after="120"/>
        <w:contextualSpacing/>
        <w:rPr>
          <w:rFonts w:ascii="Arial Narrow" w:hAnsi="Arial Narrow"/>
          <w:snapToGrid w:val="0"/>
          <w:sz w:val="18"/>
          <w:szCs w:val="22"/>
        </w:rPr>
      </w:pPr>
      <w:r w:rsidRPr="00C62A13">
        <w:rPr>
          <w:rFonts w:ascii="Arial Narrow" w:hAnsi="Arial Narrow"/>
          <w:snapToGrid w:val="0"/>
          <w:sz w:val="18"/>
          <w:szCs w:val="22"/>
        </w:rPr>
        <w:t>Source: Tables 4.11 to 4.19, pp178-183 of the submission.</w:t>
      </w:r>
      <w:r w:rsidR="00590E81" w:rsidRPr="00C62A13">
        <w:rPr>
          <w:rFonts w:ascii="Arial Narrow" w:hAnsi="Arial Narrow"/>
          <w:snapToGrid w:val="0"/>
          <w:sz w:val="18"/>
          <w:szCs w:val="22"/>
        </w:rPr>
        <w:t xml:space="preserve"> Table 4.20, pp184-185 of the submission.</w:t>
      </w:r>
    </w:p>
    <w:p w:rsidR="00644515" w:rsidRPr="00C62A13" w:rsidRDefault="00644515" w:rsidP="00644515">
      <w:pPr>
        <w:spacing w:after="120"/>
        <w:contextualSpacing/>
        <w:rPr>
          <w:rFonts w:ascii="Arial Narrow" w:hAnsi="Arial Narrow"/>
          <w:snapToGrid w:val="0"/>
          <w:sz w:val="18"/>
          <w:szCs w:val="22"/>
        </w:rPr>
      </w:pPr>
      <w:r w:rsidRPr="00C62A13">
        <w:rPr>
          <w:rFonts w:ascii="Arial Narrow" w:hAnsi="Arial Narrow"/>
          <w:snapToGrid w:val="0"/>
          <w:sz w:val="18"/>
          <w:szCs w:val="22"/>
        </w:rPr>
        <w:t>AD</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atopic dermatitis; DUPI</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dupilumab; UPA</w:t>
      </w:r>
      <w:r w:rsidR="003B3DB0">
        <w:rPr>
          <w:rFonts w:ascii="Arial Narrow" w:hAnsi="Arial Narrow"/>
          <w:snapToGrid w:val="0"/>
          <w:sz w:val="18"/>
          <w:szCs w:val="22"/>
        </w:rPr>
        <w:t xml:space="preserve"> </w:t>
      </w:r>
      <w:r w:rsidRPr="00C62A13">
        <w:rPr>
          <w:rFonts w:ascii="Arial Narrow" w:hAnsi="Arial Narrow"/>
          <w:snapToGrid w:val="0"/>
          <w:sz w:val="18"/>
          <w:szCs w:val="22"/>
        </w:rPr>
        <w:t>=</w:t>
      </w:r>
      <w:r w:rsidR="003B3DB0">
        <w:rPr>
          <w:rFonts w:ascii="Arial Narrow" w:hAnsi="Arial Narrow"/>
          <w:snapToGrid w:val="0"/>
          <w:sz w:val="18"/>
          <w:szCs w:val="22"/>
        </w:rPr>
        <w:t xml:space="preserve"> </w:t>
      </w:r>
      <w:r w:rsidRPr="00C62A13">
        <w:rPr>
          <w:rFonts w:ascii="Arial Narrow" w:hAnsi="Arial Narrow"/>
          <w:snapToGrid w:val="0"/>
          <w:sz w:val="18"/>
          <w:szCs w:val="22"/>
        </w:rPr>
        <w:t>upadacitinib</w:t>
      </w:r>
    </w:p>
    <w:p w:rsidR="00644515" w:rsidRPr="00C62A13" w:rsidRDefault="00644515" w:rsidP="00644515">
      <w:pPr>
        <w:tabs>
          <w:tab w:val="left" w:pos="142"/>
        </w:tabs>
        <w:spacing w:after="120"/>
        <w:ind w:left="135" w:hanging="135"/>
        <w:contextualSpacing/>
        <w:rPr>
          <w:rFonts w:ascii="Arial Narrow" w:hAnsi="Arial Narrow"/>
          <w:snapToGrid w:val="0"/>
          <w:sz w:val="18"/>
          <w:szCs w:val="22"/>
        </w:rPr>
      </w:pPr>
      <w:r w:rsidRPr="00C62A13">
        <w:rPr>
          <w:rFonts w:ascii="Arial Narrow" w:hAnsi="Arial Narrow"/>
          <w:snapToGrid w:val="0"/>
          <w:sz w:val="18"/>
          <w:szCs w:val="22"/>
        </w:rPr>
        <w:t>^</w:t>
      </w:r>
      <w:r w:rsidRPr="00C62A13">
        <w:rPr>
          <w:rFonts w:ascii="Arial Narrow" w:hAnsi="Arial Narrow"/>
          <w:snapToGrid w:val="0"/>
          <w:sz w:val="18"/>
          <w:szCs w:val="22"/>
        </w:rPr>
        <w:tab/>
        <w:t>%PBS/RPBS and patient co-pay were corrected during the evaluation to include PBS/RPBS utilisation data for PBS item 9304Q (initial treatment with ustekinumab 45 mg for severe chronic plaque psoriasis) as initial services and 9305R (continuing treatment with ustekinumab 45 mg for severe chronic plaque psoriasis) as continuing services.</w:t>
      </w:r>
    </w:p>
    <w:p w:rsidR="00644515" w:rsidRDefault="00644515" w:rsidP="00644515">
      <w:pPr>
        <w:tabs>
          <w:tab w:val="left" w:pos="142"/>
        </w:tabs>
        <w:spacing w:after="120"/>
        <w:ind w:left="135" w:hanging="135"/>
        <w:contextualSpacing/>
        <w:rPr>
          <w:rFonts w:ascii="Arial Narrow" w:hAnsi="Arial Narrow"/>
          <w:snapToGrid w:val="0"/>
          <w:sz w:val="18"/>
          <w:szCs w:val="22"/>
        </w:rPr>
      </w:pPr>
      <w:r w:rsidRPr="00C62A13">
        <w:rPr>
          <w:rFonts w:ascii="Arial Narrow" w:hAnsi="Arial Narrow"/>
          <w:snapToGrid w:val="0"/>
          <w:sz w:val="18"/>
          <w:szCs w:val="22"/>
        </w:rPr>
        <w:t>#</w:t>
      </w:r>
      <w:r w:rsidRPr="00C62A13">
        <w:rPr>
          <w:rFonts w:ascii="Arial Narrow" w:hAnsi="Arial Narrow"/>
          <w:snapToGrid w:val="0"/>
          <w:sz w:val="18"/>
          <w:szCs w:val="22"/>
        </w:rPr>
        <w:tab/>
        <w:t>number of PBS/RPBS initial scripts were corrected during the evaluation for rounding errors in the number of patients treated by % UPA scripts by strength i.e. ’3a. Scripts – proposed’ cells H16:M16 to reference ‘AbbVie BIM’ cells K198:P198, ’3a. Scripts – proposed’ cells O16:T16 to reference ‘AbbVie BIM’ cells Q198:V198, and ’3a. Scripts – proposed’ cells H17:M17 to reference ‘AbbVie BIM’ cells K201:P201, ’3a. Scripts – proposed’ cells O17:T17 to reference ‘AbbVie BIM’ cells Q201:V201.</w:t>
      </w:r>
    </w:p>
    <w:p w:rsidR="00FF26ED" w:rsidRPr="009A6D58" w:rsidRDefault="00FF26ED" w:rsidP="00FF26ED">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rsidR="00FF26ED" w:rsidRPr="009A6D58" w:rsidRDefault="00FF26ED" w:rsidP="00FF26ED">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FF26ED">
        <w:rPr>
          <w:rFonts w:ascii="Arial Narrow" w:hAnsi="Arial Narrow"/>
          <w:i/>
          <w:sz w:val="18"/>
          <w:szCs w:val="18"/>
        </w:rPr>
        <w:t>100,000 to &lt; 200,000</w:t>
      </w:r>
    </w:p>
    <w:p w:rsidR="00FF26ED" w:rsidRPr="009A6D58" w:rsidRDefault="00FF26ED" w:rsidP="00FF26ED">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FF26ED">
        <w:rPr>
          <w:rFonts w:ascii="Arial Narrow" w:hAnsi="Arial Narrow"/>
          <w:i/>
          <w:sz w:val="18"/>
          <w:szCs w:val="18"/>
        </w:rPr>
        <w:t>60,000 to &lt; 70,000</w:t>
      </w:r>
    </w:p>
    <w:p w:rsidR="00FF26ED" w:rsidRDefault="00FF26ED" w:rsidP="00FF26ED">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FF26ED">
        <w:rPr>
          <w:rFonts w:ascii="Arial Narrow" w:hAnsi="Arial Narrow"/>
          <w:i/>
          <w:sz w:val="18"/>
          <w:szCs w:val="18"/>
        </w:rPr>
        <w:t>500 to &lt; 5,000</w:t>
      </w:r>
    </w:p>
    <w:p w:rsidR="00FF26ED" w:rsidRDefault="00FF26ED" w:rsidP="00FF26ED">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FF26ED">
        <w:rPr>
          <w:rFonts w:ascii="Arial Narrow" w:hAnsi="Arial Narrow"/>
          <w:i/>
          <w:sz w:val="18"/>
          <w:szCs w:val="18"/>
        </w:rPr>
        <w:t>5,000 to &lt; 10,000</w:t>
      </w:r>
    </w:p>
    <w:p w:rsidR="00FF26ED" w:rsidRDefault="00FF26ED" w:rsidP="00FF26ED">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FF26ED">
        <w:rPr>
          <w:rFonts w:ascii="Arial Narrow" w:hAnsi="Arial Narrow"/>
          <w:i/>
          <w:sz w:val="18"/>
          <w:szCs w:val="18"/>
        </w:rPr>
        <w:t>&lt; 500</w:t>
      </w:r>
    </w:p>
    <w:p w:rsidR="00FF26ED" w:rsidRDefault="00FF26ED" w:rsidP="00FF26ED">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FF26ED">
        <w:rPr>
          <w:rFonts w:ascii="Arial Narrow" w:hAnsi="Arial Narrow"/>
          <w:i/>
          <w:sz w:val="18"/>
          <w:szCs w:val="18"/>
        </w:rPr>
        <w:t>10,000 to &lt; 20,000</w:t>
      </w:r>
    </w:p>
    <w:p w:rsidR="00FF26ED" w:rsidRDefault="00FF26ED" w:rsidP="00FF26ED">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30</w:t>
      </w:r>
      <w:r w:rsidRPr="00FF26ED">
        <w:rPr>
          <w:rFonts w:ascii="Arial Narrow" w:hAnsi="Arial Narrow"/>
          <w:i/>
          <w:sz w:val="18"/>
          <w:szCs w:val="18"/>
        </w:rPr>
        <w:t xml:space="preserve">,000 to &lt; </w:t>
      </w:r>
      <w:r>
        <w:rPr>
          <w:rFonts w:ascii="Arial Narrow" w:hAnsi="Arial Narrow"/>
          <w:i/>
          <w:sz w:val="18"/>
          <w:szCs w:val="18"/>
        </w:rPr>
        <w:t>4</w:t>
      </w:r>
      <w:r w:rsidRPr="00FF26ED">
        <w:rPr>
          <w:rFonts w:ascii="Arial Narrow" w:hAnsi="Arial Narrow"/>
          <w:i/>
          <w:sz w:val="18"/>
          <w:szCs w:val="18"/>
        </w:rPr>
        <w:t>0,000</w:t>
      </w:r>
    </w:p>
    <w:p w:rsidR="00FF26ED" w:rsidRDefault="00FF26ED" w:rsidP="00FF26ED">
      <w:pPr>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5</w:t>
      </w:r>
      <w:r w:rsidRPr="00FF26ED">
        <w:rPr>
          <w:rFonts w:ascii="Arial Narrow" w:hAnsi="Arial Narrow"/>
          <w:i/>
          <w:sz w:val="18"/>
          <w:szCs w:val="18"/>
        </w:rPr>
        <w:t xml:space="preserve">0,000 to &lt; </w:t>
      </w:r>
      <w:r>
        <w:rPr>
          <w:rFonts w:ascii="Arial Narrow" w:hAnsi="Arial Narrow"/>
          <w:i/>
          <w:sz w:val="18"/>
          <w:szCs w:val="18"/>
        </w:rPr>
        <w:t>6</w:t>
      </w:r>
      <w:r w:rsidRPr="00FF26ED">
        <w:rPr>
          <w:rFonts w:ascii="Arial Narrow" w:hAnsi="Arial Narrow"/>
          <w:i/>
          <w:sz w:val="18"/>
          <w:szCs w:val="18"/>
        </w:rPr>
        <w:t>0,000</w:t>
      </w:r>
    </w:p>
    <w:p w:rsidR="00FF26ED" w:rsidRDefault="00FF26ED" w:rsidP="00FF26ED">
      <w:pPr>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8</w:t>
      </w:r>
      <w:r w:rsidRPr="00FF26ED">
        <w:rPr>
          <w:rFonts w:ascii="Arial Narrow" w:hAnsi="Arial Narrow"/>
          <w:i/>
          <w:sz w:val="18"/>
          <w:szCs w:val="18"/>
        </w:rPr>
        <w:t xml:space="preserve">0,000 to &lt; </w:t>
      </w:r>
      <w:r>
        <w:rPr>
          <w:rFonts w:ascii="Arial Narrow" w:hAnsi="Arial Narrow"/>
          <w:i/>
          <w:sz w:val="18"/>
          <w:szCs w:val="18"/>
        </w:rPr>
        <w:t>9</w:t>
      </w:r>
      <w:r w:rsidRPr="00FF26ED">
        <w:rPr>
          <w:rFonts w:ascii="Arial Narrow" w:hAnsi="Arial Narrow"/>
          <w:i/>
          <w:sz w:val="18"/>
          <w:szCs w:val="18"/>
        </w:rPr>
        <w:t>0,000</w:t>
      </w:r>
    </w:p>
    <w:p w:rsidR="00FF26ED" w:rsidRDefault="00FF26ED" w:rsidP="00FF26ED">
      <w:pPr>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2</w:t>
      </w:r>
      <w:r w:rsidRPr="00FF26ED">
        <w:rPr>
          <w:rFonts w:ascii="Arial Narrow" w:hAnsi="Arial Narrow"/>
          <w:i/>
          <w:sz w:val="18"/>
          <w:szCs w:val="18"/>
        </w:rPr>
        <w:t xml:space="preserve">0,000 to &lt; </w:t>
      </w:r>
      <w:r>
        <w:rPr>
          <w:rFonts w:ascii="Arial Narrow" w:hAnsi="Arial Narrow"/>
          <w:i/>
          <w:sz w:val="18"/>
          <w:szCs w:val="18"/>
        </w:rPr>
        <w:t>3</w:t>
      </w:r>
      <w:r w:rsidRPr="00FF26ED">
        <w:rPr>
          <w:rFonts w:ascii="Arial Narrow" w:hAnsi="Arial Narrow"/>
          <w:i/>
          <w:sz w:val="18"/>
          <w:szCs w:val="18"/>
        </w:rPr>
        <w:t>0,000</w:t>
      </w:r>
    </w:p>
    <w:p w:rsidR="00FF26ED" w:rsidRDefault="00FF26ED" w:rsidP="00FF26ED">
      <w:pPr>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00731F7F">
        <w:rPr>
          <w:rFonts w:ascii="Arial Narrow" w:hAnsi="Arial Narrow"/>
          <w:i/>
          <w:sz w:val="18"/>
          <w:szCs w:val="18"/>
        </w:rPr>
        <w:t>4</w:t>
      </w:r>
      <w:r w:rsidRPr="00FF26ED">
        <w:rPr>
          <w:rFonts w:ascii="Arial Narrow" w:hAnsi="Arial Narrow"/>
          <w:i/>
          <w:sz w:val="18"/>
          <w:szCs w:val="18"/>
        </w:rPr>
        <w:t xml:space="preserve">0,000 to &lt; </w:t>
      </w:r>
      <w:r w:rsidR="00731F7F">
        <w:rPr>
          <w:rFonts w:ascii="Arial Narrow" w:hAnsi="Arial Narrow"/>
          <w:i/>
          <w:sz w:val="18"/>
          <w:szCs w:val="18"/>
        </w:rPr>
        <w:t>5</w:t>
      </w:r>
      <w:r w:rsidRPr="00FF26ED">
        <w:rPr>
          <w:rFonts w:ascii="Arial Narrow" w:hAnsi="Arial Narrow"/>
          <w:i/>
          <w:sz w:val="18"/>
          <w:szCs w:val="18"/>
        </w:rPr>
        <w:t>0,000</w:t>
      </w:r>
    </w:p>
    <w:p w:rsidR="00B65A46" w:rsidRDefault="00B65A46" w:rsidP="00B65A46">
      <w:pPr>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B65A46">
        <w:rPr>
          <w:rFonts w:ascii="Arial Narrow" w:hAnsi="Arial Narrow"/>
          <w:i/>
          <w:sz w:val="18"/>
          <w:szCs w:val="18"/>
        </w:rPr>
        <w:t>$0 to &lt; $10 million</w:t>
      </w:r>
    </w:p>
    <w:p w:rsidR="00B65A46" w:rsidRDefault="00B65A46" w:rsidP="00B65A46">
      <w:pPr>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Pr="00B65A46">
        <w:rPr>
          <w:rFonts w:ascii="Arial Narrow" w:hAnsi="Arial Narrow"/>
          <w:i/>
          <w:sz w:val="18"/>
          <w:szCs w:val="18"/>
        </w:rPr>
        <w:t>$20 million to &lt; $30 million</w:t>
      </w:r>
    </w:p>
    <w:p w:rsidR="00B65A46" w:rsidRDefault="00B65A46" w:rsidP="00B65A46">
      <w:pPr>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Pr="00B65A46">
        <w:rPr>
          <w:rFonts w:ascii="Arial Narrow" w:hAnsi="Arial Narrow"/>
          <w:i/>
          <w:sz w:val="18"/>
          <w:szCs w:val="18"/>
        </w:rPr>
        <w:t>$50 million to &lt; $60 million</w:t>
      </w:r>
    </w:p>
    <w:p w:rsidR="00B65A46" w:rsidRDefault="00B65A46" w:rsidP="00B65A46">
      <w:pPr>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Pr="00B65A46">
        <w:rPr>
          <w:rFonts w:ascii="Arial Narrow" w:hAnsi="Arial Narrow"/>
          <w:i/>
          <w:sz w:val="18"/>
          <w:szCs w:val="18"/>
        </w:rPr>
        <w:t>$80 million to &lt; $90 million</w:t>
      </w:r>
    </w:p>
    <w:p w:rsidR="00B65A46" w:rsidRDefault="00B65A46" w:rsidP="00B65A46">
      <w:pPr>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Pr="00B65A46">
        <w:rPr>
          <w:rFonts w:ascii="Arial Narrow" w:hAnsi="Arial Narrow"/>
          <w:i/>
          <w:sz w:val="18"/>
          <w:szCs w:val="18"/>
        </w:rPr>
        <w:t>$100 million to &lt; $200 million</w:t>
      </w:r>
    </w:p>
    <w:p w:rsidR="00B65A46" w:rsidRDefault="00B65A46" w:rsidP="00B65A46">
      <w:pPr>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Pr="00B65A46">
        <w:rPr>
          <w:rFonts w:ascii="Arial Narrow" w:hAnsi="Arial Narrow"/>
          <w:i/>
          <w:sz w:val="18"/>
          <w:szCs w:val="18"/>
        </w:rPr>
        <w:t>$</w:t>
      </w:r>
      <w:r>
        <w:rPr>
          <w:rFonts w:ascii="Arial Narrow" w:hAnsi="Arial Narrow"/>
          <w:i/>
          <w:sz w:val="18"/>
          <w:szCs w:val="18"/>
        </w:rPr>
        <w:t>40 million to &lt; $5</w:t>
      </w:r>
      <w:r w:rsidRPr="00B65A46">
        <w:rPr>
          <w:rFonts w:ascii="Arial Narrow" w:hAnsi="Arial Narrow"/>
          <w:i/>
          <w:sz w:val="18"/>
          <w:szCs w:val="18"/>
        </w:rPr>
        <w:t>0 million</w:t>
      </w:r>
    </w:p>
    <w:p w:rsidR="00B65A46" w:rsidRDefault="00B65A46" w:rsidP="00B65A46">
      <w:pPr>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7</w:t>
      </w:r>
      <w:r w:rsidRPr="00FF26ED">
        <w:rPr>
          <w:rFonts w:ascii="Arial Narrow" w:hAnsi="Arial Narrow"/>
          <w:i/>
          <w:sz w:val="18"/>
          <w:szCs w:val="18"/>
        </w:rPr>
        <w:t xml:space="preserve">0,000 to &lt; </w:t>
      </w:r>
      <w:r>
        <w:rPr>
          <w:rFonts w:ascii="Arial Narrow" w:hAnsi="Arial Narrow"/>
          <w:i/>
          <w:sz w:val="18"/>
          <w:szCs w:val="18"/>
        </w:rPr>
        <w:t>8</w:t>
      </w:r>
      <w:r w:rsidRPr="00FF26ED">
        <w:rPr>
          <w:rFonts w:ascii="Arial Narrow" w:hAnsi="Arial Narrow"/>
          <w:i/>
          <w:sz w:val="18"/>
          <w:szCs w:val="18"/>
        </w:rPr>
        <w:t>0,000</w:t>
      </w:r>
    </w:p>
    <w:p w:rsidR="007613CD" w:rsidRDefault="007613CD" w:rsidP="007613CD">
      <w:pPr>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Pr="00B65A46">
        <w:rPr>
          <w:rFonts w:ascii="Arial Narrow" w:hAnsi="Arial Narrow"/>
          <w:i/>
          <w:sz w:val="18"/>
          <w:szCs w:val="18"/>
        </w:rPr>
        <w:t>$</w:t>
      </w:r>
      <w:r>
        <w:rPr>
          <w:rFonts w:ascii="Arial Narrow" w:hAnsi="Arial Narrow"/>
          <w:i/>
          <w:sz w:val="18"/>
          <w:szCs w:val="18"/>
        </w:rPr>
        <w:t>30 million to &lt; $4</w:t>
      </w:r>
      <w:r w:rsidRPr="00B65A46">
        <w:rPr>
          <w:rFonts w:ascii="Arial Narrow" w:hAnsi="Arial Narrow"/>
          <w:i/>
          <w:sz w:val="18"/>
          <w:szCs w:val="18"/>
        </w:rPr>
        <w:t>0 million</w:t>
      </w:r>
    </w:p>
    <w:p w:rsidR="007613CD" w:rsidRDefault="007613CD" w:rsidP="007613CD">
      <w:pPr>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Pr="00B65A46">
        <w:rPr>
          <w:rFonts w:ascii="Arial Narrow" w:hAnsi="Arial Narrow"/>
          <w:i/>
          <w:sz w:val="18"/>
          <w:szCs w:val="18"/>
        </w:rPr>
        <w:t>$</w:t>
      </w:r>
      <w:r>
        <w:rPr>
          <w:rFonts w:ascii="Arial Narrow" w:hAnsi="Arial Narrow"/>
          <w:i/>
          <w:sz w:val="18"/>
          <w:szCs w:val="18"/>
        </w:rPr>
        <w:t>60 million to &lt; $7</w:t>
      </w:r>
      <w:r w:rsidRPr="00B65A46">
        <w:rPr>
          <w:rFonts w:ascii="Arial Narrow" w:hAnsi="Arial Narrow"/>
          <w:i/>
          <w:sz w:val="18"/>
          <w:szCs w:val="18"/>
        </w:rPr>
        <w:t>0 million</w:t>
      </w:r>
    </w:p>
    <w:p w:rsidR="007613CD" w:rsidRDefault="007613CD" w:rsidP="007613CD">
      <w:pPr>
        <w:rPr>
          <w:rFonts w:ascii="Arial Narrow" w:hAnsi="Arial Narrow"/>
          <w:i/>
          <w:sz w:val="18"/>
          <w:szCs w:val="18"/>
        </w:rPr>
      </w:pPr>
      <w:r>
        <w:rPr>
          <w:rFonts w:ascii="Arial Narrow" w:hAnsi="Arial Narrow"/>
          <w:i/>
          <w:sz w:val="18"/>
          <w:szCs w:val="18"/>
          <w:vertAlign w:val="superscript"/>
        </w:rPr>
        <w:t>21</w:t>
      </w:r>
      <w:r>
        <w:rPr>
          <w:rFonts w:ascii="Arial Narrow" w:hAnsi="Arial Narrow"/>
          <w:i/>
          <w:sz w:val="18"/>
          <w:szCs w:val="18"/>
        </w:rPr>
        <w:t xml:space="preserve"> </w:t>
      </w:r>
      <w:r w:rsidRPr="00B65A46">
        <w:rPr>
          <w:rFonts w:ascii="Arial Narrow" w:hAnsi="Arial Narrow"/>
          <w:i/>
          <w:sz w:val="18"/>
          <w:szCs w:val="18"/>
        </w:rPr>
        <w:t>$</w:t>
      </w:r>
      <w:r>
        <w:rPr>
          <w:rFonts w:ascii="Arial Narrow" w:hAnsi="Arial Narrow"/>
          <w:i/>
          <w:sz w:val="18"/>
          <w:szCs w:val="18"/>
        </w:rPr>
        <w:t>10 million to &lt; $2</w:t>
      </w:r>
      <w:r w:rsidRPr="00B65A46">
        <w:rPr>
          <w:rFonts w:ascii="Arial Narrow" w:hAnsi="Arial Narrow"/>
          <w:i/>
          <w:sz w:val="18"/>
          <w:szCs w:val="18"/>
        </w:rPr>
        <w:t>0 million</w:t>
      </w:r>
    </w:p>
    <w:p w:rsidR="007613CD" w:rsidRDefault="007613CD" w:rsidP="007613CD">
      <w:pPr>
        <w:rPr>
          <w:rFonts w:ascii="Arial Narrow" w:hAnsi="Arial Narrow"/>
          <w:i/>
          <w:sz w:val="18"/>
          <w:szCs w:val="18"/>
        </w:rPr>
      </w:pPr>
      <w:r>
        <w:rPr>
          <w:rFonts w:ascii="Arial Narrow" w:hAnsi="Arial Narrow"/>
          <w:i/>
          <w:sz w:val="18"/>
          <w:szCs w:val="18"/>
          <w:vertAlign w:val="superscript"/>
        </w:rPr>
        <w:t>22</w:t>
      </w:r>
      <w:r>
        <w:rPr>
          <w:rFonts w:ascii="Arial Narrow" w:hAnsi="Arial Narrow"/>
          <w:i/>
          <w:sz w:val="18"/>
          <w:szCs w:val="18"/>
        </w:rPr>
        <w:t xml:space="preserve"> </w:t>
      </w:r>
      <w:r w:rsidRPr="00B65A46">
        <w:rPr>
          <w:rFonts w:ascii="Arial Narrow" w:hAnsi="Arial Narrow"/>
          <w:i/>
          <w:sz w:val="18"/>
          <w:szCs w:val="18"/>
        </w:rPr>
        <w:t>$</w:t>
      </w:r>
      <w:r>
        <w:rPr>
          <w:rFonts w:ascii="Arial Narrow" w:hAnsi="Arial Narrow"/>
          <w:i/>
          <w:sz w:val="18"/>
          <w:szCs w:val="18"/>
        </w:rPr>
        <w:t>90 million to &lt; $10</w:t>
      </w:r>
      <w:r w:rsidRPr="00B65A46">
        <w:rPr>
          <w:rFonts w:ascii="Arial Narrow" w:hAnsi="Arial Narrow"/>
          <w:i/>
          <w:sz w:val="18"/>
          <w:szCs w:val="18"/>
        </w:rPr>
        <w:t>0 million</w:t>
      </w:r>
    </w:p>
    <w:p w:rsidR="00FF26ED" w:rsidRPr="00C62A13" w:rsidRDefault="007613CD" w:rsidP="00644515">
      <w:pPr>
        <w:tabs>
          <w:tab w:val="left" w:pos="142"/>
        </w:tabs>
        <w:spacing w:after="120"/>
        <w:ind w:left="135" w:hanging="135"/>
        <w:contextualSpacing/>
        <w:rPr>
          <w:rFonts w:ascii="Arial Narrow" w:hAnsi="Arial Narrow"/>
          <w:snapToGrid w:val="0"/>
          <w:sz w:val="18"/>
          <w:szCs w:val="22"/>
        </w:rPr>
      </w:pPr>
      <w:r>
        <w:rPr>
          <w:rFonts w:ascii="Arial Narrow" w:hAnsi="Arial Narrow"/>
          <w:i/>
          <w:sz w:val="18"/>
          <w:szCs w:val="18"/>
          <w:vertAlign w:val="superscript"/>
        </w:rPr>
        <w:t>23</w:t>
      </w:r>
      <w:r>
        <w:rPr>
          <w:rFonts w:ascii="Arial Narrow" w:hAnsi="Arial Narrow"/>
          <w:i/>
          <w:sz w:val="18"/>
          <w:szCs w:val="18"/>
        </w:rPr>
        <w:t xml:space="preserve"> </w:t>
      </w:r>
      <w:r w:rsidRPr="00B65A46">
        <w:rPr>
          <w:rFonts w:ascii="Arial Narrow" w:hAnsi="Arial Narrow"/>
          <w:i/>
          <w:sz w:val="18"/>
          <w:szCs w:val="18"/>
        </w:rPr>
        <w:t>$</w:t>
      </w:r>
      <w:r>
        <w:rPr>
          <w:rFonts w:ascii="Arial Narrow" w:hAnsi="Arial Narrow"/>
          <w:i/>
          <w:sz w:val="18"/>
          <w:szCs w:val="18"/>
        </w:rPr>
        <w:t>70 million to &lt; $8</w:t>
      </w:r>
      <w:r w:rsidRPr="00B65A46">
        <w:rPr>
          <w:rFonts w:ascii="Arial Narrow" w:hAnsi="Arial Narrow"/>
          <w:i/>
          <w:sz w:val="18"/>
          <w:szCs w:val="18"/>
        </w:rPr>
        <w:t>0 million</w:t>
      </w:r>
    </w:p>
    <w:p w:rsidR="00644515" w:rsidRPr="00C62A13" w:rsidRDefault="00644515" w:rsidP="00A873FA">
      <w:pPr>
        <w:pStyle w:val="3-BodyText"/>
      </w:pPr>
      <w:r w:rsidRPr="00C62A13">
        <w:t xml:space="preserve">Assuming the </w:t>
      </w:r>
      <w:r w:rsidR="00C005B1" w:rsidRPr="00C62A13">
        <w:t>proxy effective</w:t>
      </w:r>
      <w:r w:rsidRPr="00C62A13">
        <w:t xml:space="preserve"> prices, the submission estimated the proposed listing of UPA would result in a net cost of </w:t>
      </w:r>
      <w:r w:rsidR="00A873FA" w:rsidRPr="00A873FA">
        <w:t>$90 million to &lt; $100 million</w:t>
      </w:r>
      <w:r w:rsidR="00A873FA">
        <w:t xml:space="preserve"> </w:t>
      </w:r>
      <w:r w:rsidRPr="00C62A13">
        <w:t>to the health budget over the first 6 years. The net cost to the government is uncertain given:</w:t>
      </w:r>
    </w:p>
    <w:p w:rsidR="00644515" w:rsidRPr="00C62A13" w:rsidRDefault="00644515" w:rsidP="008A3974">
      <w:pPr>
        <w:pStyle w:val="3-BodyText"/>
        <w:numPr>
          <w:ilvl w:val="3"/>
          <w:numId w:val="9"/>
        </w:numPr>
        <w:ind w:hanging="371"/>
        <w:rPr>
          <w:i/>
        </w:rPr>
      </w:pPr>
      <w:r w:rsidRPr="00C62A13">
        <w:t>The assumed uptake rate, applied to the pool of prevalent patients</w:t>
      </w:r>
      <w:r w:rsidR="006D3260" w:rsidRPr="00C62A13">
        <w:rPr>
          <w:iCs/>
        </w:rPr>
        <w:t xml:space="preserve"> (a cumulative uptake rate of 50% by Year 6)</w:t>
      </w:r>
      <w:r w:rsidRPr="00C62A13">
        <w:t>, was higher than DUPI November 2020 estimates (cumulative 24% by Year 6) or those recommended by the PBAC (cumulative 19.7% by Year 6) (Table 1, Dupilumab PSD November 2020 PBAC meeting</w:t>
      </w:r>
      <w:r w:rsidRPr="00C62A13">
        <w:rPr>
          <w:i/>
        </w:rPr>
        <w:t>).</w:t>
      </w:r>
      <w:r w:rsidR="006D3260" w:rsidRPr="00C62A13">
        <w:rPr>
          <w:i/>
        </w:rPr>
        <w:t xml:space="preserve"> </w:t>
      </w:r>
      <w:r w:rsidR="006D3260" w:rsidRPr="00C62A13">
        <w:t>The ESC considered that there may be higher uptake of UPA than DUPI given the perceived benefit and oral formulation, however the uptake assumed in the financial estimates appears overestimated</w:t>
      </w:r>
      <w:r w:rsidR="00527DAE" w:rsidRPr="00C62A13">
        <w:t xml:space="preserve">. </w:t>
      </w:r>
      <w:r w:rsidR="00A35D8D" w:rsidRPr="00C62A13">
        <w:t xml:space="preserve">The PBAC considered that uptake of UPA would also be moderated by safety concerns for JAK inhibitors. </w:t>
      </w:r>
      <w:r w:rsidR="00527DAE" w:rsidRPr="00C62A13">
        <w:t>The pre-PBAC response argued that uptake rates are likely to be higher than assumed in the dupilumab submission, because demand for treatment appears to have been underestimated based on PBS scripts of dupilumab to date and the availability of an oral treatment may increase uptake further</w:t>
      </w:r>
      <w:r w:rsidR="00F03E80" w:rsidRPr="00C62A13">
        <w:t>.</w:t>
      </w:r>
      <w:r w:rsidR="00412A3E" w:rsidRPr="00C62A13">
        <w:t xml:space="preserve"> </w:t>
      </w:r>
    </w:p>
    <w:p w:rsidR="00644515" w:rsidRPr="00C62A13" w:rsidRDefault="00644515" w:rsidP="00A35D8D">
      <w:pPr>
        <w:pStyle w:val="3-BodyText"/>
        <w:numPr>
          <w:ilvl w:val="3"/>
          <w:numId w:val="9"/>
        </w:numPr>
        <w:ind w:hanging="371"/>
        <w:rPr>
          <w:i/>
        </w:rPr>
      </w:pPr>
      <w:r w:rsidRPr="00C62A13">
        <w:t>The</w:t>
      </w:r>
      <w:r w:rsidR="00C005B1" w:rsidRPr="00C62A13">
        <w:t xml:space="preserve">re is uncertainty around the </w:t>
      </w:r>
      <w:r w:rsidR="003F23CD" w:rsidRPr="00C62A13">
        <w:t>response parameters.</w:t>
      </w:r>
      <w:r w:rsidRPr="00C62A13">
        <w:t xml:space="preserve"> </w:t>
      </w:r>
      <w:r w:rsidR="00C005B1" w:rsidRPr="00C62A13">
        <w:t xml:space="preserve">Consistent with the modelled economic evaluation, the financial </w:t>
      </w:r>
      <w:r w:rsidR="003F23CD" w:rsidRPr="00C62A13">
        <w:t xml:space="preserve">estimates did not </w:t>
      </w:r>
      <w:r w:rsidRPr="00C62A13">
        <w:t>adjust</w:t>
      </w:r>
      <w:r w:rsidR="003F23CD" w:rsidRPr="00C62A13">
        <w:t xml:space="preserve"> the response rate at Week 16</w:t>
      </w:r>
      <w:r w:rsidRPr="00C62A13">
        <w:t xml:space="preserve"> </w:t>
      </w:r>
      <w:r w:rsidR="003F23CD" w:rsidRPr="00C62A13">
        <w:t xml:space="preserve">assumed for UPA and DUPI </w:t>
      </w:r>
      <w:r w:rsidRPr="00C62A13">
        <w:t xml:space="preserve">for differences in the placebo response rates across the two sets of trials. </w:t>
      </w:r>
      <w:r w:rsidR="00D17EB3" w:rsidRPr="00C62A13">
        <w:t xml:space="preserve">The PBAC noted that the financial estimates also assumed a higher treatment response after initiation for the UPA 15 mg dose compared with DUPI, despite the claim of non-inferiority. </w:t>
      </w:r>
      <w:r w:rsidR="003F23CD" w:rsidRPr="00C62A13">
        <w:t xml:space="preserve">The financial model also used the same </w:t>
      </w:r>
      <w:r w:rsidR="002C3294" w:rsidRPr="00C62A13">
        <w:t xml:space="preserve">long-term </w:t>
      </w:r>
      <w:r w:rsidR="003F23CD" w:rsidRPr="00C62A13">
        <w:t xml:space="preserve">maintenance of response assumed in the DUPI submission, but </w:t>
      </w:r>
      <w:r w:rsidRPr="00C62A13">
        <w:t xml:space="preserve">the PBAC considered this extrapolation </w:t>
      </w:r>
      <w:r w:rsidR="002C3294" w:rsidRPr="00C62A13">
        <w:t xml:space="preserve">was </w:t>
      </w:r>
      <w:r w:rsidRPr="00C62A13">
        <w:t>uncertain (para 7.15, Dupilumab PSD July 2019 PBAC meeting).</w:t>
      </w:r>
      <w:r w:rsidR="006D3260" w:rsidRPr="00C62A13">
        <w:t xml:space="preserve"> </w:t>
      </w:r>
    </w:p>
    <w:p w:rsidR="00644515" w:rsidRPr="00C62A13" w:rsidRDefault="006D3260" w:rsidP="008A3974">
      <w:pPr>
        <w:pStyle w:val="3-BodyText"/>
        <w:numPr>
          <w:ilvl w:val="3"/>
          <w:numId w:val="9"/>
        </w:numPr>
        <w:ind w:hanging="371"/>
      </w:pPr>
      <w:r w:rsidRPr="00C62A13">
        <w:t xml:space="preserve">The ESC noted there </w:t>
      </w:r>
      <w:r w:rsidR="001A33FE" w:rsidRPr="00C62A13">
        <w:t>is uncertainty around the proportional use of UPA 15</w:t>
      </w:r>
      <w:r w:rsidRPr="00C62A13">
        <w:t> </w:t>
      </w:r>
      <w:r w:rsidR="001A33FE" w:rsidRPr="00C62A13">
        <w:t>mg and 30</w:t>
      </w:r>
      <w:r w:rsidR="008724DA" w:rsidRPr="00C62A13">
        <w:t xml:space="preserve"> </w:t>
      </w:r>
      <w:r w:rsidR="001A33FE" w:rsidRPr="00C62A13">
        <w:t xml:space="preserve">mg tablets. </w:t>
      </w:r>
      <w:r w:rsidR="00644515" w:rsidRPr="00C62A13">
        <w:t xml:space="preserve">The submission assumed </w:t>
      </w:r>
      <w:r w:rsidR="00B95E7E">
        <w:rPr>
          <w:noProof/>
          <w:color w:val="000000"/>
          <w:highlight w:val="black"/>
        </w:rPr>
        <w:t>'''''</w:t>
      </w:r>
      <w:r w:rsidR="00644515" w:rsidRPr="00C62A13">
        <w:t>:</w:t>
      </w:r>
      <w:r w:rsidR="00B95E7E">
        <w:rPr>
          <w:noProof/>
          <w:color w:val="000000"/>
          <w:highlight w:val="black"/>
        </w:rPr>
        <w:t>'''''</w:t>
      </w:r>
      <w:r w:rsidR="00644515" w:rsidRPr="00C62A13">
        <w:t xml:space="preserve"> split between the two strengths of UPA</w:t>
      </w:r>
      <w:r w:rsidR="001A33FE" w:rsidRPr="00C62A13">
        <w:t>, but more patients may use UPA 30</w:t>
      </w:r>
      <w:r w:rsidR="008724DA" w:rsidRPr="00C62A13">
        <w:t xml:space="preserve"> </w:t>
      </w:r>
      <w:r w:rsidR="001A33FE" w:rsidRPr="00C62A13">
        <w:t>mg as a more efficacious treatment (if tolerated)</w:t>
      </w:r>
      <w:r w:rsidRPr="00C62A13">
        <w:t xml:space="preserve"> and patients may be titrated to the 30 mg dose to achieve a better response</w:t>
      </w:r>
      <w:r w:rsidR="001A33FE" w:rsidRPr="00C62A13">
        <w:t>.</w:t>
      </w:r>
      <w:r w:rsidR="004039A6" w:rsidRPr="00C62A13">
        <w:rPr>
          <w:i/>
        </w:rPr>
        <w:t xml:space="preserve"> </w:t>
      </w:r>
      <w:r w:rsidR="004039A6" w:rsidRPr="00C62A13">
        <w:t xml:space="preserve">The ESC considered that it is likely that more patients would be treated with the 30 mg dose and therefore the assumption of a </w:t>
      </w:r>
      <w:r w:rsidR="00B95E7E">
        <w:rPr>
          <w:noProof/>
          <w:color w:val="000000"/>
          <w:highlight w:val="black"/>
        </w:rPr>
        <w:t>'''''</w:t>
      </w:r>
      <w:r w:rsidR="004039A6" w:rsidRPr="00C62A13">
        <w:t>:</w:t>
      </w:r>
      <w:r w:rsidR="00B95E7E">
        <w:rPr>
          <w:noProof/>
          <w:color w:val="000000"/>
          <w:highlight w:val="black"/>
        </w:rPr>
        <w:t>'''''</w:t>
      </w:r>
      <w:r w:rsidR="004039A6" w:rsidRPr="00C62A13">
        <w:t xml:space="preserve"> split may underestimate the costs of listing UPA. </w:t>
      </w:r>
      <w:r w:rsidR="00D17EB3" w:rsidRPr="00C62A13">
        <w:t xml:space="preserve">This was consistent with clinician comments in the sponsor hearing, which indicated </w:t>
      </w:r>
      <w:r w:rsidR="00A35D8D" w:rsidRPr="00C62A13">
        <w:t>a preference for initiating patients on the 30 mg dose and titrating</w:t>
      </w:r>
      <w:r w:rsidR="00D17EB3" w:rsidRPr="00C62A13">
        <w:t xml:space="preserve"> down if response </w:t>
      </w:r>
      <w:r w:rsidR="00A35D8D" w:rsidRPr="00C62A13">
        <w:t>is</w:t>
      </w:r>
      <w:r w:rsidR="00D17EB3" w:rsidRPr="00C62A13">
        <w:t xml:space="preserve"> adequate. The PBAC noted the split would be impacted by the dosing approach recommended by the TGA and adopted by clinicians.</w:t>
      </w:r>
      <w:r w:rsidR="004F5228" w:rsidRPr="00C62A13">
        <w:t xml:space="preserve"> The PBAC also noted that the split would not have a substantial </w:t>
      </w:r>
      <w:r w:rsidR="0017441C" w:rsidRPr="00C62A13">
        <w:t>effect</w:t>
      </w:r>
      <w:r w:rsidR="004F5228" w:rsidRPr="00C62A13">
        <w:t xml:space="preserve"> on the </w:t>
      </w:r>
      <w:r w:rsidR="00A35D8D" w:rsidRPr="00C62A13">
        <w:t xml:space="preserve">overall </w:t>
      </w:r>
      <w:r w:rsidR="004F5228" w:rsidRPr="00C62A13">
        <w:t xml:space="preserve">financial impact of listing UPA if both </w:t>
      </w:r>
      <w:r w:rsidR="00A35D8D" w:rsidRPr="00C62A13">
        <w:t xml:space="preserve">doses </w:t>
      </w:r>
      <w:r w:rsidR="004F5228" w:rsidRPr="00C62A13">
        <w:t>are listed on a cost-minimisation basis compared with DUPI.</w:t>
      </w:r>
    </w:p>
    <w:p w:rsidR="00D17EB3" w:rsidRPr="00C62A13" w:rsidRDefault="003D5AAF" w:rsidP="00D17EB3">
      <w:pPr>
        <w:pStyle w:val="3-BodyText"/>
      </w:pPr>
      <w:r w:rsidRPr="00C62A13">
        <w:t xml:space="preserve">The PBAC considered there was a moderate level of confidence in the modelled costs as </w:t>
      </w:r>
      <w:r w:rsidR="00A35D8D" w:rsidRPr="00C62A13">
        <w:t xml:space="preserve">calculation of </w:t>
      </w:r>
      <w:r w:rsidRPr="00C62A13">
        <w:t xml:space="preserve">drug costs appeared reasonable but the estimates did not include additional </w:t>
      </w:r>
      <w:r w:rsidR="005D61E1">
        <w:t xml:space="preserve">MBS </w:t>
      </w:r>
      <w:r w:rsidRPr="00C62A13">
        <w:t xml:space="preserve">costs of monitoring infection, lipids, ANC, ALC, Hb and LFT. </w:t>
      </w:r>
    </w:p>
    <w:p w:rsidR="00644515" w:rsidRPr="00C62A13" w:rsidRDefault="00644515" w:rsidP="00644515">
      <w:pPr>
        <w:pStyle w:val="4-SubsectionHeading"/>
      </w:pPr>
      <w:bookmarkStart w:id="40" w:name="_Toc22897649"/>
      <w:bookmarkStart w:id="41" w:name="_Toc72315509"/>
      <w:r w:rsidRPr="00C62A13">
        <w:t>Financial Management – Risk Sharing Arrangements</w:t>
      </w:r>
      <w:bookmarkEnd w:id="40"/>
      <w:bookmarkEnd w:id="41"/>
    </w:p>
    <w:p w:rsidR="004039A6" w:rsidRPr="00C62A13" w:rsidRDefault="00644515" w:rsidP="002B2BAA">
      <w:pPr>
        <w:pStyle w:val="ListParagraph"/>
        <w:numPr>
          <w:ilvl w:val="1"/>
          <w:numId w:val="1"/>
        </w:numPr>
      </w:pPr>
      <w:r w:rsidRPr="00C62A13">
        <w:t xml:space="preserve">The </w:t>
      </w:r>
      <w:r w:rsidR="009B2ABC" w:rsidRPr="00C62A13">
        <w:t xml:space="preserve">sponsor requested that any RSA </w:t>
      </w:r>
      <w:r w:rsidR="00EB0EC4" w:rsidRPr="00C62A13">
        <w:t>in place should reflect the superior response of UPA 30</w:t>
      </w:r>
      <w:r w:rsidR="00D8213D" w:rsidRPr="00C62A13">
        <w:t xml:space="preserve"> </w:t>
      </w:r>
      <w:r w:rsidR="00EB0EC4" w:rsidRPr="00C62A13">
        <w:t>mg (and the higher proportion of patients who remain on treatment)</w:t>
      </w:r>
      <w:r w:rsidR="004039A6" w:rsidRPr="00C62A13">
        <w:t>. The</w:t>
      </w:r>
      <w:r w:rsidR="00F03E80" w:rsidRPr="00C62A13">
        <w:t xml:space="preserve"> PBAC agreed with the</w:t>
      </w:r>
      <w:r w:rsidR="004039A6" w:rsidRPr="00C62A13">
        <w:t xml:space="preserve"> ESC that the HEADS UP trial suggested there was no difference in the number of responders at 24 weeks and the assumption of </w:t>
      </w:r>
      <w:r w:rsidR="00A377FD" w:rsidRPr="00C62A13">
        <w:t xml:space="preserve">an </w:t>
      </w:r>
      <w:r w:rsidR="004039A6" w:rsidRPr="00C62A13">
        <w:t>ongoing difference in the proportion of responders beyond 16 weeks may not be reasonable</w:t>
      </w:r>
      <w:r w:rsidR="00A377FD" w:rsidRPr="00C62A13">
        <w:t xml:space="preserve">. </w:t>
      </w:r>
      <w:r w:rsidR="005D61E1" w:rsidRPr="00C62A13">
        <w:t>Therefore,</w:t>
      </w:r>
      <w:r w:rsidR="004039A6" w:rsidRPr="00C62A13">
        <w:t xml:space="preserve"> </w:t>
      </w:r>
      <w:r w:rsidR="00F03E80" w:rsidRPr="00C62A13">
        <w:t xml:space="preserve">PBAC considered that </w:t>
      </w:r>
      <w:r w:rsidR="004039A6" w:rsidRPr="00C62A13">
        <w:t xml:space="preserve">increasing the caps in this way </w:t>
      </w:r>
      <w:r w:rsidR="00F03E80" w:rsidRPr="00C62A13">
        <w:t xml:space="preserve">was </w:t>
      </w:r>
      <w:r w:rsidR="004039A6" w:rsidRPr="00C62A13">
        <w:t>not justified.</w:t>
      </w:r>
    </w:p>
    <w:p w:rsidR="00A377FD" w:rsidRPr="00C62A13" w:rsidRDefault="004039A6" w:rsidP="00A377FD">
      <w:pPr>
        <w:pStyle w:val="3-BodyText"/>
      </w:pPr>
      <w:r w:rsidRPr="00C62A13">
        <w:t>The submission also argued</w:t>
      </w:r>
      <w:r w:rsidR="003F23CD" w:rsidRPr="00C62A13">
        <w:t xml:space="preserve"> that the financial caps should increase for each additional therapy added to the PBS to allow for sequential treatment</w:t>
      </w:r>
      <w:r w:rsidR="003F23CD" w:rsidRPr="00C62A13">
        <w:rPr>
          <w:i/>
        </w:rPr>
        <w:t>.</w:t>
      </w:r>
      <w:r w:rsidR="005C798E" w:rsidRPr="00C62A13">
        <w:rPr>
          <w:i/>
        </w:rPr>
        <w:t xml:space="preserve"> </w:t>
      </w:r>
      <w:r w:rsidRPr="00C62A13">
        <w:t xml:space="preserve">The ESC considered that this may be reasonable, however the extent of additional use </w:t>
      </w:r>
      <w:r w:rsidR="006E16AF" w:rsidRPr="00C62A13">
        <w:t xml:space="preserve">due to sequential treatments is uncertain. </w:t>
      </w:r>
      <w:r w:rsidR="005C798E" w:rsidRPr="00C62A13">
        <w:t xml:space="preserve">The submission presented increased caps assuming </w:t>
      </w:r>
      <w:r w:rsidR="00B95E7E">
        <w:rPr>
          <w:noProof/>
          <w:color w:val="000000"/>
          <w:highlight w:val="black"/>
        </w:rPr>
        <w:t>'''''</w:t>
      </w:r>
      <w:r w:rsidR="00644515" w:rsidRPr="00C62A13">
        <w:t xml:space="preserve">% of newly initiating patients would re-initiate a second alternative therapy in the same year. </w:t>
      </w:r>
    </w:p>
    <w:p w:rsidR="00B24D69" w:rsidRPr="00C62A13" w:rsidRDefault="00B24D69" w:rsidP="00A377FD">
      <w:pPr>
        <w:pStyle w:val="3-BodyText"/>
        <w:numPr>
          <w:ilvl w:val="0"/>
          <w:numId w:val="0"/>
        </w:numPr>
        <w:ind w:left="720"/>
        <w:rPr>
          <w:i/>
        </w:rPr>
      </w:pPr>
      <w:r w:rsidRPr="00C62A13">
        <w:rPr>
          <w:i/>
        </w:rPr>
        <w:t>For more detail on PBAC’s view, see section 7 PBAC outcome.</w:t>
      </w:r>
    </w:p>
    <w:p w:rsidR="00263A7D" w:rsidRPr="00C62A13" w:rsidRDefault="00263A7D" w:rsidP="00263A7D">
      <w:pPr>
        <w:pStyle w:val="2-SectionHeading"/>
      </w:pPr>
      <w:bookmarkStart w:id="42" w:name="_Hlk76381249"/>
      <w:bookmarkStart w:id="43" w:name="_Hlk76377955"/>
      <w:r w:rsidRPr="00C62A13">
        <w:t>PBAC Outcome</w:t>
      </w:r>
    </w:p>
    <w:p w:rsidR="00C558FE" w:rsidRPr="00C62A13" w:rsidRDefault="00C558FE" w:rsidP="00C558FE">
      <w:pPr>
        <w:widowControl w:val="0"/>
        <w:numPr>
          <w:ilvl w:val="1"/>
          <w:numId w:val="1"/>
        </w:numPr>
        <w:spacing w:after="120"/>
        <w:rPr>
          <w:rFonts w:asciiTheme="minorHAnsi" w:hAnsiTheme="minorHAnsi"/>
          <w:snapToGrid w:val="0"/>
        </w:rPr>
      </w:pPr>
      <w:r w:rsidRPr="00C62A13">
        <w:rPr>
          <w:rFonts w:asciiTheme="minorHAnsi" w:hAnsiTheme="minorHAnsi"/>
          <w:snapToGrid w:val="0"/>
        </w:rPr>
        <w:t>The PBAC deferred making a recommendation to list upadacitinib</w:t>
      </w:r>
      <w:r w:rsidR="00D5200A" w:rsidRPr="00C62A13">
        <w:rPr>
          <w:rFonts w:asciiTheme="minorHAnsi" w:hAnsiTheme="minorHAnsi"/>
          <w:snapToGrid w:val="0"/>
        </w:rPr>
        <w:t xml:space="preserve"> (UPA)</w:t>
      </w:r>
      <w:r w:rsidRPr="00C62A13">
        <w:rPr>
          <w:rFonts w:asciiTheme="minorHAnsi" w:hAnsiTheme="minorHAnsi"/>
          <w:snapToGrid w:val="0"/>
        </w:rPr>
        <w:t xml:space="preserve"> for severe atopic dermatitis</w:t>
      </w:r>
      <w:r w:rsidR="005D61E1" w:rsidRPr="00C62A13">
        <w:rPr>
          <w:rFonts w:asciiTheme="minorHAnsi" w:hAnsiTheme="minorHAnsi"/>
          <w:snapToGrid w:val="0"/>
        </w:rPr>
        <w:t xml:space="preserve"> (AD)</w:t>
      </w:r>
      <w:r w:rsidR="0054148A">
        <w:rPr>
          <w:rFonts w:asciiTheme="minorHAnsi" w:hAnsiTheme="minorHAnsi"/>
          <w:snapToGrid w:val="0"/>
        </w:rPr>
        <w:t xml:space="preserve"> as a TGA Delegate’s Overview was not available at the time of PBAC consideration</w:t>
      </w:r>
      <w:r w:rsidRPr="00C62A13">
        <w:rPr>
          <w:rFonts w:asciiTheme="minorHAnsi" w:hAnsiTheme="minorHAnsi"/>
          <w:snapToGrid w:val="0"/>
        </w:rPr>
        <w:t>. The PBAC w</w:t>
      </w:r>
      <w:r w:rsidR="00E05E34">
        <w:rPr>
          <w:rFonts w:asciiTheme="minorHAnsi" w:hAnsiTheme="minorHAnsi"/>
          <w:snapToGrid w:val="0"/>
        </w:rPr>
        <w:t>as</w:t>
      </w:r>
      <w:r w:rsidRPr="00C62A13">
        <w:rPr>
          <w:rFonts w:asciiTheme="minorHAnsi" w:hAnsiTheme="minorHAnsi"/>
          <w:snapToGrid w:val="0"/>
        </w:rPr>
        <w:t xml:space="preserve"> of a mind to recommend </w:t>
      </w:r>
      <w:r w:rsidR="004F272E">
        <w:rPr>
          <w:rFonts w:asciiTheme="minorHAnsi" w:hAnsiTheme="minorHAnsi"/>
          <w:snapToGrid w:val="0"/>
        </w:rPr>
        <w:t xml:space="preserve">15 mg and 30 mg </w:t>
      </w:r>
      <w:r w:rsidR="00D5200A" w:rsidRPr="00C62A13">
        <w:rPr>
          <w:rFonts w:asciiTheme="minorHAnsi" w:hAnsiTheme="minorHAnsi"/>
          <w:snapToGrid w:val="0"/>
        </w:rPr>
        <w:t>UPA</w:t>
      </w:r>
      <w:r w:rsidR="0054148A" w:rsidRPr="0054148A">
        <w:t xml:space="preserve"> </w:t>
      </w:r>
      <w:r w:rsidR="0054148A" w:rsidRPr="0054148A">
        <w:rPr>
          <w:rFonts w:asciiTheme="minorHAnsi" w:hAnsiTheme="minorHAnsi"/>
          <w:snapToGrid w:val="0"/>
        </w:rPr>
        <w:t>on a cost minimisation basis compared to DUPI</w:t>
      </w:r>
      <w:r w:rsidR="0054148A">
        <w:rPr>
          <w:rFonts w:asciiTheme="minorHAnsi" w:hAnsiTheme="minorHAnsi"/>
          <w:snapToGrid w:val="0"/>
        </w:rPr>
        <w:t>, pending receipt</w:t>
      </w:r>
      <w:r w:rsidR="00E05E34">
        <w:rPr>
          <w:rFonts w:asciiTheme="minorHAnsi" w:hAnsiTheme="minorHAnsi"/>
          <w:snapToGrid w:val="0"/>
        </w:rPr>
        <w:t xml:space="preserve"> of a positive TGA Delegate’s Overview</w:t>
      </w:r>
      <w:r w:rsidR="0054148A" w:rsidRPr="0054148A">
        <w:rPr>
          <w:rFonts w:asciiTheme="minorHAnsi" w:hAnsiTheme="minorHAnsi"/>
          <w:snapToGrid w:val="0"/>
        </w:rPr>
        <w:t>.</w:t>
      </w:r>
      <w:r w:rsidRPr="00C62A13">
        <w:rPr>
          <w:rFonts w:asciiTheme="minorHAnsi" w:hAnsiTheme="minorHAnsi"/>
          <w:snapToGrid w:val="0"/>
        </w:rPr>
        <w:t xml:space="preserve"> The PBAC acknowledged the clinical need for additional systemic treatments for severe </w:t>
      </w:r>
      <w:r w:rsidR="00D5200A" w:rsidRPr="00C62A13">
        <w:rPr>
          <w:rFonts w:asciiTheme="minorHAnsi" w:hAnsiTheme="minorHAnsi"/>
          <w:snapToGrid w:val="0"/>
        </w:rPr>
        <w:t>AD</w:t>
      </w:r>
      <w:r w:rsidRPr="00C62A13">
        <w:rPr>
          <w:rFonts w:asciiTheme="minorHAnsi" w:hAnsiTheme="minorHAnsi"/>
          <w:snapToGrid w:val="0"/>
        </w:rPr>
        <w:t xml:space="preserve"> and considered that </w:t>
      </w:r>
      <w:r w:rsidR="00D5200A" w:rsidRPr="00C62A13">
        <w:rPr>
          <w:rFonts w:asciiTheme="minorHAnsi" w:hAnsiTheme="minorHAnsi"/>
          <w:snapToGrid w:val="0"/>
        </w:rPr>
        <w:t xml:space="preserve">UPA </w:t>
      </w:r>
      <w:r w:rsidRPr="00C62A13">
        <w:rPr>
          <w:rFonts w:asciiTheme="minorHAnsi" w:hAnsiTheme="minorHAnsi"/>
          <w:snapToGrid w:val="0"/>
        </w:rPr>
        <w:t>provides a</w:t>
      </w:r>
      <w:r w:rsidR="00D5200A" w:rsidRPr="00C62A13">
        <w:rPr>
          <w:rFonts w:asciiTheme="minorHAnsi" w:hAnsiTheme="minorHAnsi"/>
          <w:snapToGrid w:val="0"/>
        </w:rPr>
        <w:t>n overall</w:t>
      </w:r>
      <w:r w:rsidRPr="00C62A13">
        <w:rPr>
          <w:rFonts w:asciiTheme="minorHAnsi" w:hAnsiTheme="minorHAnsi"/>
          <w:snapToGrid w:val="0"/>
        </w:rPr>
        <w:t xml:space="preserve"> clinical benefit similar to the comparator, dupilumab</w:t>
      </w:r>
      <w:r w:rsidR="00D5200A" w:rsidRPr="00C62A13">
        <w:rPr>
          <w:rFonts w:asciiTheme="minorHAnsi" w:hAnsiTheme="minorHAnsi"/>
          <w:snapToGrid w:val="0"/>
        </w:rPr>
        <w:t xml:space="preserve"> (DUPI)</w:t>
      </w:r>
      <w:r w:rsidRPr="00C62A13">
        <w:rPr>
          <w:rFonts w:asciiTheme="minorHAnsi" w:hAnsiTheme="minorHAnsi"/>
          <w:snapToGrid w:val="0"/>
        </w:rPr>
        <w:t xml:space="preserve">. The PBAC did not accept the submission’s claim that </w:t>
      </w:r>
      <w:r w:rsidR="00D5200A" w:rsidRPr="00C62A13">
        <w:rPr>
          <w:rFonts w:asciiTheme="minorHAnsi" w:hAnsiTheme="minorHAnsi"/>
          <w:snapToGrid w:val="0"/>
        </w:rPr>
        <w:t xml:space="preserve">UPA </w:t>
      </w:r>
      <w:r w:rsidRPr="00C62A13">
        <w:rPr>
          <w:rFonts w:asciiTheme="minorHAnsi" w:hAnsiTheme="minorHAnsi"/>
          <w:snapToGrid w:val="0"/>
        </w:rPr>
        <w:t xml:space="preserve">30 mg is superior to </w:t>
      </w:r>
      <w:r w:rsidR="00D5200A" w:rsidRPr="00C62A13">
        <w:rPr>
          <w:rFonts w:asciiTheme="minorHAnsi" w:hAnsiTheme="minorHAnsi"/>
          <w:snapToGrid w:val="0"/>
        </w:rPr>
        <w:t xml:space="preserve">DUPI </w:t>
      </w:r>
      <w:r w:rsidRPr="00C62A13">
        <w:rPr>
          <w:rFonts w:asciiTheme="minorHAnsi" w:hAnsiTheme="minorHAnsi"/>
          <w:snapToGrid w:val="0"/>
        </w:rPr>
        <w:t>in terms of response, based on the direct head to head evidence presented</w:t>
      </w:r>
      <w:r w:rsidR="00D5200A" w:rsidRPr="00C62A13">
        <w:rPr>
          <w:rFonts w:asciiTheme="minorHAnsi" w:hAnsiTheme="minorHAnsi"/>
          <w:snapToGrid w:val="0"/>
        </w:rPr>
        <w:t>, although acknowledged that the response to treatment may be faster with UPA</w:t>
      </w:r>
      <w:r w:rsidRPr="00C62A13">
        <w:rPr>
          <w:rFonts w:asciiTheme="minorHAnsi" w:hAnsiTheme="minorHAnsi"/>
          <w:snapToGrid w:val="0"/>
        </w:rPr>
        <w:t xml:space="preserve">. The PBAC considered that safety for </w:t>
      </w:r>
      <w:r w:rsidR="00D5200A" w:rsidRPr="00C62A13">
        <w:rPr>
          <w:rFonts w:asciiTheme="minorHAnsi" w:hAnsiTheme="minorHAnsi"/>
          <w:snapToGrid w:val="0"/>
        </w:rPr>
        <w:t xml:space="preserve">UPA </w:t>
      </w:r>
      <w:r w:rsidR="002E49B1" w:rsidRPr="00C62A13">
        <w:rPr>
          <w:rFonts w:asciiTheme="minorHAnsi" w:hAnsiTheme="minorHAnsi"/>
          <w:snapToGrid w:val="0"/>
        </w:rPr>
        <w:t xml:space="preserve">30 mg </w:t>
      </w:r>
      <w:r w:rsidRPr="00C62A13">
        <w:rPr>
          <w:rFonts w:asciiTheme="minorHAnsi" w:hAnsiTheme="minorHAnsi"/>
          <w:snapToGrid w:val="0"/>
        </w:rPr>
        <w:t>may be inferior</w:t>
      </w:r>
      <w:r w:rsidR="002E49B1" w:rsidRPr="00C62A13">
        <w:rPr>
          <w:rFonts w:asciiTheme="minorHAnsi" w:hAnsiTheme="minorHAnsi"/>
          <w:snapToGrid w:val="0"/>
        </w:rPr>
        <w:t xml:space="preserve"> to </w:t>
      </w:r>
      <w:r w:rsidR="00D5200A" w:rsidRPr="00C62A13">
        <w:rPr>
          <w:rFonts w:asciiTheme="minorHAnsi" w:hAnsiTheme="minorHAnsi"/>
          <w:snapToGrid w:val="0"/>
        </w:rPr>
        <w:t>DUPI</w:t>
      </w:r>
      <w:r w:rsidRPr="00C62A13">
        <w:rPr>
          <w:rFonts w:asciiTheme="minorHAnsi" w:hAnsiTheme="minorHAnsi"/>
          <w:snapToGrid w:val="0"/>
        </w:rPr>
        <w:t xml:space="preserve">. </w:t>
      </w:r>
    </w:p>
    <w:p w:rsidR="00263A7D" w:rsidRPr="00C62A13" w:rsidRDefault="00F22CEA" w:rsidP="00263A7D">
      <w:pPr>
        <w:widowControl w:val="0"/>
        <w:numPr>
          <w:ilvl w:val="1"/>
          <w:numId w:val="1"/>
        </w:numPr>
        <w:spacing w:after="120"/>
        <w:rPr>
          <w:rFonts w:asciiTheme="minorHAnsi" w:hAnsiTheme="minorHAnsi"/>
          <w:snapToGrid w:val="0"/>
        </w:rPr>
      </w:pPr>
      <w:r w:rsidRPr="00C62A13">
        <w:rPr>
          <w:rFonts w:asciiTheme="minorHAnsi" w:hAnsiTheme="minorHAnsi"/>
          <w:snapToGrid w:val="0"/>
        </w:rPr>
        <w:t xml:space="preserve">The PBAC noted that </w:t>
      </w:r>
      <w:r w:rsidRPr="00C62A13">
        <w:t xml:space="preserve">UPA is a novel medicine, as no other Janus Kinase (JAK) inhibitor </w:t>
      </w:r>
      <w:r w:rsidR="00324527" w:rsidRPr="00C62A13">
        <w:t xml:space="preserve">is </w:t>
      </w:r>
      <w:r w:rsidRPr="00C62A13">
        <w:t xml:space="preserve">available on the PBS for AD. The PBAC </w:t>
      </w:r>
      <w:r w:rsidRPr="00C62A13">
        <w:rPr>
          <w:rFonts w:asciiTheme="minorHAnsi" w:hAnsiTheme="minorHAnsi"/>
          <w:snapToGrid w:val="0"/>
        </w:rPr>
        <w:t xml:space="preserve">acknowledged the clinical need for additional alternative systemic treatments for severe </w:t>
      </w:r>
      <w:r w:rsidR="009B71FF" w:rsidRPr="00C62A13">
        <w:rPr>
          <w:rFonts w:asciiTheme="minorHAnsi" w:hAnsiTheme="minorHAnsi"/>
          <w:snapToGrid w:val="0"/>
        </w:rPr>
        <w:t>AD</w:t>
      </w:r>
      <w:r w:rsidRPr="00C62A13">
        <w:rPr>
          <w:rFonts w:asciiTheme="minorHAnsi" w:hAnsiTheme="minorHAnsi"/>
          <w:snapToGrid w:val="0"/>
        </w:rPr>
        <w:t xml:space="preserve">, but considered that </w:t>
      </w:r>
      <w:r w:rsidR="009B71FF" w:rsidRPr="00C62A13">
        <w:rPr>
          <w:rFonts w:asciiTheme="minorHAnsi" w:hAnsiTheme="minorHAnsi"/>
          <w:snapToGrid w:val="0"/>
        </w:rPr>
        <w:t xml:space="preserve">the </w:t>
      </w:r>
      <w:r w:rsidRPr="00C62A13">
        <w:rPr>
          <w:rFonts w:asciiTheme="minorHAnsi" w:hAnsiTheme="minorHAnsi"/>
          <w:snapToGrid w:val="0"/>
        </w:rPr>
        <w:t>additional need</w:t>
      </w:r>
      <w:r w:rsidR="009B71FF" w:rsidRPr="00C62A13">
        <w:rPr>
          <w:rFonts w:asciiTheme="minorHAnsi" w:hAnsiTheme="minorHAnsi"/>
          <w:snapToGrid w:val="0"/>
        </w:rPr>
        <w:t xml:space="preserve"> was limited in the context of </w:t>
      </w:r>
      <w:r w:rsidRPr="00C62A13">
        <w:rPr>
          <w:rFonts w:asciiTheme="minorHAnsi" w:hAnsiTheme="minorHAnsi"/>
          <w:snapToGrid w:val="0"/>
        </w:rPr>
        <w:t xml:space="preserve">the availability of </w:t>
      </w:r>
      <w:r w:rsidR="007353CB" w:rsidRPr="00C62A13">
        <w:rPr>
          <w:rFonts w:asciiTheme="minorHAnsi" w:hAnsiTheme="minorHAnsi"/>
          <w:snapToGrid w:val="0"/>
        </w:rPr>
        <w:t xml:space="preserve">DUPI </w:t>
      </w:r>
      <w:r w:rsidRPr="00C62A13">
        <w:rPr>
          <w:rFonts w:asciiTheme="minorHAnsi" w:hAnsiTheme="minorHAnsi"/>
          <w:snapToGrid w:val="0"/>
        </w:rPr>
        <w:t xml:space="preserve">for patients with severe AD. The PBAC noted that the clinical need remained </w:t>
      </w:r>
      <w:r w:rsidR="007A1F2F" w:rsidRPr="00C62A13">
        <w:rPr>
          <w:rFonts w:asciiTheme="minorHAnsi" w:hAnsiTheme="minorHAnsi"/>
          <w:snapToGrid w:val="0"/>
        </w:rPr>
        <w:t xml:space="preserve">high </w:t>
      </w:r>
      <w:r w:rsidRPr="00C62A13">
        <w:rPr>
          <w:rFonts w:asciiTheme="minorHAnsi" w:hAnsiTheme="minorHAnsi"/>
          <w:snapToGrid w:val="0"/>
        </w:rPr>
        <w:t xml:space="preserve">for patients with moderate AD, who also experience a high level of disease burden, as outlined in the consumer comments. </w:t>
      </w:r>
    </w:p>
    <w:p w:rsidR="00F6005F" w:rsidRPr="00C62A13" w:rsidRDefault="00F6005F" w:rsidP="006B4BD4">
      <w:pPr>
        <w:pStyle w:val="3-BodyText"/>
      </w:pPr>
      <w:r w:rsidRPr="00C62A13">
        <w:t xml:space="preserve">The PBAC considered that it was appropriate </w:t>
      </w:r>
      <w:r w:rsidR="00D5200A" w:rsidRPr="00C62A13">
        <w:t xml:space="preserve">for </w:t>
      </w:r>
      <w:r w:rsidRPr="00C62A13">
        <w:t xml:space="preserve">the listing for UPA be similar to the listing for </w:t>
      </w:r>
      <w:r w:rsidR="007353CB" w:rsidRPr="00C62A13">
        <w:t xml:space="preserve">DUPI </w:t>
      </w:r>
      <w:r w:rsidRPr="00C62A13">
        <w:t xml:space="preserve">in terms of the clinical criteria and response criteria. </w:t>
      </w:r>
      <w:r w:rsidR="006B4BD4" w:rsidRPr="00C62A13">
        <w:rPr>
          <w:iCs/>
        </w:rPr>
        <w:t xml:space="preserve">The PBAC considered that the restriction wording should limit prescription of UPA 30 mg tablets to patients aged </w:t>
      </w:r>
      <w:r w:rsidR="006B4BD4" w:rsidRPr="00C62A13">
        <w:rPr>
          <w:rFonts w:cstheme="minorHAnsi"/>
          <w:iCs/>
        </w:rPr>
        <w:t>≥</w:t>
      </w:r>
      <w:r w:rsidR="006B4BD4" w:rsidRPr="00C62A13">
        <w:rPr>
          <w:iCs/>
        </w:rPr>
        <w:t xml:space="preserve">18 years and &lt;65 years, consistent with the </w:t>
      </w:r>
      <w:r w:rsidR="00D95537" w:rsidRPr="00C62A13">
        <w:rPr>
          <w:iCs/>
        </w:rPr>
        <w:t>Product Information (</w:t>
      </w:r>
      <w:r w:rsidR="006B4BD4" w:rsidRPr="00C62A13">
        <w:rPr>
          <w:iCs/>
        </w:rPr>
        <w:t>PI</w:t>
      </w:r>
      <w:r w:rsidR="00D95537" w:rsidRPr="00C62A13">
        <w:rPr>
          <w:iCs/>
        </w:rPr>
        <w:t>)</w:t>
      </w:r>
      <w:r w:rsidR="006B4BD4" w:rsidRPr="00C62A13">
        <w:rPr>
          <w:iCs/>
        </w:rPr>
        <w:t xml:space="preserve">. </w:t>
      </w:r>
      <w:r w:rsidRPr="00C62A13">
        <w:rPr>
          <w:iCs/>
        </w:rPr>
        <w:t xml:space="preserve">The PBAC considered that it may be useful for the restriction to provide advice regarding dose titration and how this would be managed in the context of assessing whether patients have met response criteria to qualify for ongoing treatment on the PBS. The pre-PBAC response stated that the restriction should have sufficient flexibility to </w:t>
      </w:r>
      <w:r w:rsidR="005A5E0F" w:rsidRPr="00C62A13">
        <w:rPr>
          <w:iCs/>
        </w:rPr>
        <w:t xml:space="preserve">allow </w:t>
      </w:r>
      <w:r w:rsidRPr="00C62A13">
        <w:rPr>
          <w:iCs/>
        </w:rPr>
        <w:t xml:space="preserve">clinicians to titrate the dose up or down dependent on the clinical characteristics of each patient. </w:t>
      </w:r>
      <w:r w:rsidR="00C41118" w:rsidRPr="00C62A13">
        <w:t xml:space="preserve">The PBAC considered that further clinical input from dermatologists and clinical immunologists may be required regarding restrictions </w:t>
      </w:r>
      <w:r w:rsidR="007A1F2F" w:rsidRPr="00C62A13">
        <w:t>concerning</w:t>
      </w:r>
      <w:r w:rsidR="00C41118" w:rsidRPr="00C62A13">
        <w:t xml:space="preserve"> </w:t>
      </w:r>
      <w:r w:rsidR="007A1F2F" w:rsidRPr="00C62A13">
        <w:t xml:space="preserve">the </w:t>
      </w:r>
      <w:r w:rsidR="00C41118" w:rsidRPr="00C62A13">
        <w:t xml:space="preserve">starting dose and approach to </w:t>
      </w:r>
      <w:r w:rsidR="005D61E1" w:rsidRPr="00C62A13">
        <w:t>titration</w:t>
      </w:r>
      <w:r w:rsidR="00970124">
        <w:t>,</w:t>
      </w:r>
      <w:r w:rsidR="005D61E1" w:rsidRPr="00C62A13">
        <w:t xml:space="preserve"> and</w:t>
      </w:r>
      <w:r w:rsidR="004E4993" w:rsidRPr="00C62A13">
        <w:t xml:space="preserve"> </w:t>
      </w:r>
      <w:r w:rsidR="00970124">
        <w:t xml:space="preserve">the approach </w:t>
      </w:r>
      <w:r w:rsidR="004E4993" w:rsidRPr="00C62A13">
        <w:t>would need to be consistent with the Australian PI recommendations</w:t>
      </w:r>
      <w:r w:rsidR="00C41118" w:rsidRPr="00C62A13">
        <w:t>.</w:t>
      </w:r>
    </w:p>
    <w:p w:rsidR="00263A7D" w:rsidRPr="00C62A13" w:rsidRDefault="00940193" w:rsidP="00263A7D">
      <w:pPr>
        <w:widowControl w:val="0"/>
        <w:numPr>
          <w:ilvl w:val="1"/>
          <w:numId w:val="1"/>
        </w:numPr>
        <w:spacing w:after="120"/>
        <w:rPr>
          <w:rFonts w:asciiTheme="minorHAnsi" w:hAnsiTheme="minorHAnsi"/>
          <w:snapToGrid w:val="0"/>
        </w:rPr>
      </w:pPr>
      <w:r w:rsidRPr="00C62A13">
        <w:t xml:space="preserve">The submission presented </w:t>
      </w:r>
      <w:r w:rsidR="007353CB" w:rsidRPr="00C62A13">
        <w:t xml:space="preserve">DUPI </w:t>
      </w:r>
      <w:r w:rsidRPr="00C62A13">
        <w:t xml:space="preserve">as the comparator as it is the treatment most likely to be replaced by UPA. The submission </w:t>
      </w:r>
      <w:r w:rsidRPr="00C62A13">
        <w:rPr>
          <w:rFonts w:asciiTheme="minorHAnsi" w:hAnsiTheme="minorHAnsi"/>
          <w:snapToGrid w:val="0"/>
        </w:rPr>
        <w:t>also presented baricitinib, abrocitinib and tralokinumab as secondary near market comparators.</w:t>
      </w:r>
      <w:r w:rsidRPr="00C62A13">
        <w:t xml:space="preserve"> The PBAC considered these were </w:t>
      </w:r>
      <w:r w:rsidR="00F66250" w:rsidRPr="00C62A13">
        <w:t xml:space="preserve">the </w:t>
      </w:r>
      <w:r w:rsidRPr="00C62A13">
        <w:t>appropriate</w:t>
      </w:r>
      <w:r w:rsidR="00F66250" w:rsidRPr="00C62A13">
        <w:t xml:space="preserve"> comparators</w:t>
      </w:r>
      <w:r w:rsidR="007353CB" w:rsidRPr="00C62A13">
        <w:t>/near market comparators</w:t>
      </w:r>
      <w:r w:rsidRPr="00C62A13">
        <w:t>.</w:t>
      </w:r>
    </w:p>
    <w:p w:rsidR="00577F0D" w:rsidRPr="00C62A13" w:rsidRDefault="00AA261E" w:rsidP="0088351E">
      <w:pPr>
        <w:pStyle w:val="3-BodyText"/>
      </w:pPr>
      <w:r w:rsidRPr="00C62A13">
        <w:t>The submission was based on one head-to-head randomised trial comparing 30 mg UPA to 300 mg DUPI</w:t>
      </w:r>
      <w:r w:rsidR="00577F0D" w:rsidRPr="00C62A13">
        <w:t xml:space="preserve"> (HEADS UP)</w:t>
      </w:r>
      <w:r w:rsidRPr="00C62A13">
        <w:t xml:space="preserve">, five randomised trials comparing UPA (15 mg or 30 mg) to placebo (PBO), and seven randomised trials comparing DUPI </w:t>
      </w:r>
      <w:r w:rsidR="00781F39" w:rsidRPr="00C62A13">
        <w:t xml:space="preserve">(300 mg and 200 mg) </w:t>
      </w:r>
      <w:r w:rsidRPr="00C62A13">
        <w:t xml:space="preserve">to PBO. </w:t>
      </w:r>
      <w:r w:rsidR="00577F0D" w:rsidRPr="00C62A13">
        <w:t xml:space="preserve">The PBAC noted that an indirect treatment comparison (using PBO as a common reference) was presented because the HEADS UP trial did not include the UPA 15 mg dosing regimen or capture the Dermatology Life Quality Index (DLQI), which is a patient relevant outcome used to assess response </w:t>
      </w:r>
      <w:r w:rsidR="009B71FF" w:rsidRPr="00C62A13">
        <w:t xml:space="preserve">for continuing treatment </w:t>
      </w:r>
      <w:r w:rsidR="00577F0D" w:rsidRPr="00C62A13">
        <w:t xml:space="preserve">on the PBS. The PBAC noted that the submission relied on the indirect treatment comparison to inform the clinical claim, economic model and financial estimates. The PBAC considered that the indirect comparison was a reasonable basis for establishing the non-inferiority of the 15 mg UPA dose compared with DUPI, however the direct head-to-head trial was the most reliable source of data for the comparison of UPA 30 mg and DUPI. </w:t>
      </w:r>
    </w:p>
    <w:p w:rsidR="005A32DC" w:rsidRPr="00C62A13" w:rsidRDefault="000449F3" w:rsidP="00AA4DF5">
      <w:pPr>
        <w:pStyle w:val="3-BodyText"/>
      </w:pPr>
      <w:r w:rsidRPr="00C62A13">
        <w:rPr>
          <w:iCs/>
        </w:rPr>
        <w:t xml:space="preserve">The PBAC noted that </w:t>
      </w:r>
      <w:r w:rsidR="005A32DC" w:rsidRPr="00C62A13">
        <w:rPr>
          <w:iCs/>
        </w:rPr>
        <w:t xml:space="preserve">the indirect comparisons found no statistically significant difference between UPA 15 mg versus DUPI </w:t>
      </w:r>
      <w:r w:rsidRPr="00C62A13">
        <w:rPr>
          <w:iCs/>
        </w:rPr>
        <w:t>(RR</w:t>
      </w:r>
      <w:r w:rsidR="00EA6323" w:rsidRPr="00C62A13">
        <w:rPr>
          <w:iCs/>
        </w:rPr>
        <w:t>=</w:t>
      </w:r>
      <w:r w:rsidRPr="00C62A13">
        <w:rPr>
          <w:iCs/>
        </w:rPr>
        <w:t xml:space="preserve">0.93, 95%CI: 0.64, 1.37 in CsA naïve patients and </w:t>
      </w:r>
      <w:r w:rsidR="00EA6323" w:rsidRPr="00C62A13">
        <w:rPr>
          <w:iCs/>
        </w:rPr>
        <w:t>RR=</w:t>
      </w:r>
      <w:r w:rsidRPr="00C62A13">
        <w:rPr>
          <w:iCs/>
        </w:rPr>
        <w:t>1.67, 95%CI: 0.36, 7.69 in the CsA experienced patients</w:t>
      </w:r>
      <w:r w:rsidR="00ED7BE7" w:rsidRPr="00C62A13">
        <w:rPr>
          <w:iCs/>
        </w:rPr>
        <w:t>)</w:t>
      </w:r>
      <w:r w:rsidRPr="00C62A13">
        <w:rPr>
          <w:iCs/>
        </w:rPr>
        <w:t xml:space="preserve"> for PBS response (EASI 50 </w:t>
      </w:r>
      <w:r w:rsidRPr="00885EF1">
        <w:rPr>
          <w:bCs/>
          <w:iCs/>
        </w:rPr>
        <w:t>and</w:t>
      </w:r>
      <w:r w:rsidRPr="00C62A13">
        <w:rPr>
          <w:iCs/>
        </w:rPr>
        <w:t xml:space="preserve"> DLQI </w:t>
      </w:r>
      <w:r w:rsidRPr="00C62A13">
        <w:rPr>
          <w:rFonts w:cstheme="minorHAnsi"/>
          <w:iCs/>
        </w:rPr>
        <w:t>≥</w:t>
      </w:r>
      <w:r w:rsidRPr="00C62A13">
        <w:rPr>
          <w:iCs/>
        </w:rPr>
        <w:t xml:space="preserve">4) in the PBS adult population (i.e. severe AD defined as IGA=4 </w:t>
      </w:r>
      <w:r w:rsidR="00EA6323" w:rsidRPr="00C62A13">
        <w:rPr>
          <w:iCs/>
        </w:rPr>
        <w:t xml:space="preserve">and </w:t>
      </w:r>
      <w:r w:rsidRPr="00C62A13">
        <w:rPr>
          <w:iCs/>
        </w:rPr>
        <w:t>EASI ≥20 at baseline)</w:t>
      </w:r>
      <w:r w:rsidR="005A32DC" w:rsidRPr="00C62A13">
        <w:rPr>
          <w:iCs/>
        </w:rPr>
        <w:t xml:space="preserve">. </w:t>
      </w:r>
      <w:r w:rsidRPr="00C62A13">
        <w:t xml:space="preserve">The PBAC noted that results in the ITT population were generally consistent with the </w:t>
      </w:r>
      <w:r w:rsidRPr="00C62A13">
        <w:rPr>
          <w:iCs/>
        </w:rPr>
        <w:t>PBS subgroup</w:t>
      </w:r>
      <w:r w:rsidR="00ED7BE7" w:rsidRPr="00C62A13">
        <w:rPr>
          <w:iCs/>
        </w:rPr>
        <w:t xml:space="preserve">. </w:t>
      </w:r>
      <w:r w:rsidR="00C37DE5" w:rsidRPr="00C62A13">
        <w:rPr>
          <w:iCs/>
        </w:rPr>
        <w:t>The PBAC noted that interpretation of the indirect comparisons for adolescents was problematic, given the small patient numbers and differences in the PBO response rates</w:t>
      </w:r>
      <w:r w:rsidR="009B71FF" w:rsidRPr="00C62A13">
        <w:rPr>
          <w:iCs/>
        </w:rPr>
        <w:t xml:space="preserve"> across the trials</w:t>
      </w:r>
      <w:r w:rsidR="00C37DE5" w:rsidRPr="00C62A13">
        <w:rPr>
          <w:iCs/>
        </w:rPr>
        <w:t xml:space="preserve"> (particularly for EASI 50) however</w:t>
      </w:r>
      <w:r w:rsidR="009B71FF" w:rsidRPr="00C62A13">
        <w:rPr>
          <w:iCs/>
        </w:rPr>
        <w:t>,</w:t>
      </w:r>
      <w:r w:rsidR="00C37DE5" w:rsidRPr="00C62A13">
        <w:rPr>
          <w:iCs/>
        </w:rPr>
        <w:t xml:space="preserve"> the PBAC considered that the benefit in adolescents is likely to be similar between UPA 15 mg and DUPI 200 mg (or 300 mg for adolescents weighing &gt;60 kg). </w:t>
      </w:r>
      <w:r w:rsidR="005D61E1" w:rsidRPr="00C62A13">
        <w:rPr>
          <w:iCs/>
        </w:rPr>
        <w:t>Overall,</w:t>
      </w:r>
      <w:r w:rsidR="00C37DE5" w:rsidRPr="00C62A13">
        <w:rPr>
          <w:iCs/>
        </w:rPr>
        <w:t xml:space="preserve"> </w:t>
      </w:r>
      <w:r w:rsidR="00C37DE5" w:rsidRPr="00C62A13">
        <w:t xml:space="preserve">the PBAC considered that the clinical claim of non-inferiority for UPA 15 mg compared with DUPI 300 mg was reasonably supported by the indirect evidence presented in the submission. </w:t>
      </w:r>
    </w:p>
    <w:p w:rsidR="00A06318" w:rsidRPr="00C62A13" w:rsidRDefault="00C37DE5" w:rsidP="00A35D8D">
      <w:pPr>
        <w:pStyle w:val="3-BodyText"/>
        <w:snapToGrid w:val="0"/>
        <w:rPr>
          <w:iCs/>
        </w:rPr>
      </w:pPr>
      <w:r w:rsidRPr="00C62A13">
        <w:rPr>
          <w:iCs/>
        </w:rPr>
        <w:t>In the head-to-head comparison of UPA 30 mg and DUPI 300 mg a significantly larger proportion of patients achieved EASI 75 at Week 16 with UPA 30 mg compared to DUPI, and secondary endpoints</w:t>
      </w:r>
      <w:r w:rsidR="0004190E" w:rsidRPr="00C62A13">
        <w:rPr>
          <w:iCs/>
        </w:rPr>
        <w:t xml:space="preserve"> showed similar effects</w:t>
      </w:r>
      <w:r w:rsidRPr="00C62A13">
        <w:rPr>
          <w:iCs/>
        </w:rPr>
        <w:t>. However</w:t>
      </w:r>
      <w:r w:rsidR="00EE10F1" w:rsidRPr="00C62A13">
        <w:rPr>
          <w:iCs/>
        </w:rPr>
        <w:t>,</w:t>
      </w:r>
      <w:r w:rsidRPr="00C62A13">
        <w:rPr>
          <w:iCs/>
        </w:rPr>
        <w:t xml:space="preserve"> the statistically significant treatment difference observed at Week 16 </w:t>
      </w:r>
      <w:r w:rsidR="009B71FF" w:rsidRPr="00C62A13">
        <w:rPr>
          <w:iCs/>
        </w:rPr>
        <w:t>was no longer observed at</w:t>
      </w:r>
      <w:r w:rsidRPr="00C62A13">
        <w:rPr>
          <w:iCs/>
        </w:rPr>
        <w:t xml:space="preserve"> Week 24 (see figure 1). The </w:t>
      </w:r>
      <w:r w:rsidR="00132CBA" w:rsidRPr="00C62A13">
        <w:rPr>
          <w:iCs/>
        </w:rPr>
        <w:t>PBAC</w:t>
      </w:r>
      <w:r w:rsidRPr="00C62A13">
        <w:rPr>
          <w:iCs/>
        </w:rPr>
        <w:t xml:space="preserve"> considered that these results appeared to show that patients treated with UPA tended to respond to treatment faster than patients treated with DUPI, however beyond 16 weeks the difference in EASI 75 response between UPA and DUPI </w:t>
      </w:r>
      <w:r w:rsidR="00A06318" w:rsidRPr="00C62A13">
        <w:rPr>
          <w:iCs/>
        </w:rPr>
        <w:t>may not be maintained</w:t>
      </w:r>
      <w:r w:rsidRPr="00C62A13">
        <w:rPr>
          <w:iCs/>
        </w:rPr>
        <w:t>.</w:t>
      </w:r>
      <w:r w:rsidR="00A06318" w:rsidRPr="00C62A13">
        <w:rPr>
          <w:iCs/>
        </w:rPr>
        <w:t xml:space="preserve"> The PBAC also noted that i</w:t>
      </w:r>
      <w:r w:rsidR="00132CBA" w:rsidRPr="00C62A13">
        <w:rPr>
          <w:iCs/>
        </w:rPr>
        <w:t xml:space="preserve">n the post hoc PBS subgroup (EASI score ≥20 </w:t>
      </w:r>
      <w:r w:rsidR="00132CBA" w:rsidRPr="00A261D8">
        <w:rPr>
          <w:bCs/>
          <w:iCs/>
        </w:rPr>
        <w:t>and</w:t>
      </w:r>
      <w:r w:rsidR="00132CBA" w:rsidRPr="00C62A13">
        <w:rPr>
          <w:iCs/>
        </w:rPr>
        <w:t xml:space="preserve"> IGA score = 4) </w:t>
      </w:r>
      <w:r w:rsidRPr="00C62A13">
        <w:rPr>
          <w:iCs/>
        </w:rPr>
        <w:t xml:space="preserve">the outcome of EASI 50 was numerically but not statistically significantly different between UPA 30 mg and DUPI 300 mg at 16 weeks (76.3% vs 68.9% respectively, RR=1.11 95%CI: 0.97, 1.27). </w:t>
      </w:r>
    </w:p>
    <w:p w:rsidR="00A4581C" w:rsidRPr="00C62A13" w:rsidRDefault="00A4581C" w:rsidP="00A4581C">
      <w:pPr>
        <w:pStyle w:val="3-BodyText"/>
      </w:pPr>
      <w:r w:rsidRPr="00C62A13">
        <w:t xml:space="preserve">Based on indirect evidence for the PBS response criteria in the PBS population (‘severe’ AD), the submission estimated a relatively large effect </w:t>
      </w:r>
      <w:r w:rsidR="007F51D8" w:rsidRPr="00C62A13">
        <w:t xml:space="preserve">for UPA 30 mg compared with DUPI </w:t>
      </w:r>
      <w:r w:rsidRPr="00C62A13">
        <w:t xml:space="preserve">(RD=0.17-0.24, depending on prior </w:t>
      </w:r>
      <w:r w:rsidR="00973E50" w:rsidRPr="00C62A13">
        <w:t>CsA</w:t>
      </w:r>
      <w:r w:rsidRPr="00C62A13">
        <w:t xml:space="preserve">). The PBAC considered there was uncertainty around these estimates given the post-hoc nature of the outcome and subgroup, and </w:t>
      </w:r>
      <w:r w:rsidR="00165A07" w:rsidRPr="00C62A13">
        <w:t xml:space="preserve">as </w:t>
      </w:r>
      <w:r w:rsidRPr="00C62A13">
        <w:t xml:space="preserve">the analyses do not control for monotherapy versus combination therapy (a prognostic factor). The PBAC noted </w:t>
      </w:r>
      <w:r w:rsidR="00F97B49" w:rsidRPr="00C62A13">
        <w:t>indirect evidence in the ITT population also found a smaller treatment difference for the individual components of the PBS response outcome, EASI 50 (monotherapy adults, RD=0.12, 95%CI: 0.05, 0.19; combination therapy adults, RD=0.14, 95%CI: 0.01, 0.27) and DLQI≥4 (monotherapy adults, RD=0.12, 95%CI: -0.01, 0.25; combination therapy adults, RD=0.03, 95%CI: -0.08, 0.14).</w:t>
      </w:r>
    </w:p>
    <w:p w:rsidR="00ED7BE7" w:rsidRPr="00C62A13" w:rsidRDefault="00AA4DF5" w:rsidP="00A35D8D">
      <w:pPr>
        <w:pStyle w:val="3-BodyText"/>
        <w:snapToGrid w:val="0"/>
        <w:rPr>
          <w:iCs/>
        </w:rPr>
      </w:pPr>
      <w:r w:rsidRPr="00C62A13">
        <w:t>For the outcome of EASI</w:t>
      </w:r>
      <w:r w:rsidR="0004190E" w:rsidRPr="00C62A13">
        <w:t xml:space="preserve"> </w:t>
      </w:r>
      <w:r w:rsidRPr="00C62A13">
        <w:t>75 t</w:t>
      </w:r>
      <w:r w:rsidRPr="00C62A13">
        <w:rPr>
          <w:rFonts w:cstheme="minorHAnsi"/>
        </w:rPr>
        <w:t xml:space="preserve">he difference between DUPI and the JAK inhibitors </w:t>
      </w:r>
      <w:r w:rsidR="00A06318" w:rsidRPr="00C62A13">
        <w:rPr>
          <w:rFonts w:cstheme="minorHAnsi"/>
        </w:rPr>
        <w:t>(UP</w:t>
      </w:r>
      <w:r w:rsidR="007D05CB" w:rsidRPr="00C62A13">
        <w:rPr>
          <w:rFonts w:cstheme="minorHAnsi"/>
        </w:rPr>
        <w:t>A</w:t>
      </w:r>
      <w:r w:rsidR="00A06318" w:rsidRPr="00C62A13">
        <w:rPr>
          <w:rFonts w:cstheme="minorHAnsi"/>
        </w:rPr>
        <w:t xml:space="preserve">, baricitinib, abrocitinib and tralokinumab) </w:t>
      </w:r>
      <w:r w:rsidRPr="00C62A13">
        <w:rPr>
          <w:rFonts w:cstheme="minorHAnsi"/>
        </w:rPr>
        <w:t xml:space="preserve">appeared to be somewhat attenuated in the trials that allowed concomitant TCS (see figure 2). </w:t>
      </w:r>
      <w:r w:rsidRPr="00C62A13">
        <w:t>The PBAC considered that in the PBS population TCS use may reduce differences between UPI and DUPA seen up to 16 weeks</w:t>
      </w:r>
      <w:r w:rsidR="00A06318" w:rsidRPr="00C62A13">
        <w:t xml:space="preserve"> in the HEADS UP trial</w:t>
      </w:r>
      <w:r w:rsidRPr="00C62A13">
        <w:t xml:space="preserve"> and the difference at 16 weeks may also be </w:t>
      </w:r>
      <w:r w:rsidR="00EA6323" w:rsidRPr="00C62A13">
        <w:t>smaller</w:t>
      </w:r>
      <w:r w:rsidRPr="00C62A13">
        <w:t>.</w:t>
      </w:r>
      <w:r w:rsidR="00ED7BE7" w:rsidRPr="00C62A13">
        <w:t xml:space="preserve"> </w:t>
      </w:r>
    </w:p>
    <w:p w:rsidR="00F97B49" w:rsidRPr="00C62A13" w:rsidRDefault="00F97B49" w:rsidP="00F97B49">
      <w:pPr>
        <w:pStyle w:val="3-BodyText"/>
      </w:pPr>
      <w:r w:rsidRPr="00C62A13">
        <w:t xml:space="preserve">The PBAC noted that direct evidence in HEADS UP found significantly more patients experienced adverse reactions with UPA 30 mg compared to DUPI 300 mg (any AEs, drug-related AEs and severe AEs), and this was consistent with the available indirect evidence (any AEs). </w:t>
      </w:r>
      <w:r w:rsidR="005B3ED5" w:rsidRPr="00C62A13">
        <w:t>In addition, significantly more patients experienced AEs with UPA 30 mg compared to UPA 15 mg (any TEAEs, drug-related AEs). T</w:t>
      </w:r>
      <w:r w:rsidRPr="00C62A13">
        <w:t xml:space="preserve">he ESC noted that there is an increased risk of infection (including zoster) and malignancy associated with JAK inhibitors versus IL-4 inhibitors as a result of immunosuppression. These AEs may only be apparent with longer-term use. </w:t>
      </w:r>
      <w:r w:rsidR="00286708" w:rsidRPr="00C62A13">
        <w:t xml:space="preserve">The PBAC noted that the pre-PBAC response provided additional </w:t>
      </w:r>
      <w:r w:rsidR="00731C1D" w:rsidRPr="00C62A13">
        <w:t xml:space="preserve">safety data up to week 52 </w:t>
      </w:r>
      <w:r w:rsidR="00354BFE" w:rsidRPr="00C62A13">
        <w:t xml:space="preserve">for the AD trials </w:t>
      </w:r>
      <w:r w:rsidR="00731C1D" w:rsidRPr="00C62A13">
        <w:t xml:space="preserve">and safety data in </w:t>
      </w:r>
      <w:r w:rsidR="007D05CB" w:rsidRPr="00C62A13">
        <w:t xml:space="preserve">the </w:t>
      </w:r>
      <w:r w:rsidR="00731C1D" w:rsidRPr="00C62A13">
        <w:t xml:space="preserve">treatment of rheumatoid arthritis </w:t>
      </w:r>
      <w:r w:rsidR="007D05CB" w:rsidRPr="00C62A13">
        <w:t xml:space="preserve">for </w:t>
      </w:r>
      <w:r w:rsidR="00731C1D" w:rsidRPr="00C62A13">
        <w:t>up to 4.5 years</w:t>
      </w:r>
      <w:r w:rsidR="00354BFE" w:rsidRPr="00C62A13">
        <w:t>. N</w:t>
      </w:r>
      <w:r w:rsidR="00731C1D" w:rsidRPr="00C62A13">
        <w:t xml:space="preserve">o notable changes </w:t>
      </w:r>
      <w:r w:rsidR="0004190E" w:rsidRPr="00C62A13">
        <w:t xml:space="preserve">to the safety profile </w:t>
      </w:r>
      <w:r w:rsidR="00731C1D" w:rsidRPr="00C62A13">
        <w:t xml:space="preserve">were seen in this longer term data. </w:t>
      </w:r>
      <w:r w:rsidR="00354BFE" w:rsidRPr="00C62A13">
        <w:t xml:space="preserve">The PBAC considered the claim of non-inferior safety for UPA 15 mg relative to DUPI was reasonable, though long term effects remain somewhat uncertain. </w:t>
      </w:r>
      <w:r w:rsidRPr="00C62A13">
        <w:rPr>
          <w:iCs/>
        </w:rPr>
        <w:t>The</w:t>
      </w:r>
      <w:r w:rsidRPr="00C62A13">
        <w:t xml:space="preserve"> </w:t>
      </w:r>
      <w:r w:rsidR="005B3ED5" w:rsidRPr="00C62A13">
        <w:t xml:space="preserve">PBAC considered that the </w:t>
      </w:r>
      <w:r w:rsidRPr="00C62A13">
        <w:t>evidence presented in the submission did not adequately support the claim of non</w:t>
      </w:r>
      <w:r w:rsidRPr="00C62A13">
        <w:noBreakHyphen/>
        <w:t>inferior safety between UPA 30 mg and DUPI 300 mg,</w:t>
      </w:r>
      <w:r w:rsidR="005B3ED5" w:rsidRPr="00C62A13">
        <w:t xml:space="preserve"> and considered that UPA 30 mg appears to have inferior safety to DUPI.</w:t>
      </w:r>
      <w:r w:rsidR="00354BFE" w:rsidRPr="00C62A13">
        <w:t xml:space="preserve"> </w:t>
      </w:r>
    </w:p>
    <w:p w:rsidR="008D0C2A" w:rsidRPr="00C62A13" w:rsidRDefault="008D0C2A" w:rsidP="008D0C2A">
      <w:pPr>
        <w:pStyle w:val="3-BodyText"/>
      </w:pPr>
      <w:bookmarkStart w:id="44" w:name="_Ref79417123"/>
      <w:r w:rsidRPr="00C62A13">
        <w:rPr>
          <w:iCs/>
        </w:rPr>
        <w:t xml:space="preserve">Overall </w:t>
      </w:r>
      <w:r w:rsidRPr="00C62A13">
        <w:t xml:space="preserve">the PBAC considered that the clinical claim of </w:t>
      </w:r>
      <w:r w:rsidRPr="00C62A13">
        <w:rPr>
          <w:szCs w:val="20"/>
        </w:rPr>
        <w:t>superior comparative effectiveness</w:t>
      </w:r>
      <w:r w:rsidRPr="00C62A13">
        <w:t xml:space="preserve"> for UPA 30 mg compared with DUPI 300 mg was not adequately supported by the evidence presented in the submission, as the most reliable direct evidence indicated that the difference in response is likely to be less than that shown in the indirect evidence and may not be maintained beyond 16 weeks. The PBAC considered that there was no added benefit for disease activity or quality of life for UPA 15 mg compared with DUPI 300 mg. The PBAC considered there was a possible minor added benefit for UPA 30 mg compared with DUPI 300 mg in terms of disease activity and quality of life due to faster onset of response. The PBAC considered that this benefit was offset by an increase in treatment related adverse events.</w:t>
      </w:r>
      <w:bookmarkEnd w:id="44"/>
    </w:p>
    <w:p w:rsidR="00831759" w:rsidRPr="00C62A13" w:rsidRDefault="00831759" w:rsidP="00222BF6">
      <w:pPr>
        <w:pStyle w:val="3-BodyText"/>
      </w:pPr>
      <w:r w:rsidRPr="00C62A13">
        <w:t>The submission presented a cost-minimisation analysis for UPA 15 mg versus DUPI, based on the nominated equi-effective doses</w:t>
      </w:r>
      <w:r w:rsidR="007D05CB" w:rsidRPr="00C62A13">
        <w:t xml:space="preserve"> of</w:t>
      </w:r>
      <w:r w:rsidRPr="00C62A13">
        <w:t xml:space="preserve"> UPA 15 mg once daily </w:t>
      </w:r>
      <w:r w:rsidR="007D05CB" w:rsidRPr="00C62A13">
        <w:t>and</w:t>
      </w:r>
      <w:r w:rsidRPr="00C62A13">
        <w:t xml:space="preserve"> DUPI 600</w:t>
      </w:r>
      <w:r w:rsidR="00B30523">
        <w:t> </w:t>
      </w:r>
      <w:r w:rsidRPr="00C62A13">
        <w:t xml:space="preserve">mg as an initial dose then 300 mg every two weeks thereafter, or DUPI 400 mg as an initial dose then 200 mg every two weeks thereafter in adolescents with a body weight &lt;60kg, assuming equivalent drug costs over a two-year period. No costs for monitoring or drug administration were included. The PBAC considered this approach was </w:t>
      </w:r>
      <w:r w:rsidR="007D05CB" w:rsidRPr="00C62A13">
        <w:t>reasonable</w:t>
      </w:r>
      <w:r w:rsidRPr="00C62A13">
        <w:t xml:space="preserve">. </w:t>
      </w:r>
    </w:p>
    <w:p w:rsidR="00263A7D" w:rsidRPr="00C62A13" w:rsidRDefault="00222BF6" w:rsidP="007F51D8">
      <w:pPr>
        <w:pStyle w:val="3-BodyText"/>
      </w:pPr>
      <w:r w:rsidRPr="00C62A13">
        <w:t xml:space="preserve">Based on the claim of superior efficacy the submission presented a stepped economic evaluation, using results from the indirect treatment comparison at Week 16 and extrapolated to 5.3 years using a modelled cost-utility analysis. As the claim of superiority was not supported by the evidence presented in the submission the PBAC considered that the cost-effectiveness analysis </w:t>
      </w:r>
      <w:r w:rsidR="00712FC2" w:rsidRPr="00C62A13">
        <w:t xml:space="preserve">for UPA 30 mg </w:t>
      </w:r>
      <w:r w:rsidRPr="00C62A13">
        <w:t xml:space="preserve">was not appropriate and a cost-minimisation approach </w:t>
      </w:r>
      <w:r w:rsidR="00712FC2" w:rsidRPr="00C62A13">
        <w:t xml:space="preserve">compared with DUPI </w:t>
      </w:r>
      <w:r w:rsidRPr="00C62A13">
        <w:t xml:space="preserve">would be </w:t>
      </w:r>
      <w:r w:rsidR="00712FC2" w:rsidRPr="00C62A13">
        <w:t>a more appropriate</w:t>
      </w:r>
      <w:r w:rsidRPr="00C62A13">
        <w:t xml:space="preserve">. </w:t>
      </w:r>
      <w:r w:rsidR="006E0915" w:rsidRPr="00C62A13">
        <w:t xml:space="preserve">The PBAC considered that the equi-effective doses are UPA 30 mg once daily </w:t>
      </w:r>
      <w:r w:rsidR="007D05CB" w:rsidRPr="00C62A13">
        <w:t>and</w:t>
      </w:r>
      <w:r w:rsidR="006E0915" w:rsidRPr="00C62A13">
        <w:t xml:space="preserve"> DUPI 600 mg as an initial dose then 300 mg every two weeks thereafter</w:t>
      </w:r>
      <w:r w:rsidR="0004190E" w:rsidRPr="00C62A13">
        <w:t>. The PBAC considered it would be appropriate to</w:t>
      </w:r>
      <w:r w:rsidR="006E0915" w:rsidRPr="00C62A13">
        <w:t xml:space="preserve"> assum</w:t>
      </w:r>
      <w:r w:rsidR="0004190E" w:rsidRPr="00C62A13">
        <w:t xml:space="preserve">e </w:t>
      </w:r>
      <w:r w:rsidR="006E0915" w:rsidRPr="00C62A13">
        <w:t>equivalent drug costs over a two-year period and no costs for monitoring or drug administration</w:t>
      </w:r>
      <w:r w:rsidR="0004190E" w:rsidRPr="00C62A13">
        <w:t xml:space="preserve"> as per the cost-minimisation analysis for UPA 15 mg</w:t>
      </w:r>
      <w:r w:rsidR="006E0915" w:rsidRPr="00C62A13">
        <w:t>.</w:t>
      </w:r>
    </w:p>
    <w:p w:rsidR="002343AD" w:rsidRPr="00C62A13" w:rsidRDefault="00970253" w:rsidP="00911776">
      <w:pPr>
        <w:pStyle w:val="3-BodyText"/>
      </w:pPr>
      <w:r w:rsidRPr="00C62A13">
        <w:t xml:space="preserve">The PBAC considered that there was a low level of confidence in the size of the </w:t>
      </w:r>
      <w:r w:rsidR="003D6415" w:rsidRPr="00C62A13">
        <w:t xml:space="preserve">estimated </w:t>
      </w:r>
      <w:r w:rsidRPr="00C62A13">
        <w:t>patient population which relied on a difference in response rates for UPA 15 mg, UPA 30 mg and DUPI and ongoing maintenance of this difference. In addition,</w:t>
      </w:r>
      <w:r w:rsidR="00276B27" w:rsidRPr="00C62A13">
        <w:t xml:space="preserve"> the uptake estimates were </w:t>
      </w:r>
      <w:r w:rsidRPr="00C62A13">
        <w:t xml:space="preserve">considerably </w:t>
      </w:r>
      <w:r w:rsidR="00276B27" w:rsidRPr="00C62A13">
        <w:t>higher than the PBAC’s accepted uptake estimates for DUPI</w:t>
      </w:r>
      <w:r w:rsidR="00412A3E" w:rsidRPr="00C62A13">
        <w:t xml:space="preserve">. </w:t>
      </w:r>
      <w:r w:rsidRPr="00C62A13">
        <w:t xml:space="preserve">The PBAC considered that the financial estimates appeared overestimated based on these two factors. </w:t>
      </w:r>
      <w:r w:rsidR="002343AD" w:rsidRPr="00C62A13">
        <w:t>The PBAC noted the proportion of 15 mg and 30 mg UPA scripts would be impacted by the dosing approach recommended by the TGA and adopted by clinicians. The PBAC also noted that the split would not have a substantial effect on the financial impact of listing UPA if both are listed on a cost-minimisation basis compared with DUPI.</w:t>
      </w:r>
      <w:r w:rsidR="008806E3" w:rsidRPr="00C62A13">
        <w:t xml:space="preserve"> The PBAC noted that the listing </w:t>
      </w:r>
      <w:r w:rsidR="00E85D1D">
        <w:t>would result in</w:t>
      </w:r>
      <w:r w:rsidR="008806E3" w:rsidRPr="00C62A13">
        <w:t xml:space="preserve"> increased costs due to sequential use (as per paragraph</w:t>
      </w:r>
      <w:r w:rsidR="006A119B">
        <w:t xml:space="preserve"> 7.16</w:t>
      </w:r>
      <w:r w:rsidR="008806E3" w:rsidRPr="00C62A13">
        <w:t xml:space="preserve">). </w:t>
      </w:r>
    </w:p>
    <w:p w:rsidR="00E710D7" w:rsidRPr="00C62A13" w:rsidRDefault="002E49B1" w:rsidP="00C62A13">
      <w:pPr>
        <w:pStyle w:val="ListParagraph"/>
        <w:numPr>
          <w:ilvl w:val="1"/>
          <w:numId w:val="1"/>
        </w:numPr>
        <w:rPr>
          <w:iCs/>
        </w:rPr>
      </w:pPr>
      <w:r w:rsidRPr="00C62A13">
        <w:t xml:space="preserve">The sponsor requested that </w:t>
      </w:r>
      <w:r w:rsidR="00135EAB" w:rsidRPr="00C62A13">
        <w:t>if the</w:t>
      </w:r>
      <w:r w:rsidRPr="00C62A13">
        <w:t xml:space="preserve"> RSA in place for DUPI </w:t>
      </w:r>
      <w:r w:rsidR="00135EAB" w:rsidRPr="00C62A13">
        <w:t xml:space="preserve">was to include UPA that the financial caps </w:t>
      </w:r>
      <w:r w:rsidRPr="00C62A13">
        <w:t xml:space="preserve">should be increased to reflect the superior response of UPA 30 mg (and the higher proportion of patients who remain on treatment). </w:t>
      </w:r>
      <w:r w:rsidR="00135EAB" w:rsidRPr="00C62A13">
        <w:t xml:space="preserve">As noted in </w:t>
      </w:r>
      <w:r w:rsidR="00135EAB" w:rsidRPr="006A119B">
        <w:t>paragraph</w:t>
      </w:r>
      <w:r w:rsidR="00EC5E17">
        <w:t xml:space="preserve"> </w:t>
      </w:r>
      <w:r w:rsidR="006A119B">
        <w:t>7.11</w:t>
      </w:r>
      <w:r w:rsidR="00135EAB" w:rsidRPr="006A119B">
        <w:t>, t</w:t>
      </w:r>
      <w:r w:rsidRPr="006A119B">
        <w:t>he</w:t>
      </w:r>
      <w:r w:rsidRPr="00C62A13">
        <w:t xml:space="preserve"> PBAC </w:t>
      </w:r>
      <w:r w:rsidR="00135EAB" w:rsidRPr="00C62A13">
        <w:t xml:space="preserve">did not accept the claim of superior efficacy of UPA 30 mg and </w:t>
      </w:r>
      <w:r w:rsidR="00135EAB" w:rsidRPr="00885EF1">
        <w:rPr>
          <w:iCs/>
        </w:rPr>
        <w:t>t</w:t>
      </w:r>
      <w:r w:rsidRPr="00885EF1">
        <w:rPr>
          <w:iCs/>
        </w:rPr>
        <w:t xml:space="preserve">herefore considered that increasing the caps in this way was not justified. </w:t>
      </w:r>
    </w:p>
    <w:p w:rsidR="00885EF1" w:rsidRPr="00885EF1" w:rsidRDefault="00885EF1" w:rsidP="00C62A13">
      <w:pPr>
        <w:pStyle w:val="ListParagraph"/>
        <w:numPr>
          <w:ilvl w:val="1"/>
          <w:numId w:val="1"/>
        </w:numPr>
        <w:rPr>
          <w:iCs/>
        </w:rPr>
      </w:pPr>
      <w:bookmarkStart w:id="45" w:name="_Ref79417047"/>
      <w:r w:rsidRPr="00885EF1">
        <w:rPr>
          <w:iCs/>
        </w:rPr>
        <w:t xml:space="preserve">The PBAC noted the submission did not present any data to assess the effectiveness or cost-effectiveness of UPA in patients not responding to DUPI or vice versa. However, the PBAC considered a small increase in the financial caps may be reasonable given the different mechanism of action and route of administration of UPA and DUPI may lead to differences in tolerability and response resulting in sequential use being appropriate in some patients. The PBAC noted the submission estimated </w:t>
      </w:r>
      <w:r w:rsidR="00B95E7E">
        <w:rPr>
          <w:iCs/>
          <w:noProof/>
          <w:color w:val="000000"/>
          <w:highlight w:val="black"/>
        </w:rPr>
        <w:t>'''''</w:t>
      </w:r>
      <w:r w:rsidRPr="00885EF1">
        <w:rPr>
          <w:iCs/>
        </w:rPr>
        <w:t xml:space="preserve">% of initiating patients would re-initiate with the second treatment. The PBAC considered that an increase to initiating patients of </w:t>
      </w:r>
      <w:r w:rsidR="00B95E7E">
        <w:rPr>
          <w:iCs/>
          <w:noProof/>
          <w:color w:val="000000"/>
          <w:highlight w:val="black"/>
        </w:rPr>
        <w:t>'''''</w:t>
      </w:r>
      <w:r w:rsidRPr="00885EF1">
        <w:rPr>
          <w:iCs/>
        </w:rPr>
        <w:t xml:space="preserve">% was reasonable, noting advice from the Department that an increase of </w:t>
      </w:r>
      <w:r w:rsidR="00B95E7E">
        <w:rPr>
          <w:iCs/>
          <w:noProof/>
          <w:color w:val="000000"/>
          <w:highlight w:val="black"/>
        </w:rPr>
        <w:t>'''''</w:t>
      </w:r>
      <w:r w:rsidRPr="00885EF1">
        <w:rPr>
          <w:iCs/>
        </w:rPr>
        <w:t xml:space="preserve">% in initiating patients from DUPI estimates equates to an approximate </w:t>
      </w:r>
      <w:r w:rsidR="00B95E7E">
        <w:rPr>
          <w:iCs/>
          <w:noProof/>
          <w:color w:val="000000"/>
          <w:highlight w:val="black"/>
        </w:rPr>
        <w:t>'''</w:t>
      </w:r>
      <w:r w:rsidRPr="00885EF1">
        <w:rPr>
          <w:iCs/>
        </w:rPr>
        <w:t xml:space="preserve">% increase in the DUPI financial estimates and caps over a period of 6 years. The PBAC advised that an increase in the DUPI financial caps of </w:t>
      </w:r>
      <w:r w:rsidR="00B95E7E">
        <w:rPr>
          <w:iCs/>
          <w:noProof/>
          <w:color w:val="000000"/>
          <w:highlight w:val="black"/>
        </w:rPr>
        <w:t>'''</w:t>
      </w:r>
      <w:r w:rsidRPr="00885EF1">
        <w:rPr>
          <w:iCs/>
        </w:rPr>
        <w:t>% or less to account for sequential use of UPA and DUPI is reasonable. The PBAC considered that an increase in the caps of a magnitude greater than this would need to be supported by clinical evidence and an assessment of the cost-effectiveness of sequential use.</w:t>
      </w:r>
      <w:bookmarkEnd w:id="45"/>
    </w:p>
    <w:p w:rsidR="00207173" w:rsidRPr="00C62A13" w:rsidRDefault="00E710D7" w:rsidP="00C62A13">
      <w:pPr>
        <w:pStyle w:val="ListParagraph"/>
        <w:numPr>
          <w:ilvl w:val="1"/>
          <w:numId w:val="1"/>
        </w:numPr>
        <w:rPr>
          <w:b/>
          <w:bCs/>
        </w:rPr>
      </w:pPr>
      <w:r w:rsidRPr="00C62A13">
        <w:t xml:space="preserve">The PBAC noted that the sponsor indicated that </w:t>
      </w:r>
      <w:r w:rsidR="00A873FA">
        <w:t>&lt; 500</w:t>
      </w:r>
      <w:r w:rsidR="00A873FA" w:rsidRPr="00C62A13">
        <w:t xml:space="preserve"> </w:t>
      </w:r>
      <w:r w:rsidRPr="00C62A13">
        <w:t xml:space="preserve">patients are expected </w:t>
      </w:r>
      <w:r w:rsidR="008806E3" w:rsidRPr="00C62A13">
        <w:t xml:space="preserve">to be included in </w:t>
      </w:r>
      <w:r w:rsidRPr="00C62A13">
        <w:t>a Patient Familiarisation Program</w:t>
      </w:r>
      <w:r w:rsidR="002E49B1" w:rsidRPr="00C62A13">
        <w:t xml:space="preserve"> </w:t>
      </w:r>
      <w:r w:rsidR="008806E3" w:rsidRPr="00C62A13">
        <w:t xml:space="preserve">and would </w:t>
      </w:r>
      <w:r w:rsidR="00E05E34">
        <w:t xml:space="preserve">require transitioning </w:t>
      </w:r>
      <w:r w:rsidR="008806E3" w:rsidRPr="00C62A13">
        <w:t xml:space="preserve">onto the PBS </w:t>
      </w:r>
      <w:r w:rsidR="00E05E34">
        <w:t xml:space="preserve">if </w:t>
      </w:r>
      <w:r w:rsidR="008806E3" w:rsidRPr="00C62A13">
        <w:t xml:space="preserve">UPA is listed. The PBAC considered that these patients </w:t>
      </w:r>
      <w:r w:rsidR="007B25D1">
        <w:t>sh</w:t>
      </w:r>
      <w:r w:rsidR="008806E3" w:rsidRPr="00C62A13">
        <w:t>ould be captured within the</w:t>
      </w:r>
      <w:r w:rsidR="007B25D1" w:rsidRPr="007B25D1">
        <w:t xml:space="preserve"> </w:t>
      </w:r>
      <w:r w:rsidR="007B25D1" w:rsidRPr="00C62A13">
        <w:t>estimated financial implications</w:t>
      </w:r>
      <w:r w:rsidR="007B25D1">
        <w:t>,</w:t>
      </w:r>
      <w:r w:rsidR="007B25D1" w:rsidRPr="00C62A13">
        <w:t xml:space="preserve"> </w:t>
      </w:r>
      <w:r w:rsidR="007B25D1">
        <w:t xml:space="preserve">which </w:t>
      </w:r>
      <w:r w:rsidR="007B25D1" w:rsidRPr="00C62A13">
        <w:t>us</w:t>
      </w:r>
      <w:r w:rsidR="007B25D1">
        <w:t>ed</w:t>
      </w:r>
      <w:r w:rsidR="007B25D1" w:rsidRPr="00C62A13">
        <w:t xml:space="preserve"> an epidemiological approach</w:t>
      </w:r>
      <w:r w:rsidR="007B25D1">
        <w:t>. These patients should also be captured within the</w:t>
      </w:r>
      <w:r w:rsidR="008806E3" w:rsidRPr="00C62A13">
        <w:t xml:space="preserve"> proposed caps and no further increase in caps would be needed to account for </w:t>
      </w:r>
      <w:r w:rsidR="00E05E34">
        <w:t>‘</w:t>
      </w:r>
      <w:r w:rsidR="008806E3" w:rsidRPr="00C62A13">
        <w:t>grandfather</w:t>
      </w:r>
      <w:r w:rsidR="00E05E34">
        <w:t>’</w:t>
      </w:r>
      <w:r w:rsidR="008806E3" w:rsidRPr="00C62A13">
        <w:t xml:space="preserve"> patients.</w:t>
      </w:r>
    </w:p>
    <w:p w:rsidR="00263A7D" w:rsidRPr="00C62A13" w:rsidRDefault="00263A7D" w:rsidP="00E405E7">
      <w:pPr>
        <w:pStyle w:val="ListParagraph"/>
        <w:numPr>
          <w:ilvl w:val="1"/>
          <w:numId w:val="1"/>
        </w:numPr>
        <w:rPr>
          <w:b/>
          <w:bCs/>
        </w:rPr>
      </w:pPr>
      <w:r w:rsidRPr="00C62A13">
        <w:t xml:space="preserve">The PBAC noted that its </w:t>
      </w:r>
      <w:r w:rsidR="008D0C2A" w:rsidRPr="00C62A13">
        <w:t xml:space="preserve">foreshadowed </w:t>
      </w:r>
      <w:r w:rsidRPr="00C62A13">
        <w:t xml:space="preserve">recommendation was on a cost-minimisation basis </w:t>
      </w:r>
      <w:r w:rsidR="001B60B5">
        <w:t xml:space="preserve">for both the 15mg and 30mg doses, </w:t>
      </w:r>
      <w:r w:rsidRPr="00C62A13">
        <w:t xml:space="preserve">and advised that, because </w:t>
      </w:r>
      <w:r w:rsidR="00AE4B9B" w:rsidRPr="00C62A13">
        <w:t>UPA</w:t>
      </w:r>
      <w:r w:rsidRPr="00C62A13">
        <w:t xml:space="preserve"> is not expected to provide a substantial</w:t>
      </w:r>
      <w:r w:rsidRPr="00C62A13">
        <w:rPr>
          <w:bCs/>
        </w:rPr>
        <w:t xml:space="preserve"> and clinically relevant improvement in efficacy, or reduction of toxicity, over </w:t>
      </w:r>
      <w:r w:rsidR="00AE4B9B" w:rsidRPr="00C62A13">
        <w:rPr>
          <w:bCs/>
        </w:rPr>
        <w:t>DUPI</w:t>
      </w:r>
      <w:r w:rsidRPr="00C62A13">
        <w:rPr>
          <w:bCs/>
        </w:rPr>
        <w:t xml:space="preserve">, or not expected to address a high and urgent unmet clinical need given the presence of an alternative therapy, the criteria prescribed by the </w:t>
      </w:r>
      <w:r w:rsidRPr="00C62A13">
        <w:rPr>
          <w:bCs/>
          <w:i/>
        </w:rPr>
        <w:t>National Health (Pharmaceuticals and Vaccines – Cost Recovery) Regulations 2009</w:t>
      </w:r>
      <w:r w:rsidRPr="00C62A13">
        <w:rPr>
          <w:bCs/>
        </w:rPr>
        <w:t xml:space="preserve"> for Pricing Pathway A were not met.</w:t>
      </w:r>
    </w:p>
    <w:p w:rsidR="00263A7D" w:rsidRPr="00C62A13" w:rsidRDefault="00263A7D" w:rsidP="00263A7D">
      <w:pPr>
        <w:spacing w:before="240"/>
        <w:rPr>
          <w:rFonts w:asciiTheme="minorHAnsi" w:hAnsiTheme="minorHAnsi"/>
          <w:b/>
          <w:bCs/>
          <w:snapToGrid w:val="0"/>
        </w:rPr>
      </w:pPr>
      <w:r w:rsidRPr="00C62A13">
        <w:rPr>
          <w:rFonts w:asciiTheme="minorHAnsi" w:hAnsiTheme="minorHAnsi"/>
          <w:b/>
          <w:bCs/>
          <w:snapToGrid w:val="0"/>
        </w:rPr>
        <w:t>Outcome:</w:t>
      </w:r>
    </w:p>
    <w:p w:rsidR="00263A7D" w:rsidRPr="00C62A13" w:rsidRDefault="00263A7D" w:rsidP="00263A7D">
      <w:pPr>
        <w:rPr>
          <w:rFonts w:asciiTheme="minorHAnsi" w:hAnsiTheme="minorHAnsi"/>
          <w:bCs/>
          <w:snapToGrid w:val="0"/>
        </w:rPr>
      </w:pPr>
      <w:r w:rsidRPr="00C62A13">
        <w:rPr>
          <w:rFonts w:asciiTheme="minorHAnsi" w:hAnsiTheme="minorHAnsi"/>
          <w:bCs/>
          <w:snapToGrid w:val="0"/>
        </w:rPr>
        <w:t>Deferred</w:t>
      </w:r>
    </w:p>
    <w:bookmarkEnd w:id="38"/>
    <w:bookmarkEnd w:id="42"/>
    <w:bookmarkEnd w:id="43"/>
    <w:p w:rsidR="00263A7D" w:rsidRDefault="00263A7D" w:rsidP="00263A7D">
      <w:pPr>
        <w:widowControl w:val="0"/>
        <w:rPr>
          <w:rFonts w:asciiTheme="minorHAnsi" w:hAnsiTheme="minorHAnsi"/>
          <w:b/>
          <w:bCs/>
          <w:snapToGrid w:val="0"/>
        </w:rPr>
      </w:pPr>
    </w:p>
    <w:p w:rsidR="008F5D97" w:rsidRDefault="008F5D97">
      <w:pPr>
        <w:jc w:val="left"/>
        <w:rPr>
          <w:rFonts w:asciiTheme="minorHAnsi" w:hAnsiTheme="minorHAnsi"/>
          <w:bCs/>
          <w:lang w:val="en-GB"/>
        </w:rPr>
      </w:pPr>
      <w:r>
        <w:rPr>
          <w:rFonts w:asciiTheme="minorHAnsi" w:hAnsiTheme="minorHAnsi"/>
          <w:bCs/>
          <w:lang w:val="en-GB"/>
        </w:rPr>
        <w:br w:type="page"/>
      </w:r>
    </w:p>
    <w:p w:rsidR="008F5D97" w:rsidRDefault="008F5D97" w:rsidP="00504675">
      <w:pPr>
        <w:pStyle w:val="2-SectionHeading"/>
        <w:numPr>
          <w:ilvl w:val="0"/>
          <w:numId w:val="0"/>
        </w:numPr>
        <w:ind w:left="720" w:hanging="720"/>
        <w:rPr>
          <w:color w:val="FF0000"/>
        </w:rPr>
      </w:pPr>
      <w:r w:rsidRPr="003B63B2">
        <w:rPr>
          <w:color w:val="FF0000"/>
        </w:rPr>
        <w:t>Addend</w:t>
      </w:r>
      <w:r w:rsidR="001A654F">
        <w:rPr>
          <w:color w:val="FF0000"/>
        </w:rPr>
        <w:t>um to the July 2021 PBAC PSD</w:t>
      </w:r>
      <w:r w:rsidRPr="003B63B2">
        <w:rPr>
          <w:color w:val="FF0000"/>
        </w:rPr>
        <w:t>:</w:t>
      </w:r>
    </w:p>
    <w:p w:rsidR="008F5D97" w:rsidRDefault="008F5D97" w:rsidP="008F5D97">
      <w:pPr>
        <w:pStyle w:val="2-SectionHeading"/>
      </w:pPr>
      <w:r w:rsidRPr="003B63B2">
        <w:t>P</w:t>
      </w:r>
      <w:r>
        <w:t>urpose of application</w:t>
      </w:r>
    </w:p>
    <w:p w:rsidR="008F5D97" w:rsidRDefault="008F5D97" w:rsidP="008F5D97">
      <w:pPr>
        <w:pStyle w:val="3-BodyText"/>
      </w:pPr>
      <w:r>
        <w:t xml:space="preserve">At its July 2021 meeting, the PBAC deferred making a recommendation for the listing of upadacitinib for the treatment of severe atopic dermatitis pending </w:t>
      </w:r>
      <w:r w:rsidRPr="004331A1">
        <w:t>receipt of a positive TGA Delegate’s Overview</w:t>
      </w:r>
      <w:r>
        <w:t xml:space="preserve">. </w:t>
      </w:r>
    </w:p>
    <w:p w:rsidR="008F5D97" w:rsidRPr="007529BA" w:rsidRDefault="008F5D97" w:rsidP="008F5D97">
      <w:pPr>
        <w:pStyle w:val="3-BodyText"/>
      </w:pPr>
      <w:r>
        <w:t>A positive TGA delegate’s overview and ACM minutes were provided following the July 2021 PBAC meeting and TGA registration was approved in September 2021. The final PI includes</w:t>
      </w:r>
      <w:r w:rsidRPr="007529BA">
        <w:t xml:space="preserve"> the following indication:</w:t>
      </w:r>
    </w:p>
    <w:p w:rsidR="008F5D97" w:rsidRPr="007529BA" w:rsidRDefault="008F5D97" w:rsidP="008F5D97">
      <w:pPr>
        <w:pStyle w:val="3-BodyText"/>
        <w:numPr>
          <w:ilvl w:val="0"/>
          <w:numId w:val="0"/>
        </w:numPr>
        <w:ind w:left="720"/>
      </w:pPr>
      <w:r>
        <w:rPr>
          <w:i/>
          <w:iCs/>
        </w:rPr>
        <w:t>“</w:t>
      </w:r>
      <w:r w:rsidRPr="007529BA">
        <w:rPr>
          <w:i/>
          <w:iCs/>
        </w:rPr>
        <w:t>RINVOQ is indicated for use in adults and adolescents aged 12 years and above who weigh at least 40 kg, for the treatment of moderate to severe atopic dermatitis which is inadequately controlled with active topical pharmacotherapies and for whom systemic therapy is indicated.</w:t>
      </w:r>
      <w:r>
        <w:rPr>
          <w:i/>
          <w:iCs/>
        </w:rPr>
        <w:t>”</w:t>
      </w:r>
      <w:r w:rsidRPr="007529BA">
        <w:t xml:space="preserve"> </w:t>
      </w:r>
    </w:p>
    <w:p w:rsidR="008F5D97" w:rsidRPr="00C23485" w:rsidRDefault="008F5D97" w:rsidP="008F5D97">
      <w:pPr>
        <w:pStyle w:val="3-BodyText"/>
      </w:pPr>
      <w:r w:rsidRPr="00C23485">
        <w:t>The</w:t>
      </w:r>
      <w:r>
        <w:t xml:space="preserve"> PI also includes </w:t>
      </w:r>
      <w:r w:rsidRPr="00C23485">
        <w:t>the following dose recommendations</w:t>
      </w:r>
      <w:r>
        <w:t xml:space="preserve"> in atopic dermatitis</w:t>
      </w:r>
      <w:r w:rsidRPr="00C23485">
        <w:t xml:space="preserve">: </w:t>
      </w:r>
    </w:p>
    <w:p w:rsidR="008F5D97" w:rsidRPr="005E1343" w:rsidRDefault="008F5D97" w:rsidP="008F5D97">
      <w:pPr>
        <w:autoSpaceDE w:val="0"/>
        <w:autoSpaceDN w:val="0"/>
        <w:adjustRightInd w:val="0"/>
        <w:ind w:left="720"/>
        <w:rPr>
          <w:rFonts w:asciiTheme="minorHAnsi" w:hAnsiTheme="minorHAnsi"/>
          <w:i/>
          <w:iCs/>
          <w:snapToGrid w:val="0"/>
        </w:rPr>
      </w:pPr>
      <w:r w:rsidRPr="00C23485">
        <w:rPr>
          <w:rFonts w:asciiTheme="minorHAnsi" w:hAnsiTheme="minorHAnsi"/>
          <w:i/>
          <w:iCs/>
          <w:snapToGrid w:val="0"/>
        </w:rPr>
        <w:t>“</w:t>
      </w:r>
      <w:r w:rsidRPr="005E1343">
        <w:rPr>
          <w:rFonts w:asciiTheme="minorHAnsi" w:hAnsiTheme="minorHAnsi"/>
          <w:i/>
          <w:iCs/>
          <w:snapToGrid w:val="0"/>
        </w:rPr>
        <w:t>The recommended starting dose of RINVOQ is 15 mg once daily for adults. In adults aged less than 65 years, the dose may be increased to 30 mg once daily from 4 weeks after initiation of treatment, if clinically warranted and based on benefit-risk assessment. The lowest effective dose for maintenance should be considered.</w:t>
      </w:r>
    </w:p>
    <w:p w:rsidR="008F5D97" w:rsidRPr="005E1343" w:rsidRDefault="008F5D97" w:rsidP="008F5D97">
      <w:pPr>
        <w:autoSpaceDE w:val="0"/>
        <w:autoSpaceDN w:val="0"/>
        <w:adjustRightInd w:val="0"/>
        <w:ind w:left="720" w:hanging="720"/>
        <w:jc w:val="left"/>
        <w:rPr>
          <w:rFonts w:asciiTheme="minorHAnsi" w:hAnsiTheme="minorHAnsi"/>
          <w:i/>
          <w:iCs/>
          <w:snapToGrid w:val="0"/>
        </w:rPr>
      </w:pPr>
    </w:p>
    <w:p w:rsidR="008F5D97" w:rsidRPr="005E1343" w:rsidRDefault="008F5D97" w:rsidP="008F5D97">
      <w:pPr>
        <w:autoSpaceDE w:val="0"/>
        <w:autoSpaceDN w:val="0"/>
        <w:adjustRightInd w:val="0"/>
        <w:ind w:left="720"/>
        <w:rPr>
          <w:rFonts w:asciiTheme="minorHAnsi" w:hAnsiTheme="minorHAnsi"/>
          <w:i/>
          <w:iCs/>
          <w:snapToGrid w:val="0"/>
        </w:rPr>
      </w:pPr>
      <w:r w:rsidRPr="005E1343">
        <w:rPr>
          <w:rFonts w:asciiTheme="minorHAnsi" w:hAnsiTheme="minorHAnsi"/>
          <w:i/>
          <w:iCs/>
          <w:snapToGrid w:val="0"/>
        </w:rPr>
        <w:t xml:space="preserve">The recommended dose of RINVOQ is 15 mg once daily for adolescents weighing at </w:t>
      </w:r>
      <w:r>
        <w:rPr>
          <w:rFonts w:asciiTheme="minorHAnsi" w:hAnsiTheme="minorHAnsi"/>
          <w:i/>
          <w:iCs/>
          <w:snapToGrid w:val="0"/>
        </w:rPr>
        <w:t>l</w:t>
      </w:r>
      <w:r w:rsidRPr="005E1343">
        <w:rPr>
          <w:rFonts w:asciiTheme="minorHAnsi" w:hAnsiTheme="minorHAnsi"/>
          <w:i/>
          <w:iCs/>
          <w:snapToGrid w:val="0"/>
        </w:rPr>
        <w:t>east</w:t>
      </w:r>
      <w:r>
        <w:rPr>
          <w:rFonts w:asciiTheme="minorHAnsi" w:hAnsiTheme="minorHAnsi"/>
          <w:i/>
          <w:iCs/>
          <w:snapToGrid w:val="0"/>
        </w:rPr>
        <w:t xml:space="preserve"> </w:t>
      </w:r>
      <w:r w:rsidRPr="005E1343">
        <w:rPr>
          <w:rFonts w:asciiTheme="minorHAnsi" w:hAnsiTheme="minorHAnsi"/>
          <w:i/>
          <w:iCs/>
          <w:snapToGrid w:val="0"/>
        </w:rPr>
        <w:t>40</w:t>
      </w:r>
      <w:r>
        <w:rPr>
          <w:rFonts w:asciiTheme="minorHAnsi" w:hAnsiTheme="minorHAnsi"/>
          <w:i/>
          <w:iCs/>
          <w:snapToGrid w:val="0"/>
        </w:rPr>
        <w:t xml:space="preserve"> </w:t>
      </w:r>
      <w:r w:rsidRPr="005E1343">
        <w:rPr>
          <w:rFonts w:asciiTheme="minorHAnsi" w:hAnsiTheme="minorHAnsi"/>
          <w:i/>
          <w:iCs/>
          <w:snapToGrid w:val="0"/>
        </w:rPr>
        <w:t>kg. RINVOQ has not been studied in adolescents weighing less than 40 kg.</w:t>
      </w:r>
      <w:r>
        <w:rPr>
          <w:rFonts w:asciiTheme="minorHAnsi" w:hAnsiTheme="minorHAnsi"/>
          <w:i/>
          <w:iCs/>
          <w:snapToGrid w:val="0"/>
        </w:rPr>
        <w:t>”</w:t>
      </w:r>
    </w:p>
    <w:p w:rsidR="008F5D97" w:rsidRDefault="008F5D97" w:rsidP="008F5D97">
      <w:pPr>
        <w:pStyle w:val="3-BodyText"/>
        <w:numPr>
          <w:ilvl w:val="0"/>
          <w:numId w:val="0"/>
        </w:numPr>
        <w:ind w:left="720"/>
        <w:rPr>
          <w:i/>
          <w:iCs/>
        </w:rPr>
      </w:pPr>
    </w:p>
    <w:p w:rsidR="008F5D97" w:rsidRDefault="008F5D97" w:rsidP="008F5D97">
      <w:pPr>
        <w:pStyle w:val="2-SectionHeading"/>
      </w:pPr>
      <w:r w:rsidRPr="003B63B2">
        <w:t>P</w:t>
      </w:r>
      <w:r>
        <w:t>BAC outcome</w:t>
      </w:r>
    </w:p>
    <w:p w:rsidR="008F5D97" w:rsidRPr="00BD7D44" w:rsidRDefault="008F5D97" w:rsidP="008F5D97">
      <w:pPr>
        <w:pStyle w:val="3-BodyText"/>
        <w:rPr>
          <w:noProof/>
          <w:lang w:val="en-US"/>
        </w:rPr>
      </w:pPr>
      <w:r w:rsidRPr="00294DE9">
        <w:rPr>
          <w:noProof/>
          <w:lang w:val="en-US"/>
        </w:rPr>
        <w:t xml:space="preserve">The PBAC recommended the listing of </w:t>
      </w:r>
      <w:r>
        <w:rPr>
          <w:noProof/>
          <w:lang w:val="en-US"/>
        </w:rPr>
        <w:t xml:space="preserve">upadacitinib </w:t>
      </w:r>
      <w:r w:rsidRPr="00C62A13">
        <w:t>for severe atopic dermatitis</w:t>
      </w:r>
      <w:r w:rsidRPr="00294DE9">
        <w:rPr>
          <w:noProof/>
          <w:lang w:val="en-US"/>
        </w:rPr>
        <w:t>.</w:t>
      </w:r>
      <w:r>
        <w:rPr>
          <w:noProof/>
          <w:lang w:val="en-US"/>
        </w:rPr>
        <w:t xml:space="preserve"> </w:t>
      </w:r>
      <w:r w:rsidRPr="00C04CD0">
        <w:rPr>
          <w:noProof/>
          <w:lang w:val="en-US"/>
        </w:rPr>
        <w:t xml:space="preserve">The PBAC’s recommendation for listing was based on, among other matters, its assessment, as described above, that the cost-effectiveness of </w:t>
      </w:r>
      <w:r>
        <w:rPr>
          <w:noProof/>
          <w:lang w:val="en-US"/>
        </w:rPr>
        <w:t>upadacitinib</w:t>
      </w:r>
      <w:r w:rsidRPr="00C04CD0">
        <w:rPr>
          <w:noProof/>
          <w:lang w:val="en-US"/>
        </w:rPr>
        <w:t xml:space="preserve"> would be acceptable if it were cost-minimised against </w:t>
      </w:r>
      <w:r>
        <w:rPr>
          <w:noProof/>
          <w:lang w:val="en-US"/>
        </w:rPr>
        <w:t>dupilumab</w:t>
      </w:r>
      <w:r w:rsidRPr="00C04CD0">
        <w:rPr>
          <w:noProof/>
          <w:lang w:val="en-US"/>
        </w:rPr>
        <w:t>.</w:t>
      </w:r>
      <w:r>
        <w:rPr>
          <w:noProof/>
          <w:lang w:val="en-US"/>
        </w:rPr>
        <w:t xml:space="preserve"> The PBAC advised that the </w:t>
      </w:r>
      <w:r w:rsidRPr="00C62A13">
        <w:t>equi-effective doses</w:t>
      </w:r>
      <w:r>
        <w:t xml:space="preserve"> are</w:t>
      </w:r>
      <w:r w:rsidRPr="00C62A13">
        <w:t xml:space="preserve"> UPA 15 mg </w:t>
      </w:r>
      <w:r>
        <w:t xml:space="preserve">or 30 mg </w:t>
      </w:r>
      <w:r w:rsidRPr="00C62A13">
        <w:t>once daily and DUPI 600</w:t>
      </w:r>
      <w:r>
        <w:t> </w:t>
      </w:r>
      <w:r w:rsidRPr="00C62A13">
        <w:t>mg as an initial dose then 300 mg every two weeks thereafter, or DUPI 400 mg as an initial dose then 200 mg every two weeks thereafter in adolescents with a body weight &lt;60kg, assuming equivalent drug costs over a two-year period.</w:t>
      </w:r>
    </w:p>
    <w:p w:rsidR="008F5D97" w:rsidRDefault="008F5D97" w:rsidP="008F5D97">
      <w:pPr>
        <w:pStyle w:val="3-BodyText"/>
      </w:pPr>
      <w:r>
        <w:t xml:space="preserve">As noted in paragraph 7.3 the PBAC considered that the restriction should reflect dosing requirements as outlined in the PI (paragraph 8.3) where all patients are initiated on the 15 mg dose and adult patients aged less than 65 years may increase to the 30 mg dose after 4 weeks, if clinically warranted. The PBAC considered that where patients increase their dose after 4 weeks of treatment at the 15 mg dose, 16 weeks would still allow sufficient time for assessment of response following a dose increase. However, </w:t>
      </w:r>
      <w:r w:rsidRPr="00C62A13">
        <w:rPr>
          <w:iCs/>
        </w:rPr>
        <w:t xml:space="preserve">the </w:t>
      </w:r>
      <w:r>
        <w:rPr>
          <w:iCs/>
        </w:rPr>
        <w:t xml:space="preserve">PBAC considered that the </w:t>
      </w:r>
      <w:r w:rsidRPr="00C62A13">
        <w:rPr>
          <w:iCs/>
        </w:rPr>
        <w:t xml:space="preserve">restriction should have sufficient flexibility to allow clinicians to titrate the dose up or down </w:t>
      </w:r>
      <w:r>
        <w:t>such that prescribers can use the lowest effective dose.</w:t>
      </w:r>
    </w:p>
    <w:p w:rsidR="008F5D97" w:rsidRPr="00E279D6" w:rsidRDefault="008F5D97" w:rsidP="008F5D97">
      <w:pPr>
        <w:pStyle w:val="3-BodyText"/>
        <w:rPr>
          <w:iCs/>
        </w:rPr>
      </w:pPr>
      <w:r>
        <w:t xml:space="preserve">The PBAC noted the flow-on restriction changes to DUPI are required to allow switching between </w:t>
      </w:r>
      <w:r w:rsidRPr="00256E46">
        <w:t>treatments (</w:t>
      </w:r>
      <w:r w:rsidRPr="00256E46">
        <w:rPr>
          <w:rFonts w:cstheme="minorHAnsi"/>
        </w:rPr>
        <w:t>UPA, DUPI or other biological/immunomodulatory treatments for AD if listed in the future)</w:t>
      </w:r>
      <w:r>
        <w:rPr>
          <w:rFonts w:cstheme="minorHAnsi"/>
        </w:rPr>
        <w:t xml:space="preserve"> and use of baseline scores measured prior to the first medicine used for this indication. Finalisation of the details of the restrictions will be required, including </w:t>
      </w:r>
      <w:r>
        <w:rPr>
          <w:rFonts w:cstheme="minorHAnsi"/>
          <w:iCs/>
        </w:rPr>
        <w:t xml:space="preserve">provision of practical administrative advice on how clinicians are to access the various disease measurement indices </w:t>
      </w:r>
      <w:r w:rsidRPr="00E279D6">
        <w:rPr>
          <w:rFonts w:cstheme="minorHAnsi"/>
          <w:iCs/>
        </w:rPr>
        <w:t>reference</w:t>
      </w:r>
      <w:r>
        <w:rPr>
          <w:rFonts w:cstheme="minorHAnsi"/>
          <w:iCs/>
        </w:rPr>
        <w:t xml:space="preserve">d in the restriction </w:t>
      </w:r>
      <w:r w:rsidRPr="00E279D6">
        <w:rPr>
          <w:rFonts w:cstheme="minorHAnsi"/>
          <w:iCs/>
        </w:rPr>
        <w:t>(e.g. EASI</w:t>
      </w:r>
      <w:r>
        <w:rPr>
          <w:rFonts w:cstheme="minorHAnsi"/>
          <w:iCs/>
        </w:rPr>
        <w:t>,</w:t>
      </w:r>
      <w:r w:rsidRPr="00E279D6">
        <w:rPr>
          <w:rFonts w:cstheme="minorHAnsi"/>
          <w:iCs/>
        </w:rPr>
        <w:t xml:space="preserve"> DLQI</w:t>
      </w:r>
      <w:r>
        <w:rPr>
          <w:rFonts w:cstheme="minorHAnsi"/>
          <w:iCs/>
        </w:rPr>
        <w:t xml:space="preserve"> and PGA</w:t>
      </w:r>
      <w:r w:rsidRPr="00E279D6">
        <w:rPr>
          <w:rFonts w:cstheme="minorHAnsi"/>
          <w:iCs/>
        </w:rPr>
        <w:t xml:space="preserve"> scales).</w:t>
      </w:r>
    </w:p>
    <w:p w:rsidR="008F5D97" w:rsidRPr="00DB31F1" w:rsidRDefault="008F5D97" w:rsidP="008F5D97">
      <w:pPr>
        <w:pStyle w:val="3-BodyText"/>
      </w:pPr>
      <w:r>
        <w:t>The PBAC recalled its advice that UPA should be subject to the same RSA as DUPI, with a modest increase to the caps to account for sequential use as noted in paragraph 7.16 above.</w:t>
      </w:r>
    </w:p>
    <w:p w:rsidR="008F5D97" w:rsidRPr="00CB5FAF" w:rsidRDefault="008F5D97" w:rsidP="008F5D97">
      <w:pPr>
        <w:pStyle w:val="3-BodyText"/>
      </w:pPr>
      <w:r w:rsidRPr="00525B39">
        <w:rPr>
          <w:bCs/>
          <w:lang w:val="en-GB"/>
        </w:rPr>
        <w:t>The PBAC noted that this submission is not eligible for an Independent Review</w:t>
      </w:r>
      <w:r>
        <w:rPr>
          <w:bCs/>
          <w:lang w:val="en-GB"/>
        </w:rPr>
        <w:t xml:space="preserve"> as it is a positive recommendation</w:t>
      </w:r>
      <w:r w:rsidRPr="00525B39">
        <w:rPr>
          <w:bCs/>
          <w:lang w:val="en-GB"/>
        </w:rPr>
        <w:t>.</w:t>
      </w:r>
    </w:p>
    <w:p w:rsidR="008F5D97" w:rsidRPr="00525B39" w:rsidRDefault="008F5D97" w:rsidP="008F5D97">
      <w:pPr>
        <w:spacing w:before="240"/>
        <w:rPr>
          <w:rFonts w:asciiTheme="minorHAnsi" w:hAnsiTheme="minorHAnsi"/>
          <w:b/>
          <w:bCs/>
          <w:snapToGrid w:val="0"/>
          <w:lang w:val="en-GB"/>
        </w:rPr>
      </w:pPr>
      <w:r w:rsidRPr="00525B39">
        <w:rPr>
          <w:rFonts w:asciiTheme="minorHAnsi" w:hAnsiTheme="minorHAnsi"/>
          <w:b/>
          <w:bCs/>
          <w:snapToGrid w:val="0"/>
          <w:lang w:val="en-GB"/>
        </w:rPr>
        <w:t>Outcome:</w:t>
      </w:r>
    </w:p>
    <w:p w:rsidR="008F5D97" w:rsidRPr="00525B39" w:rsidRDefault="008F5D97" w:rsidP="008F5D97">
      <w:pPr>
        <w:rPr>
          <w:rFonts w:asciiTheme="minorHAnsi" w:hAnsiTheme="minorHAnsi"/>
          <w:bCs/>
          <w:snapToGrid w:val="0"/>
          <w:lang w:val="en-GB"/>
        </w:rPr>
      </w:pPr>
      <w:r w:rsidRPr="00525B39">
        <w:rPr>
          <w:rFonts w:asciiTheme="minorHAnsi" w:hAnsiTheme="minorHAnsi"/>
          <w:bCs/>
          <w:snapToGrid w:val="0"/>
          <w:lang w:val="en-GB"/>
        </w:rPr>
        <w:t>Recommended</w:t>
      </w:r>
    </w:p>
    <w:p w:rsidR="008F5D97" w:rsidRPr="00946C39" w:rsidRDefault="008F5D97" w:rsidP="008F5D97">
      <w:pPr>
        <w:pStyle w:val="2-SectionHeading"/>
      </w:pPr>
      <w:r w:rsidRPr="00946C39">
        <w:t>Recommended listing</w:t>
      </w:r>
    </w:p>
    <w:p w:rsidR="008F5D97" w:rsidRDefault="008F5D97" w:rsidP="008F5D97">
      <w:r>
        <w:t>Add new items:</w:t>
      </w:r>
    </w:p>
    <w:p w:rsidR="008F5D97" w:rsidRPr="001604BB" w:rsidRDefault="008F5D97" w:rsidP="008F5D97"/>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
        <w:gridCol w:w="2972"/>
        <w:gridCol w:w="1275"/>
        <w:gridCol w:w="1276"/>
        <w:gridCol w:w="1276"/>
        <w:gridCol w:w="992"/>
        <w:gridCol w:w="997"/>
      </w:tblGrid>
      <w:tr w:rsidR="008F5D97" w:rsidRPr="009A610D" w:rsidTr="002C1672">
        <w:trPr>
          <w:cantSplit/>
          <w:trHeight w:val="471"/>
        </w:trPr>
        <w:tc>
          <w:tcPr>
            <w:tcW w:w="3256" w:type="dxa"/>
            <w:gridSpan w:val="2"/>
          </w:tcPr>
          <w:p w:rsidR="008F5D97" w:rsidRPr="00FE326F" w:rsidRDefault="008F5D97" w:rsidP="002C1672">
            <w:pPr>
              <w:keepNext/>
              <w:ind w:left="-57"/>
              <w:rPr>
                <w:rFonts w:ascii="Arial Narrow" w:hAnsi="Arial Narrow"/>
                <w:b/>
                <w:bCs/>
                <w:sz w:val="20"/>
                <w:szCs w:val="20"/>
              </w:rPr>
            </w:pPr>
            <w:r w:rsidRPr="00FE326F">
              <w:rPr>
                <w:rFonts w:ascii="Arial Narrow" w:hAnsi="Arial Narrow"/>
                <w:b/>
                <w:bCs/>
                <w:sz w:val="20"/>
                <w:szCs w:val="20"/>
              </w:rPr>
              <w:t>MEDICINAL PRODUCT</w:t>
            </w:r>
          </w:p>
          <w:p w:rsidR="008F5D97" w:rsidRPr="00FE326F" w:rsidRDefault="008F5D97" w:rsidP="002C1672">
            <w:pPr>
              <w:keepNext/>
              <w:ind w:left="-57"/>
              <w:rPr>
                <w:rFonts w:ascii="Arial Narrow" w:hAnsi="Arial Narrow"/>
                <w:b/>
                <w:sz w:val="20"/>
                <w:szCs w:val="20"/>
              </w:rPr>
            </w:pPr>
            <w:r w:rsidRPr="00FE326F">
              <w:rPr>
                <w:rFonts w:ascii="Arial Narrow" w:hAnsi="Arial Narrow"/>
                <w:b/>
                <w:bCs/>
                <w:sz w:val="20"/>
                <w:szCs w:val="20"/>
              </w:rPr>
              <w:t>medicinal product pack</w:t>
            </w:r>
          </w:p>
        </w:tc>
        <w:tc>
          <w:tcPr>
            <w:tcW w:w="1275" w:type="dxa"/>
          </w:tcPr>
          <w:p w:rsidR="008F5D97" w:rsidRPr="00FE326F" w:rsidRDefault="008F5D97" w:rsidP="002C1672">
            <w:pPr>
              <w:keepNext/>
              <w:ind w:left="-108"/>
              <w:jc w:val="center"/>
              <w:rPr>
                <w:rFonts w:ascii="Arial Narrow" w:hAnsi="Arial Narrow"/>
                <w:b/>
                <w:sz w:val="20"/>
                <w:szCs w:val="20"/>
              </w:rPr>
            </w:pPr>
            <w:r w:rsidRPr="00FE326F">
              <w:rPr>
                <w:rFonts w:ascii="Arial Narrow" w:hAnsi="Arial Narrow"/>
                <w:b/>
                <w:sz w:val="20"/>
                <w:szCs w:val="20"/>
              </w:rPr>
              <w:t>PBS item code</w:t>
            </w:r>
          </w:p>
        </w:tc>
        <w:tc>
          <w:tcPr>
            <w:tcW w:w="1276" w:type="dxa"/>
          </w:tcPr>
          <w:p w:rsidR="008F5D97" w:rsidRPr="00FE326F" w:rsidRDefault="008F5D97" w:rsidP="002C1672">
            <w:pPr>
              <w:keepNext/>
              <w:ind w:left="-108"/>
              <w:jc w:val="center"/>
              <w:rPr>
                <w:rFonts w:ascii="Arial Narrow" w:hAnsi="Arial Narrow"/>
                <w:b/>
                <w:sz w:val="20"/>
                <w:szCs w:val="20"/>
              </w:rPr>
            </w:pPr>
            <w:r w:rsidRPr="00FE326F">
              <w:rPr>
                <w:rFonts w:ascii="Arial Narrow" w:hAnsi="Arial Narrow"/>
                <w:b/>
                <w:sz w:val="20"/>
                <w:szCs w:val="20"/>
              </w:rPr>
              <w:t>Max. qty packs</w:t>
            </w:r>
          </w:p>
        </w:tc>
        <w:tc>
          <w:tcPr>
            <w:tcW w:w="1276" w:type="dxa"/>
          </w:tcPr>
          <w:p w:rsidR="008F5D97" w:rsidRPr="00FE326F" w:rsidRDefault="008F5D97" w:rsidP="002C1672">
            <w:pPr>
              <w:keepNext/>
              <w:ind w:left="-108"/>
              <w:jc w:val="center"/>
              <w:rPr>
                <w:rFonts w:ascii="Arial Narrow" w:hAnsi="Arial Narrow"/>
                <w:b/>
                <w:sz w:val="20"/>
                <w:szCs w:val="20"/>
              </w:rPr>
            </w:pPr>
            <w:r w:rsidRPr="00FE326F">
              <w:rPr>
                <w:rFonts w:ascii="Arial Narrow" w:hAnsi="Arial Narrow"/>
                <w:b/>
                <w:sz w:val="20"/>
                <w:szCs w:val="20"/>
              </w:rPr>
              <w:t>Max. qty units</w:t>
            </w:r>
          </w:p>
        </w:tc>
        <w:tc>
          <w:tcPr>
            <w:tcW w:w="992" w:type="dxa"/>
          </w:tcPr>
          <w:p w:rsidR="008F5D97" w:rsidRPr="00FE326F" w:rsidRDefault="008F5D97" w:rsidP="002C1672">
            <w:pPr>
              <w:keepNext/>
              <w:ind w:left="-108"/>
              <w:jc w:val="center"/>
              <w:rPr>
                <w:rFonts w:ascii="Arial Narrow" w:hAnsi="Arial Narrow"/>
                <w:b/>
                <w:sz w:val="20"/>
                <w:szCs w:val="20"/>
              </w:rPr>
            </w:pPr>
            <w:r w:rsidRPr="00FE326F">
              <w:rPr>
                <w:rFonts w:ascii="Arial Narrow" w:hAnsi="Arial Narrow"/>
                <w:b/>
                <w:sz w:val="20"/>
                <w:szCs w:val="20"/>
              </w:rPr>
              <w:t>№.of Rpts</w:t>
            </w:r>
          </w:p>
        </w:tc>
        <w:tc>
          <w:tcPr>
            <w:tcW w:w="997" w:type="dxa"/>
          </w:tcPr>
          <w:p w:rsidR="008F5D97" w:rsidRPr="00FE326F" w:rsidRDefault="008F5D97" w:rsidP="002C1672">
            <w:pPr>
              <w:keepNext/>
              <w:rPr>
                <w:rFonts w:ascii="Arial Narrow" w:hAnsi="Arial Narrow"/>
                <w:b/>
                <w:sz w:val="20"/>
                <w:szCs w:val="20"/>
                <w:lang w:val="fr-FR"/>
              </w:rPr>
            </w:pPr>
            <w:r w:rsidRPr="00FE326F">
              <w:rPr>
                <w:rFonts w:ascii="Arial Narrow" w:hAnsi="Arial Narrow"/>
                <w:b/>
                <w:sz w:val="20"/>
                <w:szCs w:val="20"/>
              </w:rPr>
              <w:t>Available brands</w:t>
            </w:r>
          </w:p>
        </w:tc>
      </w:tr>
      <w:tr w:rsidR="008F5D97" w:rsidRPr="009A610D" w:rsidTr="002C1672">
        <w:trPr>
          <w:cantSplit/>
          <w:trHeight w:val="224"/>
        </w:trPr>
        <w:tc>
          <w:tcPr>
            <w:tcW w:w="9072" w:type="dxa"/>
            <w:gridSpan w:val="7"/>
          </w:tcPr>
          <w:p w:rsidR="008F5D97" w:rsidRPr="00FE326F" w:rsidRDefault="008F5D97" w:rsidP="002C1672">
            <w:pPr>
              <w:keepNext/>
              <w:ind w:left="-57"/>
              <w:rPr>
                <w:rFonts w:ascii="Arial Narrow" w:hAnsi="Arial Narrow"/>
                <w:sz w:val="20"/>
                <w:szCs w:val="20"/>
              </w:rPr>
            </w:pPr>
            <w:r w:rsidRPr="00FE326F">
              <w:rPr>
                <w:rFonts w:ascii="Arial Narrow" w:hAnsi="Arial Narrow"/>
                <w:sz w:val="20"/>
                <w:szCs w:val="20"/>
              </w:rPr>
              <w:t xml:space="preserve">UPADACITINIB  </w:t>
            </w:r>
          </w:p>
        </w:tc>
      </w:tr>
      <w:tr w:rsidR="008F5D97" w:rsidRPr="009A610D" w:rsidTr="002C1672">
        <w:trPr>
          <w:cantSplit/>
          <w:trHeight w:val="275"/>
        </w:trPr>
        <w:tc>
          <w:tcPr>
            <w:tcW w:w="3256" w:type="dxa"/>
            <w:gridSpan w:val="2"/>
          </w:tcPr>
          <w:p w:rsidR="008F5D97" w:rsidRPr="00FE326F" w:rsidRDefault="008F5D97" w:rsidP="002C1672">
            <w:pPr>
              <w:keepNext/>
              <w:ind w:left="-57"/>
              <w:rPr>
                <w:rFonts w:ascii="Arial Narrow" w:hAnsi="Arial Narrow"/>
                <w:sz w:val="20"/>
                <w:szCs w:val="20"/>
              </w:rPr>
            </w:pPr>
            <w:r w:rsidRPr="00FE326F">
              <w:rPr>
                <w:rFonts w:ascii="Arial Narrow" w:hAnsi="Arial Narrow"/>
                <w:sz w:val="20"/>
                <w:szCs w:val="20"/>
              </w:rPr>
              <w:t xml:space="preserve">upadacitinib 15 mg modified release tablet, 28 </w:t>
            </w:r>
          </w:p>
        </w:tc>
        <w:tc>
          <w:tcPr>
            <w:tcW w:w="1275"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New</w:t>
            </w:r>
          </w:p>
        </w:tc>
        <w:tc>
          <w:tcPr>
            <w:tcW w:w="1276"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1</w:t>
            </w:r>
          </w:p>
        </w:tc>
        <w:tc>
          <w:tcPr>
            <w:tcW w:w="1276"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30</w:t>
            </w:r>
          </w:p>
        </w:tc>
        <w:tc>
          <w:tcPr>
            <w:tcW w:w="992"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4</w:t>
            </w:r>
          </w:p>
        </w:tc>
        <w:tc>
          <w:tcPr>
            <w:tcW w:w="997" w:type="dxa"/>
          </w:tcPr>
          <w:p w:rsidR="008F5D97" w:rsidRPr="00FE326F" w:rsidRDefault="008F5D97" w:rsidP="002C1672">
            <w:pPr>
              <w:keepNext/>
              <w:rPr>
                <w:rFonts w:ascii="Arial Narrow" w:hAnsi="Arial Narrow"/>
                <w:sz w:val="20"/>
                <w:szCs w:val="20"/>
              </w:rPr>
            </w:pPr>
            <w:r w:rsidRPr="00FE326F">
              <w:rPr>
                <w:rFonts w:ascii="Arial Narrow" w:hAnsi="Arial Narrow"/>
                <w:sz w:val="20"/>
                <w:szCs w:val="20"/>
              </w:rPr>
              <w:t>Rinvoq</w:t>
            </w:r>
          </w:p>
        </w:tc>
      </w:tr>
      <w:tr w:rsidR="008F5D97" w:rsidRPr="009A610D" w:rsidTr="002C1672">
        <w:trPr>
          <w:cantSplit/>
          <w:trHeight w:val="265"/>
        </w:trPr>
        <w:tc>
          <w:tcPr>
            <w:tcW w:w="3256" w:type="dxa"/>
            <w:gridSpan w:val="2"/>
          </w:tcPr>
          <w:p w:rsidR="008F5D97" w:rsidRPr="00FE326F" w:rsidRDefault="008F5D97" w:rsidP="002C1672">
            <w:pPr>
              <w:keepNext/>
              <w:ind w:left="-57"/>
              <w:rPr>
                <w:rFonts w:ascii="Arial Narrow" w:hAnsi="Arial Narrow"/>
                <w:sz w:val="20"/>
                <w:szCs w:val="20"/>
              </w:rPr>
            </w:pPr>
            <w:r w:rsidRPr="00FE326F">
              <w:rPr>
                <w:rFonts w:ascii="Arial Narrow" w:hAnsi="Arial Narrow"/>
                <w:sz w:val="20"/>
                <w:szCs w:val="20"/>
              </w:rPr>
              <w:t xml:space="preserve">upadacitinib 30 mg modified release tablet, 28 </w:t>
            </w:r>
          </w:p>
        </w:tc>
        <w:tc>
          <w:tcPr>
            <w:tcW w:w="1275"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New</w:t>
            </w:r>
          </w:p>
        </w:tc>
        <w:tc>
          <w:tcPr>
            <w:tcW w:w="1276"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1</w:t>
            </w:r>
          </w:p>
        </w:tc>
        <w:tc>
          <w:tcPr>
            <w:tcW w:w="1276"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30</w:t>
            </w:r>
          </w:p>
        </w:tc>
        <w:tc>
          <w:tcPr>
            <w:tcW w:w="992" w:type="dxa"/>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4</w:t>
            </w:r>
          </w:p>
        </w:tc>
        <w:tc>
          <w:tcPr>
            <w:tcW w:w="997" w:type="dxa"/>
          </w:tcPr>
          <w:p w:rsidR="008F5D97" w:rsidRPr="00FE326F" w:rsidRDefault="008F5D97" w:rsidP="002C1672">
            <w:pPr>
              <w:keepNext/>
              <w:rPr>
                <w:rFonts w:ascii="Arial Narrow" w:hAnsi="Arial Narrow"/>
                <w:sz w:val="20"/>
                <w:szCs w:val="20"/>
              </w:rPr>
            </w:pPr>
            <w:r w:rsidRPr="00FE326F">
              <w:rPr>
                <w:rFonts w:ascii="Arial Narrow" w:hAnsi="Arial Narrow"/>
                <w:sz w:val="20"/>
                <w:szCs w:val="20"/>
              </w:rPr>
              <w:t>Rinvoq</w:t>
            </w:r>
          </w:p>
        </w:tc>
      </w:tr>
      <w:tr w:rsidR="008F5D97" w:rsidRPr="009A610D" w:rsidTr="002C1672">
        <w:trPr>
          <w:cantSplit/>
          <w:trHeight w:val="265"/>
        </w:trPr>
        <w:tc>
          <w:tcPr>
            <w:tcW w:w="4531" w:type="dxa"/>
            <w:gridSpan w:val="3"/>
          </w:tcPr>
          <w:p w:rsidR="008F5D97" w:rsidRPr="00FE326F" w:rsidRDefault="008F5D97" w:rsidP="002C1672">
            <w:pPr>
              <w:keepNext/>
              <w:jc w:val="center"/>
              <w:rPr>
                <w:rFonts w:ascii="Arial Narrow" w:hAnsi="Arial Narrow"/>
                <w:sz w:val="20"/>
                <w:szCs w:val="20"/>
              </w:rPr>
            </w:pPr>
          </w:p>
        </w:tc>
        <w:tc>
          <w:tcPr>
            <w:tcW w:w="3544" w:type="dxa"/>
            <w:gridSpan w:val="3"/>
          </w:tcPr>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Max.qty (packs) multiplier = 1</w:t>
            </w:r>
          </w:p>
          <w:p w:rsidR="008F5D97" w:rsidRPr="00FE326F" w:rsidRDefault="008F5D97" w:rsidP="002C1672">
            <w:pPr>
              <w:keepNext/>
              <w:jc w:val="center"/>
              <w:rPr>
                <w:rFonts w:ascii="Arial Narrow" w:hAnsi="Arial Narrow"/>
                <w:sz w:val="20"/>
                <w:szCs w:val="20"/>
              </w:rPr>
            </w:pPr>
            <w:r w:rsidRPr="00FE326F">
              <w:rPr>
                <w:rFonts w:ascii="Arial Narrow" w:hAnsi="Arial Narrow"/>
                <w:sz w:val="20"/>
                <w:szCs w:val="20"/>
              </w:rPr>
              <w:t>Repeat increases: nil</w:t>
            </w:r>
          </w:p>
        </w:tc>
        <w:tc>
          <w:tcPr>
            <w:tcW w:w="997" w:type="dxa"/>
          </w:tcPr>
          <w:p w:rsidR="008F5D97" w:rsidRPr="00FE326F" w:rsidRDefault="008F5D97" w:rsidP="002C1672">
            <w:pPr>
              <w:keepNext/>
              <w:rPr>
                <w:rFonts w:ascii="Arial Narrow" w:hAnsi="Arial Narrow"/>
                <w:sz w:val="20"/>
                <w:szCs w:val="20"/>
              </w:rPr>
            </w:pPr>
          </w:p>
        </w:tc>
      </w:tr>
      <w:tr w:rsidR="008F5D97" w:rsidRPr="00120A12" w:rsidTr="002C1672">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right w:val="single" w:sz="4" w:space="0" w:color="auto"/>
            </w:tcBorders>
          </w:tcPr>
          <w:p w:rsidR="008F5D97" w:rsidRPr="00FE326F" w:rsidRDefault="008F5D97" w:rsidP="002C1672">
            <w:pPr>
              <w:rPr>
                <w:rFonts w:ascii="Arial Narrow" w:hAnsi="Arial Narrow"/>
                <w:b/>
                <w:sz w:val="20"/>
                <w:szCs w:val="20"/>
              </w:rPr>
            </w:pPr>
          </w:p>
        </w:tc>
      </w:tr>
      <w:tr w:rsidR="008F5D97" w:rsidRPr="00120A12" w:rsidTr="002C1672">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right w:val="single" w:sz="4" w:space="0" w:color="auto"/>
            </w:tcBorders>
          </w:tcPr>
          <w:p w:rsidR="008F5D97" w:rsidRPr="00FE326F" w:rsidRDefault="008F5D97" w:rsidP="002C1672">
            <w:pPr>
              <w:ind w:left="57"/>
              <w:rPr>
                <w:rFonts w:ascii="Arial Narrow" w:hAnsi="Arial Narrow"/>
                <w:b/>
                <w:sz w:val="20"/>
                <w:szCs w:val="20"/>
              </w:rPr>
            </w:pPr>
          </w:p>
          <w:p w:rsidR="008F5D97" w:rsidRPr="00FE326F" w:rsidRDefault="008F5D97" w:rsidP="002C1672">
            <w:pPr>
              <w:ind w:left="57"/>
              <w:rPr>
                <w:rFonts w:ascii="Arial Narrow" w:hAnsi="Arial Narrow"/>
                <w:b/>
                <w:sz w:val="20"/>
                <w:szCs w:val="20"/>
              </w:rPr>
            </w:pPr>
            <w:r w:rsidRPr="00FE326F">
              <w:rPr>
                <w:rFonts w:ascii="Arial Narrow" w:hAnsi="Arial Narrow"/>
                <w:b/>
                <w:sz w:val="20"/>
                <w:szCs w:val="20"/>
              </w:rPr>
              <w:t xml:space="preserve">Restriction Summary [New; based on 11424] / ToC: [New; based on 11443 </w:t>
            </w:r>
            <w:r>
              <w:rPr>
                <w:rFonts w:ascii="Arial Narrow" w:hAnsi="Arial Narrow"/>
                <w:i/>
                <w:sz w:val="20"/>
                <w:szCs w:val="20"/>
              </w:rPr>
              <w:t>attached to dupilu</w:t>
            </w:r>
            <w:r w:rsidRPr="00FE326F">
              <w:rPr>
                <w:rFonts w:ascii="Arial Narrow" w:hAnsi="Arial Narrow"/>
                <w:i/>
                <w:sz w:val="20"/>
                <w:szCs w:val="20"/>
              </w:rPr>
              <w:t>mab as of 1 April 2021</w:t>
            </w:r>
            <w:r w:rsidRPr="00FE326F">
              <w:rPr>
                <w:rFonts w:ascii="Arial Narrow" w:hAnsi="Arial Narrow"/>
                <w:b/>
                <w:sz w:val="20"/>
                <w:szCs w:val="20"/>
              </w:rPr>
              <w:t>]</w:t>
            </w:r>
          </w:p>
        </w:tc>
      </w:tr>
      <w:tr w:rsidR="008F5D97" w:rsidRPr="00120A12" w:rsidTr="002C1672">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tcPr>
          <w:p w:rsidR="008F5D97" w:rsidRPr="00FE326F" w:rsidRDefault="008F5D97" w:rsidP="002C1672">
            <w:pPr>
              <w:rPr>
                <w:rFonts w:ascii="Arial Narrow" w:hAnsi="Arial Narrow"/>
                <w:sz w:val="20"/>
                <w:szCs w:val="20"/>
              </w:rPr>
            </w:pPr>
            <w:r w:rsidRPr="00FE326F">
              <w:rPr>
                <w:rFonts w:ascii="Arial Narrow" w:hAnsi="Arial Narrow"/>
                <w:b/>
                <w:sz w:val="20"/>
                <w:szCs w:val="20"/>
              </w:rPr>
              <w:t xml:space="preserve">Category / Program:   </w:t>
            </w:r>
            <w:r w:rsidRPr="00FE326F">
              <w:rPr>
                <w:rFonts w:ascii="Arial Narrow" w:hAnsi="Arial Narrow"/>
                <w:sz w:val="20"/>
                <w:szCs w:val="20"/>
              </w:rPr>
              <w:t xml:space="preserve">GENERAL – General Schedule (Code GE) </w:t>
            </w:r>
          </w:p>
        </w:tc>
      </w:tr>
      <w:tr w:rsidR="008F5D97" w:rsidRPr="00120A12" w:rsidTr="002C1672">
        <w:tblPrEx>
          <w:tblCellMar>
            <w:top w:w="15" w:type="dxa"/>
            <w:left w:w="15" w:type="dxa"/>
            <w:bottom w:w="15" w:type="dxa"/>
            <w:right w:w="15" w:type="dxa"/>
          </w:tblCellMar>
          <w:tblLook w:val="04A0" w:firstRow="1" w:lastRow="0" w:firstColumn="1" w:lastColumn="0" w:noHBand="0" w:noVBand="1"/>
        </w:tblPrEx>
        <w:trPr>
          <w:trHeight w:val="240"/>
        </w:trPr>
        <w:tc>
          <w:tcPr>
            <w:tcW w:w="9072" w:type="dxa"/>
            <w:gridSpan w:val="7"/>
            <w:tcBorders>
              <w:top w:val="single" w:sz="4" w:space="0" w:color="auto"/>
              <w:left w:val="single" w:sz="4" w:space="0" w:color="auto"/>
              <w:bottom w:val="single" w:sz="4" w:space="0" w:color="auto"/>
              <w:right w:val="single" w:sz="4" w:space="0" w:color="auto"/>
            </w:tcBorders>
          </w:tcPr>
          <w:p w:rsidR="008F5D97" w:rsidRPr="00FE326F" w:rsidRDefault="008F5D97" w:rsidP="002C1672">
            <w:pPr>
              <w:rPr>
                <w:rFonts w:ascii="Arial Narrow" w:hAnsi="Arial Narrow"/>
                <w:b/>
                <w:sz w:val="20"/>
                <w:szCs w:val="20"/>
              </w:rPr>
            </w:pPr>
            <w:r w:rsidRPr="00FE326F">
              <w:rPr>
                <w:rFonts w:ascii="Arial Narrow" w:hAnsi="Arial Narrow"/>
                <w:b/>
                <w:sz w:val="20"/>
                <w:szCs w:val="20"/>
              </w:rPr>
              <w:t xml:space="preserve">Prescriber type: </w:t>
            </w:r>
            <w:r w:rsidRPr="00FE326F">
              <w:rPr>
                <w:rFonts w:ascii="Arial Narrow" w:hAnsi="Arial Narrow"/>
                <w:sz w:val="20"/>
                <w:szCs w:val="20"/>
              </w:rPr>
              <w:t xml:space="preserve"> </w:t>
            </w:r>
            <w:r w:rsidRPr="00FE326F">
              <w:rPr>
                <w:rFonts w:ascii="Arial Narrow" w:hAnsi="Arial Narrow"/>
                <w:sz w:val="20"/>
                <w:szCs w:val="20"/>
              </w:rPr>
              <w:fldChar w:fldCharType="begin">
                <w:ffData>
                  <w:name w:val=""/>
                  <w:enabled/>
                  <w:calcOnExit w:val="0"/>
                  <w:checkBox>
                    <w:sizeAuto/>
                    <w:default w:val="1"/>
                  </w:checkBox>
                </w:ffData>
              </w:fldChar>
            </w:r>
            <w:r w:rsidRPr="00FE326F">
              <w:rPr>
                <w:rFonts w:ascii="Arial Narrow" w:hAnsi="Arial Narrow"/>
                <w:sz w:val="20"/>
                <w:szCs w:val="20"/>
              </w:rPr>
              <w:instrText xml:space="preserve"> FORMCHECKBOX </w:instrText>
            </w:r>
            <w:r w:rsidR="005116FF">
              <w:rPr>
                <w:rFonts w:ascii="Arial Narrow" w:hAnsi="Arial Narrow"/>
                <w:sz w:val="20"/>
                <w:szCs w:val="20"/>
              </w:rPr>
            </w:r>
            <w:r w:rsidR="005116FF">
              <w:rPr>
                <w:rFonts w:ascii="Arial Narrow" w:hAnsi="Arial Narrow"/>
                <w:sz w:val="20"/>
                <w:szCs w:val="20"/>
              </w:rPr>
              <w:fldChar w:fldCharType="separate"/>
            </w:r>
            <w:r w:rsidRPr="00FE326F">
              <w:rPr>
                <w:rFonts w:ascii="Arial Narrow" w:hAnsi="Arial Narrow"/>
                <w:sz w:val="20"/>
                <w:szCs w:val="20"/>
              </w:rPr>
              <w:fldChar w:fldCharType="end"/>
            </w:r>
            <w:r w:rsidRPr="00FE326F">
              <w:rPr>
                <w:rFonts w:ascii="Arial Narrow" w:hAnsi="Arial Narrow"/>
                <w:sz w:val="20"/>
                <w:szCs w:val="20"/>
              </w:rPr>
              <w:t xml:space="preserve"> Medical Practitioners    </w:t>
            </w:r>
          </w:p>
        </w:tc>
      </w:tr>
      <w:tr w:rsidR="008F5D97" w:rsidRPr="00120A12" w:rsidTr="002C1672">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tcPr>
          <w:p w:rsidR="008F5D97" w:rsidRPr="00FE326F" w:rsidRDefault="008F5D97" w:rsidP="002C1672">
            <w:pPr>
              <w:rPr>
                <w:rFonts w:ascii="Arial Narrow" w:eastAsia="Calibri" w:hAnsi="Arial Narrow"/>
                <w:color w:val="FF00FF"/>
                <w:sz w:val="20"/>
                <w:szCs w:val="20"/>
              </w:rPr>
            </w:pPr>
            <w:r w:rsidRPr="00FE326F">
              <w:rPr>
                <w:rFonts w:ascii="Arial Narrow" w:hAnsi="Arial Narrow"/>
                <w:b/>
                <w:sz w:val="20"/>
                <w:szCs w:val="20"/>
              </w:rPr>
              <w:t xml:space="preserve">Restriction type: </w:t>
            </w:r>
            <w:r w:rsidRPr="00FE326F">
              <w:rPr>
                <w:rFonts w:ascii="Arial Narrow" w:eastAsia="Calibri" w:hAnsi="Arial Narrow"/>
                <w:color w:val="FF00FF"/>
                <w:sz w:val="20"/>
                <w:szCs w:val="20"/>
              </w:rPr>
              <w:t xml:space="preserve"> </w:t>
            </w:r>
            <w:r w:rsidRPr="00FE326F">
              <w:rPr>
                <w:rFonts w:ascii="Arial Narrow" w:eastAsia="Calibri" w:hAnsi="Arial Narrow"/>
                <w:sz w:val="20"/>
                <w:szCs w:val="20"/>
              </w:rPr>
              <w:fldChar w:fldCharType="begin">
                <w:ffData>
                  <w:name w:val="Check3"/>
                  <w:enabled/>
                  <w:calcOnExit w:val="0"/>
                  <w:checkBox>
                    <w:sizeAuto/>
                    <w:default w:val="1"/>
                  </w:checkBox>
                </w:ffData>
              </w:fldChar>
            </w:r>
            <w:bookmarkStart w:id="46" w:name="Check3"/>
            <w:r w:rsidRPr="00FE326F">
              <w:rPr>
                <w:rFonts w:ascii="Arial Narrow" w:eastAsia="Calibri" w:hAnsi="Arial Narrow"/>
                <w:sz w:val="20"/>
                <w:szCs w:val="20"/>
              </w:rPr>
              <w:instrText xml:space="preserve"> FORMCHECKBOX </w:instrText>
            </w:r>
            <w:r w:rsidR="005116FF">
              <w:rPr>
                <w:rFonts w:ascii="Arial Narrow" w:eastAsia="Calibri" w:hAnsi="Arial Narrow"/>
                <w:sz w:val="20"/>
                <w:szCs w:val="20"/>
              </w:rPr>
            </w:r>
            <w:r w:rsidR="005116FF">
              <w:rPr>
                <w:rFonts w:ascii="Arial Narrow" w:eastAsia="Calibri" w:hAnsi="Arial Narrow"/>
                <w:sz w:val="20"/>
                <w:szCs w:val="20"/>
              </w:rPr>
              <w:fldChar w:fldCharType="separate"/>
            </w:r>
            <w:r w:rsidRPr="00FE326F">
              <w:rPr>
                <w:rFonts w:ascii="Arial Narrow" w:eastAsia="Calibri" w:hAnsi="Arial Narrow"/>
                <w:sz w:val="20"/>
                <w:szCs w:val="20"/>
              </w:rPr>
              <w:fldChar w:fldCharType="end"/>
            </w:r>
            <w:bookmarkEnd w:id="46"/>
            <w:r w:rsidRPr="00FE326F">
              <w:rPr>
                <w:rFonts w:ascii="Arial Narrow" w:eastAsia="Calibri" w:hAnsi="Arial Narrow"/>
                <w:sz w:val="20"/>
                <w:szCs w:val="20"/>
              </w:rPr>
              <w:t xml:space="preserve"> Authority Required – immediate/real-time assessment by Services Australia </w:t>
            </w:r>
          </w:p>
        </w:tc>
      </w:tr>
      <w:tr w:rsidR="008F5D97" w:rsidRPr="00CB5FAF" w:rsidTr="002C1672">
        <w:tblPrEx>
          <w:tblCellMar>
            <w:top w:w="15" w:type="dxa"/>
            <w:left w:w="15" w:type="dxa"/>
            <w:bottom w:w="15" w:type="dxa"/>
            <w:right w:w="15" w:type="dxa"/>
          </w:tblCellMar>
          <w:tblLook w:val="04A0" w:firstRow="1" w:lastRow="0" w:firstColumn="1" w:lastColumn="0" w:noHBand="0" w:noVBand="1"/>
        </w:tblPrEx>
        <w:tc>
          <w:tcPr>
            <w:tcW w:w="284" w:type="dxa"/>
            <w:vMerge w:val="restart"/>
            <w:textDirection w:val="btLr"/>
            <w:vAlign w:val="center"/>
          </w:tcPr>
          <w:p w:rsidR="008F5D97" w:rsidRPr="00FE326F" w:rsidRDefault="008F5D97" w:rsidP="002C1672">
            <w:pPr>
              <w:ind w:left="113" w:right="113"/>
              <w:jc w:val="center"/>
              <w:rPr>
                <w:rFonts w:ascii="Arial Narrow" w:hAnsi="Arial Narrow"/>
                <w:b/>
                <w:iCs/>
                <w:color w:val="333333"/>
                <w:sz w:val="20"/>
                <w:szCs w:val="20"/>
              </w:rPr>
            </w:pPr>
          </w:p>
        </w:tc>
        <w:tc>
          <w:tcPr>
            <w:tcW w:w="8788" w:type="dxa"/>
            <w:gridSpan w:val="6"/>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p>
          <w:p w:rsidR="008F5D97" w:rsidRPr="00FE326F" w:rsidRDefault="008F5D97" w:rsidP="002C1672">
            <w:pPr>
              <w:rPr>
                <w:rFonts w:ascii="Arial Narrow" w:hAnsi="Arial Narrow"/>
                <w:iCs/>
                <w:color w:val="333333"/>
                <w:sz w:val="20"/>
                <w:szCs w:val="20"/>
              </w:rPr>
            </w:pPr>
            <w:r w:rsidRPr="00FE326F">
              <w:rPr>
                <w:rFonts w:ascii="Arial Narrow" w:hAnsi="Arial Narrow"/>
                <w:iCs/>
                <w:color w:val="333333"/>
                <w:sz w:val="20"/>
                <w:szCs w:val="20"/>
              </w:rPr>
              <w:t>Instructions on the use of the Eczema Area and Severity Index and copyright details can be found here:</w:t>
            </w:r>
            <w:r w:rsidRPr="00FE326F">
              <w:rPr>
                <w:rFonts w:ascii="Arial Narrow" w:hAnsi="Arial Narrow"/>
                <w:iCs/>
                <w:color w:val="BFBFBF" w:themeColor="background1" w:themeShade="BF"/>
                <w:sz w:val="20"/>
                <w:szCs w:val="20"/>
              </w:rPr>
              <w:t xml:space="preserve"> </w:t>
            </w:r>
            <w:r w:rsidRPr="00FE326F">
              <w:rPr>
                <w:rFonts w:ascii="Arial Narrow" w:hAnsi="Arial Narrow"/>
                <w:iCs/>
                <w:color w:val="000000" w:themeColor="text1"/>
                <w:sz w:val="20"/>
                <w:szCs w:val="20"/>
              </w:rPr>
              <w:t>[insert sponsor-neutral location here or AbbVie contact details]</w:t>
            </w:r>
          </w:p>
        </w:tc>
      </w:tr>
      <w:tr w:rsidR="008F5D97" w:rsidRPr="00CB5FAF" w:rsidTr="002C1672">
        <w:tblPrEx>
          <w:tblCellMar>
            <w:top w:w="15" w:type="dxa"/>
            <w:left w:w="15" w:type="dxa"/>
            <w:bottom w:w="15" w:type="dxa"/>
            <w:right w:w="15" w:type="dxa"/>
          </w:tblCellMar>
          <w:tblLook w:val="04A0" w:firstRow="1" w:lastRow="0" w:firstColumn="1" w:lastColumn="0" w:noHBand="0" w:noVBand="1"/>
        </w:tblPrEx>
        <w:tc>
          <w:tcPr>
            <w:tcW w:w="284" w:type="dxa"/>
            <w:vMerge/>
            <w:vAlign w:val="center"/>
          </w:tcPr>
          <w:p w:rsidR="008F5D97" w:rsidRPr="00FE326F" w:rsidRDefault="008F5D97" w:rsidP="002C1672">
            <w:pPr>
              <w:jc w:val="center"/>
              <w:rPr>
                <w:rFonts w:ascii="Arial Narrow" w:hAnsi="Arial Narrow"/>
                <w:iCs/>
                <w:color w:val="333333"/>
                <w:sz w:val="20"/>
                <w:szCs w:val="20"/>
              </w:rPr>
            </w:pPr>
          </w:p>
        </w:tc>
        <w:tc>
          <w:tcPr>
            <w:tcW w:w="8788" w:type="dxa"/>
            <w:gridSpan w:val="6"/>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p>
          <w:p w:rsidR="008F5D97" w:rsidRPr="00FE326F" w:rsidRDefault="008F5D97" w:rsidP="002C1672">
            <w:pPr>
              <w:rPr>
                <w:rFonts w:ascii="Arial Narrow" w:hAnsi="Arial Narrow"/>
                <w:iCs/>
                <w:color w:val="333333"/>
                <w:sz w:val="20"/>
                <w:szCs w:val="20"/>
              </w:rPr>
            </w:pPr>
            <w:r w:rsidRPr="00FE326F">
              <w:rPr>
                <w:rFonts w:ascii="Arial Narrow" w:hAnsi="Arial Narrow"/>
                <w:iCs/>
                <w:color w:val="333333"/>
                <w:sz w:val="20"/>
                <w:szCs w:val="20"/>
              </w:rPr>
              <w:t>Instructions on the use of the Dermatology Life Quality Index and copyright details can be found here:</w:t>
            </w:r>
          </w:p>
          <w:p w:rsidR="008F5D97" w:rsidRPr="00FE326F" w:rsidRDefault="008F5D97" w:rsidP="002C1672">
            <w:pPr>
              <w:rPr>
                <w:rFonts w:ascii="Arial Narrow" w:hAnsi="Arial Narrow"/>
                <w:iCs/>
                <w:color w:val="333333"/>
                <w:sz w:val="20"/>
                <w:szCs w:val="20"/>
              </w:rPr>
            </w:pPr>
            <w:r w:rsidRPr="00FE326F">
              <w:rPr>
                <w:rFonts w:ascii="Arial Narrow" w:hAnsi="Arial Narrow"/>
                <w:iCs/>
                <w:color w:val="333333"/>
                <w:sz w:val="20"/>
                <w:szCs w:val="20"/>
              </w:rPr>
              <w:t>https://www.cardiff.ac.uk/medicine/resources/quality-of-life-questionnaires/dermatology-life-quality-index</w:t>
            </w:r>
          </w:p>
        </w:tc>
      </w:tr>
      <w:tr w:rsidR="008F5D97" w:rsidRPr="00CB5FAF" w:rsidTr="002C1672">
        <w:tblPrEx>
          <w:tblCellMar>
            <w:top w:w="15" w:type="dxa"/>
            <w:left w:w="15" w:type="dxa"/>
            <w:bottom w:w="15" w:type="dxa"/>
            <w:right w:w="15" w:type="dxa"/>
          </w:tblCellMar>
          <w:tblLook w:val="04A0" w:firstRow="1" w:lastRow="0" w:firstColumn="1" w:lastColumn="0" w:noHBand="0" w:noVBand="1"/>
        </w:tblPrEx>
        <w:tc>
          <w:tcPr>
            <w:tcW w:w="284" w:type="dxa"/>
            <w:vMerge/>
            <w:vAlign w:val="center"/>
          </w:tcPr>
          <w:p w:rsidR="008F5D97" w:rsidRPr="00FE326F" w:rsidRDefault="008F5D97" w:rsidP="002C1672">
            <w:pPr>
              <w:jc w:val="center"/>
              <w:rPr>
                <w:rFonts w:ascii="Arial Narrow" w:hAnsi="Arial Narrow"/>
                <w:iCs/>
                <w:color w:val="333333"/>
                <w:sz w:val="20"/>
                <w:szCs w:val="20"/>
              </w:rPr>
            </w:pPr>
          </w:p>
        </w:tc>
        <w:tc>
          <w:tcPr>
            <w:tcW w:w="8788" w:type="dxa"/>
            <w:gridSpan w:val="6"/>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p>
          <w:p w:rsidR="008F5D97" w:rsidRPr="00FE326F" w:rsidRDefault="008F5D97" w:rsidP="002C1672">
            <w:pPr>
              <w:rPr>
                <w:rFonts w:ascii="Arial Narrow" w:hAnsi="Arial Narrow"/>
                <w:iCs/>
                <w:color w:val="333333"/>
                <w:sz w:val="20"/>
                <w:szCs w:val="20"/>
              </w:rPr>
            </w:pPr>
            <w:r w:rsidRPr="00FE326F">
              <w:rPr>
                <w:rFonts w:ascii="Arial Narrow" w:hAnsi="Arial Narrow"/>
                <w:iCs/>
                <w:color w:val="333333"/>
                <w:sz w:val="20"/>
                <w:szCs w:val="20"/>
              </w:rPr>
              <w:t>Applications for authorisation under this restriction may be made in real time using the Online PBS Authorities system (see www.servicesaustralia.gov.au/HPOS) or by telephone by contacting Services Australia on 1800 888 333.</w:t>
            </w:r>
          </w:p>
        </w:tc>
      </w:tr>
      <w:tr w:rsidR="008F5D97" w:rsidRPr="00CB5FAF" w:rsidTr="002C1672">
        <w:tblPrEx>
          <w:tblCellMar>
            <w:top w:w="15" w:type="dxa"/>
            <w:left w:w="15" w:type="dxa"/>
            <w:bottom w:w="15" w:type="dxa"/>
            <w:right w:w="15" w:type="dxa"/>
          </w:tblCellMar>
          <w:tblLook w:val="04A0" w:firstRow="1" w:lastRow="0" w:firstColumn="1" w:lastColumn="0" w:noHBand="0" w:noVBand="1"/>
        </w:tblPrEx>
        <w:tc>
          <w:tcPr>
            <w:tcW w:w="284" w:type="dxa"/>
            <w:vMerge/>
            <w:vAlign w:val="center"/>
          </w:tcPr>
          <w:p w:rsidR="008F5D97" w:rsidRPr="00FE326F" w:rsidRDefault="008F5D97" w:rsidP="002C1672">
            <w:pPr>
              <w:jc w:val="center"/>
              <w:rPr>
                <w:rFonts w:ascii="Arial Narrow" w:hAnsi="Arial Narrow"/>
                <w:iCs/>
                <w:color w:val="333333"/>
                <w:sz w:val="20"/>
                <w:szCs w:val="20"/>
              </w:rPr>
            </w:pPr>
          </w:p>
        </w:tc>
        <w:tc>
          <w:tcPr>
            <w:tcW w:w="8788" w:type="dxa"/>
            <w:gridSpan w:val="6"/>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r w:rsidRPr="00FE326F">
              <w:rPr>
                <w:rFonts w:ascii="Arial Narrow" w:hAnsi="Arial Narrow"/>
                <w:iCs/>
                <w:color w:val="333333"/>
                <w:sz w:val="20"/>
                <w:szCs w:val="20"/>
              </w:rPr>
              <w:t xml:space="preserve"> No increase in the maximum quantity or number of units may be authorised.</w:t>
            </w:r>
          </w:p>
        </w:tc>
      </w:tr>
      <w:tr w:rsidR="008F5D97" w:rsidRPr="00CB5FAF" w:rsidTr="002C1672">
        <w:tblPrEx>
          <w:tblCellMar>
            <w:top w:w="15" w:type="dxa"/>
            <w:left w:w="15" w:type="dxa"/>
            <w:bottom w:w="15" w:type="dxa"/>
            <w:right w:w="15" w:type="dxa"/>
          </w:tblCellMar>
          <w:tblLook w:val="04A0" w:firstRow="1" w:lastRow="0" w:firstColumn="1" w:lastColumn="0" w:noHBand="0" w:noVBand="1"/>
        </w:tblPrEx>
        <w:tc>
          <w:tcPr>
            <w:tcW w:w="284" w:type="dxa"/>
            <w:vMerge/>
            <w:vAlign w:val="center"/>
          </w:tcPr>
          <w:p w:rsidR="008F5D97" w:rsidRPr="00FE326F" w:rsidRDefault="008F5D97" w:rsidP="002C1672">
            <w:pPr>
              <w:jc w:val="center"/>
              <w:rPr>
                <w:rFonts w:ascii="Arial Narrow" w:hAnsi="Arial Narrow"/>
                <w:iCs/>
                <w:color w:val="333333"/>
                <w:sz w:val="20"/>
                <w:szCs w:val="20"/>
              </w:rPr>
            </w:pPr>
          </w:p>
        </w:tc>
        <w:tc>
          <w:tcPr>
            <w:tcW w:w="8788" w:type="dxa"/>
            <w:gridSpan w:val="6"/>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r w:rsidRPr="00FE326F">
              <w:rPr>
                <w:rFonts w:ascii="Arial Narrow" w:hAnsi="Arial Narrow"/>
                <w:iCs/>
                <w:color w:val="333333"/>
                <w:sz w:val="20"/>
                <w:szCs w:val="20"/>
              </w:rPr>
              <w:t xml:space="preserve"> No increase in the maximum number of repeats may be authorised.</w:t>
            </w:r>
          </w:p>
        </w:tc>
      </w:tr>
      <w:tr w:rsidR="008F5D97" w:rsidRPr="00CB5FAF" w:rsidTr="002C1672">
        <w:tblPrEx>
          <w:tblCellMar>
            <w:top w:w="15" w:type="dxa"/>
            <w:left w:w="15" w:type="dxa"/>
            <w:bottom w:w="15" w:type="dxa"/>
            <w:right w:w="15" w:type="dxa"/>
          </w:tblCellMar>
          <w:tblLook w:val="04A0" w:firstRow="1" w:lastRow="0" w:firstColumn="1" w:lastColumn="0" w:noHBand="0" w:noVBand="1"/>
        </w:tblPrEx>
        <w:tc>
          <w:tcPr>
            <w:tcW w:w="284" w:type="dxa"/>
            <w:vMerge/>
            <w:tcBorders>
              <w:bottom w:val="single" w:sz="4" w:space="0" w:color="auto"/>
            </w:tcBorders>
            <w:vAlign w:val="center"/>
          </w:tcPr>
          <w:p w:rsidR="008F5D97" w:rsidRPr="00FE326F" w:rsidRDefault="008F5D97" w:rsidP="002C1672">
            <w:pPr>
              <w:jc w:val="center"/>
              <w:rPr>
                <w:rFonts w:ascii="Arial Narrow" w:hAnsi="Arial Narrow"/>
                <w:iCs/>
                <w:color w:val="333333"/>
                <w:sz w:val="20"/>
                <w:szCs w:val="20"/>
              </w:rPr>
            </w:pPr>
          </w:p>
        </w:tc>
        <w:tc>
          <w:tcPr>
            <w:tcW w:w="8788" w:type="dxa"/>
            <w:gridSpan w:val="6"/>
            <w:tcBorders>
              <w:bottom w:val="single" w:sz="4" w:space="0" w:color="auto"/>
            </w:tcBorders>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r w:rsidRPr="00FE326F">
              <w:rPr>
                <w:rFonts w:ascii="Arial Narrow" w:hAnsi="Arial Narrow"/>
                <w:iCs/>
                <w:color w:val="333333"/>
                <w:sz w:val="20"/>
                <w:szCs w:val="20"/>
              </w:rPr>
              <w:t xml:space="preserve"> Special Pricing Arrangements apply.</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Indication:</w:t>
            </w:r>
            <w:r w:rsidRPr="00FE326F">
              <w:rPr>
                <w:rFonts w:ascii="Arial Narrow" w:hAnsi="Arial Narrow"/>
                <w:color w:val="333333"/>
                <w:sz w:val="20"/>
                <w:szCs w:val="20"/>
              </w:rPr>
              <w:t xml:space="preserve"> Chronic severe atopic dermatitis</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Phase:</w:t>
            </w:r>
            <w:r w:rsidRPr="00FE326F">
              <w:rPr>
                <w:rFonts w:ascii="Arial Narrow" w:hAnsi="Arial Narrow"/>
                <w:color w:val="333333"/>
                <w:sz w:val="20"/>
                <w:szCs w:val="20"/>
              </w:rPr>
              <w:t xml:space="preserve"> Initial treatment of the whole body</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a Physicians Global Assessment (PGA) (5-point scale) baseline score of at least 4 as evidence of severe disease despite treatment with daily topical therapy (corticosteroid of medium to high potency/calcineurin inhibitor), for at least 28 days</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an Eczema Area and Severity Index (EASI) baseline score of at least 20 despite treatment with daily topical therapy (corticosteroid of medium to high potency/calcineurin inhibitor), for at least 28 days</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jc w:val="left"/>
              <w:rPr>
                <w:rFonts w:ascii="Arial Narrow" w:hAnsi="Arial Narrow"/>
                <w:color w:val="333333"/>
                <w:sz w:val="20"/>
                <w:szCs w:val="20"/>
              </w:rPr>
            </w:pPr>
            <w:r w:rsidRPr="00FE326F">
              <w:rPr>
                <w:rFonts w:ascii="Arial Narrow" w:hAnsi="Arial Narrow"/>
                <w:color w:val="333333"/>
                <w:sz w:val="20"/>
                <w:szCs w:val="20"/>
              </w:rPr>
              <w:t>The condition must have had lesions for at least 6 months from the time of the initial diagnosis of chronic severe atopic dermatitis affecting either of: (i) the whole body, (ii) face/hands</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The treatment must be the sole PBS-subsidised biological medicine for this PBS indication.</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not have experienced an inadequate response to this biological medicine in this PBS indication</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dermatologist; or</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clinical immunologist</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Population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be 12 years of age or older</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961994">
              <w:rPr>
                <w:rFonts w:ascii="Arial Narrow" w:hAnsi="Arial Narrow"/>
                <w:color w:val="333333"/>
                <w:sz w:val="20"/>
                <w:szCs w:val="20"/>
              </w:rPr>
              <w:t>Patients must be initiated on</w:t>
            </w:r>
            <w:r>
              <w:rPr>
                <w:rFonts w:ascii="Arial Narrow" w:hAnsi="Arial Narrow"/>
                <w:color w:val="333333"/>
                <w:sz w:val="20"/>
                <w:szCs w:val="20"/>
              </w:rPr>
              <w:t xml:space="preserve"> a dose of</w:t>
            </w:r>
            <w:r w:rsidRPr="00961994">
              <w:rPr>
                <w:rFonts w:ascii="Arial Narrow" w:hAnsi="Arial Narrow"/>
                <w:color w:val="333333"/>
                <w:sz w:val="20"/>
                <w:szCs w:val="20"/>
              </w:rPr>
              <w:t xml:space="preserve"> 15 mg per day and adult patients aged less than 65 years may increase to 30 mg </w:t>
            </w:r>
            <w:r>
              <w:rPr>
                <w:rFonts w:ascii="Arial Narrow" w:hAnsi="Arial Narrow"/>
                <w:color w:val="333333"/>
                <w:sz w:val="20"/>
                <w:szCs w:val="20"/>
              </w:rPr>
              <w:t>per day</w:t>
            </w:r>
            <w:r w:rsidRPr="00961994">
              <w:rPr>
                <w:rFonts w:ascii="Arial Narrow" w:hAnsi="Arial Narrow"/>
                <w:color w:val="333333"/>
                <w:sz w:val="20"/>
                <w:szCs w:val="20"/>
              </w:rPr>
              <w:t xml:space="preserve"> after 4 weeks, if clinically warranted</w:t>
            </w:r>
            <w:r>
              <w:rPr>
                <w:rFonts w:ascii="Arial Narrow" w:hAnsi="Arial Narrow"/>
                <w:color w:val="333333"/>
                <w:sz w:val="20"/>
                <w:szCs w:val="20"/>
              </w:rPr>
              <w:t>.</w:t>
            </w:r>
          </w:p>
        </w:tc>
      </w:tr>
      <w:tr w:rsidR="008F5D97" w:rsidRPr="00FE326F"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jc w:val="left"/>
              <w:rPr>
                <w:rFonts w:ascii="Arial Narrow" w:hAnsi="Arial Narrow"/>
                <w:color w:val="333333"/>
                <w:sz w:val="20"/>
                <w:szCs w:val="20"/>
              </w:rPr>
            </w:pPr>
            <w:r w:rsidRPr="00FE326F">
              <w:rPr>
                <w:rFonts w:ascii="Arial Narrow" w:hAnsi="Arial Narrow"/>
                <w:color w:val="333333"/>
                <w:sz w:val="20"/>
                <w:szCs w:val="20"/>
              </w:rPr>
              <w:t>State each of the qualifying PGA, EASI and DLQI scores in the authority application if this is the first time the patient is being treated with a biological/immunomodulatory medicine for this PBS indication. Past baseline measurements need not be repeated. Baseline scores must have been measured within the 4 weeks immediately prior to the first biological/immunomodulatory medicine prescribed for this PBS indication for this patient. The name/s of the medium to high potency topical corticosteroids trialled prior to commencing treatment with this biological medicine is/are to be documented in the patient's medical records.</w:t>
            </w:r>
          </w:p>
          <w:p w:rsidR="008F5D97" w:rsidRPr="00FE326F" w:rsidRDefault="008F5D97" w:rsidP="002C1672">
            <w:pPr>
              <w:rPr>
                <w:rFonts w:ascii="Arial Narrow" w:hAnsi="Arial Narrow"/>
                <w:b/>
                <w:bCs/>
                <w:color w:val="333333"/>
                <w:sz w:val="20"/>
                <w:szCs w:val="20"/>
              </w:rPr>
            </w:pPr>
            <w:r w:rsidRPr="00FE326F">
              <w:rPr>
                <w:rFonts w:ascii="Arial Narrow" w:hAnsi="Arial Narrow"/>
                <w:color w:val="333333"/>
                <w:sz w:val="20"/>
                <w:szCs w:val="20"/>
              </w:rPr>
              <w:t>The EASI and DLQI baseline measurements are to form the basis of determining if an adequate response to treatment has been achieved under the Continuing treatment restriction.</w:t>
            </w:r>
          </w:p>
        </w:tc>
      </w:tr>
      <w:tr w:rsidR="008F5D97" w:rsidRPr="00FE326F"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iCs/>
                <w:color w:val="333333"/>
                <w:sz w:val="20"/>
                <w:szCs w:val="20"/>
              </w:rPr>
            </w:pPr>
            <w:r w:rsidRPr="00FE326F">
              <w:rPr>
                <w:rFonts w:ascii="Arial Narrow" w:hAnsi="Arial Narrow"/>
                <w:b/>
                <w:bCs/>
                <w:iCs/>
                <w:color w:val="333333"/>
                <w:sz w:val="20"/>
                <w:szCs w:val="20"/>
              </w:rPr>
              <w:t>Administrative Advice:</w:t>
            </w:r>
          </w:p>
          <w:p w:rsidR="008F5D97" w:rsidRPr="00FE326F" w:rsidRDefault="008F5D97" w:rsidP="002C1672">
            <w:pPr>
              <w:rPr>
                <w:rFonts w:ascii="Arial Narrow" w:hAnsi="Arial Narrow"/>
                <w:iCs/>
                <w:color w:val="333333"/>
                <w:sz w:val="20"/>
                <w:szCs w:val="20"/>
              </w:rPr>
            </w:pPr>
            <w:r w:rsidRPr="00FE326F">
              <w:rPr>
                <w:rFonts w:ascii="Arial Narrow" w:hAnsi="Arial Narrow"/>
                <w:iCs/>
                <w:color w:val="333333"/>
                <w:sz w:val="20"/>
                <w:szCs w:val="20"/>
              </w:rPr>
              <w:t xml:space="preserve">Instructions on the use of the Physician's Global Assessment (5-point scale) can be obtained from </w:t>
            </w:r>
            <w:r w:rsidRPr="00FE326F">
              <w:rPr>
                <w:rFonts w:ascii="Arial Narrow" w:hAnsi="Arial Narrow"/>
                <w:iCs/>
                <w:color w:val="000000" w:themeColor="text1"/>
                <w:sz w:val="20"/>
                <w:szCs w:val="20"/>
              </w:rPr>
              <w:t>[insert sponsor-neutral location here or AbbVie contact details]</w:t>
            </w:r>
          </w:p>
        </w:tc>
      </w:tr>
      <w:tr w:rsidR="008F5D97" w:rsidRPr="00FE326F"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8F5D97" w:rsidRPr="00FE326F" w:rsidRDefault="008F5D97" w:rsidP="002C1672">
            <w:pPr>
              <w:rPr>
                <w:rFonts w:ascii="Arial Narrow" w:hAnsi="Arial Narrow"/>
                <w:b/>
                <w:bCs/>
                <w:iCs/>
                <w:color w:val="333333"/>
                <w:sz w:val="20"/>
                <w:szCs w:val="20"/>
              </w:rPr>
            </w:pPr>
            <w:r w:rsidRPr="00FE326F">
              <w:rPr>
                <w:rFonts w:ascii="Arial Narrow" w:hAnsi="Arial Narrow"/>
                <w:b/>
                <w:bCs/>
                <w:iCs/>
                <w:color w:val="333333"/>
                <w:sz w:val="20"/>
                <w:szCs w:val="20"/>
              </w:rPr>
              <w:t>Administrative Advice:</w:t>
            </w:r>
          </w:p>
          <w:p w:rsidR="008F5D97" w:rsidRPr="00FE326F" w:rsidRDefault="008F5D97" w:rsidP="002C1672">
            <w:pPr>
              <w:rPr>
                <w:rFonts w:ascii="Arial Narrow" w:hAnsi="Arial Narrow"/>
                <w:bCs/>
                <w:iCs/>
                <w:color w:val="333333"/>
                <w:sz w:val="20"/>
                <w:szCs w:val="20"/>
              </w:rPr>
            </w:pPr>
            <w:r w:rsidRPr="00FE326F">
              <w:rPr>
                <w:rFonts w:ascii="Arial Narrow" w:hAnsi="Arial Narrow"/>
                <w:bCs/>
                <w:iCs/>
                <w:color w:val="333333"/>
                <w:sz w:val="20"/>
                <w:szCs w:val="20"/>
              </w:rPr>
              <w:t>Where the full number of stated repeat prescriptions was not sought in the original prescription, the balance of the repeats can be sought under this treatment phase listing.</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tcPr>
          <w:p w:rsidR="008F5D97" w:rsidRPr="00FE326F" w:rsidRDefault="008F5D97" w:rsidP="002C1672">
            <w:pPr>
              <w:rPr>
                <w:rFonts w:ascii="Arial Narrow" w:hAnsi="Arial Narrow"/>
                <w:b/>
                <w:bCs/>
                <w:color w:val="333333"/>
                <w:sz w:val="20"/>
                <w:szCs w:val="20"/>
              </w:rPr>
            </w:pPr>
          </w:p>
          <w:p w:rsidR="008F5D97" w:rsidRPr="00FE326F" w:rsidRDefault="008F5D97" w:rsidP="002C1672">
            <w:pPr>
              <w:rPr>
                <w:rFonts w:ascii="Arial Narrow" w:hAnsi="Arial Narrow"/>
                <w:b/>
                <w:bCs/>
                <w:color w:val="333333"/>
                <w:sz w:val="20"/>
                <w:szCs w:val="20"/>
              </w:rPr>
            </w:pPr>
          </w:p>
        </w:tc>
      </w:tr>
      <w:tr w:rsidR="008F5D97" w:rsidRPr="00FE326F"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tcPr>
          <w:p w:rsidR="008F5D97" w:rsidRPr="00FE326F" w:rsidRDefault="008F5D97" w:rsidP="002C1672">
            <w:pPr>
              <w:rPr>
                <w:rFonts w:ascii="Arial Narrow" w:hAnsi="Arial Narrow"/>
                <w:b/>
                <w:bCs/>
                <w:color w:val="333333"/>
                <w:sz w:val="20"/>
                <w:szCs w:val="20"/>
              </w:rPr>
            </w:pPr>
            <w:r w:rsidRPr="00FE326F">
              <w:rPr>
                <w:rFonts w:ascii="Arial Narrow" w:hAnsi="Arial Narrow"/>
                <w:b/>
                <w:bCs/>
                <w:color w:val="333333"/>
                <w:sz w:val="20"/>
                <w:szCs w:val="20"/>
                <w:lang w:val="en-GB"/>
              </w:rPr>
              <w:t>Restriction Summary: New (</w:t>
            </w:r>
            <w:r w:rsidRPr="00FE326F">
              <w:rPr>
                <w:rFonts w:ascii="Arial Narrow" w:hAnsi="Arial Narrow"/>
                <w:bCs/>
                <w:color w:val="333333"/>
                <w:sz w:val="20"/>
                <w:szCs w:val="20"/>
                <w:lang w:val="en-GB"/>
              </w:rPr>
              <w:t>based on 11490</w:t>
            </w:r>
            <w:r w:rsidRPr="00FE326F">
              <w:rPr>
                <w:rFonts w:ascii="Arial Narrow" w:hAnsi="Arial Narrow"/>
                <w:b/>
                <w:bCs/>
                <w:color w:val="333333"/>
                <w:sz w:val="20"/>
                <w:szCs w:val="20"/>
                <w:lang w:val="en-GB"/>
              </w:rPr>
              <w:t xml:space="preserve">) / ToC: New </w:t>
            </w:r>
            <w:r w:rsidRPr="00FE326F">
              <w:rPr>
                <w:rFonts w:ascii="Arial Narrow" w:hAnsi="Arial Narrow"/>
                <w:bCs/>
                <w:color w:val="333333"/>
                <w:sz w:val="20"/>
                <w:szCs w:val="20"/>
                <w:lang w:val="en-GB"/>
              </w:rPr>
              <w:t>(based on 11480 attached to dupilumumab as at 1 April 2021)</w:t>
            </w:r>
            <w:r w:rsidRPr="00FE326F">
              <w:rPr>
                <w:rFonts w:ascii="Arial Narrow" w:hAnsi="Arial Narrow"/>
                <w:b/>
                <w:bCs/>
                <w:color w:val="333333"/>
                <w:sz w:val="20"/>
                <w:szCs w:val="20"/>
                <w:lang w:val="en-GB"/>
              </w:rPr>
              <w:t xml:space="preserve">  </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Indication:</w:t>
            </w:r>
            <w:r w:rsidRPr="00FE326F">
              <w:rPr>
                <w:rFonts w:ascii="Arial Narrow" w:hAnsi="Arial Narrow"/>
                <w:color w:val="333333"/>
                <w:sz w:val="20"/>
                <w:szCs w:val="20"/>
              </w:rPr>
              <w:t xml:space="preserve"> Chronic severe atopic dermatitis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Phase:</w:t>
            </w:r>
            <w:r w:rsidRPr="00FE326F">
              <w:rPr>
                <w:rFonts w:ascii="Arial Narrow" w:hAnsi="Arial Narrow"/>
                <w:color w:val="333333"/>
                <w:sz w:val="20"/>
                <w:szCs w:val="20"/>
              </w:rPr>
              <w:t xml:space="preserve"> Initial treatment of the face and/or hands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jc w:val="left"/>
              <w:rPr>
                <w:rFonts w:ascii="Arial Narrow" w:hAnsi="Arial Narrow"/>
                <w:color w:val="333333"/>
                <w:sz w:val="20"/>
                <w:szCs w:val="20"/>
              </w:rPr>
            </w:pPr>
            <w:r w:rsidRPr="00FE326F">
              <w:rPr>
                <w:rFonts w:ascii="Arial Narrow" w:hAnsi="Arial Narrow"/>
                <w:color w:val="333333"/>
                <w:sz w:val="20"/>
                <w:szCs w:val="20"/>
              </w:rPr>
              <w:t>The condition must have at least 2 of the following Eczema Area and Severity Index (EASI) symptom sub-scores for erythema, oedema/papulation, excoriation, lichenification rated as severe despite treatment with daily topical therapy (corticosteroid of medium to high potency/calcineurin inhibitor), for at least 28 days;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The condition must have affected at least 30% of the face/hands surface area despite treatment with daily topical therapy (corticosteroid of medium to high potency/calcineurin inhibitor), for at least 28 days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an age appropriate Dermatology Life Quality Index (DLQI) baseline score (of any value) measured following treatment with daily topical therapy (corticosteroid of medium to high potency/calcineurin inhibitor), for at least 28 days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The condition must have had lesions for at least 6 months from the time of the initial diagnosis of chronic severe atopic dermatitis affecting either of: (i) the whole body, (ii) face/hands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treatment must be the sole PBS-subsidised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 for this PBS indication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not have experienced an inadequate response to this </w:t>
            </w:r>
            <w:r w:rsidRPr="006C1C78">
              <w:rPr>
                <w:rFonts w:ascii="Arial Narrow" w:hAnsi="Arial Narrow"/>
                <w:color w:val="333333"/>
                <w:sz w:val="20"/>
                <w:szCs w:val="20"/>
              </w:rPr>
              <w:t>biological</w:t>
            </w:r>
            <w:r w:rsidRPr="00FE326F">
              <w:rPr>
                <w:rFonts w:ascii="Arial Narrow" w:hAnsi="Arial Narrow"/>
                <w:color w:val="333333"/>
                <w:sz w:val="20"/>
                <w:szCs w:val="20"/>
              </w:rPr>
              <w:t xml:space="preserve"> medicine in this PBS indication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dermatologist;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clinical immunologist</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Population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be 12 years of age or older</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961994">
              <w:rPr>
                <w:rFonts w:ascii="Arial Narrow" w:hAnsi="Arial Narrow"/>
                <w:color w:val="333333"/>
                <w:sz w:val="20"/>
                <w:szCs w:val="20"/>
              </w:rPr>
              <w:t>Patients must be initiated on</w:t>
            </w:r>
            <w:r>
              <w:rPr>
                <w:rFonts w:ascii="Arial Narrow" w:hAnsi="Arial Narrow"/>
                <w:color w:val="333333"/>
                <w:sz w:val="20"/>
                <w:szCs w:val="20"/>
              </w:rPr>
              <w:t xml:space="preserve"> a dose of</w:t>
            </w:r>
            <w:r w:rsidRPr="00961994">
              <w:rPr>
                <w:rFonts w:ascii="Arial Narrow" w:hAnsi="Arial Narrow"/>
                <w:color w:val="333333"/>
                <w:sz w:val="20"/>
                <w:szCs w:val="20"/>
              </w:rPr>
              <w:t xml:space="preserve"> 15 mg per day and adult patients aged less than 65 years may increase to 30 mg </w:t>
            </w:r>
            <w:r>
              <w:rPr>
                <w:rFonts w:ascii="Arial Narrow" w:hAnsi="Arial Narrow"/>
                <w:color w:val="333333"/>
                <w:sz w:val="20"/>
                <w:szCs w:val="20"/>
              </w:rPr>
              <w:t>per day</w:t>
            </w:r>
            <w:r w:rsidRPr="00961994">
              <w:rPr>
                <w:rFonts w:ascii="Arial Narrow" w:hAnsi="Arial Narrow"/>
                <w:color w:val="333333"/>
                <w:sz w:val="20"/>
                <w:szCs w:val="20"/>
              </w:rPr>
              <w:t xml:space="preserve"> after 4 weeks, if clinically warranted</w:t>
            </w:r>
            <w:r>
              <w:rPr>
                <w:rFonts w:ascii="Arial Narrow" w:hAnsi="Arial Narrow"/>
                <w:color w:val="333333"/>
                <w:sz w:val="20"/>
                <w:szCs w:val="20"/>
              </w:rPr>
              <w:t>.</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State each of the 4 Eczema Area and Severity Index (EASI) symptom sub-score ratings for erythema, oedema/papulation, excoriation, lichenification, in the authority application. </w:t>
            </w:r>
            <w:r w:rsidRPr="00FE326F">
              <w:rPr>
                <w:rFonts w:ascii="Arial Narrow" w:hAnsi="Arial Narrow"/>
                <w:iCs/>
                <w:color w:val="333333"/>
                <w:sz w:val="20"/>
                <w:szCs w:val="20"/>
              </w:rPr>
              <w:t>Past baseline measurements need not be repeated. Baseline scores must have been measured within the 4 weeks immediately prior to the first biological/immunomodulatory medicine prescribed for this PBS indication for this patient</w:t>
            </w:r>
            <w:r w:rsidRPr="00FE326F">
              <w:rPr>
                <w:rFonts w:ascii="Arial Narrow" w:hAnsi="Arial Narrow"/>
                <w:color w:val="333333"/>
                <w:sz w:val="20"/>
                <w:szCs w:val="20"/>
              </w:rPr>
              <w:t>. The name/s of the medium to high potency topical corticosteroids trialled prior to commencing treatment with this biological medicine is/are to be documented in the patient's medical records.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tcPr>
          <w:p w:rsidR="008F5D97" w:rsidRPr="00FE326F" w:rsidRDefault="008F5D97" w:rsidP="002C1672">
            <w:pPr>
              <w:rPr>
                <w:rFonts w:ascii="Arial Narrow" w:hAnsi="Arial Narrow"/>
                <w:b/>
                <w:bCs/>
                <w:color w:val="333333"/>
                <w:sz w:val="20"/>
                <w:szCs w:val="20"/>
              </w:rPr>
            </w:pPr>
          </w:p>
          <w:p w:rsidR="008F5D97" w:rsidRPr="00FE326F" w:rsidRDefault="008F5D97" w:rsidP="002C1672">
            <w:pPr>
              <w:rPr>
                <w:rFonts w:ascii="Arial Narrow" w:hAnsi="Arial Narrow"/>
                <w:b/>
                <w:bCs/>
                <w:color w:val="333333"/>
                <w:sz w:val="20"/>
                <w:szCs w:val="20"/>
              </w:rPr>
            </w:pPr>
          </w:p>
        </w:tc>
      </w:tr>
      <w:tr w:rsidR="008F5D97" w:rsidRPr="00FE326F"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tcPr>
          <w:p w:rsidR="008F5D97" w:rsidRPr="00FE326F" w:rsidRDefault="008F5D97" w:rsidP="002C1672">
            <w:pPr>
              <w:rPr>
                <w:rFonts w:ascii="Arial Narrow" w:hAnsi="Arial Narrow"/>
                <w:b/>
                <w:bCs/>
                <w:color w:val="333333"/>
                <w:sz w:val="20"/>
                <w:szCs w:val="20"/>
              </w:rPr>
            </w:pPr>
            <w:r w:rsidRPr="00FE326F">
              <w:rPr>
                <w:rFonts w:ascii="Arial Narrow" w:hAnsi="Arial Narrow"/>
                <w:b/>
                <w:bCs/>
                <w:color w:val="333333"/>
                <w:sz w:val="20"/>
                <w:szCs w:val="20"/>
                <w:lang w:val="en-GB"/>
              </w:rPr>
              <w:t xml:space="preserve">Restriction Summary: New </w:t>
            </w:r>
            <w:r w:rsidRPr="00FE326F">
              <w:rPr>
                <w:rFonts w:ascii="Arial Narrow" w:hAnsi="Arial Narrow"/>
                <w:bCs/>
                <w:color w:val="333333"/>
                <w:sz w:val="20"/>
                <w:szCs w:val="20"/>
                <w:lang w:val="en-GB"/>
              </w:rPr>
              <w:t>(based on 11504)</w:t>
            </w:r>
            <w:r w:rsidRPr="00FE326F">
              <w:rPr>
                <w:rFonts w:ascii="Arial Narrow" w:hAnsi="Arial Narrow"/>
                <w:b/>
                <w:bCs/>
                <w:color w:val="333333"/>
                <w:sz w:val="20"/>
                <w:szCs w:val="20"/>
                <w:lang w:val="en-GB"/>
              </w:rPr>
              <w:t xml:space="preserve"> / ToC: New (</w:t>
            </w:r>
            <w:r w:rsidRPr="00FE326F">
              <w:rPr>
                <w:rFonts w:ascii="Arial Narrow" w:hAnsi="Arial Narrow"/>
                <w:bCs/>
                <w:color w:val="333333"/>
                <w:sz w:val="20"/>
                <w:szCs w:val="20"/>
                <w:lang w:val="en-GB"/>
              </w:rPr>
              <w:t>based on 11425 attached to dupilumab as at 1 April 2021)</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Indication:</w:t>
            </w:r>
            <w:r w:rsidRPr="00FE326F">
              <w:rPr>
                <w:rFonts w:ascii="Arial Narrow" w:hAnsi="Arial Narrow"/>
                <w:color w:val="333333"/>
                <w:sz w:val="20"/>
                <w:szCs w:val="20"/>
              </w:rPr>
              <w:t xml:space="preserve"> Chronic severe atopic dermatitis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Phase:</w:t>
            </w:r>
            <w:r w:rsidRPr="00FE326F">
              <w:rPr>
                <w:rFonts w:ascii="Arial Narrow" w:hAnsi="Arial Narrow"/>
                <w:color w:val="333333"/>
                <w:sz w:val="20"/>
                <w:szCs w:val="20"/>
              </w:rPr>
              <w:t xml:space="preserve"> Transitioning from non-PBS to PBS-subsidised supply - treatment of the whole body (Grandfather listing)</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been receiving treatment with this drug for this PBS indication prior to [1 Month 20XX – insert listing date here]</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had a Physicians Global Assessment (PGA) baseline score of at least 4 as evidence of severe disease despite treatment with daily topical therapy (corticosteroid of medium to high potency/calcineurin inhibitor), for at least 28 days prior to commencing non-PBS-subsidised therapy with this biological medicine</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have had an Eczema Area and Severity Index (EASI) baseline score of at least 20 despite treatment with daily topical therapy (corticosteroid of medium to high potency/calcineurin inhibitor), for at least 28 days prior to commencing non-PBS-subsidised therapy with this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have an age appropriate Dermatology Life Quality Index (DLQI) baseline score (of any value) measured following treatment with daily topical therapy (corticosteroid of medium to high potency/calcineurin inhibitor), for at least 28 days, prior to having commenced non-PBS-subsidised therapy with this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where the above baseline DLQI was not recorded in the patient’s medical records, a current age-appropriate DLQI score (of any value) measured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condition must have had lesions for at least 6 months from the time of the initial diagnosis of chronic severe atopic dermatitis affecting either of: (i) the whole body, (ii) face/hands, prior to commencing non-PBS-subsidised therapy with this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not be experiencing an inadequate response to current non-PBS-subsidised therapy with this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treatment must be the sole PBS-subsidised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 for this PBS indication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not have experienced an inadequate response to this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 in this indication, prior to commencing non-PBS-subsidised therapy with this </w:t>
            </w:r>
            <w:r w:rsidRPr="00961994">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dermatologist;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clinical immunologist</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Population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be 12 years of age or older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State each of the qualifying PGA, EASI and DLQI scores in the authority application. The name/s of the medium to high potency topical corticosteroids trialled prior to commencing treatment with this </w:t>
            </w:r>
            <w:r w:rsidRPr="006C1C78">
              <w:rPr>
                <w:rFonts w:ascii="Arial Narrow" w:hAnsi="Arial Narrow"/>
                <w:color w:val="333333"/>
                <w:sz w:val="20"/>
                <w:szCs w:val="20"/>
              </w:rPr>
              <w:t>biological</w:t>
            </w:r>
            <w:r w:rsidRPr="00FE326F">
              <w:rPr>
                <w:rFonts w:ascii="Arial Narrow" w:hAnsi="Arial Narrow"/>
                <w:color w:val="333333"/>
                <w:sz w:val="20"/>
                <w:szCs w:val="20"/>
              </w:rPr>
              <w:t xml:space="preserve"> medicine must be documented in the patient's medical records.</w:t>
            </w:r>
          </w:p>
          <w:p w:rsidR="008F5D97" w:rsidRPr="00FE326F" w:rsidRDefault="008F5D97" w:rsidP="002C1672">
            <w:pPr>
              <w:rPr>
                <w:rFonts w:ascii="Arial Narrow" w:hAnsi="Arial Narrow"/>
                <w:color w:val="333333"/>
                <w:sz w:val="20"/>
                <w:szCs w:val="20"/>
              </w:rPr>
            </w:pP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The EASI and DLQI baseline measurements are to form the basis of determining if an adequate response to treatment has been achieved under the Continuing treatment restriction.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A Grandfathered patient may qualify for PBS-subsidised treatment under this restriction once only.</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For continuing PBS-subsidised treatment, a Grandfathered patient must qualify under the Continuing treatment criteria.</w:t>
            </w:r>
          </w:p>
        </w:tc>
      </w:tr>
      <w:tr w:rsidR="008F5D97" w:rsidRPr="003D3F93"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Administrative Advice:</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This grandfather restriction will cease to operate from 12 months after the date specified in the clinical criteria.</w:t>
            </w:r>
          </w:p>
        </w:tc>
      </w:tr>
      <w:tr w:rsidR="008F5D97" w:rsidRPr="00961994" w:rsidTr="002C1672">
        <w:tblPrEx>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tcPr>
          <w:p w:rsidR="008F5D97" w:rsidRPr="00961994" w:rsidRDefault="008F5D97" w:rsidP="002C1672">
            <w:pPr>
              <w:rPr>
                <w:rFonts w:ascii="Arial Narrow" w:hAnsi="Arial Narrow"/>
                <w:iCs/>
                <w:color w:val="333333"/>
                <w:sz w:val="20"/>
                <w:szCs w:val="20"/>
              </w:rPr>
            </w:pPr>
            <w:r w:rsidRPr="00961994">
              <w:rPr>
                <w:rFonts w:ascii="Arial Narrow" w:hAnsi="Arial Narrow"/>
                <w:b/>
                <w:bCs/>
                <w:iCs/>
                <w:color w:val="333333"/>
                <w:sz w:val="20"/>
                <w:szCs w:val="20"/>
              </w:rPr>
              <w:t>Administrative Advice:</w:t>
            </w:r>
          </w:p>
          <w:p w:rsidR="008F5D97" w:rsidRPr="00961994" w:rsidRDefault="008F5D97" w:rsidP="002C1672">
            <w:pPr>
              <w:rPr>
                <w:rFonts w:ascii="Arial Narrow" w:hAnsi="Arial Narrow"/>
                <w:iCs/>
                <w:color w:val="333333"/>
                <w:sz w:val="20"/>
                <w:szCs w:val="20"/>
              </w:rPr>
            </w:pPr>
            <w:r w:rsidRPr="00961994">
              <w:rPr>
                <w:rFonts w:ascii="Arial Narrow" w:hAnsi="Arial Narrow"/>
                <w:iCs/>
                <w:color w:val="333333"/>
                <w:sz w:val="20"/>
                <w:szCs w:val="20"/>
              </w:rPr>
              <w:t xml:space="preserve">Instructions on the use of the Physician's Global Assessment (5-point scale) can be obtained from </w:t>
            </w:r>
            <w:r w:rsidRPr="00961994">
              <w:rPr>
                <w:rFonts w:ascii="Arial Narrow" w:hAnsi="Arial Narrow"/>
                <w:iCs/>
                <w:color w:val="000000" w:themeColor="text1"/>
                <w:sz w:val="20"/>
                <w:szCs w:val="20"/>
              </w:rPr>
              <w:t>[insert sponsor-neutral location here or AbbVie contact details]</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tcPr>
          <w:p w:rsidR="008F5D97" w:rsidRPr="00FE326F" w:rsidRDefault="008F5D97" w:rsidP="002C1672">
            <w:pPr>
              <w:rPr>
                <w:rFonts w:ascii="Arial Narrow" w:hAnsi="Arial Narrow"/>
                <w:b/>
                <w:bCs/>
                <w:color w:val="333333"/>
                <w:sz w:val="20"/>
                <w:szCs w:val="20"/>
              </w:rPr>
            </w:pPr>
          </w:p>
          <w:p w:rsidR="008F5D97" w:rsidRPr="00FE326F" w:rsidRDefault="008F5D97" w:rsidP="002C1672">
            <w:pPr>
              <w:rPr>
                <w:rFonts w:ascii="Arial Narrow" w:hAnsi="Arial Narrow"/>
                <w:b/>
                <w:bCs/>
                <w:color w:val="333333"/>
                <w:sz w:val="20"/>
                <w:szCs w:val="20"/>
              </w:rPr>
            </w:pPr>
          </w:p>
        </w:tc>
      </w:tr>
      <w:tr w:rsidR="008F5D97" w:rsidRPr="00961994"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tcPr>
          <w:p w:rsidR="008F5D97" w:rsidRPr="00961994" w:rsidRDefault="008F5D97" w:rsidP="002C1672">
            <w:pPr>
              <w:rPr>
                <w:rFonts w:ascii="Arial Narrow" w:hAnsi="Arial Narrow"/>
                <w:b/>
                <w:bCs/>
                <w:color w:val="333333"/>
                <w:sz w:val="20"/>
                <w:szCs w:val="20"/>
              </w:rPr>
            </w:pPr>
            <w:r w:rsidRPr="00961994">
              <w:rPr>
                <w:rFonts w:ascii="Arial Narrow" w:hAnsi="Arial Narrow"/>
                <w:b/>
                <w:bCs/>
                <w:color w:val="333333"/>
                <w:sz w:val="20"/>
                <w:szCs w:val="20"/>
              </w:rPr>
              <w:t xml:space="preserve">Restriction Summary: New </w:t>
            </w:r>
            <w:r w:rsidRPr="00961994">
              <w:rPr>
                <w:rFonts w:ascii="Arial Narrow" w:hAnsi="Arial Narrow"/>
                <w:bCs/>
                <w:color w:val="333333"/>
                <w:sz w:val="20"/>
                <w:szCs w:val="20"/>
              </w:rPr>
              <w:t xml:space="preserve">(based on 11491) </w:t>
            </w:r>
            <w:r w:rsidRPr="00961994">
              <w:rPr>
                <w:rFonts w:ascii="Arial Narrow" w:hAnsi="Arial Narrow"/>
                <w:b/>
                <w:bCs/>
                <w:color w:val="333333"/>
                <w:sz w:val="20"/>
                <w:szCs w:val="20"/>
              </w:rPr>
              <w:t xml:space="preserve">/ ToC: New </w:t>
            </w:r>
            <w:r w:rsidRPr="00961994">
              <w:rPr>
                <w:rFonts w:ascii="Arial Narrow" w:hAnsi="Arial Narrow"/>
                <w:bCs/>
                <w:color w:val="333333"/>
                <w:sz w:val="20"/>
                <w:szCs w:val="20"/>
              </w:rPr>
              <w:t>(bas</w:t>
            </w:r>
            <w:r>
              <w:rPr>
                <w:rFonts w:ascii="Arial Narrow" w:hAnsi="Arial Narrow"/>
                <w:bCs/>
                <w:color w:val="333333"/>
                <w:sz w:val="20"/>
                <w:szCs w:val="20"/>
              </w:rPr>
              <w:t>ed on 11479 attached to dupilum</w:t>
            </w:r>
            <w:r w:rsidRPr="00961994">
              <w:rPr>
                <w:rFonts w:ascii="Arial Narrow" w:hAnsi="Arial Narrow"/>
                <w:bCs/>
                <w:color w:val="333333"/>
                <w:sz w:val="20"/>
                <w:szCs w:val="20"/>
              </w:rPr>
              <w:t>ab as at 1 April 2021)</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Indication:</w:t>
            </w:r>
            <w:r w:rsidRPr="00FE326F">
              <w:rPr>
                <w:rFonts w:ascii="Arial Narrow" w:hAnsi="Arial Narrow"/>
                <w:color w:val="333333"/>
                <w:sz w:val="20"/>
                <w:szCs w:val="20"/>
              </w:rPr>
              <w:t xml:space="preserve"> Chronic severe atopic dermatitis</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Phase:</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Transitioning from non-PBS to PBS-subsidised supply - treatment of the face and/or hands (Grandfather listing)</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have been receiving treatment with this biological medicine for this PBS indication prior to </w:t>
            </w:r>
            <w:r w:rsidRPr="00FE326F">
              <w:rPr>
                <w:rFonts w:ascii="Arial Narrow" w:hAnsi="Arial Narrow"/>
                <w:i/>
                <w:color w:val="333333"/>
                <w:sz w:val="20"/>
                <w:szCs w:val="20"/>
              </w:rPr>
              <w:t>[1 Month 20XX – insert PBS listing date here]</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condition must have had at least 2 of the following Eczema Area and Severity Index (EASI) symptom sub-scores for erythema, oedema/papulation, excoriation, lichenification rated as severe despite treatment with daily topical therapy (corticosteroid of medium to high potency/calcineurin inhibitor), for at least 28 days, prior to commencing non-PBS-subsidised therapy with this </w:t>
            </w:r>
            <w:r w:rsidRPr="006C1C78">
              <w:rPr>
                <w:rFonts w:ascii="Arial Narrow" w:hAnsi="Arial Narrow"/>
                <w:color w:val="333333"/>
                <w:sz w:val="20"/>
                <w:szCs w:val="20"/>
              </w:rPr>
              <w:t>biological</w:t>
            </w:r>
            <w:r w:rsidRPr="00FE326F">
              <w:rPr>
                <w:rFonts w:ascii="Arial Narrow" w:hAnsi="Arial Narrow"/>
                <w:color w:val="333333"/>
                <w:sz w:val="20"/>
                <w:szCs w:val="20"/>
              </w:rPr>
              <w:t xml:space="preserve"> medicine; or</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condition must have affected at least 30% of the face/hands surface area despite treatment with daily topical therapy (corticosteroid of medium to high potency/calcineurin inhibitor), for at least 28 days, prior to commencing non-PBS-subsidised therapy with this </w:t>
            </w:r>
            <w:r w:rsidRPr="006C1C78">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have an age appropriate Dermatology Life Quality Index (DLQI) baseline score (of any value) measured following treatment with daily topical therapy (corticosteroid of medium to high potency/calcineurin inhibitor), for at least 28 days, prior to having commenced non-PBS-subsidised therapy with this </w:t>
            </w:r>
            <w:r w:rsidRPr="006C1C78">
              <w:rPr>
                <w:rFonts w:ascii="Arial Narrow" w:hAnsi="Arial Narrow"/>
                <w:color w:val="333333"/>
                <w:sz w:val="20"/>
                <w:szCs w:val="20"/>
              </w:rPr>
              <w:t>biological</w:t>
            </w:r>
            <w:r w:rsidRPr="00FE326F">
              <w:rPr>
                <w:rFonts w:ascii="Arial Narrow" w:hAnsi="Arial Narrow"/>
                <w:color w:val="333333"/>
                <w:sz w:val="20"/>
                <w:szCs w:val="20"/>
              </w:rPr>
              <w:t xml:space="preserve"> medicine; or</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have, where the above baseline DLQI was not recorded in the patient’s medical records, a current age-appropriate DLQI score (of any value) measured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condition must have had lesions for at least 6 months from the time of the initial diagnosis of chronic severe atopic dermatitis affecting either of: (i) the whole body, (ii) face/hands, prior to commencing non-PBS-subsidised therapy with this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not be experiencing an inadequate response to current non-PBS-subsidised therapy with this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016C25"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5" w:type="dxa"/>
            <w:left w:w="15" w:type="dxa"/>
            <w:bottom w:w="15" w:type="dxa"/>
            <w:right w:w="15" w:type="dxa"/>
          </w:tblCellMar>
          <w:tblLook w:val="04A0" w:firstRow="1" w:lastRow="0" w:firstColumn="1" w:lastColumn="0" w:noHBand="0" w:noVBand="1"/>
        </w:tblPrEx>
        <w:tc>
          <w:tcPr>
            <w:tcW w:w="9072" w:type="dxa"/>
            <w:gridSpan w:val="7"/>
            <w:tcBorders>
              <w:top w:val="single" w:sz="4" w:space="0" w:color="auto"/>
              <w:left w:val="single" w:sz="4" w:space="0" w:color="auto"/>
              <w:bottom w:val="single" w:sz="4" w:space="0" w:color="auto"/>
              <w:right w:val="single" w:sz="4" w:space="0" w:color="auto"/>
            </w:tcBorders>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The treatment must be the sole PBS-subsidised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 for this PBS indication</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Clinical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Patient must not have experienced an inadequate response to this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 in this indication, prior to commencing non-PBS-subsidised therapy with this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Treatment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dermatologist; or</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Must be treated by a clinical immunologist</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AND</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Population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Patient must be 12 years of age or older</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 xml:space="preserve">State each of the 4 Eczema Area and Severity Index (EASI) symptom sub-score ratings for erythema, oedema/papulation, excoriation, lichenification that were present prior to having commenced non-PBS-subsidised therapy, in the authority application. The name/s of the medium to high potency topical corticosteroids trialled prior to commencing treatment with this </w:t>
            </w:r>
            <w:r w:rsidRPr="00D13790">
              <w:rPr>
                <w:rFonts w:ascii="Arial Narrow" w:hAnsi="Arial Narrow"/>
                <w:color w:val="333333"/>
                <w:sz w:val="20"/>
                <w:szCs w:val="20"/>
              </w:rPr>
              <w:t>biological</w:t>
            </w:r>
            <w:r w:rsidRPr="00FE326F">
              <w:rPr>
                <w:rFonts w:ascii="Arial Narrow" w:hAnsi="Arial Narrow"/>
                <w:color w:val="333333"/>
                <w:sz w:val="20"/>
                <w:szCs w:val="20"/>
              </w:rPr>
              <w:t xml:space="preserve"> medicine is/are to be documented in the patient's medical records.</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A Grandfathered patient may qualify for PBS-subsidised treatment under this restriction once only.</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Prescribing Instructions:</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For continuing PBS-subsidised treatment, a Grandfathered patient must qualify under the Continuing treatment criteria.</w:t>
            </w:r>
          </w:p>
        </w:tc>
      </w:tr>
      <w:tr w:rsidR="008F5D97" w:rsidRPr="00765446" w:rsidTr="002C1672">
        <w:tblPrEx>
          <w:tblCellMar>
            <w:top w:w="15" w:type="dxa"/>
            <w:left w:w="15" w:type="dxa"/>
            <w:bottom w:w="15" w:type="dxa"/>
            <w:right w:w="15" w:type="dxa"/>
          </w:tblCellMar>
          <w:tblLook w:val="04A0" w:firstRow="1" w:lastRow="0" w:firstColumn="1" w:lastColumn="0" w:noHBand="0" w:noVBand="1"/>
        </w:tblPrEx>
        <w:tc>
          <w:tcPr>
            <w:tcW w:w="9072" w:type="dxa"/>
            <w:gridSpan w:val="7"/>
            <w:vAlign w:val="center"/>
            <w:hideMark/>
          </w:tcPr>
          <w:p w:rsidR="008F5D97" w:rsidRPr="00FE326F" w:rsidRDefault="008F5D97" w:rsidP="002C1672">
            <w:pPr>
              <w:rPr>
                <w:rFonts w:ascii="Arial Narrow" w:hAnsi="Arial Narrow"/>
                <w:color w:val="333333"/>
                <w:sz w:val="20"/>
                <w:szCs w:val="20"/>
              </w:rPr>
            </w:pPr>
            <w:r w:rsidRPr="00FE326F">
              <w:rPr>
                <w:rFonts w:ascii="Arial Narrow" w:hAnsi="Arial Narrow"/>
                <w:b/>
                <w:bCs/>
                <w:color w:val="333333"/>
                <w:sz w:val="20"/>
                <w:szCs w:val="20"/>
              </w:rPr>
              <w:t>Administrative Advice:</w:t>
            </w:r>
          </w:p>
          <w:p w:rsidR="008F5D97" w:rsidRPr="00FE326F" w:rsidRDefault="008F5D97" w:rsidP="002C1672">
            <w:pPr>
              <w:rPr>
                <w:rFonts w:ascii="Arial Narrow" w:hAnsi="Arial Narrow"/>
                <w:color w:val="333333"/>
                <w:sz w:val="20"/>
                <w:szCs w:val="20"/>
              </w:rPr>
            </w:pPr>
            <w:r w:rsidRPr="00FE326F">
              <w:rPr>
                <w:rFonts w:ascii="Arial Narrow" w:hAnsi="Arial Narrow"/>
                <w:color w:val="333333"/>
                <w:sz w:val="20"/>
                <w:szCs w:val="20"/>
              </w:rPr>
              <w:t>This grandfather restriction will cease to operate from 12 months after the date specified in the clinical criteria.</w:t>
            </w:r>
          </w:p>
        </w:tc>
      </w:tr>
    </w:tbl>
    <w:p w:rsidR="008F5D97" w:rsidRDefault="008F5D97" w:rsidP="008F5D97">
      <w:pPr>
        <w:pStyle w:val="2-SectionHeading"/>
        <w:numPr>
          <w:ilvl w:val="0"/>
          <w:numId w:val="0"/>
        </w:numPr>
        <w:ind w:left="720" w:hanging="720"/>
        <w:outlineLvl w:val="9"/>
      </w:pPr>
    </w:p>
    <w:tbl>
      <w:tblPr>
        <w:tblW w:w="907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1276"/>
        <w:gridCol w:w="1277"/>
        <w:gridCol w:w="1277"/>
        <w:gridCol w:w="993"/>
        <w:gridCol w:w="998"/>
      </w:tblGrid>
      <w:tr w:rsidR="008F5D97" w:rsidRPr="009A610D" w:rsidTr="002C1672">
        <w:trPr>
          <w:cantSplit/>
          <w:trHeight w:val="471"/>
        </w:trPr>
        <w:tc>
          <w:tcPr>
            <w:tcW w:w="3256" w:type="dxa"/>
          </w:tcPr>
          <w:p w:rsidR="008F5D97" w:rsidRPr="00961994" w:rsidRDefault="008F5D97" w:rsidP="002C1672">
            <w:pPr>
              <w:keepNext/>
              <w:ind w:left="-57"/>
              <w:rPr>
                <w:rFonts w:ascii="Arial Narrow" w:hAnsi="Arial Narrow"/>
                <w:b/>
                <w:bCs/>
                <w:sz w:val="20"/>
                <w:szCs w:val="20"/>
              </w:rPr>
            </w:pPr>
            <w:r w:rsidRPr="00961994">
              <w:rPr>
                <w:rFonts w:ascii="Arial Narrow" w:hAnsi="Arial Narrow"/>
                <w:b/>
                <w:bCs/>
                <w:sz w:val="20"/>
                <w:szCs w:val="20"/>
              </w:rPr>
              <w:t>MEDICINAL PRODUCT</w:t>
            </w:r>
          </w:p>
          <w:p w:rsidR="008F5D97" w:rsidRPr="00961994" w:rsidRDefault="008F5D97" w:rsidP="002C1672">
            <w:pPr>
              <w:keepNext/>
              <w:ind w:left="-57"/>
              <w:rPr>
                <w:rFonts w:ascii="Arial Narrow" w:hAnsi="Arial Narrow"/>
                <w:b/>
                <w:sz w:val="20"/>
                <w:szCs w:val="20"/>
              </w:rPr>
            </w:pPr>
            <w:r w:rsidRPr="00961994">
              <w:rPr>
                <w:rFonts w:ascii="Arial Narrow" w:hAnsi="Arial Narrow"/>
                <w:b/>
                <w:bCs/>
                <w:sz w:val="20"/>
                <w:szCs w:val="20"/>
              </w:rPr>
              <w:t>medicinal product pack</w:t>
            </w:r>
          </w:p>
        </w:tc>
        <w:tc>
          <w:tcPr>
            <w:tcW w:w="1276" w:type="dxa"/>
          </w:tcPr>
          <w:p w:rsidR="008F5D97" w:rsidRPr="00961994" w:rsidRDefault="008F5D97" w:rsidP="002C1672">
            <w:pPr>
              <w:keepNext/>
              <w:ind w:left="-108"/>
              <w:jc w:val="center"/>
              <w:rPr>
                <w:rFonts w:ascii="Arial Narrow" w:hAnsi="Arial Narrow"/>
                <w:b/>
                <w:sz w:val="20"/>
                <w:szCs w:val="20"/>
              </w:rPr>
            </w:pPr>
            <w:r w:rsidRPr="00961994">
              <w:rPr>
                <w:rFonts w:ascii="Arial Narrow" w:hAnsi="Arial Narrow"/>
                <w:b/>
                <w:sz w:val="20"/>
                <w:szCs w:val="20"/>
              </w:rPr>
              <w:t>PBS item code</w:t>
            </w:r>
          </w:p>
        </w:tc>
        <w:tc>
          <w:tcPr>
            <w:tcW w:w="1277" w:type="dxa"/>
          </w:tcPr>
          <w:p w:rsidR="008F5D97" w:rsidRPr="00961994" w:rsidRDefault="008F5D97" w:rsidP="002C1672">
            <w:pPr>
              <w:keepNext/>
              <w:ind w:left="-108"/>
              <w:jc w:val="center"/>
              <w:rPr>
                <w:rFonts w:ascii="Arial Narrow" w:hAnsi="Arial Narrow"/>
                <w:b/>
                <w:sz w:val="20"/>
                <w:szCs w:val="20"/>
              </w:rPr>
            </w:pPr>
            <w:r w:rsidRPr="00961994">
              <w:rPr>
                <w:rFonts w:ascii="Arial Narrow" w:hAnsi="Arial Narrow"/>
                <w:b/>
                <w:sz w:val="20"/>
                <w:szCs w:val="20"/>
              </w:rPr>
              <w:t>Max. qty packs</w:t>
            </w:r>
          </w:p>
        </w:tc>
        <w:tc>
          <w:tcPr>
            <w:tcW w:w="1277" w:type="dxa"/>
          </w:tcPr>
          <w:p w:rsidR="008F5D97" w:rsidRPr="00961994" w:rsidRDefault="008F5D97" w:rsidP="002C1672">
            <w:pPr>
              <w:keepNext/>
              <w:ind w:left="-108"/>
              <w:jc w:val="center"/>
              <w:rPr>
                <w:rFonts w:ascii="Arial Narrow" w:hAnsi="Arial Narrow"/>
                <w:b/>
                <w:sz w:val="20"/>
                <w:szCs w:val="20"/>
              </w:rPr>
            </w:pPr>
            <w:r w:rsidRPr="00961994">
              <w:rPr>
                <w:rFonts w:ascii="Arial Narrow" w:hAnsi="Arial Narrow"/>
                <w:b/>
                <w:sz w:val="20"/>
                <w:szCs w:val="20"/>
              </w:rPr>
              <w:t>Max. qty units</w:t>
            </w:r>
          </w:p>
        </w:tc>
        <w:tc>
          <w:tcPr>
            <w:tcW w:w="993" w:type="dxa"/>
          </w:tcPr>
          <w:p w:rsidR="008F5D97" w:rsidRPr="00961994" w:rsidRDefault="008F5D97" w:rsidP="002C1672">
            <w:pPr>
              <w:keepNext/>
              <w:ind w:left="-108"/>
              <w:jc w:val="center"/>
              <w:rPr>
                <w:rFonts w:ascii="Arial Narrow" w:hAnsi="Arial Narrow"/>
                <w:b/>
                <w:sz w:val="20"/>
                <w:szCs w:val="20"/>
              </w:rPr>
            </w:pPr>
            <w:r w:rsidRPr="00961994">
              <w:rPr>
                <w:rFonts w:ascii="Arial Narrow" w:hAnsi="Arial Narrow"/>
                <w:b/>
                <w:sz w:val="20"/>
                <w:szCs w:val="20"/>
              </w:rPr>
              <w:t>№.of Rpts</w:t>
            </w:r>
          </w:p>
        </w:tc>
        <w:tc>
          <w:tcPr>
            <w:tcW w:w="998" w:type="dxa"/>
          </w:tcPr>
          <w:p w:rsidR="008F5D97" w:rsidRPr="00961994" w:rsidRDefault="008F5D97" w:rsidP="002C1672">
            <w:pPr>
              <w:keepNext/>
              <w:rPr>
                <w:rFonts w:ascii="Arial Narrow" w:hAnsi="Arial Narrow"/>
                <w:b/>
                <w:sz w:val="20"/>
                <w:szCs w:val="20"/>
                <w:lang w:val="fr-FR"/>
              </w:rPr>
            </w:pPr>
            <w:r w:rsidRPr="00961994">
              <w:rPr>
                <w:rFonts w:ascii="Arial Narrow" w:hAnsi="Arial Narrow"/>
                <w:b/>
                <w:sz w:val="20"/>
                <w:szCs w:val="20"/>
              </w:rPr>
              <w:t>Available brands</w:t>
            </w:r>
          </w:p>
        </w:tc>
      </w:tr>
      <w:tr w:rsidR="008F5D97" w:rsidRPr="001A5667" w:rsidTr="002C1672">
        <w:trPr>
          <w:cantSplit/>
          <w:trHeight w:val="224"/>
        </w:trPr>
        <w:tc>
          <w:tcPr>
            <w:tcW w:w="9077" w:type="dxa"/>
            <w:gridSpan w:val="6"/>
          </w:tcPr>
          <w:p w:rsidR="008F5D97" w:rsidRPr="00961994" w:rsidRDefault="008F5D97" w:rsidP="002C1672">
            <w:pPr>
              <w:keepNext/>
              <w:ind w:left="-57"/>
              <w:rPr>
                <w:rFonts w:ascii="Arial Narrow" w:hAnsi="Arial Narrow"/>
                <w:sz w:val="20"/>
                <w:szCs w:val="20"/>
              </w:rPr>
            </w:pPr>
            <w:r w:rsidRPr="00961994">
              <w:rPr>
                <w:rFonts w:ascii="Arial Narrow" w:hAnsi="Arial Narrow"/>
                <w:sz w:val="20"/>
                <w:szCs w:val="20"/>
              </w:rPr>
              <w:t xml:space="preserve">UPADACITINIB  </w:t>
            </w:r>
          </w:p>
        </w:tc>
      </w:tr>
      <w:tr w:rsidR="008F5D97" w:rsidRPr="009A610D" w:rsidTr="002C1672">
        <w:trPr>
          <w:cantSplit/>
          <w:trHeight w:val="275"/>
        </w:trPr>
        <w:tc>
          <w:tcPr>
            <w:tcW w:w="3256" w:type="dxa"/>
          </w:tcPr>
          <w:p w:rsidR="008F5D97" w:rsidRPr="00961994" w:rsidRDefault="008F5D97" w:rsidP="002C1672">
            <w:pPr>
              <w:keepNext/>
              <w:ind w:left="-57"/>
              <w:rPr>
                <w:rFonts w:ascii="Arial Narrow" w:hAnsi="Arial Narrow"/>
                <w:sz w:val="20"/>
                <w:szCs w:val="20"/>
              </w:rPr>
            </w:pPr>
            <w:r w:rsidRPr="00961994">
              <w:rPr>
                <w:rFonts w:ascii="Arial Narrow" w:hAnsi="Arial Narrow"/>
                <w:sz w:val="20"/>
                <w:szCs w:val="20"/>
              </w:rPr>
              <w:t xml:space="preserve">upadacitinib 15 mg modified release tablet, 28 </w:t>
            </w:r>
          </w:p>
        </w:tc>
        <w:tc>
          <w:tcPr>
            <w:tcW w:w="1276"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11979L</w:t>
            </w:r>
          </w:p>
        </w:tc>
        <w:tc>
          <w:tcPr>
            <w:tcW w:w="1277"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1</w:t>
            </w:r>
          </w:p>
        </w:tc>
        <w:tc>
          <w:tcPr>
            <w:tcW w:w="1277"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30</w:t>
            </w:r>
          </w:p>
        </w:tc>
        <w:tc>
          <w:tcPr>
            <w:tcW w:w="993"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5</w:t>
            </w:r>
          </w:p>
        </w:tc>
        <w:tc>
          <w:tcPr>
            <w:tcW w:w="998" w:type="dxa"/>
          </w:tcPr>
          <w:p w:rsidR="008F5D97" w:rsidRPr="00961994" w:rsidRDefault="008F5D97" w:rsidP="002C1672">
            <w:pPr>
              <w:keepNext/>
              <w:rPr>
                <w:rFonts w:ascii="Arial Narrow" w:hAnsi="Arial Narrow"/>
                <w:sz w:val="20"/>
                <w:szCs w:val="20"/>
              </w:rPr>
            </w:pPr>
            <w:r w:rsidRPr="00961994">
              <w:rPr>
                <w:rFonts w:ascii="Arial Narrow" w:hAnsi="Arial Narrow"/>
                <w:sz w:val="20"/>
                <w:szCs w:val="20"/>
              </w:rPr>
              <w:t>Rinvoq</w:t>
            </w:r>
          </w:p>
        </w:tc>
      </w:tr>
      <w:tr w:rsidR="008F5D97" w:rsidRPr="009A610D" w:rsidTr="002C1672">
        <w:trPr>
          <w:cantSplit/>
          <w:trHeight w:val="265"/>
        </w:trPr>
        <w:tc>
          <w:tcPr>
            <w:tcW w:w="3256" w:type="dxa"/>
          </w:tcPr>
          <w:p w:rsidR="008F5D97" w:rsidRPr="00961994" w:rsidRDefault="008F5D97" w:rsidP="002C1672">
            <w:pPr>
              <w:keepNext/>
              <w:ind w:left="-57"/>
              <w:rPr>
                <w:rFonts w:ascii="Arial Narrow" w:hAnsi="Arial Narrow"/>
                <w:sz w:val="20"/>
                <w:szCs w:val="20"/>
              </w:rPr>
            </w:pPr>
            <w:r w:rsidRPr="00961994">
              <w:rPr>
                <w:rFonts w:ascii="Arial Narrow" w:hAnsi="Arial Narrow"/>
                <w:sz w:val="20"/>
                <w:szCs w:val="20"/>
              </w:rPr>
              <w:t xml:space="preserve">upadacitinib 30 mg modified release tablet, 28 </w:t>
            </w:r>
          </w:p>
        </w:tc>
        <w:tc>
          <w:tcPr>
            <w:tcW w:w="1276"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New</w:t>
            </w:r>
          </w:p>
        </w:tc>
        <w:tc>
          <w:tcPr>
            <w:tcW w:w="1277"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1</w:t>
            </w:r>
          </w:p>
        </w:tc>
        <w:tc>
          <w:tcPr>
            <w:tcW w:w="1277"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30</w:t>
            </w:r>
          </w:p>
        </w:tc>
        <w:tc>
          <w:tcPr>
            <w:tcW w:w="993" w:type="dxa"/>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5</w:t>
            </w:r>
          </w:p>
        </w:tc>
        <w:tc>
          <w:tcPr>
            <w:tcW w:w="998" w:type="dxa"/>
          </w:tcPr>
          <w:p w:rsidR="008F5D97" w:rsidRPr="00961994" w:rsidRDefault="008F5D97" w:rsidP="002C1672">
            <w:pPr>
              <w:keepNext/>
              <w:rPr>
                <w:rFonts w:ascii="Arial Narrow" w:hAnsi="Arial Narrow"/>
                <w:sz w:val="20"/>
                <w:szCs w:val="20"/>
              </w:rPr>
            </w:pPr>
            <w:r w:rsidRPr="00961994">
              <w:rPr>
                <w:rFonts w:ascii="Arial Narrow" w:hAnsi="Arial Narrow"/>
                <w:sz w:val="20"/>
                <w:szCs w:val="20"/>
              </w:rPr>
              <w:t>Rinvoq</w:t>
            </w:r>
          </w:p>
        </w:tc>
      </w:tr>
      <w:tr w:rsidR="008F5D97" w:rsidRPr="009A610D" w:rsidTr="002C1672">
        <w:trPr>
          <w:cantSplit/>
          <w:trHeight w:val="265"/>
        </w:trPr>
        <w:tc>
          <w:tcPr>
            <w:tcW w:w="4532" w:type="dxa"/>
            <w:gridSpan w:val="2"/>
          </w:tcPr>
          <w:p w:rsidR="008F5D97" w:rsidRPr="00961994" w:rsidRDefault="008F5D97" w:rsidP="002C1672">
            <w:pPr>
              <w:keepNext/>
              <w:jc w:val="center"/>
              <w:rPr>
                <w:rFonts w:ascii="Arial Narrow" w:hAnsi="Arial Narrow"/>
                <w:sz w:val="20"/>
                <w:szCs w:val="20"/>
              </w:rPr>
            </w:pPr>
          </w:p>
        </w:tc>
        <w:tc>
          <w:tcPr>
            <w:tcW w:w="3547" w:type="dxa"/>
            <w:gridSpan w:val="3"/>
          </w:tcPr>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Max.qty (packs) multiplier = 1</w:t>
            </w:r>
          </w:p>
          <w:p w:rsidR="008F5D97" w:rsidRPr="00961994" w:rsidRDefault="008F5D97" w:rsidP="002C1672">
            <w:pPr>
              <w:keepNext/>
              <w:jc w:val="center"/>
              <w:rPr>
                <w:rFonts w:ascii="Arial Narrow" w:hAnsi="Arial Narrow"/>
                <w:sz w:val="20"/>
                <w:szCs w:val="20"/>
              </w:rPr>
            </w:pPr>
            <w:r w:rsidRPr="00961994">
              <w:rPr>
                <w:rFonts w:ascii="Arial Narrow" w:hAnsi="Arial Narrow"/>
                <w:sz w:val="20"/>
                <w:szCs w:val="20"/>
              </w:rPr>
              <w:t>Repeat increases: nil</w:t>
            </w:r>
          </w:p>
        </w:tc>
        <w:tc>
          <w:tcPr>
            <w:tcW w:w="998" w:type="dxa"/>
          </w:tcPr>
          <w:p w:rsidR="008F5D97" w:rsidRPr="00961994" w:rsidRDefault="008F5D97" w:rsidP="002C1672">
            <w:pPr>
              <w:keepNext/>
              <w:rPr>
                <w:rFonts w:ascii="Arial Narrow" w:hAnsi="Arial Narrow"/>
                <w:sz w:val="20"/>
                <w:szCs w:val="20"/>
              </w:rPr>
            </w:pP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tcPr>
          <w:p w:rsidR="008F5D97" w:rsidRPr="00961994" w:rsidRDefault="008F5D97" w:rsidP="002C1672">
            <w:pPr>
              <w:rPr>
                <w:rFonts w:ascii="Arial Narrow" w:hAnsi="Arial Narrow"/>
                <w:b/>
                <w:bCs/>
                <w:color w:val="333333"/>
                <w:sz w:val="20"/>
                <w:szCs w:val="20"/>
              </w:rPr>
            </w:pPr>
          </w:p>
        </w:tc>
      </w:tr>
      <w:tr w:rsidR="008F5D97" w:rsidRPr="00961994"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tcPr>
          <w:p w:rsidR="008F5D97" w:rsidRPr="00961994" w:rsidRDefault="008F5D97" w:rsidP="002C1672">
            <w:pPr>
              <w:rPr>
                <w:rFonts w:ascii="Arial Narrow" w:hAnsi="Arial Narrow"/>
                <w:b/>
                <w:bCs/>
                <w:color w:val="333333"/>
                <w:sz w:val="20"/>
                <w:szCs w:val="20"/>
              </w:rPr>
            </w:pPr>
            <w:r w:rsidRPr="00961994">
              <w:rPr>
                <w:rFonts w:ascii="Arial Narrow" w:hAnsi="Arial Narrow"/>
                <w:b/>
                <w:bCs/>
                <w:color w:val="333333"/>
                <w:sz w:val="20"/>
                <w:szCs w:val="20"/>
              </w:rPr>
              <w:t xml:space="preserve">Restriction Summary: New </w:t>
            </w:r>
            <w:r w:rsidRPr="00961994">
              <w:rPr>
                <w:rFonts w:ascii="Arial Narrow" w:hAnsi="Arial Narrow"/>
                <w:bCs/>
                <w:color w:val="333333"/>
                <w:sz w:val="20"/>
                <w:szCs w:val="20"/>
              </w:rPr>
              <w:t>(based on 11374)</w:t>
            </w:r>
            <w:r w:rsidRPr="00961994">
              <w:rPr>
                <w:rFonts w:ascii="Arial Narrow" w:hAnsi="Arial Narrow"/>
                <w:b/>
                <w:bCs/>
                <w:color w:val="333333"/>
                <w:sz w:val="20"/>
                <w:szCs w:val="20"/>
              </w:rPr>
              <w:t xml:space="preserve"> / ToC: New </w:t>
            </w:r>
            <w:r w:rsidRPr="00961994">
              <w:rPr>
                <w:rFonts w:ascii="Arial Narrow" w:hAnsi="Arial Narrow"/>
                <w:bCs/>
                <w:color w:val="333333"/>
                <w:sz w:val="20"/>
                <w:szCs w:val="20"/>
              </w:rPr>
              <w:t>(based on 11374 attached to dupilumab as at 1 April 2021)</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Indication:</w:t>
            </w:r>
            <w:r w:rsidRPr="00961994">
              <w:rPr>
                <w:rFonts w:ascii="Arial Narrow" w:hAnsi="Arial Narrow"/>
                <w:color w:val="333333"/>
                <w:sz w:val="20"/>
                <w:szCs w:val="20"/>
              </w:rPr>
              <w:t xml:space="preserve"> Chronic severe atopic dermatitis</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Treatment Phase:</w:t>
            </w:r>
            <w:r w:rsidRPr="00961994">
              <w:rPr>
                <w:rFonts w:ascii="Arial Narrow" w:hAnsi="Arial Narrow"/>
                <w:color w:val="333333"/>
                <w:sz w:val="20"/>
                <w:szCs w:val="20"/>
              </w:rPr>
              <w:t xml:space="preserve"> Continuing or resuming treatment of the whole body</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Clinical criteria:</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Patient must have received PBS-subsidised treatment with this biological medicine for the treatment of chronic severe atopic dermatitis affecting the whole body</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AND</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Clinical criteria:</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Patient must have achieved an adequate response within the first 16 weeks of treatment; or</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Patient must have maintained an adequate response to their most recent course of PBS-subsidised treatment with this biological medicine for this PBS indication if this is the second or subsequent Continuing treatment authority application; or</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AND</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Clinical criteria:</w:t>
            </w:r>
          </w:p>
        </w:tc>
      </w:tr>
      <w:tr w:rsidR="008F5D97"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7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The treatment must be the sole PBS-subsidised biological medicine for this PBS indication</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AND</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Treatment criteria:</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Must be treated by a dermatologist; or</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Must be treated by a clinical immunologist</w:t>
            </w:r>
          </w:p>
        </w:tc>
      </w:tr>
      <w:tr w:rsidR="008F5D97" w:rsidRPr="00016C25"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Prescribing Instructions:</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For the purposes of this restriction, an adequate response to treatment is defined as:</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(a) An improvement/maintenance in the Eczema Area and Severity Index (EASI) score of at least 50% compared to baseline; and</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(b) An improvement/maintenance in Dermatology Life Quality Index (DLQI) score of at least 4 points compared to baseline</w:t>
            </w:r>
          </w:p>
          <w:p w:rsidR="008F5D97" w:rsidRPr="00961994" w:rsidRDefault="008F5D97" w:rsidP="002C1672">
            <w:pPr>
              <w:rPr>
                <w:rFonts w:ascii="Arial Narrow" w:hAnsi="Arial Narrow"/>
                <w:color w:val="333333"/>
                <w:sz w:val="20"/>
                <w:szCs w:val="20"/>
              </w:rPr>
            </w:pP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State each of the current EASI and DLQI scores for this authority application.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tcPr>
          <w:p w:rsidR="008F5D97" w:rsidRPr="00961994" w:rsidRDefault="008F5D97" w:rsidP="002C1672">
            <w:pPr>
              <w:rPr>
                <w:rFonts w:ascii="Arial Narrow" w:hAnsi="Arial Narrow"/>
                <w:b/>
                <w:bCs/>
                <w:color w:val="333333"/>
                <w:sz w:val="20"/>
                <w:szCs w:val="20"/>
              </w:rPr>
            </w:pPr>
          </w:p>
          <w:p w:rsidR="008F5D97" w:rsidRPr="00961994" w:rsidRDefault="008F5D97" w:rsidP="002C1672">
            <w:pPr>
              <w:rPr>
                <w:rFonts w:ascii="Arial Narrow" w:hAnsi="Arial Narrow"/>
                <w:b/>
                <w:bCs/>
                <w:color w:val="333333"/>
                <w:sz w:val="20"/>
                <w:szCs w:val="20"/>
              </w:rPr>
            </w:pP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tcPr>
          <w:p w:rsidR="008F5D97" w:rsidRPr="00961994" w:rsidRDefault="008F5D97" w:rsidP="002C1672">
            <w:pPr>
              <w:rPr>
                <w:rFonts w:ascii="Arial Narrow" w:hAnsi="Arial Narrow"/>
                <w:b/>
                <w:bCs/>
                <w:color w:val="333333"/>
                <w:sz w:val="20"/>
                <w:szCs w:val="20"/>
              </w:rPr>
            </w:pPr>
            <w:r w:rsidRPr="00961994">
              <w:rPr>
                <w:rFonts w:ascii="Arial Narrow" w:hAnsi="Arial Narrow"/>
                <w:b/>
                <w:bCs/>
                <w:color w:val="333333"/>
                <w:sz w:val="20"/>
                <w:szCs w:val="20"/>
                <w:lang w:val="en-GB"/>
              </w:rPr>
              <w:t xml:space="preserve">Restriction Summary: New </w:t>
            </w:r>
            <w:r w:rsidRPr="00961994">
              <w:rPr>
                <w:rFonts w:ascii="Arial Narrow" w:hAnsi="Arial Narrow"/>
                <w:bCs/>
                <w:i/>
                <w:color w:val="333333"/>
                <w:sz w:val="20"/>
                <w:szCs w:val="20"/>
                <w:lang w:val="en-GB"/>
              </w:rPr>
              <w:t xml:space="preserve">(based on 11377) </w:t>
            </w:r>
            <w:r w:rsidRPr="00961994">
              <w:rPr>
                <w:rFonts w:ascii="Arial Narrow" w:hAnsi="Arial Narrow"/>
                <w:b/>
                <w:bCs/>
                <w:color w:val="333333"/>
                <w:sz w:val="20"/>
                <w:szCs w:val="20"/>
                <w:lang w:val="en-GB"/>
              </w:rPr>
              <w:t xml:space="preserve">/ ToC: New </w:t>
            </w:r>
            <w:r w:rsidRPr="00961994">
              <w:rPr>
                <w:rFonts w:ascii="Arial Narrow" w:hAnsi="Arial Narrow"/>
                <w:bCs/>
                <w:i/>
                <w:color w:val="333333"/>
                <w:sz w:val="20"/>
                <w:szCs w:val="20"/>
                <w:lang w:val="en-GB"/>
              </w:rPr>
              <w:t>(based on 11377 attached to dupilumab as at 1 April 2021)</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Indication:</w:t>
            </w:r>
            <w:r w:rsidRPr="00961994">
              <w:rPr>
                <w:rFonts w:ascii="Arial Narrow" w:hAnsi="Arial Narrow"/>
                <w:color w:val="333333"/>
                <w:sz w:val="20"/>
                <w:szCs w:val="20"/>
              </w:rPr>
              <w:t xml:space="preserve"> Chronic severe atopic dermatitis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rPr>
          <w:trHeight w:val="262"/>
        </w:trPr>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Treatment Phase:</w:t>
            </w:r>
            <w:r w:rsidRPr="00961994">
              <w:rPr>
                <w:rFonts w:ascii="Arial Narrow" w:hAnsi="Arial Narrow"/>
                <w:color w:val="333333"/>
                <w:sz w:val="20"/>
                <w:szCs w:val="20"/>
              </w:rPr>
              <w:t xml:space="preserve"> Continuing or resuming treatment of the face and/or hands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 xml:space="preserve">Patient must have received PBS-subsidised treatment with this </w:t>
            </w:r>
            <w:r w:rsidRPr="006C1C78">
              <w:rPr>
                <w:rFonts w:ascii="Arial Narrow" w:hAnsi="Arial Narrow"/>
                <w:color w:val="333333"/>
                <w:sz w:val="20"/>
                <w:szCs w:val="20"/>
              </w:rPr>
              <w:t>biological</w:t>
            </w:r>
            <w:r w:rsidRPr="00961994">
              <w:rPr>
                <w:rFonts w:ascii="Arial Narrow" w:hAnsi="Arial Narrow"/>
                <w:color w:val="333333"/>
                <w:sz w:val="20"/>
                <w:szCs w:val="20"/>
              </w:rPr>
              <w:t xml:space="preserve"> medicine for the treatment of chronic severe atopic dermatitis affecting the face/hands</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Clinical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Patient must have achieved an adequate response within the first 16 weeks of treatment;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 xml:space="preserve">Patient must have maintained an adequate response to their most recent course of PBS-subsidised treatment with this </w:t>
            </w:r>
            <w:r w:rsidRPr="006C1C78">
              <w:rPr>
                <w:rFonts w:ascii="Arial Narrow" w:hAnsi="Arial Narrow"/>
                <w:color w:val="333333"/>
                <w:sz w:val="20"/>
                <w:szCs w:val="20"/>
              </w:rPr>
              <w:t>biological</w:t>
            </w:r>
            <w:r w:rsidRPr="00961994">
              <w:rPr>
                <w:rFonts w:ascii="Arial Narrow" w:hAnsi="Arial Narrow"/>
                <w:color w:val="333333"/>
                <w:sz w:val="20"/>
                <w:szCs w:val="20"/>
              </w:rPr>
              <w:t xml:space="preserve"> medicine for this PBS indication if this is the second or subsequent Continuing treatment authority application;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Patient must have temporarily ceased treatment for reasons other than lack of response (e.g. family planning, vaccination with live vaccines, adverse-effect investigation), thereby being unable to achieve/maintain an adequate response immediately prior to this authority application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Clinical criteria:</w:t>
            </w:r>
          </w:p>
        </w:tc>
      </w:tr>
      <w:tr w:rsidR="008F5D97" w:rsidTr="002C16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9077" w:type="dxa"/>
            <w:gridSpan w:val="6"/>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 xml:space="preserve">The treatment must be the sole PBS-subsidised </w:t>
            </w:r>
            <w:r w:rsidRPr="00D13790">
              <w:rPr>
                <w:rFonts w:ascii="Arial Narrow" w:hAnsi="Arial Narrow"/>
                <w:color w:val="333333"/>
                <w:sz w:val="20"/>
                <w:szCs w:val="20"/>
              </w:rPr>
              <w:t>biological</w:t>
            </w:r>
            <w:r w:rsidRPr="00961994">
              <w:rPr>
                <w:rFonts w:ascii="Arial Narrow" w:hAnsi="Arial Narrow"/>
                <w:color w:val="333333"/>
                <w:sz w:val="20"/>
                <w:szCs w:val="20"/>
              </w:rPr>
              <w:t xml:space="preserve"> medicine for this PBS indication</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AND</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Treatment criteria:</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Must be treated by a dermatologist; or</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Must be treated by a clinical immunologist</w:t>
            </w:r>
          </w:p>
        </w:tc>
      </w:tr>
      <w:tr w:rsidR="008F5D97" w:rsidRPr="004F2BE2" w:rsidTr="002C1672">
        <w:tblPrEx>
          <w:tblCellMar>
            <w:top w:w="15" w:type="dxa"/>
            <w:left w:w="15" w:type="dxa"/>
            <w:bottom w:w="15" w:type="dxa"/>
            <w:right w:w="15" w:type="dxa"/>
          </w:tblCellMar>
          <w:tblLook w:val="04A0" w:firstRow="1" w:lastRow="0" w:firstColumn="1" w:lastColumn="0" w:noHBand="0" w:noVBand="1"/>
        </w:tblPrEx>
        <w:tc>
          <w:tcPr>
            <w:tcW w:w="9077" w:type="dxa"/>
            <w:gridSpan w:val="6"/>
            <w:vAlign w:val="center"/>
            <w:hideMark/>
          </w:tcPr>
          <w:p w:rsidR="008F5D97" w:rsidRPr="00961994" w:rsidRDefault="008F5D97" w:rsidP="002C1672">
            <w:pPr>
              <w:rPr>
                <w:rFonts w:ascii="Arial Narrow" w:hAnsi="Arial Narrow"/>
                <w:color w:val="333333"/>
                <w:sz w:val="20"/>
                <w:szCs w:val="20"/>
              </w:rPr>
            </w:pPr>
            <w:r w:rsidRPr="00961994">
              <w:rPr>
                <w:rFonts w:ascii="Arial Narrow" w:hAnsi="Arial Narrow"/>
                <w:b/>
                <w:bCs/>
                <w:color w:val="333333"/>
                <w:sz w:val="20"/>
                <w:szCs w:val="20"/>
              </w:rPr>
              <w:t>Prescribing Instructions:</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For the purposes of this restriction, an adequate response to treatment of the face/hands is defined as:</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(a) (i) A rating of either mild (1) to none (0) on at least 3 of the assessments of erythema, oedema/papulation, excoriation and lichenification mentioned in the Eczema Area and Severity Index (EASI); or</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(ii) At least a 75% reduction in the skin area affected by this condition compared to baseline; and</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(b) An improvement in Dermatology Life Quality Index (DLQI) score of at least 4 points compared to baseline</w:t>
            </w:r>
          </w:p>
          <w:p w:rsidR="008F5D97" w:rsidRPr="00961994" w:rsidRDefault="008F5D97" w:rsidP="002C1672">
            <w:pPr>
              <w:rPr>
                <w:rFonts w:ascii="Arial Narrow" w:hAnsi="Arial Narrow"/>
                <w:color w:val="333333"/>
                <w:sz w:val="20"/>
                <w:szCs w:val="20"/>
              </w:rPr>
            </w:pP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Where an initial baseline (post-topical corticosteroid, pre-biological medicine) DLQI score was not measured for a patient who had commenced treatment through a clinical trial, early access program or through private, non-PBS-subsidised supply, an absence of worsening in the current DLQI score compared to that measured at the time of the 'Grandfather listing' authority application will suffice as an adequate response for requirement (b) above.</w:t>
            </w:r>
          </w:p>
          <w:p w:rsidR="008F5D97" w:rsidRPr="00961994" w:rsidRDefault="008F5D97" w:rsidP="002C1672">
            <w:pPr>
              <w:rPr>
                <w:rFonts w:ascii="Arial Narrow" w:hAnsi="Arial Narrow"/>
                <w:color w:val="333333"/>
                <w:sz w:val="20"/>
                <w:szCs w:val="20"/>
              </w:rPr>
            </w:pPr>
            <w:r w:rsidRPr="00961994">
              <w:rPr>
                <w:rFonts w:ascii="Arial Narrow" w:hAnsi="Arial Narrow"/>
                <w:color w:val="333333"/>
                <w:sz w:val="20"/>
                <w:szCs w:val="20"/>
              </w:rPr>
              <w:t>Document each qualifying response measure in the patient's medical records for PBS compliance auditing purposes</w:t>
            </w:r>
          </w:p>
        </w:tc>
      </w:tr>
    </w:tbl>
    <w:p w:rsidR="008F5D97" w:rsidRDefault="008F5D97" w:rsidP="008F5D97">
      <w:pPr>
        <w:tabs>
          <w:tab w:val="left" w:pos="5501"/>
        </w:tabs>
        <w:rPr>
          <w:rFonts w:asciiTheme="minorHAnsi" w:hAnsiTheme="minorHAnsi"/>
          <w:b/>
          <w:i/>
          <w:szCs w:val="22"/>
        </w:rPr>
      </w:pPr>
    </w:p>
    <w:p w:rsidR="008F5D97" w:rsidRPr="007B6911" w:rsidRDefault="008F5D97" w:rsidP="008F5D97">
      <w:pPr>
        <w:tabs>
          <w:tab w:val="left" w:pos="5501"/>
        </w:tabs>
        <w:rPr>
          <w:b/>
          <w:sz w:val="4"/>
          <w:szCs w:val="4"/>
        </w:rPr>
      </w:pPr>
      <w:r w:rsidRPr="000A7DF5">
        <w:rPr>
          <w:rFonts w:asciiTheme="minorHAnsi" w:hAnsiTheme="minorHAnsi"/>
          <w:b/>
          <w:i/>
          <w:szCs w:val="22"/>
        </w:rPr>
        <w:t>This restriction may be subject to further review. Should there be any changes made to the restriction the sponsor will be informed</w:t>
      </w:r>
      <w:r w:rsidRPr="000A7DF5">
        <w:rPr>
          <w:rFonts w:asciiTheme="minorHAnsi" w:hAnsiTheme="minorHAnsi"/>
          <w:b/>
          <w:szCs w:val="22"/>
        </w:rPr>
        <w:t>.</w:t>
      </w:r>
    </w:p>
    <w:p w:rsidR="003F713E" w:rsidRDefault="003F713E" w:rsidP="00263A7D">
      <w:pPr>
        <w:widowControl w:val="0"/>
        <w:rPr>
          <w:rFonts w:asciiTheme="minorHAnsi" w:hAnsiTheme="minorHAnsi"/>
          <w:b/>
          <w:bCs/>
          <w:snapToGrid w:val="0"/>
        </w:rPr>
      </w:pPr>
    </w:p>
    <w:p w:rsidR="00BB3954" w:rsidRDefault="00BB3954" w:rsidP="00BB3954">
      <w:pPr>
        <w:pStyle w:val="2-SectionHeading"/>
        <w:rPr>
          <w:bCs/>
          <w:lang w:val="en-GB"/>
        </w:rPr>
      </w:pPr>
      <w:r w:rsidRPr="00C07617">
        <w:t>Context for Decision</w:t>
      </w:r>
    </w:p>
    <w:p w:rsidR="00BB3954" w:rsidRPr="007129F2" w:rsidRDefault="00BB3954" w:rsidP="00BB3954">
      <w:pPr>
        <w:spacing w:after="120"/>
        <w:ind w:left="720"/>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B3954" w:rsidRPr="00C07617" w:rsidRDefault="00BB3954" w:rsidP="00BB3954">
      <w:pPr>
        <w:pStyle w:val="2-SectionHeading"/>
        <w:rPr>
          <w:b w:val="0"/>
        </w:rPr>
      </w:pPr>
      <w:r>
        <w:t>Sponsor’s Comment</w:t>
      </w:r>
    </w:p>
    <w:p w:rsidR="00E464D9" w:rsidRDefault="00E464D9" w:rsidP="00E464D9">
      <w:pPr>
        <w:ind w:left="720"/>
        <w:rPr>
          <w:rFonts w:cs="Calibri"/>
          <w:sz w:val="22"/>
          <w:szCs w:val="22"/>
        </w:rPr>
      </w:pPr>
      <w:r>
        <w:t xml:space="preserve">AbbVie welcomes the PBAC's recommendation for 15mg and 30mg upadacitinib for severe AD patients and their advice that an increase in existing financial caps for AD may be reasonable. </w:t>
      </w:r>
      <w:r w:rsidRPr="00E464D9">
        <w:t>AbbVie maintains that upadacitinib 30 mg is superior to dupilumab in patients with moderate to severe AD, based on the results of a randomised controlled head-to-head trial with dupilimab 300mg (HEADS UP), which demonstrated superiority of upadacitinib on the primary endpoint of 75% improvement in EASI (EASI75) at Week 16.</w:t>
      </w:r>
    </w:p>
    <w:p w:rsidR="00BB3954" w:rsidRPr="00C62A13" w:rsidRDefault="00BB3954" w:rsidP="00263A7D">
      <w:pPr>
        <w:widowControl w:val="0"/>
        <w:rPr>
          <w:rFonts w:asciiTheme="minorHAnsi" w:hAnsiTheme="minorHAnsi"/>
          <w:b/>
          <w:bCs/>
          <w:snapToGrid w:val="0"/>
        </w:rPr>
      </w:pPr>
    </w:p>
    <w:sectPr w:rsidR="00BB3954" w:rsidRPr="00C62A13" w:rsidSect="00D318DC">
      <w:headerReference w:type="even" r:id="rId12"/>
      <w:headerReference w:type="default" r:id="rId13"/>
      <w:footerReference w:type="even" r:id="rId14"/>
      <w:footerReference w:type="default" r:id="rId15"/>
      <w:headerReference w:type="first" r:id="rId16"/>
      <w:footerReference w:type="first" r:id="rId17"/>
      <w:pgSz w:w="11907" w:h="16840"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54F" w:rsidRDefault="001A654F" w:rsidP="00124A51">
      <w:r>
        <w:separator/>
      </w:r>
    </w:p>
    <w:p w:rsidR="001A654F" w:rsidRDefault="001A654F"/>
  </w:endnote>
  <w:endnote w:type="continuationSeparator" w:id="0">
    <w:p w:rsidR="001A654F" w:rsidRDefault="001A654F" w:rsidP="00124A51">
      <w:r>
        <w:continuationSeparator/>
      </w:r>
    </w:p>
    <w:p w:rsidR="001A654F" w:rsidRDefault="001A65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roman"/>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4F" w:rsidRDefault="001A65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4F" w:rsidRDefault="001A654F">
    <w:pPr>
      <w:pStyle w:val="Footer"/>
    </w:pPr>
  </w:p>
  <w:p w:rsidR="001A654F" w:rsidRPr="00DC77B8" w:rsidRDefault="001A654F" w:rsidP="00EF4C5C">
    <w:pPr>
      <w:ind w:right="360"/>
      <w:jc w:val="center"/>
      <w:rPr>
        <w:b/>
      </w:rPr>
    </w:pPr>
    <w:r w:rsidRPr="00DC77B8">
      <w:rPr>
        <w:b/>
      </w:rPr>
      <w:fldChar w:fldCharType="begin"/>
    </w:r>
    <w:r w:rsidRPr="00DC77B8">
      <w:rPr>
        <w:b/>
      </w:rPr>
      <w:instrText xml:space="preserve"> PAGE   \* MERGEFORMAT </w:instrText>
    </w:r>
    <w:r w:rsidRPr="00DC77B8">
      <w:rPr>
        <w:b/>
      </w:rPr>
      <w:fldChar w:fldCharType="separate"/>
    </w:r>
    <w:r w:rsidR="005116FF">
      <w:rPr>
        <w:b/>
        <w:noProof/>
      </w:rPr>
      <w:t>40</w:t>
    </w:r>
    <w:r w:rsidRPr="00DC77B8">
      <w:rPr>
        <w:b/>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4F" w:rsidRDefault="001A65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54F" w:rsidRDefault="001A654F" w:rsidP="00124A51">
      <w:r>
        <w:separator/>
      </w:r>
    </w:p>
    <w:p w:rsidR="001A654F" w:rsidRDefault="001A654F"/>
  </w:footnote>
  <w:footnote w:type="continuationSeparator" w:id="0">
    <w:p w:rsidR="001A654F" w:rsidRDefault="001A654F" w:rsidP="00124A51">
      <w:r>
        <w:continuationSeparator/>
      </w:r>
    </w:p>
    <w:p w:rsidR="001A654F" w:rsidRDefault="001A654F"/>
  </w:footnote>
  <w:footnote w:id="1">
    <w:p w:rsidR="001A654F" w:rsidRDefault="001A654F" w:rsidP="00653E92">
      <w:pPr>
        <w:pStyle w:val="FootnoteText"/>
      </w:pPr>
      <w:r>
        <w:rPr>
          <w:rStyle w:val="FootnoteReference"/>
        </w:rPr>
        <w:footnoteRef/>
      </w:r>
      <w:r>
        <w:t xml:space="preserve"> Boeri M et al</w:t>
      </w:r>
      <w:r w:rsidRPr="00735579">
        <w:rPr>
          <w:i/>
        </w:rPr>
        <w:t>. J Dermatolog Treat</w:t>
      </w:r>
      <w:r>
        <w:t xml:space="preserve"> 2020.</w:t>
      </w:r>
    </w:p>
  </w:footnote>
  <w:footnote w:id="2">
    <w:p w:rsidR="001A654F" w:rsidRPr="0092701E" w:rsidRDefault="001A654F" w:rsidP="00564481">
      <w:pPr>
        <w:pStyle w:val="FootnoteText"/>
        <w:rPr>
          <w:iCs/>
        </w:rPr>
      </w:pPr>
      <w:r>
        <w:rPr>
          <w:rStyle w:val="FootnoteReference"/>
        </w:rPr>
        <w:footnoteRef/>
      </w:r>
      <w:r>
        <w:t xml:space="preserve"> </w:t>
      </w:r>
      <w:r w:rsidRPr="0092701E">
        <w:rPr>
          <w:iCs/>
        </w:rPr>
        <w:t>referred to as ‘Phase IIb’ in previous DUPI submissions</w:t>
      </w:r>
    </w:p>
  </w:footnote>
  <w:footnote w:id="3">
    <w:p w:rsidR="001A654F" w:rsidRPr="003B3DB0" w:rsidRDefault="001A654F">
      <w:pPr>
        <w:pStyle w:val="FootnoteText"/>
      </w:pPr>
      <w:r w:rsidRPr="003B3DB0">
        <w:rPr>
          <w:rStyle w:val="FootnoteReference"/>
        </w:rPr>
        <w:footnoteRef/>
      </w:r>
      <w:r w:rsidRPr="003B3DB0">
        <w:t xml:space="preserve"> McCaffrey et al. Health and Quality of Life Outcomes (2016) 14:133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4F" w:rsidRDefault="001A65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4F" w:rsidRPr="00DC77B8" w:rsidRDefault="001A654F">
    <w:pPr>
      <w:pStyle w:val="Header"/>
      <w:rPr>
        <w:i/>
      </w:rPr>
    </w:pPr>
    <w:r>
      <w:rPr>
        <w:i/>
      </w:rPr>
      <w:t xml:space="preserve">Public Summary Document </w:t>
    </w:r>
    <w:r w:rsidRPr="00DC77B8">
      <w:rPr>
        <w:i/>
      </w:rPr>
      <w:t>– July 2021 PBAC Meetin</w:t>
    </w:r>
    <w:r>
      <w:rPr>
        <w:i/>
      </w:rPr>
      <w:t>g</w:t>
    </w:r>
  </w:p>
  <w:p w:rsidR="001A654F" w:rsidRDefault="001A654F"/>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654F" w:rsidRDefault="001A65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1EA7E4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AF7586"/>
    <w:multiLevelType w:val="hybridMultilevel"/>
    <w:tmpl w:val="DF123924"/>
    <w:lvl w:ilvl="0" w:tplc="1E3AD79E">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3997AE9"/>
    <w:multiLevelType w:val="hybridMultilevel"/>
    <w:tmpl w:val="236EA6BC"/>
    <w:lvl w:ilvl="0" w:tplc="1B306C82">
      <w:start w:val="1"/>
      <w:numFmt w:val="bullet"/>
      <w:lvlText w:val="•"/>
      <w:lvlJc w:val="left"/>
      <w:pPr>
        <w:tabs>
          <w:tab w:val="num" w:pos="720"/>
        </w:tabs>
        <w:ind w:left="720" w:hanging="360"/>
      </w:pPr>
      <w:rPr>
        <w:rFonts w:ascii="Arial" w:hAnsi="Arial" w:hint="default"/>
      </w:rPr>
    </w:lvl>
    <w:lvl w:ilvl="1" w:tplc="31E485C0" w:tentative="1">
      <w:start w:val="1"/>
      <w:numFmt w:val="bullet"/>
      <w:lvlText w:val="•"/>
      <w:lvlJc w:val="left"/>
      <w:pPr>
        <w:tabs>
          <w:tab w:val="num" w:pos="1440"/>
        </w:tabs>
        <w:ind w:left="1440" w:hanging="360"/>
      </w:pPr>
      <w:rPr>
        <w:rFonts w:ascii="Arial" w:hAnsi="Arial" w:hint="default"/>
      </w:rPr>
    </w:lvl>
    <w:lvl w:ilvl="2" w:tplc="A72CAC4E" w:tentative="1">
      <w:start w:val="1"/>
      <w:numFmt w:val="bullet"/>
      <w:lvlText w:val="•"/>
      <w:lvlJc w:val="left"/>
      <w:pPr>
        <w:tabs>
          <w:tab w:val="num" w:pos="2160"/>
        </w:tabs>
        <w:ind w:left="2160" w:hanging="360"/>
      </w:pPr>
      <w:rPr>
        <w:rFonts w:ascii="Arial" w:hAnsi="Arial" w:hint="default"/>
      </w:rPr>
    </w:lvl>
    <w:lvl w:ilvl="3" w:tplc="A3EE788C" w:tentative="1">
      <w:start w:val="1"/>
      <w:numFmt w:val="bullet"/>
      <w:lvlText w:val="•"/>
      <w:lvlJc w:val="left"/>
      <w:pPr>
        <w:tabs>
          <w:tab w:val="num" w:pos="2880"/>
        </w:tabs>
        <w:ind w:left="2880" w:hanging="360"/>
      </w:pPr>
      <w:rPr>
        <w:rFonts w:ascii="Arial" w:hAnsi="Arial" w:hint="default"/>
      </w:rPr>
    </w:lvl>
    <w:lvl w:ilvl="4" w:tplc="055E3048" w:tentative="1">
      <w:start w:val="1"/>
      <w:numFmt w:val="bullet"/>
      <w:lvlText w:val="•"/>
      <w:lvlJc w:val="left"/>
      <w:pPr>
        <w:tabs>
          <w:tab w:val="num" w:pos="3600"/>
        </w:tabs>
        <w:ind w:left="3600" w:hanging="360"/>
      </w:pPr>
      <w:rPr>
        <w:rFonts w:ascii="Arial" w:hAnsi="Arial" w:hint="default"/>
      </w:rPr>
    </w:lvl>
    <w:lvl w:ilvl="5" w:tplc="B65EA4A2" w:tentative="1">
      <w:start w:val="1"/>
      <w:numFmt w:val="bullet"/>
      <w:lvlText w:val="•"/>
      <w:lvlJc w:val="left"/>
      <w:pPr>
        <w:tabs>
          <w:tab w:val="num" w:pos="4320"/>
        </w:tabs>
        <w:ind w:left="4320" w:hanging="360"/>
      </w:pPr>
      <w:rPr>
        <w:rFonts w:ascii="Arial" w:hAnsi="Arial" w:hint="default"/>
      </w:rPr>
    </w:lvl>
    <w:lvl w:ilvl="6" w:tplc="6BA88224" w:tentative="1">
      <w:start w:val="1"/>
      <w:numFmt w:val="bullet"/>
      <w:lvlText w:val="•"/>
      <w:lvlJc w:val="left"/>
      <w:pPr>
        <w:tabs>
          <w:tab w:val="num" w:pos="5040"/>
        </w:tabs>
        <w:ind w:left="5040" w:hanging="360"/>
      </w:pPr>
      <w:rPr>
        <w:rFonts w:ascii="Arial" w:hAnsi="Arial" w:hint="default"/>
      </w:rPr>
    </w:lvl>
    <w:lvl w:ilvl="7" w:tplc="2AE4EE1C" w:tentative="1">
      <w:start w:val="1"/>
      <w:numFmt w:val="bullet"/>
      <w:lvlText w:val="•"/>
      <w:lvlJc w:val="left"/>
      <w:pPr>
        <w:tabs>
          <w:tab w:val="num" w:pos="5760"/>
        </w:tabs>
        <w:ind w:left="5760" w:hanging="360"/>
      </w:pPr>
      <w:rPr>
        <w:rFonts w:ascii="Arial" w:hAnsi="Arial" w:hint="default"/>
      </w:rPr>
    </w:lvl>
    <w:lvl w:ilvl="8" w:tplc="536A80C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9F6DBE"/>
    <w:multiLevelType w:val="hybridMultilevel"/>
    <w:tmpl w:val="9CBC73B2"/>
    <w:lvl w:ilvl="0" w:tplc="D408D8EC">
      <w:start w:val="1"/>
      <w:numFmt w:val="bullet"/>
      <w:lvlText w:val="•"/>
      <w:lvlJc w:val="left"/>
      <w:pPr>
        <w:tabs>
          <w:tab w:val="num" w:pos="720"/>
        </w:tabs>
        <w:ind w:left="720" w:hanging="360"/>
      </w:pPr>
      <w:rPr>
        <w:rFonts w:ascii="Arial" w:hAnsi="Arial" w:hint="default"/>
      </w:rPr>
    </w:lvl>
    <w:lvl w:ilvl="1" w:tplc="6604369C" w:tentative="1">
      <w:start w:val="1"/>
      <w:numFmt w:val="bullet"/>
      <w:lvlText w:val="•"/>
      <w:lvlJc w:val="left"/>
      <w:pPr>
        <w:tabs>
          <w:tab w:val="num" w:pos="1440"/>
        </w:tabs>
        <w:ind w:left="1440" w:hanging="360"/>
      </w:pPr>
      <w:rPr>
        <w:rFonts w:ascii="Arial" w:hAnsi="Arial" w:hint="default"/>
      </w:rPr>
    </w:lvl>
    <w:lvl w:ilvl="2" w:tplc="73B8E280" w:tentative="1">
      <w:start w:val="1"/>
      <w:numFmt w:val="bullet"/>
      <w:lvlText w:val="•"/>
      <w:lvlJc w:val="left"/>
      <w:pPr>
        <w:tabs>
          <w:tab w:val="num" w:pos="2160"/>
        </w:tabs>
        <w:ind w:left="2160" w:hanging="360"/>
      </w:pPr>
      <w:rPr>
        <w:rFonts w:ascii="Arial" w:hAnsi="Arial" w:hint="default"/>
      </w:rPr>
    </w:lvl>
    <w:lvl w:ilvl="3" w:tplc="F476052C" w:tentative="1">
      <w:start w:val="1"/>
      <w:numFmt w:val="bullet"/>
      <w:lvlText w:val="•"/>
      <w:lvlJc w:val="left"/>
      <w:pPr>
        <w:tabs>
          <w:tab w:val="num" w:pos="2880"/>
        </w:tabs>
        <w:ind w:left="2880" w:hanging="360"/>
      </w:pPr>
      <w:rPr>
        <w:rFonts w:ascii="Arial" w:hAnsi="Arial" w:hint="default"/>
      </w:rPr>
    </w:lvl>
    <w:lvl w:ilvl="4" w:tplc="B848323A" w:tentative="1">
      <w:start w:val="1"/>
      <w:numFmt w:val="bullet"/>
      <w:lvlText w:val="•"/>
      <w:lvlJc w:val="left"/>
      <w:pPr>
        <w:tabs>
          <w:tab w:val="num" w:pos="3600"/>
        </w:tabs>
        <w:ind w:left="3600" w:hanging="360"/>
      </w:pPr>
      <w:rPr>
        <w:rFonts w:ascii="Arial" w:hAnsi="Arial" w:hint="default"/>
      </w:rPr>
    </w:lvl>
    <w:lvl w:ilvl="5" w:tplc="4B04588A" w:tentative="1">
      <w:start w:val="1"/>
      <w:numFmt w:val="bullet"/>
      <w:lvlText w:val="•"/>
      <w:lvlJc w:val="left"/>
      <w:pPr>
        <w:tabs>
          <w:tab w:val="num" w:pos="4320"/>
        </w:tabs>
        <w:ind w:left="4320" w:hanging="360"/>
      </w:pPr>
      <w:rPr>
        <w:rFonts w:ascii="Arial" w:hAnsi="Arial" w:hint="default"/>
      </w:rPr>
    </w:lvl>
    <w:lvl w:ilvl="6" w:tplc="06C04EBC" w:tentative="1">
      <w:start w:val="1"/>
      <w:numFmt w:val="bullet"/>
      <w:lvlText w:val="•"/>
      <w:lvlJc w:val="left"/>
      <w:pPr>
        <w:tabs>
          <w:tab w:val="num" w:pos="5040"/>
        </w:tabs>
        <w:ind w:left="5040" w:hanging="360"/>
      </w:pPr>
      <w:rPr>
        <w:rFonts w:ascii="Arial" w:hAnsi="Arial" w:hint="default"/>
      </w:rPr>
    </w:lvl>
    <w:lvl w:ilvl="7" w:tplc="E1F2840E" w:tentative="1">
      <w:start w:val="1"/>
      <w:numFmt w:val="bullet"/>
      <w:lvlText w:val="•"/>
      <w:lvlJc w:val="left"/>
      <w:pPr>
        <w:tabs>
          <w:tab w:val="num" w:pos="5760"/>
        </w:tabs>
        <w:ind w:left="5760" w:hanging="360"/>
      </w:pPr>
      <w:rPr>
        <w:rFonts w:ascii="Arial" w:hAnsi="Arial" w:hint="default"/>
      </w:rPr>
    </w:lvl>
    <w:lvl w:ilvl="8" w:tplc="AF7A8F0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1D383609"/>
    <w:multiLevelType w:val="hybridMultilevel"/>
    <w:tmpl w:val="E83030C6"/>
    <w:lvl w:ilvl="0" w:tplc="A6D6EF4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3B6274A"/>
    <w:multiLevelType w:val="hybridMultilevel"/>
    <w:tmpl w:val="8A848374"/>
    <w:lvl w:ilvl="0" w:tplc="E1B6BF4A">
      <w:start w:val="1"/>
      <w:numFmt w:val="decimal"/>
      <w:lvlText w:val="%1."/>
      <w:lvlJc w:val="left"/>
      <w:pPr>
        <w:ind w:left="1778" w:hanging="360"/>
      </w:pPr>
      <w:rPr>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7E77486"/>
    <w:multiLevelType w:val="multilevel"/>
    <w:tmpl w:val="F4609C0E"/>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bullet"/>
      <w:lvlText w:val=""/>
      <w:lvlJc w:val="left"/>
      <w:pPr>
        <w:ind w:left="1080" w:hanging="108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B2728E1"/>
    <w:multiLevelType w:val="hybridMultilevel"/>
    <w:tmpl w:val="9AB242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B2F5853"/>
    <w:multiLevelType w:val="hybridMultilevel"/>
    <w:tmpl w:val="6F28EB30"/>
    <w:lvl w:ilvl="0" w:tplc="1E3AD79E">
      <w:numFmt w:val="bullet"/>
      <w:lvlText w:val="-"/>
      <w:lvlJc w:val="left"/>
      <w:pPr>
        <w:ind w:left="720" w:hanging="360"/>
      </w:pPr>
      <w:rPr>
        <w:rFonts w:ascii="Arial Narrow" w:eastAsiaTheme="majorEastAsia" w:hAnsi="Arial Narrow" w:cstheme="maj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016E16"/>
    <w:multiLevelType w:val="hybridMultilevel"/>
    <w:tmpl w:val="0F78E15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3E68E4"/>
    <w:multiLevelType w:val="hybridMultilevel"/>
    <w:tmpl w:val="93908076"/>
    <w:lvl w:ilvl="0" w:tplc="86669110">
      <w:start w:val="1"/>
      <w:numFmt w:val="decimal"/>
      <w:lvlText w:val="%1)"/>
      <w:lvlJc w:val="left"/>
      <w:pPr>
        <w:ind w:left="717" w:hanging="360"/>
      </w:pPr>
      <w:rPr>
        <w:rFonts w:hint="default"/>
      </w:rPr>
    </w:lvl>
    <w:lvl w:ilvl="1" w:tplc="0C090019" w:tentative="1">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17" w15:restartNumberingAfterBreak="0">
    <w:nsid w:val="3C717C0D"/>
    <w:multiLevelType w:val="hybridMultilevel"/>
    <w:tmpl w:val="A4806DC6"/>
    <w:lvl w:ilvl="0" w:tplc="0C090001">
      <w:start w:val="1"/>
      <w:numFmt w:val="bullet"/>
      <w:lvlText w:val=""/>
      <w:lvlJc w:val="left"/>
      <w:pPr>
        <w:ind w:left="1500" w:hanging="360"/>
      </w:pPr>
      <w:rPr>
        <w:rFonts w:ascii="Symbol" w:hAnsi="Symbol" w:hint="default"/>
      </w:rPr>
    </w:lvl>
    <w:lvl w:ilvl="1" w:tplc="0C090003">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1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8D67A6"/>
    <w:multiLevelType w:val="hybridMultilevel"/>
    <w:tmpl w:val="51CA1480"/>
    <w:lvl w:ilvl="0" w:tplc="04090001">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F166F"/>
    <w:multiLevelType w:val="hybridMultilevel"/>
    <w:tmpl w:val="ABD6A1BA"/>
    <w:lvl w:ilvl="0" w:tplc="CE2033AE">
      <w:start w:val="1"/>
      <w:numFmt w:val="bullet"/>
      <w:lvlText w:val="•"/>
      <w:lvlJc w:val="left"/>
      <w:pPr>
        <w:tabs>
          <w:tab w:val="num" w:pos="720"/>
        </w:tabs>
        <w:ind w:left="720" w:hanging="360"/>
      </w:pPr>
      <w:rPr>
        <w:rFonts w:ascii="Arial" w:hAnsi="Arial" w:hint="default"/>
      </w:rPr>
    </w:lvl>
    <w:lvl w:ilvl="1" w:tplc="24505AFC">
      <w:start w:val="82"/>
      <w:numFmt w:val="bullet"/>
      <w:lvlText w:val="•"/>
      <w:lvlJc w:val="left"/>
      <w:pPr>
        <w:tabs>
          <w:tab w:val="num" w:pos="1440"/>
        </w:tabs>
        <w:ind w:left="1440" w:hanging="360"/>
      </w:pPr>
      <w:rPr>
        <w:rFonts w:ascii="Arial" w:hAnsi="Arial" w:hint="default"/>
      </w:rPr>
    </w:lvl>
    <w:lvl w:ilvl="2" w:tplc="C9961C56" w:tentative="1">
      <w:start w:val="1"/>
      <w:numFmt w:val="bullet"/>
      <w:lvlText w:val="•"/>
      <w:lvlJc w:val="left"/>
      <w:pPr>
        <w:tabs>
          <w:tab w:val="num" w:pos="2160"/>
        </w:tabs>
        <w:ind w:left="2160" w:hanging="360"/>
      </w:pPr>
      <w:rPr>
        <w:rFonts w:ascii="Arial" w:hAnsi="Arial" w:hint="default"/>
      </w:rPr>
    </w:lvl>
    <w:lvl w:ilvl="3" w:tplc="51D00994" w:tentative="1">
      <w:start w:val="1"/>
      <w:numFmt w:val="bullet"/>
      <w:lvlText w:val="•"/>
      <w:lvlJc w:val="left"/>
      <w:pPr>
        <w:tabs>
          <w:tab w:val="num" w:pos="2880"/>
        </w:tabs>
        <w:ind w:left="2880" w:hanging="360"/>
      </w:pPr>
      <w:rPr>
        <w:rFonts w:ascii="Arial" w:hAnsi="Arial" w:hint="default"/>
      </w:rPr>
    </w:lvl>
    <w:lvl w:ilvl="4" w:tplc="BA0CF404" w:tentative="1">
      <w:start w:val="1"/>
      <w:numFmt w:val="bullet"/>
      <w:lvlText w:val="•"/>
      <w:lvlJc w:val="left"/>
      <w:pPr>
        <w:tabs>
          <w:tab w:val="num" w:pos="3600"/>
        </w:tabs>
        <w:ind w:left="3600" w:hanging="360"/>
      </w:pPr>
      <w:rPr>
        <w:rFonts w:ascii="Arial" w:hAnsi="Arial" w:hint="default"/>
      </w:rPr>
    </w:lvl>
    <w:lvl w:ilvl="5" w:tplc="DD00D2E0" w:tentative="1">
      <w:start w:val="1"/>
      <w:numFmt w:val="bullet"/>
      <w:lvlText w:val="•"/>
      <w:lvlJc w:val="left"/>
      <w:pPr>
        <w:tabs>
          <w:tab w:val="num" w:pos="4320"/>
        </w:tabs>
        <w:ind w:left="4320" w:hanging="360"/>
      </w:pPr>
      <w:rPr>
        <w:rFonts w:ascii="Arial" w:hAnsi="Arial" w:hint="default"/>
      </w:rPr>
    </w:lvl>
    <w:lvl w:ilvl="6" w:tplc="657CBF50" w:tentative="1">
      <w:start w:val="1"/>
      <w:numFmt w:val="bullet"/>
      <w:lvlText w:val="•"/>
      <w:lvlJc w:val="left"/>
      <w:pPr>
        <w:tabs>
          <w:tab w:val="num" w:pos="5040"/>
        </w:tabs>
        <w:ind w:left="5040" w:hanging="360"/>
      </w:pPr>
      <w:rPr>
        <w:rFonts w:ascii="Arial" w:hAnsi="Arial" w:hint="default"/>
      </w:rPr>
    </w:lvl>
    <w:lvl w:ilvl="7" w:tplc="E0E68E24" w:tentative="1">
      <w:start w:val="1"/>
      <w:numFmt w:val="bullet"/>
      <w:lvlText w:val="•"/>
      <w:lvlJc w:val="left"/>
      <w:pPr>
        <w:tabs>
          <w:tab w:val="num" w:pos="5760"/>
        </w:tabs>
        <w:ind w:left="5760" w:hanging="360"/>
      </w:pPr>
      <w:rPr>
        <w:rFonts w:ascii="Arial" w:hAnsi="Arial" w:hint="default"/>
      </w:rPr>
    </w:lvl>
    <w:lvl w:ilvl="8" w:tplc="85AA4378"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5F2F1B"/>
    <w:multiLevelType w:val="hybridMultilevel"/>
    <w:tmpl w:val="CADCE54A"/>
    <w:lvl w:ilvl="0" w:tplc="0C090001">
      <w:start w:val="1"/>
      <w:numFmt w:val="bullet"/>
      <w:lvlText w:val=""/>
      <w:lvlJc w:val="left"/>
      <w:pPr>
        <w:ind w:left="729" w:hanging="360"/>
      </w:pPr>
      <w:rPr>
        <w:rFonts w:ascii="Symbol" w:hAnsi="Symbol" w:hint="default"/>
      </w:rPr>
    </w:lvl>
    <w:lvl w:ilvl="1" w:tplc="0C090019">
      <w:start w:val="1"/>
      <w:numFmt w:val="lowerLetter"/>
      <w:lvlText w:val="%2."/>
      <w:lvlJc w:val="left"/>
      <w:pPr>
        <w:ind w:left="1449" w:hanging="360"/>
      </w:pPr>
    </w:lvl>
    <w:lvl w:ilvl="2" w:tplc="0C09001B">
      <w:start w:val="1"/>
      <w:numFmt w:val="lowerRoman"/>
      <w:lvlText w:val="%3."/>
      <w:lvlJc w:val="right"/>
      <w:pPr>
        <w:ind w:left="2169" w:hanging="180"/>
      </w:pPr>
    </w:lvl>
    <w:lvl w:ilvl="3" w:tplc="0C09000F">
      <w:start w:val="1"/>
      <w:numFmt w:val="decimal"/>
      <w:lvlText w:val="%4."/>
      <w:lvlJc w:val="left"/>
      <w:pPr>
        <w:ind w:left="2889" w:hanging="360"/>
      </w:pPr>
    </w:lvl>
    <w:lvl w:ilvl="4" w:tplc="0C090019">
      <w:start w:val="1"/>
      <w:numFmt w:val="lowerLetter"/>
      <w:lvlText w:val="%5."/>
      <w:lvlJc w:val="left"/>
      <w:pPr>
        <w:ind w:left="3609" w:hanging="360"/>
      </w:pPr>
    </w:lvl>
    <w:lvl w:ilvl="5" w:tplc="0C09001B">
      <w:start w:val="1"/>
      <w:numFmt w:val="lowerRoman"/>
      <w:lvlText w:val="%6."/>
      <w:lvlJc w:val="right"/>
      <w:pPr>
        <w:ind w:left="4329" w:hanging="180"/>
      </w:pPr>
    </w:lvl>
    <w:lvl w:ilvl="6" w:tplc="0C09000F">
      <w:start w:val="1"/>
      <w:numFmt w:val="decimal"/>
      <w:lvlText w:val="%7."/>
      <w:lvlJc w:val="left"/>
      <w:pPr>
        <w:ind w:left="5049" w:hanging="360"/>
      </w:pPr>
    </w:lvl>
    <w:lvl w:ilvl="7" w:tplc="0C090019">
      <w:start w:val="1"/>
      <w:numFmt w:val="lowerLetter"/>
      <w:lvlText w:val="%8."/>
      <w:lvlJc w:val="left"/>
      <w:pPr>
        <w:ind w:left="5769" w:hanging="360"/>
      </w:pPr>
    </w:lvl>
    <w:lvl w:ilvl="8" w:tplc="0C09001B">
      <w:start w:val="1"/>
      <w:numFmt w:val="lowerRoman"/>
      <w:lvlText w:val="%9."/>
      <w:lvlJc w:val="right"/>
      <w:pPr>
        <w:ind w:left="6489" w:hanging="180"/>
      </w:pPr>
    </w:lvl>
  </w:abstractNum>
  <w:abstractNum w:abstractNumId="23" w15:restartNumberingAfterBreak="0">
    <w:nsid w:val="5DDC01AF"/>
    <w:multiLevelType w:val="hybridMultilevel"/>
    <w:tmpl w:val="9D845718"/>
    <w:lvl w:ilvl="0" w:tplc="8D6E5110">
      <w:start w:val="1"/>
      <w:numFmt w:val="bullet"/>
      <w:lvlText w:val="•"/>
      <w:lvlJc w:val="left"/>
      <w:pPr>
        <w:tabs>
          <w:tab w:val="num" w:pos="720"/>
        </w:tabs>
        <w:ind w:left="720" w:hanging="360"/>
      </w:pPr>
      <w:rPr>
        <w:rFonts w:ascii="Arial" w:hAnsi="Arial" w:hint="default"/>
      </w:rPr>
    </w:lvl>
    <w:lvl w:ilvl="1" w:tplc="410A9646" w:tentative="1">
      <w:start w:val="1"/>
      <w:numFmt w:val="bullet"/>
      <w:lvlText w:val="•"/>
      <w:lvlJc w:val="left"/>
      <w:pPr>
        <w:tabs>
          <w:tab w:val="num" w:pos="1440"/>
        </w:tabs>
        <w:ind w:left="1440" w:hanging="360"/>
      </w:pPr>
      <w:rPr>
        <w:rFonts w:ascii="Arial" w:hAnsi="Arial" w:hint="default"/>
      </w:rPr>
    </w:lvl>
    <w:lvl w:ilvl="2" w:tplc="6E60D338" w:tentative="1">
      <w:start w:val="1"/>
      <w:numFmt w:val="bullet"/>
      <w:lvlText w:val="•"/>
      <w:lvlJc w:val="left"/>
      <w:pPr>
        <w:tabs>
          <w:tab w:val="num" w:pos="2160"/>
        </w:tabs>
        <w:ind w:left="2160" w:hanging="360"/>
      </w:pPr>
      <w:rPr>
        <w:rFonts w:ascii="Arial" w:hAnsi="Arial" w:hint="default"/>
      </w:rPr>
    </w:lvl>
    <w:lvl w:ilvl="3" w:tplc="902A163E" w:tentative="1">
      <w:start w:val="1"/>
      <w:numFmt w:val="bullet"/>
      <w:lvlText w:val="•"/>
      <w:lvlJc w:val="left"/>
      <w:pPr>
        <w:tabs>
          <w:tab w:val="num" w:pos="2880"/>
        </w:tabs>
        <w:ind w:left="2880" w:hanging="360"/>
      </w:pPr>
      <w:rPr>
        <w:rFonts w:ascii="Arial" w:hAnsi="Arial" w:hint="default"/>
      </w:rPr>
    </w:lvl>
    <w:lvl w:ilvl="4" w:tplc="B3228B9A" w:tentative="1">
      <w:start w:val="1"/>
      <w:numFmt w:val="bullet"/>
      <w:lvlText w:val="•"/>
      <w:lvlJc w:val="left"/>
      <w:pPr>
        <w:tabs>
          <w:tab w:val="num" w:pos="3600"/>
        </w:tabs>
        <w:ind w:left="3600" w:hanging="360"/>
      </w:pPr>
      <w:rPr>
        <w:rFonts w:ascii="Arial" w:hAnsi="Arial" w:hint="default"/>
      </w:rPr>
    </w:lvl>
    <w:lvl w:ilvl="5" w:tplc="3A9A73D0" w:tentative="1">
      <w:start w:val="1"/>
      <w:numFmt w:val="bullet"/>
      <w:lvlText w:val="•"/>
      <w:lvlJc w:val="left"/>
      <w:pPr>
        <w:tabs>
          <w:tab w:val="num" w:pos="4320"/>
        </w:tabs>
        <w:ind w:left="4320" w:hanging="360"/>
      </w:pPr>
      <w:rPr>
        <w:rFonts w:ascii="Arial" w:hAnsi="Arial" w:hint="default"/>
      </w:rPr>
    </w:lvl>
    <w:lvl w:ilvl="6" w:tplc="7452083E" w:tentative="1">
      <w:start w:val="1"/>
      <w:numFmt w:val="bullet"/>
      <w:lvlText w:val="•"/>
      <w:lvlJc w:val="left"/>
      <w:pPr>
        <w:tabs>
          <w:tab w:val="num" w:pos="5040"/>
        </w:tabs>
        <w:ind w:left="5040" w:hanging="360"/>
      </w:pPr>
      <w:rPr>
        <w:rFonts w:ascii="Arial" w:hAnsi="Arial" w:hint="default"/>
      </w:rPr>
    </w:lvl>
    <w:lvl w:ilvl="7" w:tplc="A746CB5C" w:tentative="1">
      <w:start w:val="1"/>
      <w:numFmt w:val="bullet"/>
      <w:lvlText w:val="•"/>
      <w:lvlJc w:val="left"/>
      <w:pPr>
        <w:tabs>
          <w:tab w:val="num" w:pos="5760"/>
        </w:tabs>
        <w:ind w:left="5760" w:hanging="360"/>
      </w:pPr>
      <w:rPr>
        <w:rFonts w:ascii="Arial" w:hAnsi="Arial" w:hint="default"/>
      </w:rPr>
    </w:lvl>
    <w:lvl w:ilvl="8" w:tplc="1760370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5"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84D033C"/>
    <w:multiLevelType w:val="multilevel"/>
    <w:tmpl w:val="CBD09656"/>
    <w:lvl w:ilvl="0">
      <w:start w:val="1"/>
      <w:numFmt w:val="decimal"/>
      <w:pStyle w:val="2-SectionHeading"/>
      <w:lvlText w:val="%1"/>
      <w:lvlJc w:val="left"/>
      <w:pPr>
        <w:ind w:left="720" w:hanging="720"/>
      </w:pPr>
      <w:rPr>
        <w:rFonts w:hint="default"/>
        <w:b/>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6A1DD5"/>
    <w:multiLevelType w:val="hybridMultilevel"/>
    <w:tmpl w:val="ABD24584"/>
    <w:lvl w:ilvl="0" w:tplc="4A063754">
      <w:numFmt w:val="bullet"/>
      <w:lvlText w:val="-"/>
      <w:lvlJc w:val="left"/>
      <w:pPr>
        <w:ind w:left="720" w:hanging="360"/>
      </w:pPr>
      <w:rPr>
        <w:rFonts w:ascii="Calibri" w:eastAsia="Times New Roman"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8"/>
  </w:num>
  <w:num w:numId="3">
    <w:abstractNumId w:val="19"/>
  </w:num>
  <w:num w:numId="4">
    <w:abstractNumId w:val="0"/>
  </w:num>
  <w:num w:numId="5">
    <w:abstractNumId w:val="26"/>
  </w:num>
  <w:num w:numId="6">
    <w:abstractNumId w:val="13"/>
  </w:num>
  <w:num w:numId="7">
    <w:abstractNumId w:val="4"/>
  </w:num>
  <w:num w:numId="8">
    <w:abstractNumId w:val="17"/>
  </w:num>
  <w:num w:numId="9">
    <w:abstractNumId w:val="11"/>
  </w:num>
  <w:num w:numId="10">
    <w:abstractNumId w:val="12"/>
  </w:num>
  <w:num w:numId="11">
    <w:abstractNumId w:val="27"/>
  </w:num>
  <w:num w:numId="12">
    <w:abstractNumId w:val="7"/>
  </w:num>
  <w:num w:numId="13">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16"/>
  </w:num>
  <w:num w:numId="17">
    <w:abstractNumId w:val="2"/>
  </w:num>
  <w:num w:numId="18">
    <w:abstractNumId w:val="21"/>
  </w:num>
  <w:num w:numId="19">
    <w:abstractNumId w:val="3"/>
  </w:num>
  <w:num w:numId="20">
    <w:abstractNumId w:val="1"/>
  </w:num>
  <w:num w:numId="21">
    <w:abstractNumId w:val="10"/>
  </w:num>
  <w:num w:numId="22">
    <w:abstractNumId w:val="15"/>
  </w:num>
  <w:num w:numId="23">
    <w:abstractNumId w:val="8"/>
  </w:num>
  <w:num w:numId="2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num>
  <w:num w:numId="26">
    <w:abstractNumId w:val="26"/>
  </w:num>
  <w:num w:numId="27">
    <w:abstractNumId w:val="26"/>
  </w:num>
  <w:num w:numId="2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23"/>
  </w:num>
  <w:num w:numId="31">
    <w:abstractNumId w:val="9"/>
  </w:num>
  <w:num w:numId="32">
    <w:abstractNumId w:val="6"/>
  </w:num>
  <w:num w:numId="33">
    <w:abstractNumId w:val="5"/>
  </w:num>
  <w:num w:numId="34">
    <w:abstractNumId w:val="26"/>
  </w:num>
  <w:num w:numId="35">
    <w:abstractNumId w:val="26"/>
  </w:num>
  <w:num w:numId="36">
    <w:abstractNumId w:val="26"/>
  </w:num>
  <w:num w:numId="37">
    <w:abstractNumId w:val="26"/>
  </w:num>
  <w:num w:numId="38">
    <w:abstractNumId w:val="19"/>
  </w:num>
  <w:num w:numId="39">
    <w:abstractNumId w:val="26"/>
  </w:num>
  <w:num w:numId="40">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s-MX"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0" w:nlCheck="1" w:checkStyle="0"/>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n-GB" w:vendorID="64" w:dllVersion="0" w:nlCheck="1" w:checkStyle="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2C9B"/>
    <w:rsid w:val="00003499"/>
    <w:rsid w:val="000039B7"/>
    <w:rsid w:val="00003D1B"/>
    <w:rsid w:val="00003E70"/>
    <w:rsid w:val="0000639A"/>
    <w:rsid w:val="0001025E"/>
    <w:rsid w:val="00010F9D"/>
    <w:rsid w:val="00013247"/>
    <w:rsid w:val="00014049"/>
    <w:rsid w:val="00014824"/>
    <w:rsid w:val="00015886"/>
    <w:rsid w:val="00016073"/>
    <w:rsid w:val="000162EF"/>
    <w:rsid w:val="000207C9"/>
    <w:rsid w:val="00020AE1"/>
    <w:rsid w:val="0002225F"/>
    <w:rsid w:val="00023763"/>
    <w:rsid w:val="00024D62"/>
    <w:rsid w:val="00025C20"/>
    <w:rsid w:val="000274B8"/>
    <w:rsid w:val="000322AB"/>
    <w:rsid w:val="00033863"/>
    <w:rsid w:val="00034BA8"/>
    <w:rsid w:val="00035DC0"/>
    <w:rsid w:val="00036829"/>
    <w:rsid w:val="00037E54"/>
    <w:rsid w:val="00040895"/>
    <w:rsid w:val="0004190E"/>
    <w:rsid w:val="000435EE"/>
    <w:rsid w:val="00043C37"/>
    <w:rsid w:val="000449F3"/>
    <w:rsid w:val="00045017"/>
    <w:rsid w:val="00045A2B"/>
    <w:rsid w:val="00045F41"/>
    <w:rsid w:val="0004698F"/>
    <w:rsid w:val="00050544"/>
    <w:rsid w:val="00052749"/>
    <w:rsid w:val="000539D0"/>
    <w:rsid w:val="00054621"/>
    <w:rsid w:val="000546D7"/>
    <w:rsid w:val="00056ECF"/>
    <w:rsid w:val="000570DC"/>
    <w:rsid w:val="000604DF"/>
    <w:rsid w:val="0006237C"/>
    <w:rsid w:val="00063EA7"/>
    <w:rsid w:val="00064BDB"/>
    <w:rsid w:val="000653B5"/>
    <w:rsid w:val="00065452"/>
    <w:rsid w:val="00065CB5"/>
    <w:rsid w:val="000660F2"/>
    <w:rsid w:val="00066360"/>
    <w:rsid w:val="00066AF8"/>
    <w:rsid w:val="000679D2"/>
    <w:rsid w:val="00071248"/>
    <w:rsid w:val="000720B9"/>
    <w:rsid w:val="000737F7"/>
    <w:rsid w:val="0007659B"/>
    <w:rsid w:val="0007672F"/>
    <w:rsid w:val="00076B54"/>
    <w:rsid w:val="000774F0"/>
    <w:rsid w:val="00080909"/>
    <w:rsid w:val="000812CA"/>
    <w:rsid w:val="00081E63"/>
    <w:rsid w:val="00081F78"/>
    <w:rsid w:val="0008258D"/>
    <w:rsid w:val="000839D6"/>
    <w:rsid w:val="00083D90"/>
    <w:rsid w:val="00083E99"/>
    <w:rsid w:val="00084FA8"/>
    <w:rsid w:val="000851BE"/>
    <w:rsid w:val="000856C5"/>
    <w:rsid w:val="00085C31"/>
    <w:rsid w:val="00086C66"/>
    <w:rsid w:val="000902D9"/>
    <w:rsid w:val="00090C7E"/>
    <w:rsid w:val="000916A1"/>
    <w:rsid w:val="00092600"/>
    <w:rsid w:val="0009262B"/>
    <w:rsid w:val="00093310"/>
    <w:rsid w:val="0009445C"/>
    <w:rsid w:val="00095200"/>
    <w:rsid w:val="00095FE5"/>
    <w:rsid w:val="00096284"/>
    <w:rsid w:val="00096A4D"/>
    <w:rsid w:val="00097348"/>
    <w:rsid w:val="000979D5"/>
    <w:rsid w:val="000A1BC0"/>
    <w:rsid w:val="000A4110"/>
    <w:rsid w:val="000A6039"/>
    <w:rsid w:val="000A733A"/>
    <w:rsid w:val="000A7453"/>
    <w:rsid w:val="000A7D08"/>
    <w:rsid w:val="000B0121"/>
    <w:rsid w:val="000B04D9"/>
    <w:rsid w:val="000B0670"/>
    <w:rsid w:val="000B0E75"/>
    <w:rsid w:val="000B18D6"/>
    <w:rsid w:val="000B1A72"/>
    <w:rsid w:val="000B2DCB"/>
    <w:rsid w:val="000B49F2"/>
    <w:rsid w:val="000B52B7"/>
    <w:rsid w:val="000B58EF"/>
    <w:rsid w:val="000B5CE0"/>
    <w:rsid w:val="000B6CAC"/>
    <w:rsid w:val="000B7612"/>
    <w:rsid w:val="000B78AE"/>
    <w:rsid w:val="000C24E8"/>
    <w:rsid w:val="000C3A5F"/>
    <w:rsid w:val="000C3DF9"/>
    <w:rsid w:val="000C492E"/>
    <w:rsid w:val="000C4B57"/>
    <w:rsid w:val="000C6713"/>
    <w:rsid w:val="000D0687"/>
    <w:rsid w:val="000D09B8"/>
    <w:rsid w:val="000D100E"/>
    <w:rsid w:val="000D1BFC"/>
    <w:rsid w:val="000D1D5D"/>
    <w:rsid w:val="000D281A"/>
    <w:rsid w:val="000D2848"/>
    <w:rsid w:val="000D326A"/>
    <w:rsid w:val="000D51FB"/>
    <w:rsid w:val="000D63AD"/>
    <w:rsid w:val="000D7F94"/>
    <w:rsid w:val="000E0640"/>
    <w:rsid w:val="000E102C"/>
    <w:rsid w:val="000E135D"/>
    <w:rsid w:val="000E3668"/>
    <w:rsid w:val="000E3FB4"/>
    <w:rsid w:val="000F00BA"/>
    <w:rsid w:val="000F2E07"/>
    <w:rsid w:val="000F316A"/>
    <w:rsid w:val="000F34E8"/>
    <w:rsid w:val="000F3C74"/>
    <w:rsid w:val="000F4BB8"/>
    <w:rsid w:val="000F4FA9"/>
    <w:rsid w:val="000F5191"/>
    <w:rsid w:val="000F53FB"/>
    <w:rsid w:val="000F6D08"/>
    <w:rsid w:val="000F7127"/>
    <w:rsid w:val="000F7AE2"/>
    <w:rsid w:val="000F7B54"/>
    <w:rsid w:val="00100F8A"/>
    <w:rsid w:val="0010103F"/>
    <w:rsid w:val="0010452E"/>
    <w:rsid w:val="001045D6"/>
    <w:rsid w:val="00105AE2"/>
    <w:rsid w:val="00105C00"/>
    <w:rsid w:val="001060C6"/>
    <w:rsid w:val="00106B80"/>
    <w:rsid w:val="00106E56"/>
    <w:rsid w:val="00107FF9"/>
    <w:rsid w:val="0011032E"/>
    <w:rsid w:val="0011348B"/>
    <w:rsid w:val="00115982"/>
    <w:rsid w:val="00116C53"/>
    <w:rsid w:val="001174E8"/>
    <w:rsid w:val="00121799"/>
    <w:rsid w:val="001222FC"/>
    <w:rsid w:val="0012365E"/>
    <w:rsid w:val="00123902"/>
    <w:rsid w:val="00124A51"/>
    <w:rsid w:val="00126621"/>
    <w:rsid w:val="00126B1D"/>
    <w:rsid w:val="001301E9"/>
    <w:rsid w:val="00131D82"/>
    <w:rsid w:val="00132B22"/>
    <w:rsid w:val="00132CBA"/>
    <w:rsid w:val="00133D36"/>
    <w:rsid w:val="00135EAB"/>
    <w:rsid w:val="00135F0E"/>
    <w:rsid w:val="00137645"/>
    <w:rsid w:val="0014015A"/>
    <w:rsid w:val="00140475"/>
    <w:rsid w:val="00140E99"/>
    <w:rsid w:val="00142292"/>
    <w:rsid w:val="00143F67"/>
    <w:rsid w:val="00145540"/>
    <w:rsid w:val="001456B0"/>
    <w:rsid w:val="001459EE"/>
    <w:rsid w:val="00150A02"/>
    <w:rsid w:val="00153197"/>
    <w:rsid w:val="00155909"/>
    <w:rsid w:val="00156F8F"/>
    <w:rsid w:val="00157130"/>
    <w:rsid w:val="001576B1"/>
    <w:rsid w:val="0016047B"/>
    <w:rsid w:val="0016075E"/>
    <w:rsid w:val="00160A4C"/>
    <w:rsid w:val="0016228F"/>
    <w:rsid w:val="00162913"/>
    <w:rsid w:val="0016307C"/>
    <w:rsid w:val="00163927"/>
    <w:rsid w:val="00163EFF"/>
    <w:rsid w:val="00163F66"/>
    <w:rsid w:val="00165A07"/>
    <w:rsid w:val="001661FB"/>
    <w:rsid w:val="00166AA3"/>
    <w:rsid w:val="001671A0"/>
    <w:rsid w:val="00167542"/>
    <w:rsid w:val="0016767F"/>
    <w:rsid w:val="00170B01"/>
    <w:rsid w:val="00170B17"/>
    <w:rsid w:val="00171B31"/>
    <w:rsid w:val="00173565"/>
    <w:rsid w:val="00173B07"/>
    <w:rsid w:val="0017441C"/>
    <w:rsid w:val="001751FA"/>
    <w:rsid w:val="00181D9C"/>
    <w:rsid w:val="001826A6"/>
    <w:rsid w:val="00184B0E"/>
    <w:rsid w:val="0018752F"/>
    <w:rsid w:val="00193838"/>
    <w:rsid w:val="00193A51"/>
    <w:rsid w:val="00194AD8"/>
    <w:rsid w:val="00195222"/>
    <w:rsid w:val="00196391"/>
    <w:rsid w:val="00196748"/>
    <w:rsid w:val="001975D8"/>
    <w:rsid w:val="001A0FB8"/>
    <w:rsid w:val="001A1235"/>
    <w:rsid w:val="001A178E"/>
    <w:rsid w:val="001A1A0D"/>
    <w:rsid w:val="001A262F"/>
    <w:rsid w:val="001A33FE"/>
    <w:rsid w:val="001A355D"/>
    <w:rsid w:val="001A43FA"/>
    <w:rsid w:val="001A47C5"/>
    <w:rsid w:val="001A59FB"/>
    <w:rsid w:val="001A5E9E"/>
    <w:rsid w:val="001A6354"/>
    <w:rsid w:val="001A6366"/>
    <w:rsid w:val="001A6512"/>
    <w:rsid w:val="001A654F"/>
    <w:rsid w:val="001A726B"/>
    <w:rsid w:val="001A7AE8"/>
    <w:rsid w:val="001B08A5"/>
    <w:rsid w:val="001B204E"/>
    <w:rsid w:val="001B2372"/>
    <w:rsid w:val="001B297A"/>
    <w:rsid w:val="001B3443"/>
    <w:rsid w:val="001B4D20"/>
    <w:rsid w:val="001B60B5"/>
    <w:rsid w:val="001B772C"/>
    <w:rsid w:val="001C15E0"/>
    <w:rsid w:val="001C2A9B"/>
    <w:rsid w:val="001C4299"/>
    <w:rsid w:val="001C4874"/>
    <w:rsid w:val="001C4E61"/>
    <w:rsid w:val="001C5F94"/>
    <w:rsid w:val="001C6E66"/>
    <w:rsid w:val="001D03B1"/>
    <w:rsid w:val="001D1100"/>
    <w:rsid w:val="001D1391"/>
    <w:rsid w:val="001D25BE"/>
    <w:rsid w:val="001D25D7"/>
    <w:rsid w:val="001D2E66"/>
    <w:rsid w:val="001D50B2"/>
    <w:rsid w:val="001D6C73"/>
    <w:rsid w:val="001D7645"/>
    <w:rsid w:val="001E11A3"/>
    <w:rsid w:val="001E1E86"/>
    <w:rsid w:val="001E238E"/>
    <w:rsid w:val="001E2483"/>
    <w:rsid w:val="001E2B1E"/>
    <w:rsid w:val="001E2CFF"/>
    <w:rsid w:val="001E2F24"/>
    <w:rsid w:val="001E30D4"/>
    <w:rsid w:val="001E34DF"/>
    <w:rsid w:val="001E52EB"/>
    <w:rsid w:val="001E61D2"/>
    <w:rsid w:val="001E740C"/>
    <w:rsid w:val="001E7E8F"/>
    <w:rsid w:val="001F1235"/>
    <w:rsid w:val="001F1CB3"/>
    <w:rsid w:val="001F38B5"/>
    <w:rsid w:val="001F4081"/>
    <w:rsid w:val="001F4A78"/>
    <w:rsid w:val="001F4F56"/>
    <w:rsid w:val="001F71BB"/>
    <w:rsid w:val="001F7361"/>
    <w:rsid w:val="001F79AA"/>
    <w:rsid w:val="00200219"/>
    <w:rsid w:val="002011B0"/>
    <w:rsid w:val="00201524"/>
    <w:rsid w:val="00203181"/>
    <w:rsid w:val="00203783"/>
    <w:rsid w:val="0020385F"/>
    <w:rsid w:val="002068A0"/>
    <w:rsid w:val="00206974"/>
    <w:rsid w:val="00206B5A"/>
    <w:rsid w:val="00207021"/>
    <w:rsid w:val="00207173"/>
    <w:rsid w:val="0020732F"/>
    <w:rsid w:val="00207D00"/>
    <w:rsid w:val="002105C1"/>
    <w:rsid w:val="00213EF5"/>
    <w:rsid w:val="00214431"/>
    <w:rsid w:val="00214F38"/>
    <w:rsid w:val="002165FA"/>
    <w:rsid w:val="00216BF5"/>
    <w:rsid w:val="00217878"/>
    <w:rsid w:val="00222BF6"/>
    <w:rsid w:val="00222E48"/>
    <w:rsid w:val="00223B49"/>
    <w:rsid w:val="00223D5A"/>
    <w:rsid w:val="00224DD4"/>
    <w:rsid w:val="002278A0"/>
    <w:rsid w:val="002278D9"/>
    <w:rsid w:val="00230914"/>
    <w:rsid w:val="002309CC"/>
    <w:rsid w:val="00231672"/>
    <w:rsid w:val="0023209F"/>
    <w:rsid w:val="00232342"/>
    <w:rsid w:val="00232E88"/>
    <w:rsid w:val="00233740"/>
    <w:rsid w:val="00233C01"/>
    <w:rsid w:val="00233DC2"/>
    <w:rsid w:val="0023413C"/>
    <w:rsid w:val="002343AD"/>
    <w:rsid w:val="002346F0"/>
    <w:rsid w:val="0023476D"/>
    <w:rsid w:val="0023629D"/>
    <w:rsid w:val="00236B13"/>
    <w:rsid w:val="00237255"/>
    <w:rsid w:val="002424AF"/>
    <w:rsid w:val="002439DC"/>
    <w:rsid w:val="002441D2"/>
    <w:rsid w:val="00244A3C"/>
    <w:rsid w:val="00244ABF"/>
    <w:rsid w:val="00244DC8"/>
    <w:rsid w:val="002458BA"/>
    <w:rsid w:val="00245CE9"/>
    <w:rsid w:val="0024636C"/>
    <w:rsid w:val="00247925"/>
    <w:rsid w:val="00251006"/>
    <w:rsid w:val="00251AD0"/>
    <w:rsid w:val="00252295"/>
    <w:rsid w:val="002522FE"/>
    <w:rsid w:val="002524D5"/>
    <w:rsid w:val="00253B1D"/>
    <w:rsid w:val="00254DCF"/>
    <w:rsid w:val="0025534B"/>
    <w:rsid w:val="00255A7E"/>
    <w:rsid w:val="00255BB7"/>
    <w:rsid w:val="00256A78"/>
    <w:rsid w:val="00257541"/>
    <w:rsid w:val="00257A39"/>
    <w:rsid w:val="00257AC4"/>
    <w:rsid w:val="00257FF3"/>
    <w:rsid w:val="00261EEF"/>
    <w:rsid w:val="00262A1A"/>
    <w:rsid w:val="00262A1C"/>
    <w:rsid w:val="00262A87"/>
    <w:rsid w:val="00263A7D"/>
    <w:rsid w:val="00264D26"/>
    <w:rsid w:val="002665B8"/>
    <w:rsid w:val="00267642"/>
    <w:rsid w:val="00267AEA"/>
    <w:rsid w:val="002700E6"/>
    <w:rsid w:val="0027043F"/>
    <w:rsid w:val="0027294B"/>
    <w:rsid w:val="00272A44"/>
    <w:rsid w:val="00273C23"/>
    <w:rsid w:val="00273EB4"/>
    <w:rsid w:val="00274682"/>
    <w:rsid w:val="00275C5A"/>
    <w:rsid w:val="00276B27"/>
    <w:rsid w:val="00277208"/>
    <w:rsid w:val="00281014"/>
    <w:rsid w:val="002837AD"/>
    <w:rsid w:val="0028665D"/>
    <w:rsid w:val="00286708"/>
    <w:rsid w:val="00287A82"/>
    <w:rsid w:val="00290519"/>
    <w:rsid w:val="00292CEF"/>
    <w:rsid w:val="00292FB6"/>
    <w:rsid w:val="00293D8E"/>
    <w:rsid w:val="0029489D"/>
    <w:rsid w:val="00296DB3"/>
    <w:rsid w:val="002A00FC"/>
    <w:rsid w:val="002A14AB"/>
    <w:rsid w:val="002A1F49"/>
    <w:rsid w:val="002A2ADE"/>
    <w:rsid w:val="002A2BF5"/>
    <w:rsid w:val="002A2F50"/>
    <w:rsid w:val="002A5F83"/>
    <w:rsid w:val="002A6816"/>
    <w:rsid w:val="002A7513"/>
    <w:rsid w:val="002A7CF6"/>
    <w:rsid w:val="002B04D7"/>
    <w:rsid w:val="002B05A1"/>
    <w:rsid w:val="002B07A2"/>
    <w:rsid w:val="002B09A4"/>
    <w:rsid w:val="002B142D"/>
    <w:rsid w:val="002B1C1F"/>
    <w:rsid w:val="002B2BAA"/>
    <w:rsid w:val="002B2C9B"/>
    <w:rsid w:val="002B432F"/>
    <w:rsid w:val="002B4847"/>
    <w:rsid w:val="002B4A29"/>
    <w:rsid w:val="002B62B3"/>
    <w:rsid w:val="002B6754"/>
    <w:rsid w:val="002B6CCE"/>
    <w:rsid w:val="002C1672"/>
    <w:rsid w:val="002C2510"/>
    <w:rsid w:val="002C2775"/>
    <w:rsid w:val="002C27C1"/>
    <w:rsid w:val="002C298A"/>
    <w:rsid w:val="002C3294"/>
    <w:rsid w:val="002C5099"/>
    <w:rsid w:val="002C5889"/>
    <w:rsid w:val="002C5B12"/>
    <w:rsid w:val="002C71CE"/>
    <w:rsid w:val="002D08F8"/>
    <w:rsid w:val="002D577C"/>
    <w:rsid w:val="002E1071"/>
    <w:rsid w:val="002E1458"/>
    <w:rsid w:val="002E15B9"/>
    <w:rsid w:val="002E1EF9"/>
    <w:rsid w:val="002E2158"/>
    <w:rsid w:val="002E22A6"/>
    <w:rsid w:val="002E2514"/>
    <w:rsid w:val="002E3456"/>
    <w:rsid w:val="002E3537"/>
    <w:rsid w:val="002E49B1"/>
    <w:rsid w:val="002E4F02"/>
    <w:rsid w:val="002E7722"/>
    <w:rsid w:val="002F02F8"/>
    <w:rsid w:val="002F07BA"/>
    <w:rsid w:val="002F0DA9"/>
    <w:rsid w:val="002F1014"/>
    <w:rsid w:val="002F45B7"/>
    <w:rsid w:val="002F4B0C"/>
    <w:rsid w:val="002F643C"/>
    <w:rsid w:val="002F71C0"/>
    <w:rsid w:val="002F74F1"/>
    <w:rsid w:val="00301017"/>
    <w:rsid w:val="0030155F"/>
    <w:rsid w:val="00301591"/>
    <w:rsid w:val="00302BD5"/>
    <w:rsid w:val="00304F2C"/>
    <w:rsid w:val="0030587B"/>
    <w:rsid w:val="003062FF"/>
    <w:rsid w:val="00306D98"/>
    <w:rsid w:val="0030786C"/>
    <w:rsid w:val="0031031A"/>
    <w:rsid w:val="00310981"/>
    <w:rsid w:val="003124D9"/>
    <w:rsid w:val="00312594"/>
    <w:rsid w:val="00313A75"/>
    <w:rsid w:val="003142E6"/>
    <w:rsid w:val="00315498"/>
    <w:rsid w:val="00316474"/>
    <w:rsid w:val="00316C1A"/>
    <w:rsid w:val="00322107"/>
    <w:rsid w:val="00322355"/>
    <w:rsid w:val="00322650"/>
    <w:rsid w:val="00322846"/>
    <w:rsid w:val="00323BCF"/>
    <w:rsid w:val="00324527"/>
    <w:rsid w:val="00324DBA"/>
    <w:rsid w:val="00326DA7"/>
    <w:rsid w:val="003270E4"/>
    <w:rsid w:val="003303C1"/>
    <w:rsid w:val="00330DAA"/>
    <w:rsid w:val="00330F5C"/>
    <w:rsid w:val="0033390A"/>
    <w:rsid w:val="003340BB"/>
    <w:rsid w:val="00334DA9"/>
    <w:rsid w:val="003366C9"/>
    <w:rsid w:val="003371B0"/>
    <w:rsid w:val="00340DF1"/>
    <w:rsid w:val="00345421"/>
    <w:rsid w:val="0034691D"/>
    <w:rsid w:val="00350BB2"/>
    <w:rsid w:val="003517F9"/>
    <w:rsid w:val="00351BA9"/>
    <w:rsid w:val="00351BD4"/>
    <w:rsid w:val="00351DFD"/>
    <w:rsid w:val="00353F9A"/>
    <w:rsid w:val="003543B3"/>
    <w:rsid w:val="00354BFE"/>
    <w:rsid w:val="00354F64"/>
    <w:rsid w:val="0035620E"/>
    <w:rsid w:val="003574E6"/>
    <w:rsid w:val="00360345"/>
    <w:rsid w:val="0036136D"/>
    <w:rsid w:val="00361A05"/>
    <w:rsid w:val="003624C4"/>
    <w:rsid w:val="00363B00"/>
    <w:rsid w:val="003644A2"/>
    <w:rsid w:val="003654AC"/>
    <w:rsid w:val="003710CF"/>
    <w:rsid w:val="0037358A"/>
    <w:rsid w:val="00373EE4"/>
    <w:rsid w:val="00374B3E"/>
    <w:rsid w:val="003750F6"/>
    <w:rsid w:val="003760FC"/>
    <w:rsid w:val="00380188"/>
    <w:rsid w:val="00381BBA"/>
    <w:rsid w:val="0038365C"/>
    <w:rsid w:val="0038369B"/>
    <w:rsid w:val="00383B78"/>
    <w:rsid w:val="00383BF9"/>
    <w:rsid w:val="0038573F"/>
    <w:rsid w:val="00385A9D"/>
    <w:rsid w:val="003902B1"/>
    <w:rsid w:val="0039077F"/>
    <w:rsid w:val="003907E0"/>
    <w:rsid w:val="0039129C"/>
    <w:rsid w:val="0039179C"/>
    <w:rsid w:val="00394366"/>
    <w:rsid w:val="00396896"/>
    <w:rsid w:val="00396FD0"/>
    <w:rsid w:val="00397BA5"/>
    <w:rsid w:val="003A0371"/>
    <w:rsid w:val="003A11EA"/>
    <w:rsid w:val="003A1954"/>
    <w:rsid w:val="003A1A7A"/>
    <w:rsid w:val="003A2392"/>
    <w:rsid w:val="003A2831"/>
    <w:rsid w:val="003A3CB6"/>
    <w:rsid w:val="003A3ED1"/>
    <w:rsid w:val="003A44DB"/>
    <w:rsid w:val="003A5E48"/>
    <w:rsid w:val="003A6468"/>
    <w:rsid w:val="003B0C17"/>
    <w:rsid w:val="003B125C"/>
    <w:rsid w:val="003B3971"/>
    <w:rsid w:val="003B3DB0"/>
    <w:rsid w:val="003B4C97"/>
    <w:rsid w:val="003B55D1"/>
    <w:rsid w:val="003B5ADF"/>
    <w:rsid w:val="003B5B61"/>
    <w:rsid w:val="003C1654"/>
    <w:rsid w:val="003C2ED8"/>
    <w:rsid w:val="003C5542"/>
    <w:rsid w:val="003C7D19"/>
    <w:rsid w:val="003C7D2F"/>
    <w:rsid w:val="003D0985"/>
    <w:rsid w:val="003D0A05"/>
    <w:rsid w:val="003D1828"/>
    <w:rsid w:val="003D1DE4"/>
    <w:rsid w:val="003D1E9A"/>
    <w:rsid w:val="003D2422"/>
    <w:rsid w:val="003D2BE8"/>
    <w:rsid w:val="003D39A1"/>
    <w:rsid w:val="003D3FBF"/>
    <w:rsid w:val="003D4A30"/>
    <w:rsid w:val="003D58DE"/>
    <w:rsid w:val="003D5AAF"/>
    <w:rsid w:val="003D5EBA"/>
    <w:rsid w:val="003D6415"/>
    <w:rsid w:val="003D699C"/>
    <w:rsid w:val="003D7452"/>
    <w:rsid w:val="003D79BB"/>
    <w:rsid w:val="003D7C98"/>
    <w:rsid w:val="003D7D9D"/>
    <w:rsid w:val="003E0543"/>
    <w:rsid w:val="003E2F6C"/>
    <w:rsid w:val="003E5410"/>
    <w:rsid w:val="003E6AFD"/>
    <w:rsid w:val="003E749E"/>
    <w:rsid w:val="003F23CD"/>
    <w:rsid w:val="003F4156"/>
    <w:rsid w:val="003F417B"/>
    <w:rsid w:val="003F5ADF"/>
    <w:rsid w:val="003F713E"/>
    <w:rsid w:val="00400B29"/>
    <w:rsid w:val="00401D7B"/>
    <w:rsid w:val="00402587"/>
    <w:rsid w:val="004039A6"/>
    <w:rsid w:val="0040504B"/>
    <w:rsid w:val="004059F4"/>
    <w:rsid w:val="00407FE5"/>
    <w:rsid w:val="004101B0"/>
    <w:rsid w:val="00410326"/>
    <w:rsid w:val="00410708"/>
    <w:rsid w:val="00410EC7"/>
    <w:rsid w:val="00411B39"/>
    <w:rsid w:val="00411B3E"/>
    <w:rsid w:val="004127A7"/>
    <w:rsid w:val="00412A3E"/>
    <w:rsid w:val="00412F6D"/>
    <w:rsid w:val="00413A1E"/>
    <w:rsid w:val="00414476"/>
    <w:rsid w:val="00414C2E"/>
    <w:rsid w:val="004151CF"/>
    <w:rsid w:val="00416364"/>
    <w:rsid w:val="004175D5"/>
    <w:rsid w:val="00417B69"/>
    <w:rsid w:val="0042047F"/>
    <w:rsid w:val="00420AA6"/>
    <w:rsid w:val="00420B3F"/>
    <w:rsid w:val="00420B9F"/>
    <w:rsid w:val="00420E89"/>
    <w:rsid w:val="0042192C"/>
    <w:rsid w:val="00422260"/>
    <w:rsid w:val="00422E1C"/>
    <w:rsid w:val="0042413F"/>
    <w:rsid w:val="004241B6"/>
    <w:rsid w:val="00424E0F"/>
    <w:rsid w:val="00426C3C"/>
    <w:rsid w:val="00426DAA"/>
    <w:rsid w:val="004319F8"/>
    <w:rsid w:val="00431E55"/>
    <w:rsid w:val="004321F6"/>
    <w:rsid w:val="0043243D"/>
    <w:rsid w:val="00432BC8"/>
    <w:rsid w:val="00433044"/>
    <w:rsid w:val="00434088"/>
    <w:rsid w:val="00434311"/>
    <w:rsid w:val="004368BA"/>
    <w:rsid w:val="004375B9"/>
    <w:rsid w:val="004428D0"/>
    <w:rsid w:val="00444185"/>
    <w:rsid w:val="004443A7"/>
    <w:rsid w:val="0044442C"/>
    <w:rsid w:val="00444F62"/>
    <w:rsid w:val="00445941"/>
    <w:rsid w:val="004464EB"/>
    <w:rsid w:val="00446DBA"/>
    <w:rsid w:val="00447D26"/>
    <w:rsid w:val="00447DFC"/>
    <w:rsid w:val="004507F7"/>
    <w:rsid w:val="00450F4E"/>
    <w:rsid w:val="00452F3E"/>
    <w:rsid w:val="00455D45"/>
    <w:rsid w:val="00456DDC"/>
    <w:rsid w:val="0046062B"/>
    <w:rsid w:val="00464595"/>
    <w:rsid w:val="004658B5"/>
    <w:rsid w:val="004670E8"/>
    <w:rsid w:val="00467CAB"/>
    <w:rsid w:val="00467DCF"/>
    <w:rsid w:val="00471EA5"/>
    <w:rsid w:val="00472A79"/>
    <w:rsid w:val="00473F19"/>
    <w:rsid w:val="00475E22"/>
    <w:rsid w:val="00476809"/>
    <w:rsid w:val="00476860"/>
    <w:rsid w:val="0048088E"/>
    <w:rsid w:val="00480F2B"/>
    <w:rsid w:val="00481149"/>
    <w:rsid w:val="00482720"/>
    <w:rsid w:val="004835E7"/>
    <w:rsid w:val="0048644D"/>
    <w:rsid w:val="004867E2"/>
    <w:rsid w:val="00486F76"/>
    <w:rsid w:val="004878A4"/>
    <w:rsid w:val="00490B17"/>
    <w:rsid w:val="00491B3A"/>
    <w:rsid w:val="00492CFD"/>
    <w:rsid w:val="0049415D"/>
    <w:rsid w:val="00494207"/>
    <w:rsid w:val="00494DD5"/>
    <w:rsid w:val="00496265"/>
    <w:rsid w:val="004962D2"/>
    <w:rsid w:val="004A0DA1"/>
    <w:rsid w:val="004A13D6"/>
    <w:rsid w:val="004A26F3"/>
    <w:rsid w:val="004A354A"/>
    <w:rsid w:val="004A38BB"/>
    <w:rsid w:val="004A4BA8"/>
    <w:rsid w:val="004A51E9"/>
    <w:rsid w:val="004A52E9"/>
    <w:rsid w:val="004A5997"/>
    <w:rsid w:val="004A6040"/>
    <w:rsid w:val="004A6269"/>
    <w:rsid w:val="004A6597"/>
    <w:rsid w:val="004A6EBE"/>
    <w:rsid w:val="004A7848"/>
    <w:rsid w:val="004B0F36"/>
    <w:rsid w:val="004B1CB4"/>
    <w:rsid w:val="004B2F18"/>
    <w:rsid w:val="004B3051"/>
    <w:rsid w:val="004B307D"/>
    <w:rsid w:val="004B3DDB"/>
    <w:rsid w:val="004B44FD"/>
    <w:rsid w:val="004B499B"/>
    <w:rsid w:val="004B5980"/>
    <w:rsid w:val="004B5CFC"/>
    <w:rsid w:val="004B5E08"/>
    <w:rsid w:val="004B659F"/>
    <w:rsid w:val="004B6F79"/>
    <w:rsid w:val="004B7385"/>
    <w:rsid w:val="004B774D"/>
    <w:rsid w:val="004B79C8"/>
    <w:rsid w:val="004C092C"/>
    <w:rsid w:val="004C4AED"/>
    <w:rsid w:val="004C52CA"/>
    <w:rsid w:val="004C5595"/>
    <w:rsid w:val="004C7A48"/>
    <w:rsid w:val="004C7B2F"/>
    <w:rsid w:val="004D2C2D"/>
    <w:rsid w:val="004D69B5"/>
    <w:rsid w:val="004D705B"/>
    <w:rsid w:val="004D7227"/>
    <w:rsid w:val="004D7EB2"/>
    <w:rsid w:val="004E0E7F"/>
    <w:rsid w:val="004E0EB8"/>
    <w:rsid w:val="004E1351"/>
    <w:rsid w:val="004E18E9"/>
    <w:rsid w:val="004E2ADC"/>
    <w:rsid w:val="004E43B2"/>
    <w:rsid w:val="004E4993"/>
    <w:rsid w:val="004E4C7F"/>
    <w:rsid w:val="004E7130"/>
    <w:rsid w:val="004F1D02"/>
    <w:rsid w:val="004F2679"/>
    <w:rsid w:val="004F272E"/>
    <w:rsid w:val="004F2F21"/>
    <w:rsid w:val="004F3DE5"/>
    <w:rsid w:val="004F5228"/>
    <w:rsid w:val="004F6913"/>
    <w:rsid w:val="004F7865"/>
    <w:rsid w:val="0050129D"/>
    <w:rsid w:val="0050174E"/>
    <w:rsid w:val="00501854"/>
    <w:rsid w:val="0050219B"/>
    <w:rsid w:val="00503F17"/>
    <w:rsid w:val="00504675"/>
    <w:rsid w:val="005058F8"/>
    <w:rsid w:val="00506928"/>
    <w:rsid w:val="00507600"/>
    <w:rsid w:val="005077E8"/>
    <w:rsid w:val="005077EF"/>
    <w:rsid w:val="005109D6"/>
    <w:rsid w:val="005116FF"/>
    <w:rsid w:val="00511760"/>
    <w:rsid w:val="00511AD5"/>
    <w:rsid w:val="00511DC7"/>
    <w:rsid w:val="00513538"/>
    <w:rsid w:val="005142C5"/>
    <w:rsid w:val="0051501B"/>
    <w:rsid w:val="005152B5"/>
    <w:rsid w:val="0051558A"/>
    <w:rsid w:val="00516040"/>
    <w:rsid w:val="005168B2"/>
    <w:rsid w:val="0051770F"/>
    <w:rsid w:val="0052123C"/>
    <w:rsid w:val="00521319"/>
    <w:rsid w:val="00522BC8"/>
    <w:rsid w:val="005235A7"/>
    <w:rsid w:val="00523C28"/>
    <w:rsid w:val="005268C5"/>
    <w:rsid w:val="00527930"/>
    <w:rsid w:val="00527DAE"/>
    <w:rsid w:val="0053176B"/>
    <w:rsid w:val="00536F42"/>
    <w:rsid w:val="00537182"/>
    <w:rsid w:val="0053782F"/>
    <w:rsid w:val="0054148A"/>
    <w:rsid w:val="00541B40"/>
    <w:rsid w:val="00541EDD"/>
    <w:rsid w:val="00542743"/>
    <w:rsid w:val="00542A58"/>
    <w:rsid w:val="00542C2D"/>
    <w:rsid w:val="00543AC8"/>
    <w:rsid w:val="00545DBF"/>
    <w:rsid w:val="00546174"/>
    <w:rsid w:val="005476CB"/>
    <w:rsid w:val="005478BD"/>
    <w:rsid w:val="005479E3"/>
    <w:rsid w:val="00551985"/>
    <w:rsid w:val="00551AFC"/>
    <w:rsid w:val="00552498"/>
    <w:rsid w:val="00552BD3"/>
    <w:rsid w:val="005532A0"/>
    <w:rsid w:val="00555109"/>
    <w:rsid w:val="00556B35"/>
    <w:rsid w:val="0055741A"/>
    <w:rsid w:val="00557452"/>
    <w:rsid w:val="005602DF"/>
    <w:rsid w:val="005611B7"/>
    <w:rsid w:val="0056162B"/>
    <w:rsid w:val="005618D4"/>
    <w:rsid w:val="00561D1D"/>
    <w:rsid w:val="00562C5A"/>
    <w:rsid w:val="00564481"/>
    <w:rsid w:val="00565DF0"/>
    <w:rsid w:val="0056696F"/>
    <w:rsid w:val="00566C08"/>
    <w:rsid w:val="00572101"/>
    <w:rsid w:val="00572269"/>
    <w:rsid w:val="0057244A"/>
    <w:rsid w:val="00572F26"/>
    <w:rsid w:val="00573551"/>
    <w:rsid w:val="005738D9"/>
    <w:rsid w:val="005750C5"/>
    <w:rsid w:val="005752DE"/>
    <w:rsid w:val="005756CB"/>
    <w:rsid w:val="0057590B"/>
    <w:rsid w:val="00575A6F"/>
    <w:rsid w:val="00575D8D"/>
    <w:rsid w:val="00576660"/>
    <w:rsid w:val="005767E0"/>
    <w:rsid w:val="00576972"/>
    <w:rsid w:val="00577F0D"/>
    <w:rsid w:val="0058181A"/>
    <w:rsid w:val="00583699"/>
    <w:rsid w:val="00585CDD"/>
    <w:rsid w:val="00585D86"/>
    <w:rsid w:val="00587058"/>
    <w:rsid w:val="00590E81"/>
    <w:rsid w:val="00591957"/>
    <w:rsid w:val="00593643"/>
    <w:rsid w:val="005973DE"/>
    <w:rsid w:val="00597BF9"/>
    <w:rsid w:val="00597C3E"/>
    <w:rsid w:val="005A3010"/>
    <w:rsid w:val="005A309A"/>
    <w:rsid w:val="005A32DC"/>
    <w:rsid w:val="005A373D"/>
    <w:rsid w:val="005A5E0F"/>
    <w:rsid w:val="005A6F69"/>
    <w:rsid w:val="005A796E"/>
    <w:rsid w:val="005B0B58"/>
    <w:rsid w:val="005B11AA"/>
    <w:rsid w:val="005B11C4"/>
    <w:rsid w:val="005B1C55"/>
    <w:rsid w:val="005B3ED5"/>
    <w:rsid w:val="005B4456"/>
    <w:rsid w:val="005B4E53"/>
    <w:rsid w:val="005B5857"/>
    <w:rsid w:val="005B5CBE"/>
    <w:rsid w:val="005C093D"/>
    <w:rsid w:val="005C10A0"/>
    <w:rsid w:val="005C1B83"/>
    <w:rsid w:val="005C25FF"/>
    <w:rsid w:val="005C2D55"/>
    <w:rsid w:val="005C2D6C"/>
    <w:rsid w:val="005C33E3"/>
    <w:rsid w:val="005C346B"/>
    <w:rsid w:val="005C3CA1"/>
    <w:rsid w:val="005C4E5C"/>
    <w:rsid w:val="005C5908"/>
    <w:rsid w:val="005C5C49"/>
    <w:rsid w:val="005C6F85"/>
    <w:rsid w:val="005C798E"/>
    <w:rsid w:val="005D044D"/>
    <w:rsid w:val="005D0ABD"/>
    <w:rsid w:val="005D1852"/>
    <w:rsid w:val="005D18AD"/>
    <w:rsid w:val="005D26B4"/>
    <w:rsid w:val="005D61E1"/>
    <w:rsid w:val="005E1176"/>
    <w:rsid w:val="005E1D0E"/>
    <w:rsid w:val="005E336E"/>
    <w:rsid w:val="005E34E8"/>
    <w:rsid w:val="005E3686"/>
    <w:rsid w:val="005E392F"/>
    <w:rsid w:val="005E4115"/>
    <w:rsid w:val="005E4C81"/>
    <w:rsid w:val="005E5097"/>
    <w:rsid w:val="005E5409"/>
    <w:rsid w:val="005E6CBC"/>
    <w:rsid w:val="005E72FF"/>
    <w:rsid w:val="005E73C0"/>
    <w:rsid w:val="005F2706"/>
    <w:rsid w:val="005F3D3A"/>
    <w:rsid w:val="005F5AF1"/>
    <w:rsid w:val="005F61AA"/>
    <w:rsid w:val="005F6A8F"/>
    <w:rsid w:val="005F6BB7"/>
    <w:rsid w:val="005F7588"/>
    <w:rsid w:val="006015A2"/>
    <w:rsid w:val="00603934"/>
    <w:rsid w:val="00603DB9"/>
    <w:rsid w:val="00604738"/>
    <w:rsid w:val="00605D9B"/>
    <w:rsid w:val="00606FBA"/>
    <w:rsid w:val="00607669"/>
    <w:rsid w:val="006076F4"/>
    <w:rsid w:val="00607AFD"/>
    <w:rsid w:val="00610BE5"/>
    <w:rsid w:val="00612F97"/>
    <w:rsid w:val="006130D6"/>
    <w:rsid w:val="0061345D"/>
    <w:rsid w:val="0061549B"/>
    <w:rsid w:val="006162B1"/>
    <w:rsid w:val="00616802"/>
    <w:rsid w:val="00616B02"/>
    <w:rsid w:val="00617E12"/>
    <w:rsid w:val="00620C25"/>
    <w:rsid w:val="00621477"/>
    <w:rsid w:val="00621ADA"/>
    <w:rsid w:val="00623712"/>
    <w:rsid w:val="00623F7B"/>
    <w:rsid w:val="00626E48"/>
    <w:rsid w:val="00630744"/>
    <w:rsid w:val="0063158F"/>
    <w:rsid w:val="00631D6B"/>
    <w:rsid w:val="00632183"/>
    <w:rsid w:val="0063280C"/>
    <w:rsid w:val="00632DA3"/>
    <w:rsid w:val="00632E54"/>
    <w:rsid w:val="006330A1"/>
    <w:rsid w:val="0063479F"/>
    <w:rsid w:val="006353F0"/>
    <w:rsid w:val="006357B5"/>
    <w:rsid w:val="006364A1"/>
    <w:rsid w:val="0063678E"/>
    <w:rsid w:val="00637BFD"/>
    <w:rsid w:val="00641C4E"/>
    <w:rsid w:val="00641CC6"/>
    <w:rsid w:val="00641FB3"/>
    <w:rsid w:val="0064434C"/>
    <w:rsid w:val="00644492"/>
    <w:rsid w:val="00644515"/>
    <w:rsid w:val="006471CC"/>
    <w:rsid w:val="00647A29"/>
    <w:rsid w:val="00647E39"/>
    <w:rsid w:val="0065079F"/>
    <w:rsid w:val="00651408"/>
    <w:rsid w:val="00652A28"/>
    <w:rsid w:val="0065379F"/>
    <w:rsid w:val="00653E92"/>
    <w:rsid w:val="00656188"/>
    <w:rsid w:val="0065715A"/>
    <w:rsid w:val="00657D94"/>
    <w:rsid w:val="006610F1"/>
    <w:rsid w:val="006618A7"/>
    <w:rsid w:val="00661C6B"/>
    <w:rsid w:val="006639B9"/>
    <w:rsid w:val="0066651F"/>
    <w:rsid w:val="00670F1D"/>
    <w:rsid w:val="00671004"/>
    <w:rsid w:val="00672646"/>
    <w:rsid w:val="00674654"/>
    <w:rsid w:val="00674E42"/>
    <w:rsid w:val="006813F8"/>
    <w:rsid w:val="00682112"/>
    <w:rsid w:val="00682BA6"/>
    <w:rsid w:val="00684832"/>
    <w:rsid w:val="006868AC"/>
    <w:rsid w:val="00686957"/>
    <w:rsid w:val="00686D35"/>
    <w:rsid w:val="006872BA"/>
    <w:rsid w:val="00687E75"/>
    <w:rsid w:val="00690795"/>
    <w:rsid w:val="00691648"/>
    <w:rsid w:val="006917D7"/>
    <w:rsid w:val="00693A46"/>
    <w:rsid w:val="0069434C"/>
    <w:rsid w:val="00694F44"/>
    <w:rsid w:val="00695847"/>
    <w:rsid w:val="00696F51"/>
    <w:rsid w:val="006979A5"/>
    <w:rsid w:val="006A119B"/>
    <w:rsid w:val="006A2B23"/>
    <w:rsid w:val="006A3135"/>
    <w:rsid w:val="006A6207"/>
    <w:rsid w:val="006A6B99"/>
    <w:rsid w:val="006A7016"/>
    <w:rsid w:val="006A7279"/>
    <w:rsid w:val="006A7E34"/>
    <w:rsid w:val="006A7E5F"/>
    <w:rsid w:val="006B20AC"/>
    <w:rsid w:val="006B261B"/>
    <w:rsid w:val="006B2C90"/>
    <w:rsid w:val="006B35E6"/>
    <w:rsid w:val="006B465A"/>
    <w:rsid w:val="006B4BD4"/>
    <w:rsid w:val="006B6DD0"/>
    <w:rsid w:val="006B796C"/>
    <w:rsid w:val="006C0399"/>
    <w:rsid w:val="006C2A8E"/>
    <w:rsid w:val="006C3255"/>
    <w:rsid w:val="006C3F26"/>
    <w:rsid w:val="006D018F"/>
    <w:rsid w:val="006D01AA"/>
    <w:rsid w:val="006D0D17"/>
    <w:rsid w:val="006D1AE3"/>
    <w:rsid w:val="006D3260"/>
    <w:rsid w:val="006D3C7D"/>
    <w:rsid w:val="006D458E"/>
    <w:rsid w:val="006D4659"/>
    <w:rsid w:val="006D5119"/>
    <w:rsid w:val="006D5D5F"/>
    <w:rsid w:val="006D5EAB"/>
    <w:rsid w:val="006D68FB"/>
    <w:rsid w:val="006D7D3A"/>
    <w:rsid w:val="006E0915"/>
    <w:rsid w:val="006E16AF"/>
    <w:rsid w:val="006E2868"/>
    <w:rsid w:val="006E5711"/>
    <w:rsid w:val="006F2B15"/>
    <w:rsid w:val="006F306C"/>
    <w:rsid w:val="006F5659"/>
    <w:rsid w:val="006F59A0"/>
    <w:rsid w:val="006F63A5"/>
    <w:rsid w:val="006F6699"/>
    <w:rsid w:val="0070109B"/>
    <w:rsid w:val="0070142B"/>
    <w:rsid w:val="0070276E"/>
    <w:rsid w:val="00702F8F"/>
    <w:rsid w:val="00703D91"/>
    <w:rsid w:val="0070465E"/>
    <w:rsid w:val="007079BE"/>
    <w:rsid w:val="007079FC"/>
    <w:rsid w:val="00711A36"/>
    <w:rsid w:val="00711D24"/>
    <w:rsid w:val="007122B0"/>
    <w:rsid w:val="00712FC2"/>
    <w:rsid w:val="00714C26"/>
    <w:rsid w:val="00714DE0"/>
    <w:rsid w:val="0071529C"/>
    <w:rsid w:val="007169F5"/>
    <w:rsid w:val="007170DA"/>
    <w:rsid w:val="007172AD"/>
    <w:rsid w:val="007200C0"/>
    <w:rsid w:val="00720801"/>
    <w:rsid w:val="00722138"/>
    <w:rsid w:val="00722B1B"/>
    <w:rsid w:val="007235BF"/>
    <w:rsid w:val="0072416F"/>
    <w:rsid w:val="0072465D"/>
    <w:rsid w:val="00724ADF"/>
    <w:rsid w:val="00725D29"/>
    <w:rsid w:val="00727371"/>
    <w:rsid w:val="00727C94"/>
    <w:rsid w:val="0073166C"/>
    <w:rsid w:val="00731B0A"/>
    <w:rsid w:val="00731C1D"/>
    <w:rsid w:val="00731EAE"/>
    <w:rsid w:val="00731F7F"/>
    <w:rsid w:val="00733073"/>
    <w:rsid w:val="0073346B"/>
    <w:rsid w:val="00735033"/>
    <w:rsid w:val="00735328"/>
    <w:rsid w:val="007353CB"/>
    <w:rsid w:val="00735579"/>
    <w:rsid w:val="00735961"/>
    <w:rsid w:val="0073685B"/>
    <w:rsid w:val="00741909"/>
    <w:rsid w:val="007449BF"/>
    <w:rsid w:val="007450EC"/>
    <w:rsid w:val="00746BC0"/>
    <w:rsid w:val="00747752"/>
    <w:rsid w:val="00747966"/>
    <w:rsid w:val="007479D8"/>
    <w:rsid w:val="007510B4"/>
    <w:rsid w:val="00752142"/>
    <w:rsid w:val="007523F9"/>
    <w:rsid w:val="0075357E"/>
    <w:rsid w:val="007538D9"/>
    <w:rsid w:val="007573E8"/>
    <w:rsid w:val="00760C4E"/>
    <w:rsid w:val="00760F9E"/>
    <w:rsid w:val="007613CD"/>
    <w:rsid w:val="00761778"/>
    <w:rsid w:val="007627BE"/>
    <w:rsid w:val="00762DB1"/>
    <w:rsid w:val="00764DFB"/>
    <w:rsid w:val="00764F03"/>
    <w:rsid w:val="00765B1A"/>
    <w:rsid w:val="00766836"/>
    <w:rsid w:val="00766C01"/>
    <w:rsid w:val="0076797C"/>
    <w:rsid w:val="00770060"/>
    <w:rsid w:val="007712BA"/>
    <w:rsid w:val="0077407F"/>
    <w:rsid w:val="00776BAC"/>
    <w:rsid w:val="00777335"/>
    <w:rsid w:val="007802B3"/>
    <w:rsid w:val="00781F39"/>
    <w:rsid w:val="00782535"/>
    <w:rsid w:val="007843F2"/>
    <w:rsid w:val="00785876"/>
    <w:rsid w:val="00785A9F"/>
    <w:rsid w:val="007868A6"/>
    <w:rsid w:val="00787883"/>
    <w:rsid w:val="00787C71"/>
    <w:rsid w:val="007917C5"/>
    <w:rsid w:val="007925DF"/>
    <w:rsid w:val="00792A2A"/>
    <w:rsid w:val="00796346"/>
    <w:rsid w:val="00796933"/>
    <w:rsid w:val="0079789B"/>
    <w:rsid w:val="007A0467"/>
    <w:rsid w:val="007A0558"/>
    <w:rsid w:val="007A08AA"/>
    <w:rsid w:val="007A0A12"/>
    <w:rsid w:val="007A132D"/>
    <w:rsid w:val="007A1345"/>
    <w:rsid w:val="007A1F2F"/>
    <w:rsid w:val="007A2DDB"/>
    <w:rsid w:val="007A70BA"/>
    <w:rsid w:val="007B0D68"/>
    <w:rsid w:val="007B0FEA"/>
    <w:rsid w:val="007B1998"/>
    <w:rsid w:val="007B251D"/>
    <w:rsid w:val="007B25D1"/>
    <w:rsid w:val="007B4387"/>
    <w:rsid w:val="007B4B73"/>
    <w:rsid w:val="007B4F58"/>
    <w:rsid w:val="007B528D"/>
    <w:rsid w:val="007B63CA"/>
    <w:rsid w:val="007B7561"/>
    <w:rsid w:val="007B77D1"/>
    <w:rsid w:val="007C01C2"/>
    <w:rsid w:val="007C07C7"/>
    <w:rsid w:val="007C0DCA"/>
    <w:rsid w:val="007C130E"/>
    <w:rsid w:val="007C1CD9"/>
    <w:rsid w:val="007C1FC8"/>
    <w:rsid w:val="007C289E"/>
    <w:rsid w:val="007C32EF"/>
    <w:rsid w:val="007C361D"/>
    <w:rsid w:val="007C46EB"/>
    <w:rsid w:val="007C4B84"/>
    <w:rsid w:val="007C70FF"/>
    <w:rsid w:val="007C7C25"/>
    <w:rsid w:val="007D004F"/>
    <w:rsid w:val="007D0252"/>
    <w:rsid w:val="007D05CB"/>
    <w:rsid w:val="007D0B38"/>
    <w:rsid w:val="007D286C"/>
    <w:rsid w:val="007D3F50"/>
    <w:rsid w:val="007D5440"/>
    <w:rsid w:val="007D69EB"/>
    <w:rsid w:val="007E128F"/>
    <w:rsid w:val="007E38CC"/>
    <w:rsid w:val="007E56CB"/>
    <w:rsid w:val="007F1017"/>
    <w:rsid w:val="007F4A3F"/>
    <w:rsid w:val="007F4A61"/>
    <w:rsid w:val="007F51D8"/>
    <w:rsid w:val="007F5255"/>
    <w:rsid w:val="007F56CC"/>
    <w:rsid w:val="007F61C2"/>
    <w:rsid w:val="00801547"/>
    <w:rsid w:val="008050B7"/>
    <w:rsid w:val="00805142"/>
    <w:rsid w:val="008057D0"/>
    <w:rsid w:val="00805FCE"/>
    <w:rsid w:val="00806FD9"/>
    <w:rsid w:val="00807A8B"/>
    <w:rsid w:val="00807D6D"/>
    <w:rsid w:val="00810D0E"/>
    <w:rsid w:val="00811383"/>
    <w:rsid w:val="008118B9"/>
    <w:rsid w:val="00812149"/>
    <w:rsid w:val="00812CAC"/>
    <w:rsid w:val="00813073"/>
    <w:rsid w:val="00815596"/>
    <w:rsid w:val="00816361"/>
    <w:rsid w:val="008166EF"/>
    <w:rsid w:val="00816FEF"/>
    <w:rsid w:val="008175C3"/>
    <w:rsid w:val="00820A8C"/>
    <w:rsid w:val="008215FB"/>
    <w:rsid w:val="00822700"/>
    <w:rsid w:val="00823174"/>
    <w:rsid w:val="008233EE"/>
    <w:rsid w:val="00823A6D"/>
    <w:rsid w:val="00824974"/>
    <w:rsid w:val="008249AD"/>
    <w:rsid w:val="00825751"/>
    <w:rsid w:val="008264EB"/>
    <w:rsid w:val="00827556"/>
    <w:rsid w:val="00831759"/>
    <w:rsid w:val="00832FD9"/>
    <w:rsid w:val="00833B05"/>
    <w:rsid w:val="00835D2A"/>
    <w:rsid w:val="008362B4"/>
    <w:rsid w:val="00840CA2"/>
    <w:rsid w:val="0084374F"/>
    <w:rsid w:val="00843954"/>
    <w:rsid w:val="00844A22"/>
    <w:rsid w:val="00847703"/>
    <w:rsid w:val="00847DF5"/>
    <w:rsid w:val="0085086E"/>
    <w:rsid w:val="008514C5"/>
    <w:rsid w:val="0085309D"/>
    <w:rsid w:val="008539E7"/>
    <w:rsid w:val="00856897"/>
    <w:rsid w:val="00856E9A"/>
    <w:rsid w:val="0086075D"/>
    <w:rsid w:val="00862502"/>
    <w:rsid w:val="00862CC1"/>
    <w:rsid w:val="008642E9"/>
    <w:rsid w:val="008660D4"/>
    <w:rsid w:val="00866366"/>
    <w:rsid w:val="00870F9D"/>
    <w:rsid w:val="00871FA9"/>
    <w:rsid w:val="008724DA"/>
    <w:rsid w:val="008728E9"/>
    <w:rsid w:val="00877D10"/>
    <w:rsid w:val="008806E3"/>
    <w:rsid w:val="00882874"/>
    <w:rsid w:val="00882E3C"/>
    <w:rsid w:val="0088351E"/>
    <w:rsid w:val="00883787"/>
    <w:rsid w:val="008855E4"/>
    <w:rsid w:val="00885EF1"/>
    <w:rsid w:val="00886CD2"/>
    <w:rsid w:val="00890D50"/>
    <w:rsid w:val="00891E6F"/>
    <w:rsid w:val="0089275D"/>
    <w:rsid w:val="00892A36"/>
    <w:rsid w:val="00893239"/>
    <w:rsid w:val="00893873"/>
    <w:rsid w:val="00894489"/>
    <w:rsid w:val="00895E84"/>
    <w:rsid w:val="008963A5"/>
    <w:rsid w:val="00896D5D"/>
    <w:rsid w:val="008A0501"/>
    <w:rsid w:val="008A0670"/>
    <w:rsid w:val="008A229C"/>
    <w:rsid w:val="008A3363"/>
    <w:rsid w:val="008A3371"/>
    <w:rsid w:val="008A3974"/>
    <w:rsid w:val="008A3C3E"/>
    <w:rsid w:val="008A3E24"/>
    <w:rsid w:val="008A79DE"/>
    <w:rsid w:val="008B02F1"/>
    <w:rsid w:val="008B1757"/>
    <w:rsid w:val="008B3B30"/>
    <w:rsid w:val="008B60BE"/>
    <w:rsid w:val="008B7992"/>
    <w:rsid w:val="008B7D7E"/>
    <w:rsid w:val="008C052F"/>
    <w:rsid w:val="008C125E"/>
    <w:rsid w:val="008C5610"/>
    <w:rsid w:val="008C5739"/>
    <w:rsid w:val="008C5FD9"/>
    <w:rsid w:val="008C7ECB"/>
    <w:rsid w:val="008D0C2A"/>
    <w:rsid w:val="008D35E1"/>
    <w:rsid w:val="008D3B86"/>
    <w:rsid w:val="008D4755"/>
    <w:rsid w:val="008D4C3D"/>
    <w:rsid w:val="008D5BDC"/>
    <w:rsid w:val="008D639A"/>
    <w:rsid w:val="008D655B"/>
    <w:rsid w:val="008D7391"/>
    <w:rsid w:val="008D743C"/>
    <w:rsid w:val="008E0D3C"/>
    <w:rsid w:val="008E1B9E"/>
    <w:rsid w:val="008E2F92"/>
    <w:rsid w:val="008E3852"/>
    <w:rsid w:val="008E55AB"/>
    <w:rsid w:val="008F11DB"/>
    <w:rsid w:val="008F120A"/>
    <w:rsid w:val="008F1A9C"/>
    <w:rsid w:val="008F27E0"/>
    <w:rsid w:val="008F48EB"/>
    <w:rsid w:val="008F4E50"/>
    <w:rsid w:val="008F4F0B"/>
    <w:rsid w:val="008F5802"/>
    <w:rsid w:val="008F5836"/>
    <w:rsid w:val="008F5D97"/>
    <w:rsid w:val="008F5FF4"/>
    <w:rsid w:val="0090002D"/>
    <w:rsid w:val="00900BBB"/>
    <w:rsid w:val="009021DF"/>
    <w:rsid w:val="00902EF2"/>
    <w:rsid w:val="00902FA2"/>
    <w:rsid w:val="009044B3"/>
    <w:rsid w:val="009046C4"/>
    <w:rsid w:val="009062A5"/>
    <w:rsid w:val="00906671"/>
    <w:rsid w:val="00907D9A"/>
    <w:rsid w:val="00910FA7"/>
    <w:rsid w:val="00911272"/>
    <w:rsid w:val="00911776"/>
    <w:rsid w:val="009135D6"/>
    <w:rsid w:val="009139AD"/>
    <w:rsid w:val="00914C77"/>
    <w:rsid w:val="009219F6"/>
    <w:rsid w:val="00921ACB"/>
    <w:rsid w:val="009231E2"/>
    <w:rsid w:val="0092369B"/>
    <w:rsid w:val="00924428"/>
    <w:rsid w:val="009248D9"/>
    <w:rsid w:val="00925372"/>
    <w:rsid w:val="00926FCA"/>
    <w:rsid w:val="0092701E"/>
    <w:rsid w:val="00932CAE"/>
    <w:rsid w:val="00933404"/>
    <w:rsid w:val="00934988"/>
    <w:rsid w:val="00935667"/>
    <w:rsid w:val="00935DF6"/>
    <w:rsid w:val="00937089"/>
    <w:rsid w:val="009378FA"/>
    <w:rsid w:val="00940193"/>
    <w:rsid w:val="0094200F"/>
    <w:rsid w:val="00942BF9"/>
    <w:rsid w:val="00944F8A"/>
    <w:rsid w:val="00946BF6"/>
    <w:rsid w:val="00947827"/>
    <w:rsid w:val="009510A2"/>
    <w:rsid w:val="00953257"/>
    <w:rsid w:val="00953ADF"/>
    <w:rsid w:val="0095474C"/>
    <w:rsid w:val="00955EED"/>
    <w:rsid w:val="00956640"/>
    <w:rsid w:val="00957783"/>
    <w:rsid w:val="00957E7A"/>
    <w:rsid w:val="009600B2"/>
    <w:rsid w:val="0096016A"/>
    <w:rsid w:val="00960A92"/>
    <w:rsid w:val="00962CB9"/>
    <w:rsid w:val="00964312"/>
    <w:rsid w:val="00964BE1"/>
    <w:rsid w:val="00965B8A"/>
    <w:rsid w:val="00966681"/>
    <w:rsid w:val="00966DD5"/>
    <w:rsid w:val="00966E53"/>
    <w:rsid w:val="009674B6"/>
    <w:rsid w:val="00967F10"/>
    <w:rsid w:val="00970124"/>
    <w:rsid w:val="00970253"/>
    <w:rsid w:val="0097071F"/>
    <w:rsid w:val="0097140E"/>
    <w:rsid w:val="009717AC"/>
    <w:rsid w:val="00972BEC"/>
    <w:rsid w:val="00973E50"/>
    <w:rsid w:val="009751C1"/>
    <w:rsid w:val="009756F6"/>
    <w:rsid w:val="009762BD"/>
    <w:rsid w:val="00980556"/>
    <w:rsid w:val="009811F1"/>
    <w:rsid w:val="00983301"/>
    <w:rsid w:val="00983E57"/>
    <w:rsid w:val="00985DE2"/>
    <w:rsid w:val="0098675D"/>
    <w:rsid w:val="0099012E"/>
    <w:rsid w:val="009926E0"/>
    <w:rsid w:val="0099451E"/>
    <w:rsid w:val="00996055"/>
    <w:rsid w:val="00996B1A"/>
    <w:rsid w:val="009A2DCC"/>
    <w:rsid w:val="009A2DDA"/>
    <w:rsid w:val="009A3325"/>
    <w:rsid w:val="009A3C05"/>
    <w:rsid w:val="009A5ABC"/>
    <w:rsid w:val="009A5B29"/>
    <w:rsid w:val="009A7F10"/>
    <w:rsid w:val="009B21B1"/>
    <w:rsid w:val="009B290C"/>
    <w:rsid w:val="009B2ABC"/>
    <w:rsid w:val="009B3E26"/>
    <w:rsid w:val="009B71FF"/>
    <w:rsid w:val="009C18E8"/>
    <w:rsid w:val="009C3706"/>
    <w:rsid w:val="009C3A3A"/>
    <w:rsid w:val="009C4234"/>
    <w:rsid w:val="009C60DB"/>
    <w:rsid w:val="009C6CEA"/>
    <w:rsid w:val="009C70A8"/>
    <w:rsid w:val="009C7B85"/>
    <w:rsid w:val="009D0254"/>
    <w:rsid w:val="009D1A64"/>
    <w:rsid w:val="009D2889"/>
    <w:rsid w:val="009D5B91"/>
    <w:rsid w:val="009D792E"/>
    <w:rsid w:val="009D7ACE"/>
    <w:rsid w:val="009E027E"/>
    <w:rsid w:val="009E0B1C"/>
    <w:rsid w:val="009E0DFE"/>
    <w:rsid w:val="009E216B"/>
    <w:rsid w:val="009E31F6"/>
    <w:rsid w:val="009E4146"/>
    <w:rsid w:val="009E4C07"/>
    <w:rsid w:val="009F2357"/>
    <w:rsid w:val="009F2FBA"/>
    <w:rsid w:val="009F36FF"/>
    <w:rsid w:val="009F3B36"/>
    <w:rsid w:val="00A00B2F"/>
    <w:rsid w:val="00A01184"/>
    <w:rsid w:val="00A037C2"/>
    <w:rsid w:val="00A03D43"/>
    <w:rsid w:val="00A04380"/>
    <w:rsid w:val="00A05472"/>
    <w:rsid w:val="00A05C1F"/>
    <w:rsid w:val="00A05C32"/>
    <w:rsid w:val="00A06318"/>
    <w:rsid w:val="00A0653F"/>
    <w:rsid w:val="00A06987"/>
    <w:rsid w:val="00A11A02"/>
    <w:rsid w:val="00A11CD0"/>
    <w:rsid w:val="00A12DAB"/>
    <w:rsid w:val="00A13948"/>
    <w:rsid w:val="00A14F60"/>
    <w:rsid w:val="00A1555B"/>
    <w:rsid w:val="00A155C5"/>
    <w:rsid w:val="00A165BD"/>
    <w:rsid w:val="00A16653"/>
    <w:rsid w:val="00A16AD8"/>
    <w:rsid w:val="00A20826"/>
    <w:rsid w:val="00A20BA3"/>
    <w:rsid w:val="00A20D05"/>
    <w:rsid w:val="00A21C95"/>
    <w:rsid w:val="00A21CF3"/>
    <w:rsid w:val="00A23344"/>
    <w:rsid w:val="00A23B0C"/>
    <w:rsid w:val="00A24813"/>
    <w:rsid w:val="00A2601D"/>
    <w:rsid w:val="00A261D8"/>
    <w:rsid w:val="00A27AEC"/>
    <w:rsid w:val="00A30A68"/>
    <w:rsid w:val="00A320DB"/>
    <w:rsid w:val="00A32839"/>
    <w:rsid w:val="00A33DD4"/>
    <w:rsid w:val="00A353AC"/>
    <w:rsid w:val="00A35D16"/>
    <w:rsid w:val="00A35D8D"/>
    <w:rsid w:val="00A377FD"/>
    <w:rsid w:val="00A37BCD"/>
    <w:rsid w:val="00A41689"/>
    <w:rsid w:val="00A42592"/>
    <w:rsid w:val="00A432FC"/>
    <w:rsid w:val="00A43C59"/>
    <w:rsid w:val="00A4581C"/>
    <w:rsid w:val="00A47B8B"/>
    <w:rsid w:val="00A50ECD"/>
    <w:rsid w:val="00A518F3"/>
    <w:rsid w:val="00A52729"/>
    <w:rsid w:val="00A528ED"/>
    <w:rsid w:val="00A53675"/>
    <w:rsid w:val="00A564D7"/>
    <w:rsid w:val="00A56B6A"/>
    <w:rsid w:val="00A578DC"/>
    <w:rsid w:val="00A63336"/>
    <w:rsid w:val="00A640D3"/>
    <w:rsid w:val="00A640E2"/>
    <w:rsid w:val="00A64D65"/>
    <w:rsid w:val="00A6725B"/>
    <w:rsid w:val="00A70605"/>
    <w:rsid w:val="00A709F5"/>
    <w:rsid w:val="00A73134"/>
    <w:rsid w:val="00A7411F"/>
    <w:rsid w:val="00A76001"/>
    <w:rsid w:val="00A76C51"/>
    <w:rsid w:val="00A777B2"/>
    <w:rsid w:val="00A822CF"/>
    <w:rsid w:val="00A825D4"/>
    <w:rsid w:val="00A828F6"/>
    <w:rsid w:val="00A82B73"/>
    <w:rsid w:val="00A86E8B"/>
    <w:rsid w:val="00A87164"/>
    <w:rsid w:val="00A873FA"/>
    <w:rsid w:val="00A90A6A"/>
    <w:rsid w:val="00A9109E"/>
    <w:rsid w:val="00A91368"/>
    <w:rsid w:val="00A913C9"/>
    <w:rsid w:val="00A93072"/>
    <w:rsid w:val="00A938BD"/>
    <w:rsid w:val="00A93953"/>
    <w:rsid w:val="00A951F7"/>
    <w:rsid w:val="00A959D8"/>
    <w:rsid w:val="00A9731F"/>
    <w:rsid w:val="00AA0C5E"/>
    <w:rsid w:val="00AA113D"/>
    <w:rsid w:val="00AA261E"/>
    <w:rsid w:val="00AA40D7"/>
    <w:rsid w:val="00AA4DF5"/>
    <w:rsid w:val="00AA5C95"/>
    <w:rsid w:val="00AA6444"/>
    <w:rsid w:val="00AA68F3"/>
    <w:rsid w:val="00AA6BD5"/>
    <w:rsid w:val="00AA6BD8"/>
    <w:rsid w:val="00AA6C7D"/>
    <w:rsid w:val="00AA73BF"/>
    <w:rsid w:val="00AA7808"/>
    <w:rsid w:val="00AA7FD6"/>
    <w:rsid w:val="00AB042A"/>
    <w:rsid w:val="00AB19EF"/>
    <w:rsid w:val="00AB2D34"/>
    <w:rsid w:val="00AB3430"/>
    <w:rsid w:val="00AB34A4"/>
    <w:rsid w:val="00AB37B9"/>
    <w:rsid w:val="00AB3D39"/>
    <w:rsid w:val="00AB466F"/>
    <w:rsid w:val="00AB4AD1"/>
    <w:rsid w:val="00AB5E07"/>
    <w:rsid w:val="00AB7CFA"/>
    <w:rsid w:val="00AC1D54"/>
    <w:rsid w:val="00AC50E1"/>
    <w:rsid w:val="00AC5B48"/>
    <w:rsid w:val="00AD1450"/>
    <w:rsid w:val="00AD1C52"/>
    <w:rsid w:val="00AD33BB"/>
    <w:rsid w:val="00AD3E40"/>
    <w:rsid w:val="00AD6502"/>
    <w:rsid w:val="00AE0695"/>
    <w:rsid w:val="00AE076C"/>
    <w:rsid w:val="00AE1706"/>
    <w:rsid w:val="00AE3E7E"/>
    <w:rsid w:val="00AE4B9B"/>
    <w:rsid w:val="00AE6C39"/>
    <w:rsid w:val="00AF1315"/>
    <w:rsid w:val="00AF19BF"/>
    <w:rsid w:val="00AF2DC3"/>
    <w:rsid w:val="00AF34B8"/>
    <w:rsid w:val="00AF6AEF"/>
    <w:rsid w:val="00B00266"/>
    <w:rsid w:val="00B015B1"/>
    <w:rsid w:val="00B02951"/>
    <w:rsid w:val="00B02FB0"/>
    <w:rsid w:val="00B033E5"/>
    <w:rsid w:val="00B03936"/>
    <w:rsid w:val="00B03A63"/>
    <w:rsid w:val="00B043AE"/>
    <w:rsid w:val="00B048CE"/>
    <w:rsid w:val="00B13330"/>
    <w:rsid w:val="00B13415"/>
    <w:rsid w:val="00B17B52"/>
    <w:rsid w:val="00B201A4"/>
    <w:rsid w:val="00B201D1"/>
    <w:rsid w:val="00B2024C"/>
    <w:rsid w:val="00B21369"/>
    <w:rsid w:val="00B213A6"/>
    <w:rsid w:val="00B235B0"/>
    <w:rsid w:val="00B24D69"/>
    <w:rsid w:val="00B24DF6"/>
    <w:rsid w:val="00B30523"/>
    <w:rsid w:val="00B33D18"/>
    <w:rsid w:val="00B33E5E"/>
    <w:rsid w:val="00B34A29"/>
    <w:rsid w:val="00B34FE2"/>
    <w:rsid w:val="00B35166"/>
    <w:rsid w:val="00B357D8"/>
    <w:rsid w:val="00B35A4E"/>
    <w:rsid w:val="00B360F4"/>
    <w:rsid w:val="00B3674B"/>
    <w:rsid w:val="00B36A00"/>
    <w:rsid w:val="00B37BFC"/>
    <w:rsid w:val="00B40358"/>
    <w:rsid w:val="00B40698"/>
    <w:rsid w:val="00B41614"/>
    <w:rsid w:val="00B421A6"/>
    <w:rsid w:val="00B42851"/>
    <w:rsid w:val="00B42900"/>
    <w:rsid w:val="00B42F80"/>
    <w:rsid w:val="00B435CB"/>
    <w:rsid w:val="00B4389E"/>
    <w:rsid w:val="00B4682B"/>
    <w:rsid w:val="00B4782D"/>
    <w:rsid w:val="00B505C8"/>
    <w:rsid w:val="00B50DB8"/>
    <w:rsid w:val="00B53654"/>
    <w:rsid w:val="00B53905"/>
    <w:rsid w:val="00B54B5B"/>
    <w:rsid w:val="00B5552A"/>
    <w:rsid w:val="00B5562E"/>
    <w:rsid w:val="00B55D65"/>
    <w:rsid w:val="00B56272"/>
    <w:rsid w:val="00B57000"/>
    <w:rsid w:val="00B6022A"/>
    <w:rsid w:val="00B60939"/>
    <w:rsid w:val="00B60AFD"/>
    <w:rsid w:val="00B62715"/>
    <w:rsid w:val="00B65611"/>
    <w:rsid w:val="00B65A46"/>
    <w:rsid w:val="00B67C0B"/>
    <w:rsid w:val="00B70B1E"/>
    <w:rsid w:val="00B70E8E"/>
    <w:rsid w:val="00B716C9"/>
    <w:rsid w:val="00B7251D"/>
    <w:rsid w:val="00B72BCF"/>
    <w:rsid w:val="00B731E3"/>
    <w:rsid w:val="00B757C3"/>
    <w:rsid w:val="00B76C92"/>
    <w:rsid w:val="00B814D9"/>
    <w:rsid w:val="00B818A4"/>
    <w:rsid w:val="00B83826"/>
    <w:rsid w:val="00B84117"/>
    <w:rsid w:val="00B858F0"/>
    <w:rsid w:val="00B85AA2"/>
    <w:rsid w:val="00B8649C"/>
    <w:rsid w:val="00B8695D"/>
    <w:rsid w:val="00B872C5"/>
    <w:rsid w:val="00B87F0A"/>
    <w:rsid w:val="00B90802"/>
    <w:rsid w:val="00B92D0B"/>
    <w:rsid w:val="00B9392F"/>
    <w:rsid w:val="00B94945"/>
    <w:rsid w:val="00B94DD6"/>
    <w:rsid w:val="00B95E7E"/>
    <w:rsid w:val="00B97AC3"/>
    <w:rsid w:val="00B97DC9"/>
    <w:rsid w:val="00BA1071"/>
    <w:rsid w:val="00BA322D"/>
    <w:rsid w:val="00BA3A23"/>
    <w:rsid w:val="00BA4598"/>
    <w:rsid w:val="00BA63FA"/>
    <w:rsid w:val="00BA7E1A"/>
    <w:rsid w:val="00BB00B3"/>
    <w:rsid w:val="00BB0BDD"/>
    <w:rsid w:val="00BB1298"/>
    <w:rsid w:val="00BB176C"/>
    <w:rsid w:val="00BB2A73"/>
    <w:rsid w:val="00BB38E5"/>
    <w:rsid w:val="00BB3954"/>
    <w:rsid w:val="00BB3A45"/>
    <w:rsid w:val="00BB4ACC"/>
    <w:rsid w:val="00BB703E"/>
    <w:rsid w:val="00BB732D"/>
    <w:rsid w:val="00BB7405"/>
    <w:rsid w:val="00BB774C"/>
    <w:rsid w:val="00BB7B76"/>
    <w:rsid w:val="00BC1011"/>
    <w:rsid w:val="00BC11DB"/>
    <w:rsid w:val="00BC3631"/>
    <w:rsid w:val="00BC3F7F"/>
    <w:rsid w:val="00BC3FFD"/>
    <w:rsid w:val="00BC4E7D"/>
    <w:rsid w:val="00BC5419"/>
    <w:rsid w:val="00BC591F"/>
    <w:rsid w:val="00BC6137"/>
    <w:rsid w:val="00BC7D6D"/>
    <w:rsid w:val="00BD0120"/>
    <w:rsid w:val="00BD19C5"/>
    <w:rsid w:val="00BD2108"/>
    <w:rsid w:val="00BD68A3"/>
    <w:rsid w:val="00BD6938"/>
    <w:rsid w:val="00BD6CF3"/>
    <w:rsid w:val="00BE07F7"/>
    <w:rsid w:val="00BE0ECA"/>
    <w:rsid w:val="00BE1130"/>
    <w:rsid w:val="00BE12A7"/>
    <w:rsid w:val="00BE2180"/>
    <w:rsid w:val="00BE21F2"/>
    <w:rsid w:val="00BE4275"/>
    <w:rsid w:val="00BF06AE"/>
    <w:rsid w:val="00BF0F95"/>
    <w:rsid w:val="00BF2011"/>
    <w:rsid w:val="00BF2433"/>
    <w:rsid w:val="00BF61C9"/>
    <w:rsid w:val="00BF625B"/>
    <w:rsid w:val="00BF6BC0"/>
    <w:rsid w:val="00BF6C94"/>
    <w:rsid w:val="00C00424"/>
    <w:rsid w:val="00C005B1"/>
    <w:rsid w:val="00C00C79"/>
    <w:rsid w:val="00C0190E"/>
    <w:rsid w:val="00C03332"/>
    <w:rsid w:val="00C05AD8"/>
    <w:rsid w:val="00C067F7"/>
    <w:rsid w:val="00C0693A"/>
    <w:rsid w:val="00C1179F"/>
    <w:rsid w:val="00C128A1"/>
    <w:rsid w:val="00C12C14"/>
    <w:rsid w:val="00C137CA"/>
    <w:rsid w:val="00C138A0"/>
    <w:rsid w:val="00C158D3"/>
    <w:rsid w:val="00C15F04"/>
    <w:rsid w:val="00C16821"/>
    <w:rsid w:val="00C16A70"/>
    <w:rsid w:val="00C179B3"/>
    <w:rsid w:val="00C17E3F"/>
    <w:rsid w:val="00C200AA"/>
    <w:rsid w:val="00C2299D"/>
    <w:rsid w:val="00C237ED"/>
    <w:rsid w:val="00C24632"/>
    <w:rsid w:val="00C25418"/>
    <w:rsid w:val="00C25D9C"/>
    <w:rsid w:val="00C2778B"/>
    <w:rsid w:val="00C31649"/>
    <w:rsid w:val="00C3434C"/>
    <w:rsid w:val="00C37816"/>
    <w:rsid w:val="00C37DE5"/>
    <w:rsid w:val="00C40385"/>
    <w:rsid w:val="00C41118"/>
    <w:rsid w:val="00C41198"/>
    <w:rsid w:val="00C412CE"/>
    <w:rsid w:val="00C41768"/>
    <w:rsid w:val="00C41EB4"/>
    <w:rsid w:val="00C427A8"/>
    <w:rsid w:val="00C45C9D"/>
    <w:rsid w:val="00C45D84"/>
    <w:rsid w:val="00C475AA"/>
    <w:rsid w:val="00C51802"/>
    <w:rsid w:val="00C53C98"/>
    <w:rsid w:val="00C558FE"/>
    <w:rsid w:val="00C56C3E"/>
    <w:rsid w:val="00C56FCF"/>
    <w:rsid w:val="00C5731A"/>
    <w:rsid w:val="00C57B6C"/>
    <w:rsid w:val="00C57FFC"/>
    <w:rsid w:val="00C628A6"/>
    <w:rsid w:val="00C62A13"/>
    <w:rsid w:val="00C6398F"/>
    <w:rsid w:val="00C63B00"/>
    <w:rsid w:val="00C64344"/>
    <w:rsid w:val="00C65108"/>
    <w:rsid w:val="00C65576"/>
    <w:rsid w:val="00C66165"/>
    <w:rsid w:val="00C66A53"/>
    <w:rsid w:val="00C66A83"/>
    <w:rsid w:val="00C7060A"/>
    <w:rsid w:val="00C70D87"/>
    <w:rsid w:val="00C7151A"/>
    <w:rsid w:val="00C717E3"/>
    <w:rsid w:val="00C71F60"/>
    <w:rsid w:val="00C7221C"/>
    <w:rsid w:val="00C72241"/>
    <w:rsid w:val="00C73EF8"/>
    <w:rsid w:val="00C74856"/>
    <w:rsid w:val="00C750C8"/>
    <w:rsid w:val="00C75452"/>
    <w:rsid w:val="00C7560F"/>
    <w:rsid w:val="00C7572A"/>
    <w:rsid w:val="00C80A0E"/>
    <w:rsid w:val="00C81490"/>
    <w:rsid w:val="00C81E65"/>
    <w:rsid w:val="00C8213F"/>
    <w:rsid w:val="00C85154"/>
    <w:rsid w:val="00C8797A"/>
    <w:rsid w:val="00C87E37"/>
    <w:rsid w:val="00C900B8"/>
    <w:rsid w:val="00C90C71"/>
    <w:rsid w:val="00C91FD1"/>
    <w:rsid w:val="00C92DDC"/>
    <w:rsid w:val="00C9313F"/>
    <w:rsid w:val="00C931CF"/>
    <w:rsid w:val="00C9352D"/>
    <w:rsid w:val="00C938CF"/>
    <w:rsid w:val="00C94053"/>
    <w:rsid w:val="00C9624D"/>
    <w:rsid w:val="00C969DA"/>
    <w:rsid w:val="00C96DA2"/>
    <w:rsid w:val="00C973E4"/>
    <w:rsid w:val="00CA2289"/>
    <w:rsid w:val="00CA27CC"/>
    <w:rsid w:val="00CA2C77"/>
    <w:rsid w:val="00CA444F"/>
    <w:rsid w:val="00CA5245"/>
    <w:rsid w:val="00CA6AC5"/>
    <w:rsid w:val="00CA71F4"/>
    <w:rsid w:val="00CA7395"/>
    <w:rsid w:val="00CA7B09"/>
    <w:rsid w:val="00CB12A5"/>
    <w:rsid w:val="00CB15D3"/>
    <w:rsid w:val="00CB1CAC"/>
    <w:rsid w:val="00CB25C8"/>
    <w:rsid w:val="00CB2F2A"/>
    <w:rsid w:val="00CB4494"/>
    <w:rsid w:val="00CB5B1A"/>
    <w:rsid w:val="00CB6B22"/>
    <w:rsid w:val="00CB7F5F"/>
    <w:rsid w:val="00CC00C1"/>
    <w:rsid w:val="00CC1B39"/>
    <w:rsid w:val="00CC258E"/>
    <w:rsid w:val="00CC35EA"/>
    <w:rsid w:val="00CC3848"/>
    <w:rsid w:val="00CD3F77"/>
    <w:rsid w:val="00CD6ADC"/>
    <w:rsid w:val="00CD6CE2"/>
    <w:rsid w:val="00CD7193"/>
    <w:rsid w:val="00CE38C8"/>
    <w:rsid w:val="00CE6274"/>
    <w:rsid w:val="00CE77B6"/>
    <w:rsid w:val="00CF031E"/>
    <w:rsid w:val="00CF1BF2"/>
    <w:rsid w:val="00CF2B8D"/>
    <w:rsid w:val="00CF456B"/>
    <w:rsid w:val="00CF5A22"/>
    <w:rsid w:val="00CF61C2"/>
    <w:rsid w:val="00D0262E"/>
    <w:rsid w:val="00D02B77"/>
    <w:rsid w:val="00D05B06"/>
    <w:rsid w:val="00D05B72"/>
    <w:rsid w:val="00D05E3D"/>
    <w:rsid w:val="00D06139"/>
    <w:rsid w:val="00D101F7"/>
    <w:rsid w:val="00D110BD"/>
    <w:rsid w:val="00D118E4"/>
    <w:rsid w:val="00D12610"/>
    <w:rsid w:val="00D13675"/>
    <w:rsid w:val="00D141E1"/>
    <w:rsid w:val="00D1459E"/>
    <w:rsid w:val="00D15314"/>
    <w:rsid w:val="00D17D6C"/>
    <w:rsid w:val="00D17EB3"/>
    <w:rsid w:val="00D2155B"/>
    <w:rsid w:val="00D215D1"/>
    <w:rsid w:val="00D23D11"/>
    <w:rsid w:val="00D244B6"/>
    <w:rsid w:val="00D254E9"/>
    <w:rsid w:val="00D2754D"/>
    <w:rsid w:val="00D27B27"/>
    <w:rsid w:val="00D318DC"/>
    <w:rsid w:val="00D32DC0"/>
    <w:rsid w:val="00D32EE5"/>
    <w:rsid w:val="00D3380B"/>
    <w:rsid w:val="00D338B3"/>
    <w:rsid w:val="00D33BE9"/>
    <w:rsid w:val="00D33F93"/>
    <w:rsid w:val="00D34D5A"/>
    <w:rsid w:val="00D357FF"/>
    <w:rsid w:val="00D424C7"/>
    <w:rsid w:val="00D43292"/>
    <w:rsid w:val="00D43B2A"/>
    <w:rsid w:val="00D43D83"/>
    <w:rsid w:val="00D45A08"/>
    <w:rsid w:val="00D45B27"/>
    <w:rsid w:val="00D47001"/>
    <w:rsid w:val="00D4724A"/>
    <w:rsid w:val="00D47575"/>
    <w:rsid w:val="00D50114"/>
    <w:rsid w:val="00D50195"/>
    <w:rsid w:val="00D50E77"/>
    <w:rsid w:val="00D5200A"/>
    <w:rsid w:val="00D5243B"/>
    <w:rsid w:val="00D533EC"/>
    <w:rsid w:val="00D55BFA"/>
    <w:rsid w:val="00D56A95"/>
    <w:rsid w:val="00D6256B"/>
    <w:rsid w:val="00D67557"/>
    <w:rsid w:val="00D702AD"/>
    <w:rsid w:val="00D70F16"/>
    <w:rsid w:val="00D71DDA"/>
    <w:rsid w:val="00D72149"/>
    <w:rsid w:val="00D72F57"/>
    <w:rsid w:val="00D74CF3"/>
    <w:rsid w:val="00D76A44"/>
    <w:rsid w:val="00D77EA1"/>
    <w:rsid w:val="00D80AC8"/>
    <w:rsid w:val="00D815EF"/>
    <w:rsid w:val="00D81F26"/>
    <w:rsid w:val="00D8213D"/>
    <w:rsid w:val="00D83C5C"/>
    <w:rsid w:val="00D844D8"/>
    <w:rsid w:val="00D85534"/>
    <w:rsid w:val="00D858B6"/>
    <w:rsid w:val="00D86231"/>
    <w:rsid w:val="00D87E36"/>
    <w:rsid w:val="00D903FD"/>
    <w:rsid w:val="00D91923"/>
    <w:rsid w:val="00D91D58"/>
    <w:rsid w:val="00D92592"/>
    <w:rsid w:val="00D92E0E"/>
    <w:rsid w:val="00D93753"/>
    <w:rsid w:val="00D93F0C"/>
    <w:rsid w:val="00D95537"/>
    <w:rsid w:val="00D970F5"/>
    <w:rsid w:val="00DA2DEE"/>
    <w:rsid w:val="00DA3167"/>
    <w:rsid w:val="00DA4DC3"/>
    <w:rsid w:val="00DA736E"/>
    <w:rsid w:val="00DA77A5"/>
    <w:rsid w:val="00DB2E10"/>
    <w:rsid w:val="00DB3DBF"/>
    <w:rsid w:val="00DB484F"/>
    <w:rsid w:val="00DB56A7"/>
    <w:rsid w:val="00DC04F6"/>
    <w:rsid w:val="00DC0690"/>
    <w:rsid w:val="00DC1840"/>
    <w:rsid w:val="00DC1D65"/>
    <w:rsid w:val="00DC3C57"/>
    <w:rsid w:val="00DC458B"/>
    <w:rsid w:val="00DC4F4A"/>
    <w:rsid w:val="00DC5501"/>
    <w:rsid w:val="00DC6FAB"/>
    <w:rsid w:val="00DC7154"/>
    <w:rsid w:val="00DC77B8"/>
    <w:rsid w:val="00DC79D5"/>
    <w:rsid w:val="00DC7CD8"/>
    <w:rsid w:val="00DC7E8A"/>
    <w:rsid w:val="00DD0F78"/>
    <w:rsid w:val="00DD1B8A"/>
    <w:rsid w:val="00DD273C"/>
    <w:rsid w:val="00DD3F28"/>
    <w:rsid w:val="00DD4537"/>
    <w:rsid w:val="00DD4E15"/>
    <w:rsid w:val="00DE1BF5"/>
    <w:rsid w:val="00DE2304"/>
    <w:rsid w:val="00DE3138"/>
    <w:rsid w:val="00DE31A0"/>
    <w:rsid w:val="00DE37F8"/>
    <w:rsid w:val="00DE3850"/>
    <w:rsid w:val="00DE3D89"/>
    <w:rsid w:val="00DE488F"/>
    <w:rsid w:val="00DE4C25"/>
    <w:rsid w:val="00DE4FCB"/>
    <w:rsid w:val="00DE5D07"/>
    <w:rsid w:val="00DE72A7"/>
    <w:rsid w:val="00DE7832"/>
    <w:rsid w:val="00DF0B40"/>
    <w:rsid w:val="00DF12CC"/>
    <w:rsid w:val="00DF131C"/>
    <w:rsid w:val="00DF17A3"/>
    <w:rsid w:val="00DF18FC"/>
    <w:rsid w:val="00DF3537"/>
    <w:rsid w:val="00DF3FE6"/>
    <w:rsid w:val="00DF527F"/>
    <w:rsid w:val="00DF5C12"/>
    <w:rsid w:val="00DF5D2B"/>
    <w:rsid w:val="00E00E8E"/>
    <w:rsid w:val="00E01D00"/>
    <w:rsid w:val="00E029E9"/>
    <w:rsid w:val="00E03138"/>
    <w:rsid w:val="00E0435A"/>
    <w:rsid w:val="00E04952"/>
    <w:rsid w:val="00E0549C"/>
    <w:rsid w:val="00E05630"/>
    <w:rsid w:val="00E05E34"/>
    <w:rsid w:val="00E06DBB"/>
    <w:rsid w:val="00E10149"/>
    <w:rsid w:val="00E11340"/>
    <w:rsid w:val="00E11CE3"/>
    <w:rsid w:val="00E122A1"/>
    <w:rsid w:val="00E12792"/>
    <w:rsid w:val="00E141AA"/>
    <w:rsid w:val="00E16372"/>
    <w:rsid w:val="00E175B2"/>
    <w:rsid w:val="00E17FE9"/>
    <w:rsid w:val="00E20E4D"/>
    <w:rsid w:val="00E20ED6"/>
    <w:rsid w:val="00E21358"/>
    <w:rsid w:val="00E21AD4"/>
    <w:rsid w:val="00E21EC4"/>
    <w:rsid w:val="00E22309"/>
    <w:rsid w:val="00E2249B"/>
    <w:rsid w:val="00E22A0D"/>
    <w:rsid w:val="00E22E9B"/>
    <w:rsid w:val="00E234DF"/>
    <w:rsid w:val="00E244F6"/>
    <w:rsid w:val="00E24AC4"/>
    <w:rsid w:val="00E252D2"/>
    <w:rsid w:val="00E26AD7"/>
    <w:rsid w:val="00E2771E"/>
    <w:rsid w:val="00E27F46"/>
    <w:rsid w:val="00E30785"/>
    <w:rsid w:val="00E311EF"/>
    <w:rsid w:val="00E32180"/>
    <w:rsid w:val="00E34948"/>
    <w:rsid w:val="00E36737"/>
    <w:rsid w:val="00E37569"/>
    <w:rsid w:val="00E401B2"/>
    <w:rsid w:val="00E405E7"/>
    <w:rsid w:val="00E40ABE"/>
    <w:rsid w:val="00E41E30"/>
    <w:rsid w:val="00E42A70"/>
    <w:rsid w:val="00E42F73"/>
    <w:rsid w:val="00E43D70"/>
    <w:rsid w:val="00E462A5"/>
    <w:rsid w:val="00E464D9"/>
    <w:rsid w:val="00E466F3"/>
    <w:rsid w:val="00E472E0"/>
    <w:rsid w:val="00E47B2C"/>
    <w:rsid w:val="00E51560"/>
    <w:rsid w:val="00E51DD4"/>
    <w:rsid w:val="00E53FC8"/>
    <w:rsid w:val="00E54347"/>
    <w:rsid w:val="00E549C4"/>
    <w:rsid w:val="00E552E8"/>
    <w:rsid w:val="00E55424"/>
    <w:rsid w:val="00E55915"/>
    <w:rsid w:val="00E55BB5"/>
    <w:rsid w:val="00E627F6"/>
    <w:rsid w:val="00E63EE6"/>
    <w:rsid w:val="00E65CD8"/>
    <w:rsid w:val="00E65D91"/>
    <w:rsid w:val="00E65E79"/>
    <w:rsid w:val="00E66315"/>
    <w:rsid w:val="00E66BA2"/>
    <w:rsid w:val="00E67416"/>
    <w:rsid w:val="00E67FA7"/>
    <w:rsid w:val="00E710D7"/>
    <w:rsid w:val="00E718B6"/>
    <w:rsid w:val="00E723BA"/>
    <w:rsid w:val="00E73581"/>
    <w:rsid w:val="00E76632"/>
    <w:rsid w:val="00E833F7"/>
    <w:rsid w:val="00E83BDF"/>
    <w:rsid w:val="00E857CC"/>
    <w:rsid w:val="00E85D1D"/>
    <w:rsid w:val="00E86473"/>
    <w:rsid w:val="00E87A1D"/>
    <w:rsid w:val="00E87E0F"/>
    <w:rsid w:val="00E901FE"/>
    <w:rsid w:val="00E9094A"/>
    <w:rsid w:val="00E91D35"/>
    <w:rsid w:val="00E926A5"/>
    <w:rsid w:val="00E94B40"/>
    <w:rsid w:val="00E96148"/>
    <w:rsid w:val="00E96DC8"/>
    <w:rsid w:val="00EA0459"/>
    <w:rsid w:val="00EA1689"/>
    <w:rsid w:val="00EA17C3"/>
    <w:rsid w:val="00EA259B"/>
    <w:rsid w:val="00EA2CAA"/>
    <w:rsid w:val="00EA3864"/>
    <w:rsid w:val="00EA3EBA"/>
    <w:rsid w:val="00EA4E45"/>
    <w:rsid w:val="00EA6323"/>
    <w:rsid w:val="00EA7F1C"/>
    <w:rsid w:val="00EB0EC4"/>
    <w:rsid w:val="00EB15B6"/>
    <w:rsid w:val="00EB23CC"/>
    <w:rsid w:val="00EB2BDE"/>
    <w:rsid w:val="00EB3D06"/>
    <w:rsid w:val="00EB4916"/>
    <w:rsid w:val="00EB491D"/>
    <w:rsid w:val="00EB715C"/>
    <w:rsid w:val="00EC00C9"/>
    <w:rsid w:val="00EC0DD9"/>
    <w:rsid w:val="00EC22CA"/>
    <w:rsid w:val="00EC2649"/>
    <w:rsid w:val="00EC2AFE"/>
    <w:rsid w:val="00EC31ED"/>
    <w:rsid w:val="00EC5836"/>
    <w:rsid w:val="00EC5E17"/>
    <w:rsid w:val="00EC688C"/>
    <w:rsid w:val="00ED1A5E"/>
    <w:rsid w:val="00ED34EB"/>
    <w:rsid w:val="00ED41E3"/>
    <w:rsid w:val="00ED57EA"/>
    <w:rsid w:val="00ED5BD4"/>
    <w:rsid w:val="00ED7BE7"/>
    <w:rsid w:val="00EE07D3"/>
    <w:rsid w:val="00EE10F1"/>
    <w:rsid w:val="00EE1996"/>
    <w:rsid w:val="00EE1C01"/>
    <w:rsid w:val="00EE22AF"/>
    <w:rsid w:val="00EE35BE"/>
    <w:rsid w:val="00EE4209"/>
    <w:rsid w:val="00EF0171"/>
    <w:rsid w:val="00EF0D4D"/>
    <w:rsid w:val="00EF1109"/>
    <w:rsid w:val="00EF1B25"/>
    <w:rsid w:val="00EF1DA0"/>
    <w:rsid w:val="00EF3424"/>
    <w:rsid w:val="00EF46D2"/>
    <w:rsid w:val="00EF4747"/>
    <w:rsid w:val="00EF4BF8"/>
    <w:rsid w:val="00EF4C5C"/>
    <w:rsid w:val="00EF50DB"/>
    <w:rsid w:val="00EF5B0A"/>
    <w:rsid w:val="00EF79FF"/>
    <w:rsid w:val="00F01444"/>
    <w:rsid w:val="00F02253"/>
    <w:rsid w:val="00F03C2E"/>
    <w:rsid w:val="00F03E80"/>
    <w:rsid w:val="00F04A66"/>
    <w:rsid w:val="00F04B4B"/>
    <w:rsid w:val="00F0516C"/>
    <w:rsid w:val="00F0558C"/>
    <w:rsid w:val="00F063E5"/>
    <w:rsid w:val="00F067A2"/>
    <w:rsid w:val="00F07B9E"/>
    <w:rsid w:val="00F1116F"/>
    <w:rsid w:val="00F120CF"/>
    <w:rsid w:val="00F1263A"/>
    <w:rsid w:val="00F146C1"/>
    <w:rsid w:val="00F152ED"/>
    <w:rsid w:val="00F15A02"/>
    <w:rsid w:val="00F15B77"/>
    <w:rsid w:val="00F16543"/>
    <w:rsid w:val="00F22CE9"/>
    <w:rsid w:val="00F22CEA"/>
    <w:rsid w:val="00F237DB"/>
    <w:rsid w:val="00F24098"/>
    <w:rsid w:val="00F24837"/>
    <w:rsid w:val="00F24A06"/>
    <w:rsid w:val="00F2575F"/>
    <w:rsid w:val="00F26D58"/>
    <w:rsid w:val="00F27565"/>
    <w:rsid w:val="00F27934"/>
    <w:rsid w:val="00F27F70"/>
    <w:rsid w:val="00F310D4"/>
    <w:rsid w:val="00F31D5A"/>
    <w:rsid w:val="00F33975"/>
    <w:rsid w:val="00F33A5F"/>
    <w:rsid w:val="00F33DE9"/>
    <w:rsid w:val="00F35E6D"/>
    <w:rsid w:val="00F3619A"/>
    <w:rsid w:val="00F40AAA"/>
    <w:rsid w:val="00F40BA7"/>
    <w:rsid w:val="00F40F9D"/>
    <w:rsid w:val="00F41ACD"/>
    <w:rsid w:val="00F43C25"/>
    <w:rsid w:val="00F44B1A"/>
    <w:rsid w:val="00F44EC0"/>
    <w:rsid w:val="00F45F30"/>
    <w:rsid w:val="00F46CB6"/>
    <w:rsid w:val="00F4756D"/>
    <w:rsid w:val="00F47DE8"/>
    <w:rsid w:val="00F542C1"/>
    <w:rsid w:val="00F55480"/>
    <w:rsid w:val="00F55E73"/>
    <w:rsid w:val="00F55EDA"/>
    <w:rsid w:val="00F56256"/>
    <w:rsid w:val="00F56C80"/>
    <w:rsid w:val="00F57D41"/>
    <w:rsid w:val="00F57FDD"/>
    <w:rsid w:val="00F6005F"/>
    <w:rsid w:val="00F60092"/>
    <w:rsid w:val="00F61A32"/>
    <w:rsid w:val="00F61C18"/>
    <w:rsid w:val="00F653C5"/>
    <w:rsid w:val="00F65F4B"/>
    <w:rsid w:val="00F66250"/>
    <w:rsid w:val="00F664BB"/>
    <w:rsid w:val="00F6761C"/>
    <w:rsid w:val="00F67A69"/>
    <w:rsid w:val="00F70BFF"/>
    <w:rsid w:val="00F70C9D"/>
    <w:rsid w:val="00F72E36"/>
    <w:rsid w:val="00F74081"/>
    <w:rsid w:val="00F74CD9"/>
    <w:rsid w:val="00F7653D"/>
    <w:rsid w:val="00F805DF"/>
    <w:rsid w:val="00F80A7B"/>
    <w:rsid w:val="00F80E5D"/>
    <w:rsid w:val="00F81E78"/>
    <w:rsid w:val="00F83183"/>
    <w:rsid w:val="00F851CE"/>
    <w:rsid w:val="00F85F1B"/>
    <w:rsid w:val="00F86046"/>
    <w:rsid w:val="00F91219"/>
    <w:rsid w:val="00F92444"/>
    <w:rsid w:val="00F9299B"/>
    <w:rsid w:val="00F9393E"/>
    <w:rsid w:val="00F93DE1"/>
    <w:rsid w:val="00F94CC7"/>
    <w:rsid w:val="00F96AE7"/>
    <w:rsid w:val="00F96FD0"/>
    <w:rsid w:val="00F97A78"/>
    <w:rsid w:val="00F97B49"/>
    <w:rsid w:val="00FA0B20"/>
    <w:rsid w:val="00FA0DB1"/>
    <w:rsid w:val="00FA24E7"/>
    <w:rsid w:val="00FA2EEF"/>
    <w:rsid w:val="00FA5BB4"/>
    <w:rsid w:val="00FA5EE6"/>
    <w:rsid w:val="00FA6EA6"/>
    <w:rsid w:val="00FA7569"/>
    <w:rsid w:val="00FA7956"/>
    <w:rsid w:val="00FB2FCB"/>
    <w:rsid w:val="00FB588F"/>
    <w:rsid w:val="00FB5B8E"/>
    <w:rsid w:val="00FB7C55"/>
    <w:rsid w:val="00FC1074"/>
    <w:rsid w:val="00FC1884"/>
    <w:rsid w:val="00FC1D11"/>
    <w:rsid w:val="00FC2119"/>
    <w:rsid w:val="00FC371D"/>
    <w:rsid w:val="00FC4D8A"/>
    <w:rsid w:val="00FC5F0B"/>
    <w:rsid w:val="00FC6D3A"/>
    <w:rsid w:val="00FC6DC4"/>
    <w:rsid w:val="00FD2100"/>
    <w:rsid w:val="00FD436C"/>
    <w:rsid w:val="00FD43B5"/>
    <w:rsid w:val="00FD446D"/>
    <w:rsid w:val="00FD4F2C"/>
    <w:rsid w:val="00FD5A89"/>
    <w:rsid w:val="00FD6394"/>
    <w:rsid w:val="00FD6653"/>
    <w:rsid w:val="00FE0E6C"/>
    <w:rsid w:val="00FE1CDC"/>
    <w:rsid w:val="00FE70C3"/>
    <w:rsid w:val="00FF1ED7"/>
    <w:rsid w:val="00FF26ED"/>
    <w:rsid w:val="00FF2AD9"/>
    <w:rsid w:val="00FF359F"/>
    <w:rsid w:val="00FF3DCF"/>
    <w:rsid w:val="00FF492C"/>
    <w:rsid w:val="00FF4A21"/>
    <w:rsid w:val="00FF531F"/>
    <w:rsid w:val="00FF5AA3"/>
    <w:rsid w:val="00FF5AD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6346B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7EA1"/>
    <w:pPr>
      <w:jc w:val="both"/>
    </w:pPr>
    <w:rPr>
      <w:rFonts w:ascii="Calibri" w:hAnsi="Calibri" w:cs="Arial"/>
      <w:sz w:val="24"/>
      <w:szCs w:val="24"/>
    </w:rPr>
  </w:style>
  <w:style w:type="paragraph" w:styleId="Heading1">
    <w:name w:val="heading 1"/>
    <w:basedOn w:val="Normal"/>
    <w:next w:val="Normal"/>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V5.0 Caption,Caption Char2 Char,Caption Char Char Char2,Caption Char1 Char Char Char1,Caption Char2 Char Char Char1 Char1,Caption Char Char1 Char Char Char1 Char1,Caption Char1 Char Char Char Char Char Char,Caption Char2,Caption Char1,c,Char1"/>
    <w:basedOn w:val="Normal"/>
    <w:next w:val="Normal"/>
    <w:link w:val="CaptionChar"/>
    <w:unhideWhenUsed/>
    <w:qFormat/>
    <w:rsid w:val="00124A51"/>
    <w:pPr>
      <w:spacing w:after="200"/>
    </w:pPr>
    <w:rPr>
      <w:b/>
      <w:bCs/>
      <w:color w:val="4F81BD" w:themeColor="accent1"/>
      <w:sz w:val="18"/>
      <w:szCs w:val="18"/>
    </w:rPr>
  </w:style>
  <w:style w:type="character" w:customStyle="1" w:styleId="CaptionChar">
    <w:name w:val="Caption Char"/>
    <w:aliases w:val="V5.0 Caption Char,Caption Char2 Char Char,Caption Char Char Char2 Char,Caption Char1 Char Char Char1 Char,Caption Char2 Char Char Char1 Char1 Char,Caption Char Char1 Char Char Char1 Char1 Char,Caption Char2 Char1,Caption Char1 Char,c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Table Legend,Bullet1,Bullet 1,Bullet List,Section 5,ES Paragraph,PBAC ES Paragraph,PBAC normal points"/>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Table Legend Char,Bullet1 Char,Bullet 1 Char"/>
    <w:basedOn w:val="DefaultParagraphFont"/>
    <w:link w:val="ListParagraph"/>
    <w:uiPriority w:val="34"/>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new style,PBAC table,MSD Table Grid,Dossier table,Summary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H18"/>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qFormat/>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qFormat/>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4E18E9"/>
    <w:pPr>
      <w:numPr>
        <w:ilvl w:val="1"/>
        <w:numId w:val="1"/>
      </w:numPr>
    </w:pPr>
  </w:style>
  <w:style w:type="character" w:customStyle="1" w:styleId="3-BodyTextChar">
    <w:name w:val="3-Body Text Char"/>
    <w:basedOn w:val="ListParagraphChar"/>
    <w:link w:val="3-BodyText"/>
    <w:rsid w:val="004E18E9"/>
    <w:rPr>
      <w:rFonts w:asciiTheme="minorHAnsi" w:hAnsiTheme="minorHAnsi" w:cs="Arial"/>
      <w:snapToGrid w:val="0"/>
      <w:sz w:val="24"/>
      <w:szCs w:val="24"/>
    </w:rPr>
  </w:style>
  <w:style w:type="paragraph" w:customStyle="1" w:styleId="PageFooter">
    <w:name w:val="Page Footer"/>
    <w:basedOn w:val="Normal"/>
    <w:link w:val="PageFooterChar"/>
    <w:qFormat/>
    <w:rsid w:val="00EE1996"/>
    <w:pPr>
      <w:keepNext/>
      <w:tabs>
        <w:tab w:val="center" w:pos="4153"/>
        <w:tab w:val="center" w:pos="4513"/>
        <w:tab w:val="right" w:pos="8306"/>
        <w:tab w:val="right" w:pos="9026"/>
      </w:tabs>
      <w:jc w:val="center"/>
    </w:pPr>
    <w:rPr>
      <w:b/>
    </w:rPr>
  </w:style>
  <w:style w:type="character" w:customStyle="1" w:styleId="PageFooterChar">
    <w:name w:val="Page Footer Char"/>
    <w:basedOn w:val="DefaultParagraphFont"/>
    <w:link w:val="PageFooter"/>
    <w:rsid w:val="00EE1996"/>
    <w:rPr>
      <w:rFonts w:ascii="Calibri" w:hAnsi="Calibri" w:cs="Arial"/>
      <w:b/>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FootnoteText">
    <w:name w:val="footnote text"/>
    <w:basedOn w:val="Normal"/>
    <w:link w:val="FootnoteTextChar"/>
    <w:semiHidden/>
    <w:unhideWhenUsed/>
    <w:rsid w:val="00564481"/>
    <w:rPr>
      <w:sz w:val="20"/>
      <w:szCs w:val="20"/>
    </w:rPr>
  </w:style>
  <w:style w:type="character" w:customStyle="1" w:styleId="FootnoteTextChar">
    <w:name w:val="Footnote Text Char"/>
    <w:basedOn w:val="DefaultParagraphFont"/>
    <w:link w:val="FootnoteText"/>
    <w:semiHidden/>
    <w:rsid w:val="00564481"/>
    <w:rPr>
      <w:rFonts w:ascii="Calibri" w:hAnsi="Calibri" w:cs="Arial"/>
    </w:rPr>
  </w:style>
  <w:style w:type="character" w:styleId="FootnoteReference">
    <w:name w:val="footnote reference"/>
    <w:basedOn w:val="DefaultParagraphFont"/>
    <w:uiPriority w:val="99"/>
    <w:unhideWhenUsed/>
    <w:rsid w:val="00564481"/>
    <w:rPr>
      <w:vertAlign w:val="superscript"/>
    </w:rPr>
  </w:style>
  <w:style w:type="table" w:customStyle="1" w:styleId="TableGrid7">
    <w:name w:val="Table Grid7"/>
    <w:basedOn w:val="TableNormal"/>
    <w:next w:val="TableGrid"/>
    <w:uiPriority w:val="39"/>
    <w:rsid w:val="006D7D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0">
    <w:name w:val="Table Heading"/>
    <w:basedOn w:val="Normal"/>
    <w:qFormat/>
    <w:rsid w:val="005058F8"/>
    <w:pPr>
      <w:keepNext/>
      <w:spacing w:after="60"/>
      <w:jc w:val="left"/>
    </w:pPr>
    <w:rPr>
      <w:rFonts w:ascii="Arial Narrow" w:eastAsiaTheme="minorHAnsi" w:hAnsi="Arial Narrow" w:cstheme="minorBidi"/>
      <w:b/>
      <w:sz w:val="20"/>
      <w:szCs w:val="22"/>
      <w:lang w:eastAsia="en-US"/>
    </w:rPr>
  </w:style>
  <w:style w:type="paragraph" w:customStyle="1" w:styleId="ExecSumBodyText">
    <w:name w:val="Exec Sum Body Text"/>
    <w:basedOn w:val="Normal"/>
    <w:link w:val="ExecSumBodyTextChar"/>
    <w:qFormat/>
    <w:rsid w:val="005058F8"/>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5058F8"/>
    <w:rPr>
      <w:rFonts w:asciiTheme="minorHAnsi" w:hAnsiTheme="minorHAnsi" w:cs="Arial"/>
      <w:snapToGrid w:val="0"/>
      <w:sz w:val="24"/>
      <w:szCs w:val="24"/>
    </w:rPr>
  </w:style>
  <w:style w:type="paragraph" w:customStyle="1" w:styleId="Default">
    <w:name w:val="Default"/>
    <w:rsid w:val="002B4A29"/>
    <w:pPr>
      <w:autoSpaceDE w:val="0"/>
      <w:autoSpaceDN w:val="0"/>
      <w:adjustRightInd w:val="0"/>
    </w:pPr>
    <w:rPr>
      <w:rFonts w:ascii="Calibri" w:hAnsi="Calibri" w:cs="Calibri"/>
      <w:color w:val="000000"/>
      <w:sz w:val="24"/>
      <w:szCs w:val="24"/>
    </w:rPr>
  </w:style>
  <w:style w:type="paragraph" w:customStyle="1" w:styleId="V50Instructions">
    <w:name w:val="V5.0 Instructions"/>
    <w:basedOn w:val="Normal"/>
    <w:link w:val="V50InstructionsChar"/>
    <w:qFormat/>
    <w:rsid w:val="00F93DE1"/>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F93DE1"/>
    <w:rPr>
      <w:rFonts w:asciiTheme="minorHAnsi" w:eastAsiaTheme="minorHAnsi" w:hAnsiTheme="minorHAnsi" w:cstheme="minorBidi"/>
      <w:color w:val="4BACC6" w:themeColor="accent5"/>
      <w:sz w:val="24"/>
      <w:szCs w:val="22"/>
      <w:lang w:eastAsia="en-US"/>
    </w:rPr>
  </w:style>
  <w:style w:type="paragraph" w:customStyle="1" w:styleId="ExecSummNormal">
    <w:name w:val="ExecSumm Normal"/>
    <w:basedOn w:val="Normal"/>
    <w:uiPriority w:val="1"/>
    <w:qFormat/>
    <w:rsid w:val="00F93DE1"/>
    <w:pPr>
      <w:spacing w:before="120" w:after="120"/>
    </w:pPr>
    <w:rPr>
      <w:rFonts w:asciiTheme="minorHAnsi" w:eastAsiaTheme="minorEastAsia" w:hAnsiTheme="minorHAnsi"/>
      <w:sz w:val="22"/>
      <w:lang w:eastAsia="en-US"/>
    </w:rPr>
  </w:style>
  <w:style w:type="paragraph" w:customStyle="1" w:styleId="TableNotes">
    <w:name w:val="Table Notes"/>
    <w:basedOn w:val="Normal"/>
    <w:next w:val="Normal"/>
    <w:link w:val="TableNotesChar"/>
    <w:uiPriority w:val="2"/>
    <w:qFormat/>
    <w:rsid w:val="00F93DE1"/>
    <w:pPr>
      <w:keepNext/>
      <w:keepLines/>
      <w:spacing w:before="60" w:after="240"/>
      <w:contextualSpacing/>
      <w:jc w:val="left"/>
    </w:pPr>
    <w:rPr>
      <w:rFonts w:ascii="Arial Narrow" w:hAnsi="Arial Narrow" w:cs="Times New Roman"/>
      <w:sz w:val="16"/>
      <w:szCs w:val="16"/>
    </w:rPr>
  </w:style>
  <w:style w:type="character" w:customStyle="1" w:styleId="TableNotesChar">
    <w:name w:val="Table Notes Char"/>
    <w:basedOn w:val="DefaultParagraphFont"/>
    <w:link w:val="TableNotes"/>
    <w:uiPriority w:val="2"/>
    <w:locked/>
    <w:rsid w:val="00F93DE1"/>
    <w:rPr>
      <w:rFonts w:ascii="Arial Narrow" w:hAnsi="Arial Narrow"/>
      <w:sz w:val="16"/>
      <w:szCs w:val="16"/>
    </w:rPr>
  </w:style>
  <w:style w:type="table" w:customStyle="1" w:styleId="ASDTable1">
    <w:name w:val="ASD Table1"/>
    <w:basedOn w:val="TableNormal"/>
    <w:uiPriority w:val="39"/>
    <w:rsid w:val="00F93DE1"/>
    <w:rPr>
      <w:rFonts w:ascii="Cambria" w:hAnsi="Cambr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F93DE1"/>
    <w:rPr>
      <w:color w:val="605E5C"/>
      <w:shd w:val="clear" w:color="auto" w:fill="E1DFDD"/>
    </w:rPr>
  </w:style>
  <w:style w:type="table" w:customStyle="1" w:styleId="ASDTable2">
    <w:name w:val="ASD Table2"/>
    <w:basedOn w:val="TableNormal"/>
    <w:next w:val="TableGrid"/>
    <w:uiPriority w:val="39"/>
    <w:rsid w:val="00F93DE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SDTable3">
    <w:name w:val="ASD Table3"/>
    <w:basedOn w:val="TableNormal"/>
    <w:next w:val="TableGrid"/>
    <w:uiPriority w:val="39"/>
    <w:rsid w:val="00F93DE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entre">
    <w:name w:val="Table centre"/>
    <w:basedOn w:val="Normal"/>
    <w:qFormat/>
    <w:rsid w:val="00F93DE1"/>
    <w:pPr>
      <w:jc w:val="center"/>
    </w:pPr>
    <w:rPr>
      <w:rFonts w:eastAsia="Calibri" w:cs="Times New Roman"/>
      <w:sz w:val="20"/>
      <w:szCs w:val="20"/>
      <w:lang w:eastAsia="en-US"/>
    </w:rPr>
  </w:style>
  <w:style w:type="paragraph" w:customStyle="1" w:styleId="TableFigNoteLast">
    <w:name w:val="TableFigNote Last"/>
    <w:basedOn w:val="Normal"/>
    <w:next w:val="Normal"/>
    <w:qFormat/>
    <w:rsid w:val="00F93DE1"/>
    <w:pPr>
      <w:spacing w:after="120"/>
      <w:jc w:val="left"/>
    </w:pPr>
    <w:rPr>
      <w:rFonts w:asciiTheme="minorHAnsi" w:eastAsiaTheme="minorHAnsi" w:hAnsiTheme="minorHAnsi" w:cstheme="minorBidi"/>
      <w:sz w:val="16"/>
      <w:szCs w:val="22"/>
      <w:lang w:eastAsia="en-US"/>
    </w:rPr>
  </w:style>
  <w:style w:type="paragraph" w:customStyle="1" w:styleId="TableBullet">
    <w:name w:val="Table Bullet"/>
    <w:basedOn w:val="TableText0"/>
    <w:rsid w:val="00F93DE1"/>
    <w:pPr>
      <w:keepNext w:val="0"/>
      <w:numPr>
        <w:numId w:val="12"/>
      </w:numPr>
      <w:spacing w:before="40" w:after="40"/>
      <w:ind w:left="357" w:hanging="357"/>
    </w:pPr>
    <w:rPr>
      <w:rFonts w:asciiTheme="minorHAnsi" w:eastAsiaTheme="minorHAnsi" w:hAnsiTheme="minorHAnsi" w:cstheme="minorHAnsi"/>
      <w:bCs w:val="0"/>
      <w:sz w:val="18"/>
      <w:szCs w:val="18"/>
      <w:lang w:eastAsia="en-US"/>
    </w:rPr>
  </w:style>
  <w:style w:type="table" w:customStyle="1" w:styleId="newstyle2">
    <w:name w:val="new style2"/>
    <w:basedOn w:val="TableNormal"/>
    <w:next w:val="TableGrid"/>
    <w:uiPriority w:val="39"/>
    <w:rsid w:val="00F93DE1"/>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SubsectionHeading">
    <w:name w:val="3-Subsection Heading"/>
    <w:basedOn w:val="Heading2"/>
    <w:next w:val="Normal"/>
    <w:link w:val="3-SubsectionHeadingChar"/>
    <w:qFormat/>
    <w:rsid w:val="00B24D69"/>
    <w:pPr>
      <w:keepNext/>
      <w:spacing w:before="120" w:after="120"/>
      <w:outlineLvl w:val="9"/>
    </w:pPr>
    <w:rPr>
      <w:rFonts w:asciiTheme="minorHAnsi" w:eastAsiaTheme="majorEastAsia" w:hAnsiTheme="minorHAnsi" w:cstheme="majorBidi"/>
      <w:color w:val="365F91" w:themeColor="accent1" w:themeShade="BF"/>
      <w:spacing w:val="5"/>
      <w:kern w:val="28"/>
      <w:szCs w:val="36"/>
      <w:lang w:eastAsia="en-US"/>
    </w:rPr>
  </w:style>
  <w:style w:type="character" w:customStyle="1" w:styleId="3-SubsectionHeadingChar">
    <w:name w:val="3-Subsection Heading Char"/>
    <w:basedOn w:val="Heading2Char"/>
    <w:link w:val="3-SubsectionHeading"/>
    <w:rsid w:val="00B24D69"/>
    <w:rPr>
      <w:rFonts w:asciiTheme="minorHAnsi" w:eastAsiaTheme="majorEastAsia" w:hAnsiTheme="minorHAnsi" w:cstheme="majorBidi"/>
      <w:b/>
      <w:i/>
      <w:snapToGrid/>
      <w:color w:val="365F91" w:themeColor="accent1" w:themeShade="BF"/>
      <w:spacing w:val="5"/>
      <w:kern w:val="28"/>
      <w:sz w:val="28"/>
      <w:szCs w:val="36"/>
      <w:lang w:eastAsia="en-US"/>
    </w:rPr>
  </w:style>
  <w:style w:type="character" w:styleId="IntenseReference">
    <w:name w:val="Intense Reference"/>
    <w:basedOn w:val="DefaultParagraphFont"/>
    <w:uiPriority w:val="32"/>
    <w:qFormat/>
    <w:rsid w:val="007B7561"/>
    <w:rPr>
      <w:b/>
      <w:bCs/>
      <w:i/>
      <w:smallCaps/>
      <w:color w:val="C0504D" w:themeColor="accent2"/>
      <w:spacing w:val="5"/>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64612">
      <w:bodyDiv w:val="1"/>
      <w:marLeft w:val="0"/>
      <w:marRight w:val="0"/>
      <w:marTop w:val="0"/>
      <w:marBottom w:val="0"/>
      <w:divBdr>
        <w:top w:val="none" w:sz="0" w:space="0" w:color="auto"/>
        <w:left w:val="none" w:sz="0" w:space="0" w:color="auto"/>
        <w:bottom w:val="none" w:sz="0" w:space="0" w:color="auto"/>
        <w:right w:val="none" w:sz="0" w:space="0" w:color="auto"/>
      </w:divBdr>
    </w:div>
    <w:div w:id="48119431">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276496431">
      <w:bodyDiv w:val="1"/>
      <w:marLeft w:val="0"/>
      <w:marRight w:val="0"/>
      <w:marTop w:val="0"/>
      <w:marBottom w:val="0"/>
      <w:divBdr>
        <w:top w:val="none" w:sz="0" w:space="0" w:color="auto"/>
        <w:left w:val="none" w:sz="0" w:space="0" w:color="auto"/>
        <w:bottom w:val="none" w:sz="0" w:space="0" w:color="auto"/>
        <w:right w:val="none" w:sz="0" w:space="0" w:color="auto"/>
      </w:divBdr>
      <w:divsChild>
        <w:div w:id="820315655">
          <w:marLeft w:val="360"/>
          <w:marRight w:val="0"/>
          <w:marTop w:val="200"/>
          <w:marBottom w:val="0"/>
          <w:divBdr>
            <w:top w:val="none" w:sz="0" w:space="0" w:color="auto"/>
            <w:left w:val="none" w:sz="0" w:space="0" w:color="auto"/>
            <w:bottom w:val="none" w:sz="0" w:space="0" w:color="auto"/>
            <w:right w:val="none" w:sz="0" w:space="0" w:color="auto"/>
          </w:divBdr>
        </w:div>
        <w:div w:id="1669403225">
          <w:marLeft w:val="1080"/>
          <w:marRight w:val="0"/>
          <w:marTop w:val="100"/>
          <w:marBottom w:val="0"/>
          <w:divBdr>
            <w:top w:val="none" w:sz="0" w:space="0" w:color="auto"/>
            <w:left w:val="none" w:sz="0" w:space="0" w:color="auto"/>
            <w:bottom w:val="none" w:sz="0" w:space="0" w:color="auto"/>
            <w:right w:val="none" w:sz="0" w:space="0" w:color="auto"/>
          </w:divBdr>
        </w:div>
        <w:div w:id="1008677013">
          <w:marLeft w:val="1080"/>
          <w:marRight w:val="0"/>
          <w:marTop w:val="100"/>
          <w:marBottom w:val="0"/>
          <w:divBdr>
            <w:top w:val="none" w:sz="0" w:space="0" w:color="auto"/>
            <w:left w:val="none" w:sz="0" w:space="0" w:color="auto"/>
            <w:bottom w:val="none" w:sz="0" w:space="0" w:color="auto"/>
            <w:right w:val="none" w:sz="0" w:space="0" w:color="auto"/>
          </w:divBdr>
        </w:div>
        <w:div w:id="725035076">
          <w:marLeft w:val="1080"/>
          <w:marRight w:val="0"/>
          <w:marTop w:val="100"/>
          <w:marBottom w:val="0"/>
          <w:divBdr>
            <w:top w:val="none" w:sz="0" w:space="0" w:color="auto"/>
            <w:left w:val="none" w:sz="0" w:space="0" w:color="auto"/>
            <w:bottom w:val="none" w:sz="0" w:space="0" w:color="auto"/>
            <w:right w:val="none" w:sz="0" w:space="0" w:color="auto"/>
          </w:divBdr>
        </w:div>
        <w:div w:id="380910643">
          <w:marLeft w:val="1080"/>
          <w:marRight w:val="0"/>
          <w:marTop w:val="1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635450864">
      <w:bodyDiv w:val="1"/>
      <w:marLeft w:val="0"/>
      <w:marRight w:val="0"/>
      <w:marTop w:val="0"/>
      <w:marBottom w:val="0"/>
      <w:divBdr>
        <w:top w:val="none" w:sz="0" w:space="0" w:color="auto"/>
        <w:left w:val="none" w:sz="0" w:space="0" w:color="auto"/>
        <w:bottom w:val="none" w:sz="0" w:space="0" w:color="auto"/>
        <w:right w:val="none" w:sz="0" w:space="0" w:color="auto"/>
      </w:divBdr>
    </w:div>
    <w:div w:id="648704730">
      <w:bodyDiv w:val="1"/>
      <w:marLeft w:val="0"/>
      <w:marRight w:val="0"/>
      <w:marTop w:val="0"/>
      <w:marBottom w:val="0"/>
      <w:divBdr>
        <w:top w:val="none" w:sz="0" w:space="0" w:color="auto"/>
        <w:left w:val="none" w:sz="0" w:space="0" w:color="auto"/>
        <w:bottom w:val="none" w:sz="0" w:space="0" w:color="auto"/>
        <w:right w:val="none" w:sz="0" w:space="0" w:color="auto"/>
      </w:divBdr>
    </w:div>
    <w:div w:id="958072149">
      <w:bodyDiv w:val="1"/>
      <w:marLeft w:val="0"/>
      <w:marRight w:val="0"/>
      <w:marTop w:val="0"/>
      <w:marBottom w:val="0"/>
      <w:divBdr>
        <w:top w:val="none" w:sz="0" w:space="0" w:color="auto"/>
        <w:left w:val="none" w:sz="0" w:space="0" w:color="auto"/>
        <w:bottom w:val="none" w:sz="0" w:space="0" w:color="auto"/>
        <w:right w:val="none" w:sz="0" w:space="0" w:color="auto"/>
      </w:divBdr>
      <w:divsChild>
        <w:div w:id="2076126126">
          <w:marLeft w:val="360"/>
          <w:marRight w:val="0"/>
          <w:marTop w:val="200"/>
          <w:marBottom w:val="0"/>
          <w:divBdr>
            <w:top w:val="none" w:sz="0" w:space="0" w:color="auto"/>
            <w:left w:val="none" w:sz="0" w:space="0" w:color="auto"/>
            <w:bottom w:val="none" w:sz="0" w:space="0" w:color="auto"/>
            <w:right w:val="none" w:sz="0" w:space="0" w:color="auto"/>
          </w:divBdr>
        </w:div>
        <w:div w:id="652635730">
          <w:marLeft w:val="360"/>
          <w:marRight w:val="0"/>
          <w:marTop w:val="200"/>
          <w:marBottom w:val="0"/>
          <w:divBdr>
            <w:top w:val="none" w:sz="0" w:space="0" w:color="auto"/>
            <w:left w:val="none" w:sz="0" w:space="0" w:color="auto"/>
            <w:bottom w:val="none" w:sz="0" w:space="0" w:color="auto"/>
            <w:right w:val="none" w:sz="0" w:space="0" w:color="auto"/>
          </w:divBdr>
        </w:div>
        <w:div w:id="1546018271">
          <w:marLeft w:val="360"/>
          <w:marRight w:val="0"/>
          <w:marTop w:val="200"/>
          <w:marBottom w:val="0"/>
          <w:divBdr>
            <w:top w:val="none" w:sz="0" w:space="0" w:color="auto"/>
            <w:left w:val="none" w:sz="0" w:space="0" w:color="auto"/>
            <w:bottom w:val="none" w:sz="0" w:space="0" w:color="auto"/>
            <w:right w:val="none" w:sz="0" w:space="0" w:color="auto"/>
          </w:divBdr>
        </w:div>
        <w:div w:id="389882213">
          <w:marLeft w:val="360"/>
          <w:marRight w:val="0"/>
          <w:marTop w:val="200"/>
          <w:marBottom w:val="0"/>
          <w:divBdr>
            <w:top w:val="none" w:sz="0" w:space="0" w:color="auto"/>
            <w:left w:val="none" w:sz="0" w:space="0" w:color="auto"/>
            <w:bottom w:val="none" w:sz="0" w:space="0" w:color="auto"/>
            <w:right w:val="none" w:sz="0" w:space="0" w:color="auto"/>
          </w:divBdr>
        </w:div>
      </w:divsChild>
    </w:div>
    <w:div w:id="1065182377">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186359">
      <w:bodyDiv w:val="1"/>
      <w:marLeft w:val="0"/>
      <w:marRight w:val="0"/>
      <w:marTop w:val="0"/>
      <w:marBottom w:val="0"/>
      <w:divBdr>
        <w:top w:val="none" w:sz="0" w:space="0" w:color="auto"/>
        <w:left w:val="none" w:sz="0" w:space="0" w:color="auto"/>
        <w:bottom w:val="none" w:sz="0" w:space="0" w:color="auto"/>
        <w:right w:val="none" w:sz="0" w:space="0" w:color="auto"/>
      </w:divBdr>
    </w:div>
    <w:div w:id="1419212484">
      <w:bodyDiv w:val="1"/>
      <w:marLeft w:val="0"/>
      <w:marRight w:val="0"/>
      <w:marTop w:val="0"/>
      <w:marBottom w:val="0"/>
      <w:divBdr>
        <w:top w:val="none" w:sz="0" w:space="0" w:color="auto"/>
        <w:left w:val="none" w:sz="0" w:space="0" w:color="auto"/>
        <w:bottom w:val="none" w:sz="0" w:space="0" w:color="auto"/>
        <w:right w:val="none" w:sz="0" w:space="0" w:color="auto"/>
      </w:divBdr>
    </w:div>
    <w:div w:id="1552692373">
      <w:bodyDiv w:val="1"/>
      <w:marLeft w:val="0"/>
      <w:marRight w:val="0"/>
      <w:marTop w:val="0"/>
      <w:marBottom w:val="0"/>
      <w:divBdr>
        <w:top w:val="none" w:sz="0" w:space="0" w:color="auto"/>
        <w:left w:val="none" w:sz="0" w:space="0" w:color="auto"/>
        <w:bottom w:val="none" w:sz="0" w:space="0" w:color="auto"/>
        <w:right w:val="none" w:sz="0" w:space="0" w:color="auto"/>
      </w:divBdr>
    </w:div>
    <w:div w:id="1706710554">
      <w:bodyDiv w:val="1"/>
      <w:marLeft w:val="0"/>
      <w:marRight w:val="0"/>
      <w:marTop w:val="0"/>
      <w:marBottom w:val="0"/>
      <w:divBdr>
        <w:top w:val="none" w:sz="0" w:space="0" w:color="auto"/>
        <w:left w:val="none" w:sz="0" w:space="0" w:color="auto"/>
        <w:bottom w:val="none" w:sz="0" w:space="0" w:color="auto"/>
        <w:right w:val="none" w:sz="0" w:space="0" w:color="auto"/>
      </w:divBdr>
    </w:div>
    <w:div w:id="1754012769">
      <w:bodyDiv w:val="1"/>
      <w:marLeft w:val="0"/>
      <w:marRight w:val="0"/>
      <w:marTop w:val="0"/>
      <w:marBottom w:val="0"/>
      <w:divBdr>
        <w:top w:val="none" w:sz="0" w:space="0" w:color="auto"/>
        <w:left w:val="none" w:sz="0" w:space="0" w:color="auto"/>
        <w:bottom w:val="none" w:sz="0" w:space="0" w:color="auto"/>
        <w:right w:val="none" w:sz="0" w:space="0" w:color="auto"/>
      </w:divBdr>
      <w:divsChild>
        <w:div w:id="1928150571">
          <w:marLeft w:val="360"/>
          <w:marRight w:val="0"/>
          <w:marTop w:val="200"/>
          <w:marBottom w:val="0"/>
          <w:divBdr>
            <w:top w:val="none" w:sz="0" w:space="0" w:color="auto"/>
            <w:left w:val="none" w:sz="0" w:space="0" w:color="auto"/>
            <w:bottom w:val="none" w:sz="0" w:space="0" w:color="auto"/>
            <w:right w:val="none" w:sz="0" w:space="0" w:color="auto"/>
          </w:divBdr>
        </w:div>
        <w:div w:id="390621917">
          <w:marLeft w:val="360"/>
          <w:marRight w:val="0"/>
          <w:marTop w:val="200"/>
          <w:marBottom w:val="0"/>
          <w:divBdr>
            <w:top w:val="none" w:sz="0" w:space="0" w:color="auto"/>
            <w:left w:val="none" w:sz="0" w:space="0" w:color="auto"/>
            <w:bottom w:val="none" w:sz="0" w:space="0" w:color="auto"/>
            <w:right w:val="none" w:sz="0" w:space="0" w:color="auto"/>
          </w:divBdr>
        </w:div>
        <w:div w:id="489297281">
          <w:marLeft w:val="360"/>
          <w:marRight w:val="0"/>
          <w:marTop w:val="200"/>
          <w:marBottom w:val="0"/>
          <w:divBdr>
            <w:top w:val="none" w:sz="0" w:space="0" w:color="auto"/>
            <w:left w:val="none" w:sz="0" w:space="0" w:color="auto"/>
            <w:bottom w:val="none" w:sz="0" w:space="0" w:color="auto"/>
            <w:right w:val="none" w:sz="0" w:space="0" w:color="auto"/>
          </w:divBdr>
        </w:div>
        <w:div w:id="671102482">
          <w:marLeft w:val="360"/>
          <w:marRight w:val="0"/>
          <w:marTop w:val="200"/>
          <w:marBottom w:val="0"/>
          <w:divBdr>
            <w:top w:val="none" w:sz="0" w:space="0" w:color="auto"/>
            <w:left w:val="none" w:sz="0" w:space="0" w:color="auto"/>
            <w:bottom w:val="none" w:sz="0" w:space="0" w:color="auto"/>
            <w:right w:val="none" w:sz="0" w:space="0" w:color="auto"/>
          </w:divBdr>
        </w:div>
      </w:divsChild>
    </w:div>
    <w:div w:id="1798260642">
      <w:bodyDiv w:val="1"/>
      <w:marLeft w:val="0"/>
      <w:marRight w:val="0"/>
      <w:marTop w:val="0"/>
      <w:marBottom w:val="0"/>
      <w:divBdr>
        <w:top w:val="none" w:sz="0" w:space="0" w:color="auto"/>
        <w:left w:val="none" w:sz="0" w:space="0" w:color="auto"/>
        <w:bottom w:val="none" w:sz="0" w:space="0" w:color="auto"/>
        <w:right w:val="none" w:sz="0" w:space="0" w:color="auto"/>
      </w:divBdr>
      <w:divsChild>
        <w:div w:id="242497222">
          <w:marLeft w:val="360"/>
          <w:marRight w:val="0"/>
          <w:marTop w:val="200"/>
          <w:marBottom w:val="0"/>
          <w:divBdr>
            <w:top w:val="none" w:sz="0" w:space="0" w:color="auto"/>
            <w:left w:val="none" w:sz="0" w:space="0" w:color="auto"/>
            <w:bottom w:val="none" w:sz="0" w:space="0" w:color="auto"/>
            <w:right w:val="none" w:sz="0" w:space="0" w:color="auto"/>
          </w:divBdr>
        </w:div>
        <w:div w:id="1262841267">
          <w:marLeft w:val="360"/>
          <w:marRight w:val="0"/>
          <w:marTop w:val="200"/>
          <w:marBottom w:val="0"/>
          <w:divBdr>
            <w:top w:val="none" w:sz="0" w:space="0" w:color="auto"/>
            <w:left w:val="none" w:sz="0" w:space="0" w:color="auto"/>
            <w:bottom w:val="none" w:sz="0" w:space="0" w:color="auto"/>
            <w:right w:val="none" w:sz="0" w:space="0" w:color="auto"/>
          </w:divBdr>
        </w:div>
        <w:div w:id="2145460124">
          <w:marLeft w:val="360"/>
          <w:marRight w:val="0"/>
          <w:marTop w:val="200"/>
          <w:marBottom w:val="0"/>
          <w:divBdr>
            <w:top w:val="none" w:sz="0" w:space="0" w:color="auto"/>
            <w:left w:val="none" w:sz="0" w:space="0" w:color="auto"/>
            <w:bottom w:val="none" w:sz="0" w:space="0" w:color="auto"/>
            <w:right w:val="none" w:sz="0" w:space="0" w:color="auto"/>
          </w:divBdr>
        </w:div>
        <w:div w:id="1008869768">
          <w:marLeft w:val="360"/>
          <w:marRight w:val="0"/>
          <w:marTop w:val="200"/>
          <w:marBottom w:val="0"/>
          <w:divBdr>
            <w:top w:val="none" w:sz="0" w:space="0" w:color="auto"/>
            <w:left w:val="none" w:sz="0" w:space="0" w:color="auto"/>
            <w:bottom w:val="none" w:sz="0" w:space="0" w:color="auto"/>
            <w:right w:val="none" w:sz="0" w:space="0" w:color="auto"/>
          </w:divBdr>
        </w:div>
      </w:divsChild>
    </w:div>
    <w:div w:id="1846431372">
      <w:bodyDiv w:val="1"/>
      <w:marLeft w:val="0"/>
      <w:marRight w:val="0"/>
      <w:marTop w:val="0"/>
      <w:marBottom w:val="0"/>
      <w:divBdr>
        <w:top w:val="none" w:sz="0" w:space="0" w:color="auto"/>
        <w:left w:val="none" w:sz="0" w:space="0" w:color="auto"/>
        <w:bottom w:val="none" w:sz="0" w:space="0" w:color="auto"/>
        <w:right w:val="none" w:sz="0" w:space="0" w:color="auto"/>
      </w:divBdr>
      <w:divsChild>
        <w:div w:id="17393821">
          <w:marLeft w:val="1800"/>
          <w:marRight w:val="0"/>
          <w:marTop w:val="100"/>
          <w:marBottom w:val="0"/>
          <w:divBdr>
            <w:top w:val="none" w:sz="0" w:space="0" w:color="auto"/>
            <w:left w:val="none" w:sz="0" w:space="0" w:color="auto"/>
            <w:bottom w:val="none" w:sz="0" w:space="0" w:color="auto"/>
            <w:right w:val="none" w:sz="0" w:space="0" w:color="auto"/>
          </w:divBdr>
        </w:div>
      </w:divsChild>
    </w:div>
    <w:div w:id="1885868163">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30519947">
      <w:bodyDiv w:val="1"/>
      <w:marLeft w:val="0"/>
      <w:marRight w:val="0"/>
      <w:marTop w:val="0"/>
      <w:marBottom w:val="0"/>
      <w:divBdr>
        <w:top w:val="none" w:sz="0" w:space="0" w:color="auto"/>
        <w:left w:val="none" w:sz="0" w:space="0" w:color="auto"/>
        <w:bottom w:val="none" w:sz="0" w:space="0" w:color="auto"/>
        <w:right w:val="none" w:sz="0" w:space="0" w:color="auto"/>
      </w:divBdr>
    </w:div>
    <w:div w:id="2053387041">
      <w:bodyDiv w:val="1"/>
      <w:marLeft w:val="0"/>
      <w:marRight w:val="0"/>
      <w:marTop w:val="0"/>
      <w:marBottom w:val="0"/>
      <w:divBdr>
        <w:top w:val="none" w:sz="0" w:space="0" w:color="auto"/>
        <w:left w:val="none" w:sz="0" w:space="0" w:color="auto"/>
        <w:bottom w:val="none" w:sz="0" w:space="0" w:color="auto"/>
        <w:right w:val="none" w:sz="0" w:space="0" w:color="auto"/>
      </w:divBdr>
    </w:div>
    <w:div w:id="2124811271">
      <w:bodyDiv w:val="1"/>
      <w:marLeft w:val="0"/>
      <w:marRight w:val="0"/>
      <w:marTop w:val="0"/>
      <w:marBottom w:val="0"/>
      <w:divBdr>
        <w:top w:val="none" w:sz="0" w:space="0" w:color="auto"/>
        <w:left w:val="none" w:sz="0" w:space="0" w:color="auto"/>
        <w:bottom w:val="none" w:sz="0" w:space="0" w:color="auto"/>
        <w:right w:val="none" w:sz="0" w:space="0" w:color="auto"/>
      </w:divBdr>
    </w:div>
    <w:div w:id="2128623922">
      <w:bodyDiv w:val="1"/>
      <w:marLeft w:val="0"/>
      <w:marRight w:val="0"/>
      <w:marTop w:val="0"/>
      <w:marBottom w:val="0"/>
      <w:divBdr>
        <w:top w:val="none" w:sz="0" w:space="0" w:color="auto"/>
        <w:left w:val="none" w:sz="0" w:space="0" w:color="auto"/>
        <w:bottom w:val="none" w:sz="0" w:space="0" w:color="auto"/>
        <w:right w:val="none" w:sz="0" w:space="0" w:color="auto"/>
      </w:divBdr>
    </w:div>
    <w:div w:id="213458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hart" Target="charts/chart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file:///\\ad.monash.edu\shared\Buseco-CHE\Pharm\PBAC%20evaluations\July%202021\Upadacitinib\Markov%20Cohor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12228267079775547"/>
          <c:y val="3.157545185235526E-2"/>
          <c:w val="0.84716175183984366"/>
          <c:h val="0.66843597767226914"/>
        </c:manualLayout>
      </c:layout>
      <c:lineChart>
        <c:grouping val="standard"/>
        <c:varyColors val="0"/>
        <c:ser>
          <c:idx val="0"/>
          <c:order val="0"/>
          <c:tx>
            <c:v>UPA 30mg response</c:v>
          </c:tx>
          <c:spPr>
            <a:ln w="28575" cap="rnd">
              <a:solidFill>
                <a:schemeClr val="accent1"/>
              </a:solidFill>
              <a:round/>
            </a:ln>
            <a:effectLst/>
          </c:spPr>
          <c:marker>
            <c:symbol val="none"/>
          </c:marker>
          <c:cat>
            <c:numRef>
              <c:f>Summary!$F$1:$P$1</c:f>
              <c:numCache>
                <c:formatCode>0.0</c:formatCode>
                <c:ptCount val="11"/>
                <c:pt idx="0">
                  <c:v>0.30769230769230771</c:v>
                </c:pt>
                <c:pt idx="1">
                  <c:v>0.80769230769230771</c:v>
                </c:pt>
                <c:pt idx="2">
                  <c:v>1.3076923076923077</c:v>
                </c:pt>
                <c:pt idx="3">
                  <c:v>1.8076923076923077</c:v>
                </c:pt>
                <c:pt idx="4">
                  <c:v>2.3076923076923075</c:v>
                </c:pt>
                <c:pt idx="5">
                  <c:v>2.8076923076923075</c:v>
                </c:pt>
                <c:pt idx="6">
                  <c:v>3.3076923076923075</c:v>
                </c:pt>
                <c:pt idx="7">
                  <c:v>3.8076923076923075</c:v>
                </c:pt>
                <c:pt idx="8">
                  <c:v>4.3076923076923075</c:v>
                </c:pt>
                <c:pt idx="9">
                  <c:v>4.8076923076923075</c:v>
                </c:pt>
                <c:pt idx="10">
                  <c:v>5.3076923076923075</c:v>
                </c:pt>
              </c:numCache>
            </c:numRef>
          </c:cat>
          <c:val>
            <c:numRef>
              <c:f>Summary!$F$2:$P$2</c:f>
              <c:numCache>
                <c:formatCode>General</c:formatCode>
                <c:ptCount val="11"/>
                <c:pt idx="0">
                  <c:v>0.80800000000000005</c:v>
                </c:pt>
                <c:pt idx="1">
                  <c:v>0.77325600000000005</c:v>
                </c:pt>
                <c:pt idx="2">
                  <c:v>0.70502300627042813</c:v>
                </c:pt>
                <c:pt idx="3">
                  <c:v>0.64280270358179314</c:v>
                </c:pt>
                <c:pt idx="4">
                  <c:v>0.6295663318527619</c:v>
                </c:pt>
                <c:pt idx="5">
                  <c:v>0.61659437321055066</c:v>
                </c:pt>
                <c:pt idx="6">
                  <c:v>0.60579234653832581</c:v>
                </c:pt>
                <c:pt idx="7">
                  <c:v>0.59517105549728533</c:v>
                </c:pt>
                <c:pt idx="8">
                  <c:v>0.58556049246954467</c:v>
                </c:pt>
                <c:pt idx="9">
                  <c:v>0.57609564541295577</c:v>
                </c:pt>
                <c:pt idx="10" formatCode="0.0%">
                  <c:v>0.56677446739678849</c:v>
                </c:pt>
              </c:numCache>
            </c:numRef>
          </c:val>
          <c:smooth val="0"/>
          <c:extLst>
            <c:ext xmlns:c16="http://schemas.microsoft.com/office/drawing/2014/chart" uri="{C3380CC4-5D6E-409C-BE32-E72D297353CC}">
              <c16:uniqueId val="{00000000-7732-4DFE-9256-8893A69EB25C}"/>
            </c:ext>
          </c:extLst>
        </c:ser>
        <c:ser>
          <c:idx val="1"/>
          <c:order val="1"/>
          <c:tx>
            <c:v>DUPI response</c:v>
          </c:tx>
          <c:spPr>
            <a:ln w="28575" cap="rnd">
              <a:solidFill>
                <a:schemeClr val="accent2"/>
              </a:solidFill>
              <a:round/>
            </a:ln>
            <a:effectLst/>
          </c:spPr>
          <c:marker>
            <c:symbol val="none"/>
          </c:marker>
          <c:cat>
            <c:numRef>
              <c:f>Summary!$F$1:$P$1</c:f>
              <c:numCache>
                <c:formatCode>0.0</c:formatCode>
                <c:ptCount val="11"/>
                <c:pt idx="0">
                  <c:v>0.30769230769230771</c:v>
                </c:pt>
                <c:pt idx="1">
                  <c:v>0.80769230769230771</c:v>
                </c:pt>
                <c:pt idx="2">
                  <c:v>1.3076923076923077</c:v>
                </c:pt>
                <c:pt idx="3">
                  <c:v>1.8076923076923077</c:v>
                </c:pt>
                <c:pt idx="4">
                  <c:v>2.3076923076923075</c:v>
                </c:pt>
                <c:pt idx="5">
                  <c:v>2.8076923076923075</c:v>
                </c:pt>
                <c:pt idx="6">
                  <c:v>3.3076923076923075</c:v>
                </c:pt>
                <c:pt idx="7">
                  <c:v>3.8076923076923075</c:v>
                </c:pt>
                <c:pt idx="8">
                  <c:v>4.3076923076923075</c:v>
                </c:pt>
                <c:pt idx="9">
                  <c:v>4.8076923076923075</c:v>
                </c:pt>
                <c:pt idx="10">
                  <c:v>5.3076923076923075</c:v>
                </c:pt>
              </c:numCache>
            </c:numRef>
          </c:cat>
          <c:val>
            <c:numRef>
              <c:f>Summary!$F$3:$P$3</c:f>
              <c:numCache>
                <c:formatCode>General</c:formatCode>
                <c:ptCount val="11"/>
                <c:pt idx="0">
                  <c:v>0.59599999999999997</c:v>
                </c:pt>
                <c:pt idx="1">
                  <c:v>0.57037199999999999</c:v>
                </c:pt>
                <c:pt idx="2">
                  <c:v>0.52004172244699887</c:v>
                </c:pt>
                <c:pt idx="3">
                  <c:v>0.47414654868161965</c:v>
                </c:pt>
                <c:pt idx="4">
                  <c:v>0.46438308636664122</c:v>
                </c:pt>
                <c:pt idx="5">
                  <c:v>0.45481466142758437</c:v>
                </c:pt>
                <c:pt idx="6">
                  <c:v>0.44684682987232943</c:v>
                </c:pt>
                <c:pt idx="7">
                  <c:v>0.43901231321334411</c:v>
                </c:pt>
                <c:pt idx="8">
                  <c:v>0.4319233335542681</c:v>
                </c:pt>
                <c:pt idx="9">
                  <c:v>0.42494183745807129</c:v>
                </c:pt>
                <c:pt idx="10" formatCode="0.0%">
                  <c:v>0.4180663150600073</c:v>
                </c:pt>
              </c:numCache>
            </c:numRef>
          </c:val>
          <c:smooth val="0"/>
          <c:extLst>
            <c:ext xmlns:c16="http://schemas.microsoft.com/office/drawing/2014/chart" uri="{C3380CC4-5D6E-409C-BE32-E72D297353CC}">
              <c16:uniqueId val="{00000001-7732-4DFE-9256-8893A69EB25C}"/>
            </c:ext>
          </c:extLst>
        </c:ser>
        <c:ser>
          <c:idx val="2"/>
          <c:order val="2"/>
          <c:tx>
            <c:v>BSC response</c:v>
          </c:tx>
          <c:spPr>
            <a:ln w="28575" cap="rnd">
              <a:solidFill>
                <a:schemeClr val="accent6"/>
              </a:solidFill>
              <a:round/>
            </a:ln>
            <a:effectLst/>
          </c:spPr>
          <c:marker>
            <c:symbol val="none"/>
          </c:marker>
          <c:cat>
            <c:numRef>
              <c:f>Summary!$F$1:$P$1</c:f>
              <c:numCache>
                <c:formatCode>0.0</c:formatCode>
                <c:ptCount val="11"/>
                <c:pt idx="0">
                  <c:v>0.30769230769230771</c:v>
                </c:pt>
                <c:pt idx="1">
                  <c:v>0.80769230769230771</c:v>
                </c:pt>
                <c:pt idx="2">
                  <c:v>1.3076923076923077</c:v>
                </c:pt>
                <c:pt idx="3">
                  <c:v>1.8076923076923077</c:v>
                </c:pt>
                <c:pt idx="4">
                  <c:v>2.3076923076923075</c:v>
                </c:pt>
                <c:pt idx="5">
                  <c:v>2.8076923076923075</c:v>
                </c:pt>
                <c:pt idx="6">
                  <c:v>3.3076923076923075</c:v>
                </c:pt>
                <c:pt idx="7">
                  <c:v>3.8076923076923075</c:v>
                </c:pt>
                <c:pt idx="8">
                  <c:v>4.3076923076923075</c:v>
                </c:pt>
                <c:pt idx="9">
                  <c:v>4.8076923076923075</c:v>
                </c:pt>
                <c:pt idx="10">
                  <c:v>5.3076923076923075</c:v>
                </c:pt>
              </c:numCache>
            </c:numRef>
          </c:cat>
          <c:val>
            <c:numRef>
              <c:f>Summary!$F$4:$P$4</c:f>
              <c:numCache>
                <c:formatCode>General</c:formatCode>
                <c:ptCount val="11"/>
                <c:pt idx="0">
                  <c:v>0.20399999999999999</c:v>
                </c:pt>
                <c:pt idx="1">
                  <c:v>0.13606799999999999</c:v>
                </c:pt>
                <c:pt idx="2">
                  <c:v>0.12406120407368917</c:v>
                </c:pt>
                <c:pt idx="3">
                  <c:v>0.11311244693991047</c:v>
                </c:pt>
                <c:pt idx="4">
                  <c:v>0.11078327441693514</c:v>
                </c:pt>
                <c:pt idx="5">
                  <c:v>0.10850063002939932</c:v>
                </c:pt>
                <c:pt idx="6">
                  <c:v>0.10659982335575399</c:v>
                </c:pt>
                <c:pt idx="7">
                  <c:v>0.10473082029677702</c:v>
                </c:pt>
                <c:pt idx="8">
                  <c:v>0.1030396726172781</c:v>
                </c:pt>
                <c:pt idx="9">
                  <c:v>0.10137416622703226</c:v>
                </c:pt>
                <c:pt idx="10">
                  <c:v>9.9733940932558177E-2</c:v>
                </c:pt>
              </c:numCache>
            </c:numRef>
          </c:val>
          <c:smooth val="0"/>
          <c:extLst>
            <c:ext xmlns:c16="http://schemas.microsoft.com/office/drawing/2014/chart" uri="{C3380CC4-5D6E-409C-BE32-E72D297353CC}">
              <c16:uniqueId val="{00000002-7732-4DFE-9256-8893A69EB25C}"/>
            </c:ext>
          </c:extLst>
        </c:ser>
        <c:ser>
          <c:idx val="3"/>
          <c:order val="3"/>
          <c:tx>
            <c:v>UPA 30mg non-response</c:v>
          </c:tx>
          <c:spPr>
            <a:ln w="28575" cap="rnd">
              <a:solidFill>
                <a:schemeClr val="accent1"/>
              </a:solidFill>
              <a:prstDash val="sysDash"/>
              <a:round/>
            </a:ln>
            <a:effectLst/>
          </c:spPr>
          <c:marker>
            <c:symbol val="none"/>
          </c:marker>
          <c:val>
            <c:numRef>
              <c:f>Summary!$F$5:$P$5</c:f>
              <c:numCache>
                <c:formatCode>General</c:formatCode>
                <c:ptCount val="11"/>
                <c:pt idx="0">
                  <c:v>0.19199999999999995</c:v>
                </c:pt>
                <c:pt idx="1">
                  <c:v>0.226744</c:v>
                </c:pt>
                <c:pt idx="2">
                  <c:v>0.29460297378411193</c:v>
                </c:pt>
                <c:pt idx="3">
                  <c:v>0.35643654633558186</c:v>
                </c:pt>
                <c:pt idx="4">
                  <c:v>0.36927349226716832</c:v>
                </c:pt>
                <c:pt idx="5">
                  <c:v>0.38183299472914234</c:v>
                </c:pt>
                <c:pt idx="6">
                  <c:v>0.39220955076605823</c:v>
                </c:pt>
                <c:pt idx="7">
                  <c:v>0.40239129982969374</c:v>
                </c:pt>
                <c:pt idx="8">
                  <c:v>0.41154826788511856</c:v>
                </c:pt>
                <c:pt idx="9">
                  <c:v>0.42054334112418734</c:v>
                </c:pt>
                <c:pt idx="10">
                  <c:v>0.42937858900416481</c:v>
                </c:pt>
              </c:numCache>
            </c:numRef>
          </c:val>
          <c:smooth val="0"/>
          <c:extLst>
            <c:ext xmlns:c16="http://schemas.microsoft.com/office/drawing/2014/chart" uri="{C3380CC4-5D6E-409C-BE32-E72D297353CC}">
              <c16:uniqueId val="{00000003-7732-4DFE-9256-8893A69EB25C}"/>
            </c:ext>
          </c:extLst>
        </c:ser>
        <c:ser>
          <c:idx val="4"/>
          <c:order val="4"/>
          <c:tx>
            <c:v>DUPI non-response</c:v>
          </c:tx>
          <c:spPr>
            <a:ln w="28575" cap="rnd">
              <a:solidFill>
                <a:schemeClr val="accent2"/>
              </a:solidFill>
              <a:prstDash val="sysDash"/>
              <a:round/>
            </a:ln>
            <a:effectLst/>
          </c:spPr>
          <c:marker>
            <c:symbol val="none"/>
          </c:marker>
          <c:val>
            <c:numRef>
              <c:f>Summary!$F$6:$P$6</c:f>
              <c:numCache>
                <c:formatCode>General</c:formatCode>
                <c:ptCount val="11"/>
                <c:pt idx="0">
                  <c:v>0.40400000000000003</c:v>
                </c:pt>
                <c:pt idx="1">
                  <c:v>0.42962800000000001</c:v>
                </c:pt>
                <c:pt idx="2">
                  <c:v>0.47958425760754109</c:v>
                </c:pt>
                <c:pt idx="3">
                  <c:v>0.52509270123575535</c:v>
                </c:pt>
                <c:pt idx="4">
                  <c:v>0.53445673775328917</c:v>
                </c:pt>
                <c:pt idx="5">
                  <c:v>0.54361270651210858</c:v>
                </c:pt>
                <c:pt idx="6">
                  <c:v>0.55115506743205456</c:v>
                </c:pt>
                <c:pt idx="7">
                  <c:v>0.5585500421136349</c:v>
                </c:pt>
                <c:pt idx="8">
                  <c:v>0.5651854268003953</c:v>
                </c:pt>
                <c:pt idx="9">
                  <c:v>0.57169714907907165</c:v>
                </c:pt>
                <c:pt idx="10">
                  <c:v>0.57808674134094606</c:v>
                </c:pt>
              </c:numCache>
            </c:numRef>
          </c:val>
          <c:smooth val="0"/>
          <c:extLst>
            <c:ext xmlns:c16="http://schemas.microsoft.com/office/drawing/2014/chart" uri="{C3380CC4-5D6E-409C-BE32-E72D297353CC}">
              <c16:uniqueId val="{00000004-7732-4DFE-9256-8893A69EB25C}"/>
            </c:ext>
          </c:extLst>
        </c:ser>
        <c:ser>
          <c:idx val="5"/>
          <c:order val="5"/>
          <c:tx>
            <c:v>BSC non-response</c:v>
          </c:tx>
          <c:spPr>
            <a:ln w="28575" cap="rnd">
              <a:solidFill>
                <a:schemeClr val="accent6"/>
              </a:solidFill>
              <a:prstDash val="sysDash"/>
              <a:round/>
            </a:ln>
            <a:effectLst/>
          </c:spPr>
          <c:marker>
            <c:symbol val="none"/>
          </c:marker>
          <c:val>
            <c:numRef>
              <c:f>Summary!$F$7:$P$7</c:f>
              <c:numCache>
                <c:formatCode>General</c:formatCode>
                <c:ptCount val="11"/>
                <c:pt idx="0">
                  <c:v>0.79600000000000004</c:v>
                </c:pt>
                <c:pt idx="1">
                  <c:v>0.86393200000000003</c:v>
                </c:pt>
                <c:pt idx="2">
                  <c:v>0.87556477598085081</c:v>
                </c:pt>
                <c:pt idx="3">
                  <c:v>0.8861268029774646</c:v>
                </c:pt>
                <c:pt idx="4">
                  <c:v>0.88805654970299575</c:v>
                </c:pt>
                <c:pt idx="5">
                  <c:v>0.88992673791029375</c:v>
                </c:pt>
                <c:pt idx="6">
                  <c:v>0.89140207394863014</c:v>
                </c:pt>
                <c:pt idx="7">
                  <c:v>0.89283153503020196</c:v>
                </c:pt>
                <c:pt idx="8">
                  <c:v>0.8940690877373858</c:v>
                </c:pt>
                <c:pt idx="9">
                  <c:v>0.89526482031011079</c:v>
                </c:pt>
                <c:pt idx="10">
                  <c:v>0.8964191154683957</c:v>
                </c:pt>
              </c:numCache>
            </c:numRef>
          </c:val>
          <c:smooth val="0"/>
          <c:extLst>
            <c:ext xmlns:c16="http://schemas.microsoft.com/office/drawing/2014/chart" uri="{C3380CC4-5D6E-409C-BE32-E72D297353CC}">
              <c16:uniqueId val="{00000005-7732-4DFE-9256-8893A69EB25C}"/>
            </c:ext>
          </c:extLst>
        </c:ser>
        <c:ser>
          <c:idx val="6"/>
          <c:order val="6"/>
          <c:tx>
            <c:v>UPA 30mg dead</c:v>
          </c:tx>
          <c:spPr>
            <a:ln w="28575" cap="rnd">
              <a:solidFill>
                <a:sysClr val="windowText" lastClr="000000"/>
              </a:solidFill>
              <a:prstDash val="lgDashDotDot"/>
              <a:round/>
            </a:ln>
            <a:effectLst/>
          </c:spPr>
          <c:marker>
            <c:symbol val="none"/>
          </c:marker>
          <c:val>
            <c:numRef>
              <c:f>Summary!$F$8:$P$8</c:f>
              <c:numCache>
                <c:formatCode>General</c:formatCode>
                <c:ptCount val="11"/>
                <c:pt idx="0">
                  <c:v>0</c:v>
                </c:pt>
                <c:pt idx="1">
                  <c:v>0</c:v>
                </c:pt>
                <c:pt idx="2">
                  <c:v>3.74019945459824E-4</c:v>
                </c:pt>
                <c:pt idx="3">
                  <c:v>7.6075008262409998E-4</c:v>
                </c:pt>
                <c:pt idx="4">
                  <c:v>1.1601758800689501E-3</c:v>
                </c:pt>
                <c:pt idx="5">
                  <c:v>1.5726320603064001E-3</c:v>
                </c:pt>
                <c:pt idx="6">
                  <c:v>1.99810269561514E-3</c:v>
                </c:pt>
                <c:pt idx="7">
                  <c:v>2.4376446730209498E-3</c:v>
                </c:pt>
                <c:pt idx="8">
                  <c:v>2.89123964533559E-3</c:v>
                </c:pt>
                <c:pt idx="9">
                  <c:v>3.3610134628566306E-3</c:v>
                </c:pt>
                <c:pt idx="10">
                  <c:v>3.8469435990458301E-3</c:v>
                </c:pt>
              </c:numCache>
            </c:numRef>
          </c:val>
          <c:smooth val="0"/>
          <c:extLst>
            <c:ext xmlns:c16="http://schemas.microsoft.com/office/drawing/2014/chart" uri="{C3380CC4-5D6E-409C-BE32-E72D297353CC}">
              <c16:uniqueId val="{00000006-7732-4DFE-9256-8893A69EB25C}"/>
            </c:ext>
          </c:extLst>
        </c:ser>
        <c:ser>
          <c:idx val="7"/>
          <c:order val="7"/>
          <c:tx>
            <c:v>DUPI dead</c:v>
          </c:tx>
          <c:spPr>
            <a:ln w="28575" cap="rnd">
              <a:solidFill>
                <a:sysClr val="windowText" lastClr="000000"/>
              </a:solidFill>
              <a:prstDash val="lgDashDotDot"/>
              <a:round/>
            </a:ln>
            <a:effectLst/>
          </c:spPr>
          <c:marker>
            <c:symbol val="none"/>
          </c:marker>
          <c:val>
            <c:numRef>
              <c:f>Summary!$F$9:$P$9</c:f>
              <c:numCache>
                <c:formatCode>General</c:formatCode>
                <c:ptCount val="11"/>
                <c:pt idx="0">
                  <c:v>0</c:v>
                </c:pt>
                <c:pt idx="1">
                  <c:v>0</c:v>
                </c:pt>
                <c:pt idx="2">
                  <c:v>3.74019945459824E-4</c:v>
                </c:pt>
                <c:pt idx="3">
                  <c:v>7.6075008262409998E-4</c:v>
                </c:pt>
                <c:pt idx="4">
                  <c:v>1.1601758800689498E-3</c:v>
                </c:pt>
                <c:pt idx="5">
                  <c:v>1.5726320603064001E-3</c:v>
                </c:pt>
                <c:pt idx="6">
                  <c:v>1.99810269561514E-3</c:v>
                </c:pt>
                <c:pt idx="7">
                  <c:v>2.4376446730209498E-3</c:v>
                </c:pt>
                <c:pt idx="8">
                  <c:v>2.89123964533559E-3</c:v>
                </c:pt>
                <c:pt idx="9">
                  <c:v>3.3610134628566301E-3</c:v>
                </c:pt>
                <c:pt idx="10">
                  <c:v>3.8469435990458301E-3</c:v>
                </c:pt>
              </c:numCache>
            </c:numRef>
          </c:val>
          <c:smooth val="0"/>
          <c:extLst>
            <c:ext xmlns:c16="http://schemas.microsoft.com/office/drawing/2014/chart" uri="{C3380CC4-5D6E-409C-BE32-E72D297353CC}">
              <c16:uniqueId val="{00000007-7732-4DFE-9256-8893A69EB25C}"/>
            </c:ext>
          </c:extLst>
        </c:ser>
        <c:ser>
          <c:idx val="8"/>
          <c:order val="8"/>
          <c:tx>
            <c:v>BSC dead</c:v>
          </c:tx>
          <c:spPr>
            <a:ln w="28575" cap="rnd">
              <a:solidFill>
                <a:sysClr val="windowText" lastClr="000000"/>
              </a:solidFill>
              <a:prstDash val="lgDashDotDot"/>
              <a:round/>
            </a:ln>
            <a:effectLst/>
          </c:spPr>
          <c:marker>
            <c:symbol val="none"/>
          </c:marker>
          <c:val>
            <c:numRef>
              <c:f>Summary!$F$10:$P$10</c:f>
              <c:numCache>
                <c:formatCode>General</c:formatCode>
                <c:ptCount val="11"/>
                <c:pt idx="0">
                  <c:v>0</c:v>
                </c:pt>
                <c:pt idx="1">
                  <c:v>0</c:v>
                </c:pt>
                <c:pt idx="2">
                  <c:v>3.74019945459824E-4</c:v>
                </c:pt>
                <c:pt idx="3">
                  <c:v>7.6075008262409998E-4</c:v>
                </c:pt>
                <c:pt idx="4">
                  <c:v>1.1601758800689501E-3</c:v>
                </c:pt>
                <c:pt idx="5">
                  <c:v>1.5726320603064001E-3</c:v>
                </c:pt>
                <c:pt idx="6">
                  <c:v>1.99810269561514E-3</c:v>
                </c:pt>
                <c:pt idx="7">
                  <c:v>2.4376446730209498E-3</c:v>
                </c:pt>
                <c:pt idx="8">
                  <c:v>2.89123964533559E-3</c:v>
                </c:pt>
                <c:pt idx="9">
                  <c:v>3.3610134628566301E-3</c:v>
                </c:pt>
                <c:pt idx="10">
                  <c:v>3.8469435990458305E-3</c:v>
                </c:pt>
              </c:numCache>
            </c:numRef>
          </c:val>
          <c:smooth val="0"/>
          <c:extLst>
            <c:ext xmlns:c16="http://schemas.microsoft.com/office/drawing/2014/chart" uri="{C3380CC4-5D6E-409C-BE32-E72D297353CC}">
              <c16:uniqueId val="{00000008-7732-4DFE-9256-8893A69EB25C}"/>
            </c:ext>
          </c:extLst>
        </c:ser>
        <c:dLbls>
          <c:showLegendKey val="0"/>
          <c:showVal val="0"/>
          <c:showCatName val="0"/>
          <c:showSerName val="0"/>
          <c:showPercent val="0"/>
          <c:showBubbleSize val="0"/>
        </c:dLbls>
        <c:smooth val="0"/>
        <c:axId val="481094184"/>
        <c:axId val="481094512"/>
      </c:lineChart>
      <c:catAx>
        <c:axId val="48109418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Years</a:t>
                </a:r>
              </a:p>
            </c:rich>
          </c:tx>
          <c:layout>
            <c:manualLayout>
              <c:xMode val="edge"/>
              <c:yMode val="edge"/>
              <c:x val="0.52645022064166203"/>
              <c:y val="0.77490972220077037"/>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094512"/>
        <c:crosses val="autoZero"/>
        <c:auto val="1"/>
        <c:lblAlgn val="ctr"/>
        <c:lblOffset val="100"/>
        <c:noMultiLvlLbl val="0"/>
      </c:catAx>
      <c:valAx>
        <c:axId val="481094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sz="1000"/>
                  <a:t>Proportion</a:t>
                </a:r>
                <a:r>
                  <a:rPr lang="en-AU" sz="1000" baseline="0"/>
                  <a:t> in health state</a:t>
                </a:r>
                <a:endParaRPr lang="en-AU" sz="1000"/>
              </a:p>
            </c:rich>
          </c:tx>
          <c:layout>
            <c:manualLayout>
              <c:xMode val="edge"/>
              <c:yMode val="edge"/>
              <c:x val="2.751535419986759E-2"/>
              <c:y val="0.134229572813794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1094184"/>
        <c:crosses val="autoZero"/>
        <c:crossBetween val="between"/>
      </c:valAx>
      <c:spPr>
        <a:noFill/>
        <a:ln>
          <a:noFill/>
        </a:ln>
        <a:effectLst/>
      </c:spPr>
    </c:plotArea>
    <c:legend>
      <c:legendPos val="r"/>
      <c:layout>
        <c:manualLayout>
          <c:xMode val="edge"/>
          <c:yMode val="edge"/>
          <c:x val="0.15674743049940293"/>
          <c:y val="0.81938682597651147"/>
          <c:w val="0.84049321850720804"/>
          <c:h val="0.12237360410377657"/>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4FF6BA-339B-43B3-BE5D-0D71EDD57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56</Pages>
  <Words>23653</Words>
  <Characters>127207</Characters>
  <Application>Microsoft Office Word</Application>
  <DocSecurity>0</DocSecurity>
  <Lines>1060</Lines>
  <Paragraphs>301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2021-10-28T01:32:00Z</dcterms:created>
  <dcterms:modified xsi:type="dcterms:W3CDTF">2021-11-11T04:02:00Z</dcterms:modified>
</cp:coreProperties>
</file>