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82C" w:rsidRPr="003A5AE5" w:rsidRDefault="00A339D6" w:rsidP="00033ED9">
      <w:pPr>
        <w:pStyle w:val="1-MainHeading"/>
        <w:ind w:left="1134" w:hanging="1134"/>
      </w:pPr>
      <w:bookmarkStart w:id="0" w:name="_Toc69165185"/>
      <w:bookmarkStart w:id="1" w:name="_Toc72160048"/>
      <w:bookmarkStart w:id="2" w:name="_Toc72205665"/>
      <w:bookmarkStart w:id="3" w:name="_Toc72315620"/>
      <w:bookmarkStart w:id="4" w:name="_Toc22897648"/>
      <w:r w:rsidRPr="003A5AE5">
        <w:t>5.11</w:t>
      </w:r>
      <w:r w:rsidR="00F5082C" w:rsidRPr="003A5AE5">
        <w:tab/>
      </w:r>
      <w:r w:rsidRPr="003A5AE5">
        <w:t>TRABECTEDIN</w:t>
      </w:r>
      <w:r w:rsidR="00AF14C5" w:rsidRPr="003A5AE5">
        <w:t xml:space="preserve">, </w:t>
      </w:r>
      <w:r w:rsidR="00F5082C" w:rsidRPr="003A5AE5">
        <w:br/>
      </w:r>
      <w:r w:rsidR="00676D47" w:rsidRPr="003A5AE5">
        <w:t xml:space="preserve">Powder for </w:t>
      </w:r>
      <w:r w:rsidRPr="003A5AE5">
        <w:t>I.V. infusion 0.25mg, 1mg</w:t>
      </w:r>
      <w:r w:rsidR="00F5082C" w:rsidRPr="003A5AE5">
        <w:br/>
      </w:r>
      <w:r w:rsidR="00676D47" w:rsidRPr="003A5AE5">
        <w:t>Y</w:t>
      </w:r>
      <w:r w:rsidR="00505573" w:rsidRPr="003A5AE5">
        <w:t>ondelis</w:t>
      </w:r>
      <w:r w:rsidR="00F5082C" w:rsidRPr="003A5AE5">
        <w:rPr>
          <w:vertAlign w:val="superscript"/>
        </w:rPr>
        <w:t>®</w:t>
      </w:r>
      <w:r w:rsidR="00AF14C5" w:rsidRPr="003A5AE5">
        <w:t xml:space="preserve">, </w:t>
      </w:r>
      <w:r w:rsidR="00F5082C" w:rsidRPr="003A5AE5">
        <w:br/>
      </w:r>
      <w:r w:rsidR="00676D47" w:rsidRPr="003A5AE5">
        <w:t>Specialised Therapeutics P</w:t>
      </w:r>
      <w:r w:rsidRPr="003A5AE5">
        <w:t>harma Pty Ltd.</w:t>
      </w:r>
      <w:bookmarkEnd w:id="0"/>
      <w:bookmarkEnd w:id="1"/>
      <w:bookmarkEnd w:id="2"/>
      <w:bookmarkEnd w:id="3"/>
    </w:p>
    <w:p w:rsidR="00F5082C" w:rsidRPr="003A5AE5" w:rsidRDefault="00F5082C" w:rsidP="00033ED9">
      <w:pPr>
        <w:pStyle w:val="2-SectionHeading"/>
      </w:pPr>
      <w:bookmarkStart w:id="5" w:name="_Toc69165187"/>
      <w:bookmarkStart w:id="6" w:name="_Toc72160050"/>
      <w:bookmarkStart w:id="7" w:name="_Toc72205667"/>
      <w:bookmarkStart w:id="8" w:name="_Toc72315622"/>
      <w:r w:rsidRPr="003A5AE5">
        <w:t>Purpose of submission</w:t>
      </w:r>
      <w:bookmarkEnd w:id="5"/>
      <w:bookmarkEnd w:id="6"/>
      <w:bookmarkEnd w:id="7"/>
      <w:bookmarkEnd w:id="8"/>
    </w:p>
    <w:p w:rsidR="00F5082C" w:rsidRPr="003A5AE5" w:rsidRDefault="00F5082C" w:rsidP="00033ED9">
      <w:pPr>
        <w:pStyle w:val="3-BodyText"/>
      </w:pPr>
      <w:r w:rsidRPr="003A5AE5">
        <w:t>The</w:t>
      </w:r>
      <w:r w:rsidR="000960F0">
        <w:t xml:space="preserve"> Category 2</w:t>
      </w:r>
      <w:r w:rsidRPr="003A5AE5">
        <w:t xml:space="preserve"> submission requested a Section 100, Authority Required (</w:t>
      </w:r>
      <w:r w:rsidR="00A339D6" w:rsidRPr="003A5AE5">
        <w:t>STREAMLINED</w:t>
      </w:r>
      <w:r w:rsidRPr="003A5AE5">
        <w:t>) listing for trabectedin for the treatment of advanced (unresectable and/or metastatic) leiomyosarcoma (LMS) in patients who have received prior chemotherapy treatment including an a</w:t>
      </w:r>
      <w:r w:rsidR="003A5AE5" w:rsidRPr="003A5AE5">
        <w:t>nthracycline</w:t>
      </w:r>
      <w:r w:rsidRPr="003A5AE5">
        <w:t xml:space="preserve">. </w:t>
      </w:r>
    </w:p>
    <w:p w:rsidR="00F5082C" w:rsidRPr="003A5AE5" w:rsidRDefault="00F5082C" w:rsidP="00033ED9">
      <w:pPr>
        <w:pStyle w:val="3-BodyText"/>
      </w:pPr>
      <w:r w:rsidRPr="003A5AE5">
        <w:t>Listing was requested on the basis of a cost-minimisation analysis versus pazopanib. The key components of the clinical issues addressed by the submission are summarised below.</w:t>
      </w:r>
      <w:r w:rsidR="005D303A" w:rsidRPr="003A5AE5">
        <w:t xml:space="preserve"> The submission’s</w:t>
      </w:r>
      <w:r w:rsidR="004377A5" w:rsidRPr="003A5AE5">
        <w:t xml:space="preserve"> </w:t>
      </w:r>
      <w:r w:rsidR="00E75E64" w:rsidRPr="003A5AE5">
        <w:t xml:space="preserve">key components </w:t>
      </w:r>
      <w:r w:rsidR="005D303A" w:rsidRPr="003A5AE5">
        <w:t>table did not make a claim regarding safety</w:t>
      </w:r>
      <w:r w:rsidR="00A9260E" w:rsidRPr="003A5AE5">
        <w:t>, however its therapeutic conclusion was that trabectedin is non</w:t>
      </w:r>
      <w:r w:rsidR="004944DF" w:rsidRPr="003A5AE5">
        <w:t>-</w:t>
      </w:r>
      <w:r w:rsidR="00A9260E" w:rsidRPr="003A5AE5">
        <w:t xml:space="preserve">inferior in terms of safety compared with pazopanib for the treatment of </w:t>
      </w:r>
      <w:r w:rsidR="0073006E" w:rsidRPr="003A5AE5">
        <w:t>LMS</w:t>
      </w:r>
      <w:r w:rsidR="005D303A" w:rsidRPr="003A5AE5">
        <w:t>.</w:t>
      </w:r>
    </w:p>
    <w:p w:rsidR="00F5082C" w:rsidRPr="003A5AE5" w:rsidRDefault="00F5082C" w:rsidP="00033ED9">
      <w:pPr>
        <w:pStyle w:val="TableHeading"/>
        <w:rPr>
          <w:rStyle w:val="CommentReference"/>
          <w:b/>
          <w:szCs w:val="24"/>
        </w:rPr>
      </w:pPr>
      <w:r w:rsidRPr="003A5AE5">
        <w:t xml:space="preserve">Table </w:t>
      </w:r>
      <w:r w:rsidR="00C534E3" w:rsidRPr="003A5AE5">
        <w:t>1</w:t>
      </w:r>
      <w:r w:rsidRPr="003A5AE5">
        <w:t xml:space="preserve">: </w:t>
      </w:r>
      <w:r w:rsidRPr="003A5AE5">
        <w:rPr>
          <w:rStyle w:val="CommentReference"/>
          <w:b/>
          <w:szCs w:val="24"/>
        </w:rPr>
        <w:t>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8"/>
        <w:gridCol w:w="7488"/>
      </w:tblGrid>
      <w:tr w:rsidR="00F5082C" w:rsidRPr="003A5AE5" w:rsidTr="00F5082C">
        <w:tc>
          <w:tcPr>
            <w:tcW w:w="1668" w:type="dxa"/>
            <w:vAlign w:val="center"/>
          </w:tcPr>
          <w:p w:rsidR="00F5082C" w:rsidRPr="003A5AE5" w:rsidRDefault="00F5082C" w:rsidP="00033ED9">
            <w:pPr>
              <w:pStyle w:val="In-tableHeading"/>
              <w:rPr>
                <w:lang w:val="en-AU"/>
              </w:rPr>
            </w:pPr>
            <w:r w:rsidRPr="003A5AE5">
              <w:rPr>
                <w:lang w:val="en-AU"/>
              </w:rPr>
              <w:t>Component</w:t>
            </w:r>
          </w:p>
        </w:tc>
        <w:tc>
          <w:tcPr>
            <w:tcW w:w="7488" w:type="dxa"/>
            <w:vAlign w:val="center"/>
          </w:tcPr>
          <w:p w:rsidR="00F5082C" w:rsidRPr="003A5AE5" w:rsidRDefault="00F5082C" w:rsidP="00033ED9">
            <w:pPr>
              <w:pStyle w:val="In-tableHeading"/>
              <w:rPr>
                <w:lang w:val="en-AU"/>
              </w:rPr>
            </w:pPr>
            <w:r w:rsidRPr="003A5AE5">
              <w:rPr>
                <w:lang w:val="en-AU"/>
              </w:rPr>
              <w:t>Description</w:t>
            </w:r>
          </w:p>
        </w:tc>
      </w:tr>
      <w:tr w:rsidR="00F5082C" w:rsidRPr="003A5AE5" w:rsidTr="00F5082C">
        <w:tc>
          <w:tcPr>
            <w:tcW w:w="1668" w:type="dxa"/>
            <w:vAlign w:val="center"/>
          </w:tcPr>
          <w:p w:rsidR="00F5082C" w:rsidRPr="003A5AE5" w:rsidRDefault="00F5082C" w:rsidP="00033ED9">
            <w:pPr>
              <w:pStyle w:val="TableText0"/>
            </w:pPr>
            <w:r w:rsidRPr="003A5AE5">
              <w:t>Population</w:t>
            </w:r>
          </w:p>
        </w:tc>
        <w:tc>
          <w:tcPr>
            <w:tcW w:w="7488" w:type="dxa"/>
          </w:tcPr>
          <w:p w:rsidR="00F5082C" w:rsidRPr="003A5AE5" w:rsidRDefault="00F5082C" w:rsidP="00033ED9">
            <w:pPr>
              <w:pStyle w:val="TableText0"/>
            </w:pPr>
            <w:r w:rsidRPr="003A5AE5">
              <w:t xml:space="preserve">Patients with unresectable or metastatic leiomyosarcoma following a prior anthracycline-containing regimen. </w:t>
            </w:r>
          </w:p>
        </w:tc>
      </w:tr>
      <w:tr w:rsidR="00F5082C" w:rsidRPr="003A5AE5" w:rsidTr="00F5082C">
        <w:tc>
          <w:tcPr>
            <w:tcW w:w="1668" w:type="dxa"/>
            <w:vAlign w:val="center"/>
          </w:tcPr>
          <w:p w:rsidR="00F5082C" w:rsidRPr="003A5AE5" w:rsidRDefault="00F5082C" w:rsidP="00033ED9">
            <w:pPr>
              <w:pStyle w:val="TableText0"/>
            </w:pPr>
            <w:r w:rsidRPr="003A5AE5">
              <w:t>Intervention</w:t>
            </w:r>
          </w:p>
        </w:tc>
        <w:tc>
          <w:tcPr>
            <w:tcW w:w="7488" w:type="dxa"/>
          </w:tcPr>
          <w:p w:rsidR="00F5082C" w:rsidRPr="003A5AE5" w:rsidRDefault="00F5082C" w:rsidP="00033ED9">
            <w:pPr>
              <w:pStyle w:val="TableText0"/>
            </w:pPr>
            <w:r w:rsidRPr="003A5AE5">
              <w:t xml:space="preserve">Trabectedin </w:t>
            </w:r>
            <w:r w:rsidR="00E75E64" w:rsidRPr="003A5AE5">
              <w:t>(</w:t>
            </w:r>
            <w:r w:rsidRPr="003A5AE5">
              <w:t>(Yondelis); ET-743)</w:t>
            </w:r>
            <w:r w:rsidR="0084633C" w:rsidRPr="003A5AE5">
              <w:t xml:space="preserve"> with a recommended dose of 1.5mg/m</w:t>
            </w:r>
            <w:r w:rsidR="0084633C" w:rsidRPr="003A5AE5">
              <w:rPr>
                <w:vertAlign w:val="superscript"/>
              </w:rPr>
              <w:t xml:space="preserve">2 </w:t>
            </w:r>
            <w:r w:rsidR="0084633C" w:rsidRPr="003A5AE5">
              <w:t xml:space="preserve">via infusion in a 21-day treatment cycle  </w:t>
            </w:r>
          </w:p>
        </w:tc>
      </w:tr>
      <w:tr w:rsidR="00F5082C" w:rsidRPr="003A5AE5" w:rsidTr="00F5082C">
        <w:tc>
          <w:tcPr>
            <w:tcW w:w="1668" w:type="dxa"/>
            <w:vAlign w:val="center"/>
          </w:tcPr>
          <w:p w:rsidR="00F5082C" w:rsidRPr="003A5AE5" w:rsidRDefault="00F5082C" w:rsidP="00033ED9">
            <w:pPr>
              <w:pStyle w:val="TableText0"/>
            </w:pPr>
            <w:r w:rsidRPr="003A5AE5">
              <w:t>Comparator</w:t>
            </w:r>
          </w:p>
        </w:tc>
        <w:tc>
          <w:tcPr>
            <w:tcW w:w="7488" w:type="dxa"/>
          </w:tcPr>
          <w:p w:rsidR="00F5082C" w:rsidRPr="003A5AE5" w:rsidRDefault="0055510C" w:rsidP="00033ED9">
            <w:pPr>
              <w:pStyle w:val="TableText0"/>
            </w:pPr>
            <w:r w:rsidRPr="003A5AE5">
              <w:t>P</w:t>
            </w:r>
            <w:r w:rsidR="00F5082C" w:rsidRPr="003A5AE5">
              <w:t>azopanib</w:t>
            </w:r>
            <w:r w:rsidR="0084633C" w:rsidRPr="003A5AE5">
              <w:t xml:space="preserve"> with a recommended dose of 800mg orally once daily</w:t>
            </w:r>
          </w:p>
        </w:tc>
      </w:tr>
      <w:tr w:rsidR="00F5082C" w:rsidRPr="003A5AE5" w:rsidTr="00F5082C">
        <w:tc>
          <w:tcPr>
            <w:tcW w:w="1668" w:type="dxa"/>
            <w:vAlign w:val="center"/>
          </w:tcPr>
          <w:p w:rsidR="00F5082C" w:rsidRPr="003A5AE5" w:rsidRDefault="00F5082C" w:rsidP="00033ED9">
            <w:pPr>
              <w:pStyle w:val="TableText0"/>
            </w:pPr>
            <w:r w:rsidRPr="003A5AE5">
              <w:t>Outcomes</w:t>
            </w:r>
          </w:p>
        </w:tc>
        <w:tc>
          <w:tcPr>
            <w:tcW w:w="7488" w:type="dxa"/>
            <w:vAlign w:val="center"/>
          </w:tcPr>
          <w:p w:rsidR="00F5082C" w:rsidRPr="003A5AE5" w:rsidRDefault="00F5082C" w:rsidP="00033ED9">
            <w:pPr>
              <w:pStyle w:val="TableText0"/>
            </w:pPr>
            <w:r w:rsidRPr="003A5AE5">
              <w:t>PFS, ORR, OS, TTP, duration of response, HRQoL (MD Anderson Symptom Index), safety</w:t>
            </w:r>
          </w:p>
        </w:tc>
      </w:tr>
      <w:tr w:rsidR="00F5082C" w:rsidRPr="003A5AE5" w:rsidTr="00F5082C">
        <w:tc>
          <w:tcPr>
            <w:tcW w:w="1668" w:type="dxa"/>
            <w:vAlign w:val="center"/>
          </w:tcPr>
          <w:p w:rsidR="00F5082C" w:rsidRPr="003A5AE5" w:rsidRDefault="00F5082C" w:rsidP="00033ED9">
            <w:pPr>
              <w:pStyle w:val="TableText0"/>
            </w:pPr>
            <w:r w:rsidRPr="003A5AE5">
              <w:t>Clinical claim</w:t>
            </w:r>
          </w:p>
        </w:tc>
        <w:tc>
          <w:tcPr>
            <w:tcW w:w="7488" w:type="dxa"/>
          </w:tcPr>
          <w:p w:rsidR="00F5082C" w:rsidRPr="003A5AE5" w:rsidRDefault="00F5082C" w:rsidP="00033ED9">
            <w:pPr>
              <w:pStyle w:val="TableText0"/>
            </w:pPr>
            <w:r w:rsidRPr="003A5AE5">
              <w:t xml:space="preserve">In patients with </w:t>
            </w:r>
            <w:r w:rsidRPr="003A5AE5">
              <w:rPr>
                <w:rFonts w:cstheme="minorHAnsi"/>
              </w:rPr>
              <w:t>unresectable or metastatic leiomyosarcoma following a prior anthracycline-containing regimen</w:t>
            </w:r>
            <w:r w:rsidRPr="003A5AE5">
              <w:t>, trabectedin is as effective as pazopanib at improving progression-free survival.</w:t>
            </w:r>
          </w:p>
        </w:tc>
      </w:tr>
    </w:tbl>
    <w:p w:rsidR="00F5082C" w:rsidRPr="003A5AE5" w:rsidRDefault="00F5082C" w:rsidP="00033ED9">
      <w:pPr>
        <w:pStyle w:val="TableFigureFooter"/>
      </w:pPr>
      <w:r w:rsidRPr="003A5AE5">
        <w:t>Source: Table 1</w:t>
      </w:r>
      <w:r w:rsidR="00D25F38">
        <w:t xml:space="preserve"> </w:t>
      </w:r>
      <w:r w:rsidRPr="003A5AE5">
        <w:t>of the submission.</w:t>
      </w:r>
    </w:p>
    <w:p w:rsidR="00C33CA7" w:rsidRPr="003A5AE5" w:rsidRDefault="00C33CA7" w:rsidP="00033ED9">
      <w:pPr>
        <w:pStyle w:val="TableFigureFooter"/>
        <w:rPr>
          <w:sz w:val="20"/>
        </w:rPr>
      </w:pPr>
      <w:r w:rsidRPr="003A5AE5">
        <w:t>HRQoL = health related quality of life; ORR = overall response rate; OS = overall survival; PFS = progression-free survival; TTP = time to progression.</w:t>
      </w:r>
    </w:p>
    <w:p w:rsidR="00F5082C" w:rsidRPr="003A5AE5" w:rsidRDefault="00F5082C" w:rsidP="00033ED9">
      <w:pPr>
        <w:pStyle w:val="2-SectionHeading"/>
      </w:pPr>
      <w:bookmarkStart w:id="9" w:name="_Toc69165188"/>
      <w:bookmarkStart w:id="10" w:name="_Toc72160051"/>
      <w:bookmarkStart w:id="11" w:name="_Toc72205668"/>
      <w:bookmarkStart w:id="12" w:name="_Toc72315623"/>
      <w:r w:rsidRPr="003A5AE5">
        <w:t>Background</w:t>
      </w:r>
      <w:bookmarkEnd w:id="9"/>
      <w:bookmarkEnd w:id="10"/>
      <w:bookmarkEnd w:id="11"/>
      <w:bookmarkEnd w:id="12"/>
    </w:p>
    <w:p w:rsidR="00F5082C" w:rsidRPr="003A5AE5" w:rsidRDefault="00F5082C" w:rsidP="00033ED9">
      <w:pPr>
        <w:pStyle w:val="4-SubsectionHeading"/>
      </w:pPr>
      <w:bookmarkStart w:id="13" w:name="_Toc22897638"/>
      <w:bookmarkStart w:id="14" w:name="_Toc69165189"/>
      <w:bookmarkStart w:id="15" w:name="_Toc72160052"/>
      <w:bookmarkStart w:id="16" w:name="_Toc72205669"/>
      <w:bookmarkStart w:id="17" w:name="_Toc72315624"/>
      <w:r w:rsidRPr="003A5AE5">
        <w:t>Registration status</w:t>
      </w:r>
      <w:bookmarkEnd w:id="13"/>
      <w:bookmarkEnd w:id="14"/>
      <w:bookmarkEnd w:id="15"/>
      <w:bookmarkEnd w:id="16"/>
      <w:bookmarkEnd w:id="17"/>
    </w:p>
    <w:p w:rsidR="00F5082C" w:rsidRPr="003A5AE5" w:rsidRDefault="00FE49BD" w:rsidP="00033ED9">
      <w:pPr>
        <w:pStyle w:val="3-BodyText"/>
        <w:rPr>
          <w:i/>
        </w:rPr>
      </w:pPr>
      <w:r w:rsidRPr="003A5AE5">
        <w:rPr>
          <w:rFonts w:eastAsia="Calibri" w:cstheme="minorHAnsi"/>
          <w:b/>
          <w:szCs w:val="22"/>
        </w:rPr>
        <w:t xml:space="preserve">TGA status at time of </w:t>
      </w:r>
      <w:r w:rsidR="0086600B" w:rsidRPr="003A5AE5">
        <w:rPr>
          <w:rFonts w:cstheme="minorHAnsi"/>
          <w:b/>
          <w:bCs/>
        </w:rPr>
        <w:t>PBAC consideration</w:t>
      </w:r>
      <w:r w:rsidRPr="003A5AE5">
        <w:rPr>
          <w:rFonts w:eastAsia="Calibri" w:cstheme="minorHAnsi"/>
          <w:szCs w:val="22"/>
        </w:rPr>
        <w:t>:</w:t>
      </w:r>
      <w:r w:rsidRPr="003A5AE5">
        <w:rPr>
          <w:rFonts w:ascii="Calibri" w:eastAsia="Calibri" w:hAnsi="Calibri"/>
          <w:szCs w:val="22"/>
        </w:rPr>
        <w:t xml:space="preserve"> </w:t>
      </w:r>
      <w:r w:rsidR="00F5082C" w:rsidRPr="003A5AE5">
        <w:t>A TGA application for the treatment of soft tissue sarcoma was lodged in March 2020</w:t>
      </w:r>
      <w:r w:rsidR="00E31D5A" w:rsidRPr="003A5AE5">
        <w:t xml:space="preserve">. The Delegate’s Overview was provided </w:t>
      </w:r>
      <w:r w:rsidR="003A5AE5">
        <w:t>with</w:t>
      </w:r>
      <w:r w:rsidR="003A5AE5" w:rsidRPr="003A5AE5">
        <w:t xml:space="preserve"> </w:t>
      </w:r>
      <w:r w:rsidR="00E31D5A" w:rsidRPr="003A5AE5">
        <w:t xml:space="preserve">the Pre-Sub-Committee Response (PSCR). </w:t>
      </w:r>
      <w:r w:rsidR="00E50C04" w:rsidRPr="003A5AE5">
        <w:t>Trabectedin was approved on the 21 April 2021 for the treatment of patients with unresectable or metastatic LPS or LMS who had received a prior anthracycline-containing regimen.</w:t>
      </w:r>
      <w:r w:rsidR="00F1470B" w:rsidRPr="003A5AE5">
        <w:t xml:space="preserve"> The ESC noted that trabectedin was designated as an orphan drug by the TGA.</w:t>
      </w:r>
      <w:r w:rsidR="00F1470B" w:rsidRPr="003A5AE5">
        <w:rPr>
          <w:i/>
        </w:rPr>
        <w:t xml:space="preserve"> </w:t>
      </w:r>
    </w:p>
    <w:p w:rsidR="002515F5" w:rsidRPr="003A5AE5" w:rsidRDefault="002515F5" w:rsidP="00033ED9">
      <w:pPr>
        <w:ind w:firstLine="709"/>
        <w:rPr>
          <w:highlight w:val="yellow"/>
        </w:rPr>
      </w:pPr>
      <w:r w:rsidRPr="003A5AE5">
        <w:rPr>
          <w:rFonts w:asciiTheme="minorHAnsi" w:hAnsiTheme="minorHAnsi"/>
          <w:i/>
        </w:rPr>
        <w:t>For more detail on PBAC’s view, see section 7 PBAC outcome.</w:t>
      </w:r>
    </w:p>
    <w:p w:rsidR="00F5082C" w:rsidRPr="003A5AE5" w:rsidRDefault="00F5082C" w:rsidP="00033ED9">
      <w:pPr>
        <w:pStyle w:val="2-SectionHeading"/>
      </w:pPr>
      <w:bookmarkStart w:id="18" w:name="_Toc69165191"/>
      <w:bookmarkStart w:id="19" w:name="_Toc72160053"/>
      <w:bookmarkStart w:id="20" w:name="_Toc72205670"/>
      <w:bookmarkStart w:id="21" w:name="_Toc72315625"/>
      <w:r w:rsidRPr="003A5AE5">
        <w:lastRenderedPageBreak/>
        <w:t>Requested listing</w:t>
      </w:r>
      <w:bookmarkEnd w:id="18"/>
      <w:bookmarkEnd w:id="19"/>
      <w:bookmarkEnd w:id="20"/>
      <w:bookmarkEnd w:id="21"/>
    </w:p>
    <w:p w:rsidR="0073006E" w:rsidRPr="003A5AE5" w:rsidRDefault="00EE7F22" w:rsidP="00033ED9">
      <w:pPr>
        <w:pStyle w:val="ListParagraph"/>
        <w:numPr>
          <w:ilvl w:val="1"/>
          <w:numId w:val="1"/>
        </w:numPr>
      </w:pPr>
      <w:r w:rsidRPr="003A5AE5">
        <w:rPr>
          <w:rFonts w:cstheme="minorHAnsi"/>
          <w:iCs/>
        </w:rPr>
        <w:t>Suggestions and additions proposed by the Secretariat are added in italics and suggested deletions are crossed out with strikethrough.</w:t>
      </w:r>
    </w:p>
    <w:p w:rsidR="00A611A5" w:rsidRPr="003A5AE5" w:rsidRDefault="00A611A5" w:rsidP="00033ED9">
      <w:pPr>
        <w:rPr>
          <w:rFonts w:ascii="Arial Narrow" w:hAnsi="Arial Narrow"/>
          <w:i/>
          <w:sz w:val="18"/>
          <w:szCs w:val="1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559"/>
        <w:gridCol w:w="1134"/>
        <w:gridCol w:w="1134"/>
        <w:gridCol w:w="2693"/>
      </w:tblGrid>
      <w:tr w:rsidR="00A611A5" w:rsidRPr="003A5AE5" w:rsidTr="00A611A5">
        <w:trPr>
          <w:cantSplit/>
          <w:trHeight w:val="471"/>
        </w:trPr>
        <w:tc>
          <w:tcPr>
            <w:tcW w:w="2547" w:type="dxa"/>
          </w:tcPr>
          <w:p w:rsidR="00A611A5" w:rsidRPr="003A5AE5" w:rsidRDefault="00A611A5" w:rsidP="00033ED9">
            <w:pPr>
              <w:keepNext/>
              <w:ind w:left="-57"/>
              <w:rPr>
                <w:rFonts w:ascii="Arial Narrow" w:hAnsi="Arial Narrow"/>
                <w:b/>
                <w:sz w:val="18"/>
                <w:szCs w:val="18"/>
              </w:rPr>
            </w:pPr>
            <w:r w:rsidRPr="003A5AE5">
              <w:rPr>
                <w:rFonts w:ascii="Arial Narrow" w:hAnsi="Arial Narrow"/>
                <w:b/>
                <w:sz w:val="18"/>
                <w:szCs w:val="18"/>
              </w:rPr>
              <w:t>MEDICINAL PRODUCT</w:t>
            </w:r>
          </w:p>
          <w:p w:rsidR="00A611A5" w:rsidRPr="003A5AE5" w:rsidRDefault="00A611A5" w:rsidP="00033ED9">
            <w:pPr>
              <w:keepNext/>
              <w:ind w:left="-57"/>
              <w:rPr>
                <w:rFonts w:ascii="Arial Narrow" w:hAnsi="Arial Narrow"/>
                <w:b/>
                <w:sz w:val="18"/>
                <w:szCs w:val="18"/>
              </w:rPr>
            </w:pPr>
            <w:r w:rsidRPr="003A5AE5">
              <w:rPr>
                <w:rFonts w:ascii="Arial Narrow" w:hAnsi="Arial Narrow"/>
                <w:b/>
                <w:sz w:val="18"/>
                <w:szCs w:val="18"/>
              </w:rPr>
              <w:t>Form</w:t>
            </w:r>
          </w:p>
        </w:tc>
        <w:tc>
          <w:tcPr>
            <w:tcW w:w="1559" w:type="dxa"/>
          </w:tcPr>
          <w:p w:rsidR="00A611A5" w:rsidRPr="003A5AE5" w:rsidRDefault="00A611A5" w:rsidP="00033ED9">
            <w:pPr>
              <w:keepNext/>
              <w:ind w:left="-108"/>
              <w:jc w:val="center"/>
              <w:rPr>
                <w:rFonts w:ascii="Arial Narrow" w:hAnsi="Arial Narrow"/>
                <w:b/>
                <w:sz w:val="18"/>
                <w:szCs w:val="18"/>
              </w:rPr>
            </w:pPr>
            <w:r w:rsidRPr="003A5AE5">
              <w:rPr>
                <w:rFonts w:ascii="Arial Narrow" w:hAnsi="Arial Narrow"/>
                <w:b/>
                <w:sz w:val="18"/>
                <w:szCs w:val="18"/>
              </w:rPr>
              <w:t>PBS item code</w:t>
            </w:r>
          </w:p>
        </w:tc>
        <w:tc>
          <w:tcPr>
            <w:tcW w:w="1134" w:type="dxa"/>
          </w:tcPr>
          <w:p w:rsidR="00A611A5" w:rsidRPr="003A5AE5" w:rsidRDefault="00A611A5" w:rsidP="00033ED9">
            <w:pPr>
              <w:keepNext/>
              <w:ind w:left="-108"/>
              <w:jc w:val="center"/>
              <w:rPr>
                <w:rFonts w:ascii="Arial Narrow" w:hAnsi="Arial Narrow"/>
                <w:b/>
                <w:sz w:val="18"/>
                <w:szCs w:val="18"/>
              </w:rPr>
            </w:pPr>
            <w:r w:rsidRPr="003A5AE5">
              <w:rPr>
                <w:rFonts w:ascii="Arial Narrow" w:hAnsi="Arial Narrow"/>
                <w:b/>
                <w:sz w:val="18"/>
                <w:szCs w:val="18"/>
              </w:rPr>
              <w:t>Max.</w:t>
            </w:r>
          </w:p>
          <w:p w:rsidR="00A611A5" w:rsidRPr="003A5AE5" w:rsidRDefault="00A611A5" w:rsidP="00033ED9">
            <w:pPr>
              <w:keepNext/>
              <w:ind w:left="-108"/>
              <w:jc w:val="center"/>
              <w:rPr>
                <w:rFonts w:ascii="Arial Narrow" w:hAnsi="Arial Narrow"/>
                <w:b/>
                <w:sz w:val="18"/>
                <w:szCs w:val="18"/>
              </w:rPr>
            </w:pPr>
            <w:r w:rsidRPr="003A5AE5">
              <w:rPr>
                <w:rFonts w:ascii="Arial Narrow" w:hAnsi="Arial Narrow"/>
                <w:b/>
                <w:sz w:val="18"/>
                <w:szCs w:val="18"/>
              </w:rPr>
              <w:t>Amount</w:t>
            </w:r>
          </w:p>
        </w:tc>
        <w:tc>
          <w:tcPr>
            <w:tcW w:w="1134" w:type="dxa"/>
          </w:tcPr>
          <w:p w:rsidR="00A611A5" w:rsidRPr="003A5AE5" w:rsidRDefault="00A611A5" w:rsidP="00033ED9">
            <w:pPr>
              <w:keepNext/>
              <w:ind w:left="-108"/>
              <w:jc w:val="center"/>
              <w:rPr>
                <w:rFonts w:ascii="Arial Narrow" w:hAnsi="Arial Narrow"/>
                <w:b/>
                <w:sz w:val="18"/>
                <w:szCs w:val="18"/>
              </w:rPr>
            </w:pPr>
            <w:r w:rsidRPr="003A5AE5">
              <w:rPr>
                <w:rFonts w:ascii="Arial Narrow" w:hAnsi="Arial Narrow"/>
                <w:b/>
                <w:sz w:val="18"/>
                <w:szCs w:val="18"/>
              </w:rPr>
              <w:t>№.of Rpts</w:t>
            </w:r>
          </w:p>
        </w:tc>
        <w:tc>
          <w:tcPr>
            <w:tcW w:w="2693" w:type="dxa"/>
          </w:tcPr>
          <w:p w:rsidR="00A611A5" w:rsidRPr="003A5AE5" w:rsidRDefault="00A611A5" w:rsidP="00033ED9">
            <w:pPr>
              <w:keepNext/>
              <w:ind w:left="-108"/>
              <w:jc w:val="center"/>
              <w:rPr>
                <w:rFonts w:ascii="Arial Narrow" w:hAnsi="Arial Narrow"/>
                <w:b/>
                <w:sz w:val="18"/>
                <w:szCs w:val="18"/>
              </w:rPr>
            </w:pPr>
            <w:r w:rsidRPr="003A5AE5">
              <w:rPr>
                <w:rFonts w:ascii="Arial Narrow" w:hAnsi="Arial Narrow"/>
                <w:b/>
                <w:sz w:val="20"/>
                <w:szCs w:val="20"/>
              </w:rPr>
              <w:t>Dispensed price for maximum amount</w:t>
            </w:r>
          </w:p>
        </w:tc>
      </w:tr>
      <w:tr w:rsidR="00A611A5" w:rsidRPr="003A5AE5" w:rsidTr="00A611A5">
        <w:trPr>
          <w:cantSplit/>
          <w:trHeight w:val="577"/>
        </w:trPr>
        <w:tc>
          <w:tcPr>
            <w:tcW w:w="2547" w:type="dxa"/>
          </w:tcPr>
          <w:p w:rsidR="00A611A5" w:rsidRPr="003A5AE5" w:rsidRDefault="00A611A5" w:rsidP="00033ED9">
            <w:pPr>
              <w:keepNext/>
              <w:ind w:left="-57"/>
              <w:rPr>
                <w:rFonts w:ascii="Arial Narrow" w:hAnsi="Arial Narrow"/>
                <w:sz w:val="18"/>
                <w:szCs w:val="18"/>
              </w:rPr>
            </w:pPr>
            <w:r w:rsidRPr="003A5AE5">
              <w:rPr>
                <w:rFonts w:ascii="Arial Narrow" w:hAnsi="Arial Narrow"/>
                <w:sz w:val="18"/>
                <w:szCs w:val="18"/>
              </w:rPr>
              <w:t>TRABECTEDIN</w:t>
            </w:r>
          </w:p>
          <w:p w:rsidR="00A611A5" w:rsidRPr="003A5AE5" w:rsidRDefault="00A611A5" w:rsidP="00033ED9">
            <w:pPr>
              <w:keepNext/>
              <w:ind w:left="-57"/>
              <w:rPr>
                <w:rFonts w:ascii="Arial Narrow" w:hAnsi="Arial Narrow" w:cs="Arial Narrow"/>
                <w:sz w:val="18"/>
                <w:szCs w:val="18"/>
              </w:rPr>
            </w:pPr>
            <w:r w:rsidRPr="003A5AE5">
              <w:rPr>
                <w:rFonts w:ascii="Arial Narrow" w:hAnsi="Arial Narrow" w:cs="Arial Narrow"/>
                <w:sz w:val="18"/>
                <w:szCs w:val="18"/>
              </w:rPr>
              <w:t>Powder for I.V. infusion, 0.25mg</w:t>
            </w:r>
          </w:p>
          <w:p w:rsidR="00A611A5" w:rsidRPr="003A5AE5" w:rsidRDefault="00A611A5" w:rsidP="00033ED9">
            <w:pPr>
              <w:keepNext/>
              <w:ind w:left="-57"/>
              <w:rPr>
                <w:rFonts w:ascii="Arial Narrow" w:hAnsi="Arial Narrow"/>
                <w:sz w:val="18"/>
                <w:szCs w:val="18"/>
              </w:rPr>
            </w:pPr>
            <w:r w:rsidRPr="003A5AE5">
              <w:rPr>
                <w:rFonts w:ascii="Arial Narrow" w:hAnsi="Arial Narrow" w:cs="Arial Narrow"/>
                <w:sz w:val="18"/>
                <w:szCs w:val="18"/>
              </w:rPr>
              <w:t>Powder for I.V. infusion, 1 mg</w:t>
            </w:r>
          </w:p>
        </w:tc>
        <w:tc>
          <w:tcPr>
            <w:tcW w:w="1559" w:type="dxa"/>
          </w:tcPr>
          <w:p w:rsidR="00A611A5" w:rsidRPr="003A5AE5" w:rsidRDefault="00A611A5" w:rsidP="00033ED9">
            <w:pPr>
              <w:keepNext/>
              <w:ind w:left="-108"/>
              <w:jc w:val="center"/>
              <w:rPr>
                <w:rFonts w:ascii="Arial Narrow" w:hAnsi="Arial Narrow"/>
                <w:sz w:val="18"/>
                <w:szCs w:val="18"/>
              </w:rPr>
            </w:pPr>
          </w:p>
          <w:p w:rsidR="00A611A5" w:rsidRPr="003A5AE5" w:rsidRDefault="00A611A5" w:rsidP="00033ED9">
            <w:pPr>
              <w:keepNext/>
              <w:ind w:left="-108"/>
              <w:jc w:val="center"/>
              <w:rPr>
                <w:rFonts w:ascii="Arial Narrow" w:hAnsi="Arial Narrow"/>
                <w:sz w:val="18"/>
                <w:szCs w:val="18"/>
              </w:rPr>
            </w:pPr>
            <w:r w:rsidRPr="003A5AE5">
              <w:rPr>
                <w:rFonts w:ascii="Arial Narrow" w:hAnsi="Arial Narrow"/>
                <w:sz w:val="18"/>
                <w:szCs w:val="18"/>
              </w:rPr>
              <w:t>NEW (Public)</w:t>
            </w:r>
          </w:p>
          <w:p w:rsidR="00A611A5" w:rsidRPr="003A5AE5" w:rsidRDefault="00A611A5" w:rsidP="00033ED9">
            <w:pPr>
              <w:keepNext/>
              <w:ind w:left="-108"/>
              <w:jc w:val="center"/>
              <w:rPr>
                <w:rFonts w:ascii="Arial Narrow" w:hAnsi="Arial Narrow"/>
                <w:sz w:val="18"/>
                <w:szCs w:val="18"/>
              </w:rPr>
            </w:pPr>
            <w:r w:rsidRPr="003A5AE5">
              <w:rPr>
                <w:rFonts w:ascii="Arial Narrow" w:hAnsi="Arial Narrow"/>
                <w:sz w:val="18"/>
                <w:szCs w:val="18"/>
              </w:rPr>
              <w:t>NEW (Private)</w:t>
            </w:r>
          </w:p>
        </w:tc>
        <w:tc>
          <w:tcPr>
            <w:tcW w:w="1134" w:type="dxa"/>
          </w:tcPr>
          <w:p w:rsidR="00A611A5" w:rsidRPr="003A5AE5" w:rsidRDefault="00A611A5" w:rsidP="00033ED9">
            <w:pPr>
              <w:keepNext/>
              <w:jc w:val="center"/>
              <w:rPr>
                <w:rFonts w:ascii="Arial Narrow" w:hAnsi="Arial Narrow"/>
                <w:sz w:val="18"/>
                <w:szCs w:val="18"/>
              </w:rPr>
            </w:pPr>
            <w:r w:rsidRPr="003A5AE5">
              <w:rPr>
                <w:rFonts w:ascii="Arial Narrow" w:hAnsi="Arial Narrow"/>
                <w:sz w:val="18"/>
                <w:szCs w:val="18"/>
              </w:rPr>
              <w:t>3.25mg</w:t>
            </w:r>
          </w:p>
        </w:tc>
        <w:tc>
          <w:tcPr>
            <w:tcW w:w="1134" w:type="dxa"/>
          </w:tcPr>
          <w:p w:rsidR="00A611A5" w:rsidRPr="003A5AE5" w:rsidRDefault="00A611A5" w:rsidP="00033ED9">
            <w:pPr>
              <w:keepNext/>
              <w:jc w:val="center"/>
              <w:rPr>
                <w:rFonts w:ascii="Arial Narrow" w:hAnsi="Arial Narrow"/>
                <w:sz w:val="18"/>
                <w:szCs w:val="18"/>
              </w:rPr>
            </w:pPr>
            <w:r w:rsidRPr="003A5AE5">
              <w:rPr>
                <w:rFonts w:ascii="Arial Narrow" w:hAnsi="Arial Narrow"/>
                <w:strike/>
                <w:sz w:val="18"/>
                <w:szCs w:val="18"/>
              </w:rPr>
              <w:t>2</w:t>
            </w:r>
            <w:r w:rsidRPr="003A5AE5">
              <w:rPr>
                <w:rFonts w:ascii="Arial Narrow" w:hAnsi="Arial Narrow"/>
                <w:sz w:val="18"/>
                <w:szCs w:val="18"/>
              </w:rPr>
              <w:t xml:space="preserve"> </w:t>
            </w:r>
            <w:r w:rsidRPr="003A5AE5">
              <w:rPr>
                <w:rFonts w:ascii="Arial Narrow" w:hAnsi="Arial Narrow"/>
                <w:i/>
                <w:sz w:val="18"/>
                <w:szCs w:val="18"/>
              </w:rPr>
              <w:t>3</w:t>
            </w:r>
          </w:p>
        </w:tc>
        <w:tc>
          <w:tcPr>
            <w:tcW w:w="2693" w:type="dxa"/>
          </w:tcPr>
          <w:p w:rsidR="00A611A5" w:rsidRPr="003A5AE5" w:rsidRDefault="00A611A5" w:rsidP="00033ED9">
            <w:pPr>
              <w:jc w:val="left"/>
              <w:rPr>
                <w:rFonts w:ascii="Arial Narrow" w:hAnsi="Arial Narrow"/>
                <w:sz w:val="20"/>
                <w:szCs w:val="20"/>
              </w:rPr>
            </w:pPr>
            <w:r w:rsidRPr="003A5AE5">
              <w:rPr>
                <w:rFonts w:ascii="Arial Narrow" w:hAnsi="Arial Narrow"/>
                <w:sz w:val="20"/>
                <w:szCs w:val="20"/>
              </w:rPr>
              <w:t>Published:</w:t>
            </w:r>
          </w:p>
          <w:p w:rsidR="00A611A5" w:rsidRPr="003A5AE5" w:rsidRDefault="00A611A5" w:rsidP="00033ED9">
            <w:pPr>
              <w:jc w:val="left"/>
              <w:rPr>
                <w:rFonts w:ascii="Arial Narrow" w:hAnsi="Arial Narrow"/>
                <w:i/>
                <w:sz w:val="20"/>
                <w:szCs w:val="20"/>
                <w:vertAlign w:val="superscript"/>
              </w:rPr>
            </w:pPr>
            <w:r w:rsidRPr="003A5AE5">
              <w:rPr>
                <w:rFonts w:ascii="Arial Narrow" w:hAnsi="Arial Narrow"/>
                <w:i/>
                <w:sz w:val="20"/>
                <w:szCs w:val="20"/>
              </w:rPr>
              <w:t>$8,962.05 (Public hospital)</w:t>
            </w:r>
          </w:p>
          <w:p w:rsidR="00A611A5" w:rsidRPr="003A5AE5" w:rsidRDefault="00A611A5" w:rsidP="00033ED9">
            <w:pPr>
              <w:jc w:val="left"/>
              <w:rPr>
                <w:rFonts w:ascii="Arial Narrow" w:hAnsi="Arial Narrow"/>
                <w:sz w:val="20"/>
                <w:szCs w:val="20"/>
              </w:rPr>
            </w:pPr>
            <w:r w:rsidRPr="003A5AE5">
              <w:rPr>
                <w:rFonts w:ascii="Arial Narrow" w:hAnsi="Arial Narrow"/>
                <w:sz w:val="20"/>
                <w:szCs w:val="20"/>
              </w:rPr>
              <w:t>$9,126.95 (Private hospital) Effective:</w:t>
            </w:r>
          </w:p>
          <w:p w:rsidR="00A611A5" w:rsidRPr="003A5AE5" w:rsidRDefault="00A611A5" w:rsidP="00033ED9">
            <w:pPr>
              <w:jc w:val="left"/>
              <w:rPr>
                <w:rFonts w:ascii="Arial Narrow" w:hAnsi="Arial Narrow"/>
                <w:i/>
                <w:sz w:val="20"/>
                <w:szCs w:val="20"/>
                <w:vertAlign w:val="superscript"/>
              </w:rPr>
            </w:pPr>
            <w:r w:rsidRPr="003A5AE5">
              <w:rPr>
                <w:rFonts w:ascii="Arial Narrow" w:hAnsi="Arial Narrow"/>
                <w:i/>
                <w:sz w:val="20"/>
                <w:szCs w:val="20"/>
              </w:rPr>
              <w:t>$</w:t>
            </w:r>
            <w:r w:rsidR="00885AF3">
              <w:rPr>
                <w:rFonts w:ascii="Arial Narrow" w:hAnsi="Arial Narrow"/>
                <w:i/>
                <w:noProof/>
                <w:color w:val="000000"/>
                <w:sz w:val="20"/>
                <w:szCs w:val="20"/>
                <w:highlight w:val="black"/>
              </w:rPr>
              <w:t>'''''''''''''''''''''</w:t>
            </w:r>
            <w:r w:rsidRPr="003A5AE5">
              <w:rPr>
                <w:rFonts w:ascii="Arial Narrow" w:hAnsi="Arial Narrow"/>
                <w:i/>
                <w:sz w:val="20"/>
                <w:szCs w:val="20"/>
              </w:rPr>
              <w:t xml:space="preserve"> (Public hospital)</w:t>
            </w:r>
          </w:p>
          <w:p w:rsidR="00A611A5" w:rsidRPr="003A5AE5" w:rsidRDefault="00A611A5" w:rsidP="00033ED9">
            <w:pPr>
              <w:keepNext/>
              <w:jc w:val="left"/>
              <w:rPr>
                <w:rFonts w:ascii="Arial Narrow" w:hAnsi="Arial Narrow"/>
                <w:sz w:val="18"/>
                <w:szCs w:val="18"/>
              </w:rPr>
            </w:pPr>
            <w:r w:rsidRPr="003A5AE5">
              <w:rPr>
                <w:rFonts w:ascii="Arial Narrow" w:hAnsi="Arial Narrow"/>
                <w:sz w:val="20"/>
                <w:szCs w:val="20"/>
              </w:rPr>
              <w:t>$</w:t>
            </w:r>
            <w:r w:rsidR="00885AF3">
              <w:rPr>
                <w:rFonts w:ascii="Arial Narrow" w:hAnsi="Arial Narrow"/>
                <w:noProof/>
                <w:color w:val="000000"/>
                <w:sz w:val="20"/>
                <w:szCs w:val="20"/>
                <w:highlight w:val="black"/>
              </w:rPr>
              <w:t>''''''''''''''''''''''</w:t>
            </w:r>
            <w:r w:rsidRPr="003A5AE5">
              <w:rPr>
                <w:rFonts w:ascii="Arial Narrow" w:hAnsi="Arial Narrow"/>
                <w:sz w:val="20"/>
                <w:szCs w:val="20"/>
              </w:rPr>
              <w:t xml:space="preserve"> (Private hospital)</w:t>
            </w:r>
          </w:p>
        </w:tc>
      </w:tr>
      <w:tr w:rsidR="00A611A5" w:rsidRPr="003A5AE5" w:rsidTr="0058296A">
        <w:trPr>
          <w:cantSplit/>
          <w:trHeight w:val="225"/>
        </w:trPr>
        <w:tc>
          <w:tcPr>
            <w:tcW w:w="9067" w:type="dxa"/>
            <w:gridSpan w:val="5"/>
          </w:tcPr>
          <w:p w:rsidR="00A611A5" w:rsidRPr="003A5AE5" w:rsidRDefault="00A611A5" w:rsidP="00033ED9">
            <w:pPr>
              <w:keepNext/>
              <w:ind w:left="-57"/>
              <w:rPr>
                <w:rFonts w:ascii="Arial Narrow" w:hAnsi="Arial Narrow"/>
                <w:b/>
                <w:sz w:val="18"/>
                <w:szCs w:val="18"/>
              </w:rPr>
            </w:pPr>
            <w:r w:rsidRPr="003A5AE5">
              <w:rPr>
                <w:rFonts w:ascii="Arial Narrow" w:hAnsi="Arial Narrow"/>
                <w:b/>
                <w:sz w:val="18"/>
                <w:szCs w:val="18"/>
              </w:rPr>
              <w:t>Available brands</w:t>
            </w:r>
          </w:p>
        </w:tc>
      </w:tr>
      <w:tr w:rsidR="00A611A5" w:rsidRPr="003A5AE5" w:rsidTr="0058296A">
        <w:trPr>
          <w:cantSplit/>
          <w:trHeight w:val="360"/>
        </w:trPr>
        <w:tc>
          <w:tcPr>
            <w:tcW w:w="9067" w:type="dxa"/>
            <w:gridSpan w:val="5"/>
          </w:tcPr>
          <w:p w:rsidR="00A611A5" w:rsidRPr="003A5AE5" w:rsidRDefault="00A611A5" w:rsidP="00033ED9">
            <w:pPr>
              <w:ind w:left="-57"/>
              <w:rPr>
                <w:rFonts w:ascii="Arial Narrow" w:hAnsi="Arial Narrow"/>
                <w:sz w:val="18"/>
                <w:szCs w:val="18"/>
              </w:rPr>
            </w:pPr>
            <w:r w:rsidRPr="003A5AE5">
              <w:rPr>
                <w:rFonts w:ascii="Arial Narrow" w:hAnsi="Arial Narrow"/>
                <w:sz w:val="18"/>
                <w:szCs w:val="18"/>
              </w:rPr>
              <w:t>Yondelis</w:t>
            </w:r>
            <w:r w:rsidRPr="003A5AE5">
              <w:rPr>
                <w:rFonts w:ascii="Arial Narrow" w:hAnsi="Arial Narrow"/>
                <w:sz w:val="18"/>
                <w:szCs w:val="18"/>
                <w:vertAlign w:val="superscript"/>
              </w:rPr>
              <w:t>®</w:t>
            </w:r>
          </w:p>
        </w:tc>
      </w:tr>
      <w:tr w:rsidR="00A611A5" w:rsidRPr="003A5AE5" w:rsidTr="0058296A">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right w:val="single" w:sz="4" w:space="0" w:color="auto"/>
            </w:tcBorders>
          </w:tcPr>
          <w:p w:rsidR="00A611A5" w:rsidRPr="003A5AE5" w:rsidRDefault="00A611A5" w:rsidP="00033ED9">
            <w:pPr>
              <w:ind w:left="57"/>
              <w:rPr>
                <w:rFonts w:ascii="Arial Narrow" w:hAnsi="Arial Narrow"/>
                <w:b/>
                <w:color w:val="FF00FF"/>
                <w:sz w:val="18"/>
                <w:szCs w:val="18"/>
              </w:rPr>
            </w:pPr>
          </w:p>
        </w:tc>
      </w:tr>
      <w:tr w:rsidR="00A611A5" w:rsidRPr="003A5AE5" w:rsidTr="0058296A">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right w:val="single" w:sz="4" w:space="0" w:color="auto"/>
            </w:tcBorders>
          </w:tcPr>
          <w:p w:rsidR="00A611A5" w:rsidRPr="003A5AE5" w:rsidRDefault="00A611A5" w:rsidP="00033ED9">
            <w:pPr>
              <w:ind w:left="57"/>
              <w:rPr>
                <w:rFonts w:ascii="Arial Narrow" w:hAnsi="Arial Narrow"/>
                <w:b/>
                <w:sz w:val="18"/>
                <w:szCs w:val="18"/>
              </w:rPr>
            </w:pPr>
            <w:r w:rsidRPr="003A5AE5">
              <w:rPr>
                <w:rFonts w:ascii="Arial Narrow" w:hAnsi="Arial Narrow"/>
                <w:b/>
                <w:sz w:val="18"/>
                <w:szCs w:val="18"/>
              </w:rPr>
              <w:t>Restriction Summary [new]  / Treatment of Concept: [new]</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bottom w:val="single" w:sz="4" w:space="0" w:color="auto"/>
              <w:right w:val="single" w:sz="4" w:space="0" w:color="auto"/>
            </w:tcBorders>
          </w:tcPr>
          <w:p w:rsidR="00B40C5B" w:rsidRPr="003A5AE5" w:rsidRDefault="00B40C5B" w:rsidP="00033ED9">
            <w:pPr>
              <w:rPr>
                <w:rFonts w:ascii="Arial Narrow" w:hAnsi="Arial Narrow"/>
                <w:sz w:val="18"/>
                <w:szCs w:val="18"/>
              </w:rPr>
            </w:pPr>
            <w:r w:rsidRPr="003A5AE5">
              <w:rPr>
                <w:rFonts w:ascii="Arial Narrow" w:hAnsi="Arial Narrow"/>
                <w:b/>
                <w:sz w:val="18"/>
                <w:szCs w:val="18"/>
              </w:rPr>
              <w:t xml:space="preserve">Category / Program: </w:t>
            </w:r>
            <w:r w:rsidRPr="003A5AE5">
              <w:rPr>
                <w:rFonts w:ascii="Arial Narrow" w:hAnsi="Arial Narrow"/>
                <w:sz w:val="18"/>
                <w:szCs w:val="18"/>
              </w:rPr>
              <w:t xml:space="preserve">Section 100 – Efficient Funding of Chemotherapy Public/Private hospitals </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rPr>
          <w:trHeight w:val="240"/>
        </w:trPr>
        <w:tc>
          <w:tcPr>
            <w:tcW w:w="9067" w:type="dxa"/>
            <w:gridSpan w:val="5"/>
            <w:tcBorders>
              <w:top w:val="single" w:sz="4" w:space="0" w:color="auto"/>
              <w:left w:val="single" w:sz="4" w:space="0" w:color="auto"/>
              <w:bottom w:val="single" w:sz="4" w:space="0" w:color="auto"/>
              <w:right w:val="single" w:sz="4" w:space="0" w:color="auto"/>
            </w:tcBorders>
          </w:tcPr>
          <w:p w:rsidR="00B40C5B" w:rsidRPr="003A5AE5" w:rsidRDefault="00B40C5B" w:rsidP="00033ED9">
            <w:pPr>
              <w:rPr>
                <w:rFonts w:ascii="Arial Narrow" w:hAnsi="Arial Narrow"/>
                <w:b/>
                <w:sz w:val="18"/>
                <w:szCs w:val="18"/>
              </w:rPr>
            </w:pPr>
            <w:r w:rsidRPr="003A5AE5">
              <w:rPr>
                <w:rFonts w:ascii="Arial Narrow" w:hAnsi="Arial Narrow"/>
                <w:b/>
                <w:sz w:val="18"/>
                <w:szCs w:val="18"/>
              </w:rPr>
              <w:t xml:space="preserve">Prescriber type:   </w:t>
            </w:r>
            <w:r w:rsidRPr="003A5AE5">
              <w:rPr>
                <w:rFonts w:ascii="Arial Narrow" w:hAnsi="Arial Narrow"/>
                <w:sz w:val="18"/>
                <w:szCs w:val="18"/>
              </w:rPr>
              <w:fldChar w:fldCharType="begin">
                <w:ffData>
                  <w:name w:val="Check1"/>
                  <w:enabled/>
                  <w:calcOnExit w:val="0"/>
                  <w:checkBox>
                    <w:sizeAuto/>
                    <w:default w:val="0"/>
                  </w:checkBox>
                </w:ffData>
              </w:fldChar>
            </w:r>
            <w:r w:rsidRPr="003A5AE5">
              <w:rPr>
                <w:rFonts w:ascii="Arial Narrow" w:hAnsi="Arial Narrow"/>
                <w:sz w:val="18"/>
                <w:szCs w:val="18"/>
              </w:rPr>
              <w:instrText xml:space="preserve"> FORMCHECKBOX </w:instrText>
            </w:r>
            <w:r w:rsidR="00BF2D4A">
              <w:rPr>
                <w:rFonts w:ascii="Arial Narrow" w:hAnsi="Arial Narrow"/>
                <w:sz w:val="18"/>
                <w:szCs w:val="18"/>
              </w:rPr>
            </w:r>
            <w:r w:rsidR="00BF2D4A">
              <w:rPr>
                <w:rFonts w:ascii="Arial Narrow" w:hAnsi="Arial Narrow"/>
                <w:sz w:val="18"/>
                <w:szCs w:val="18"/>
              </w:rPr>
              <w:fldChar w:fldCharType="separate"/>
            </w:r>
            <w:r w:rsidRPr="003A5AE5">
              <w:rPr>
                <w:rFonts w:ascii="Arial Narrow" w:hAnsi="Arial Narrow"/>
                <w:sz w:val="18"/>
                <w:szCs w:val="18"/>
              </w:rPr>
              <w:fldChar w:fldCharType="end"/>
            </w:r>
            <w:r w:rsidRPr="003A5AE5">
              <w:rPr>
                <w:rFonts w:ascii="Arial Narrow" w:hAnsi="Arial Narrow"/>
                <w:sz w:val="18"/>
                <w:szCs w:val="18"/>
              </w:rPr>
              <w:t xml:space="preserve">Dental    </w:t>
            </w:r>
            <w:r w:rsidRPr="003A5AE5">
              <w:rPr>
                <w:rFonts w:ascii="Arial Narrow" w:hAnsi="Arial Narrow"/>
                <w:sz w:val="18"/>
                <w:szCs w:val="18"/>
              </w:rPr>
              <w:fldChar w:fldCharType="begin">
                <w:ffData>
                  <w:name w:val=""/>
                  <w:enabled/>
                  <w:calcOnExit w:val="0"/>
                  <w:checkBox>
                    <w:sizeAuto/>
                    <w:default w:val="1"/>
                  </w:checkBox>
                </w:ffData>
              </w:fldChar>
            </w:r>
            <w:r w:rsidRPr="003A5AE5">
              <w:rPr>
                <w:rFonts w:ascii="Arial Narrow" w:hAnsi="Arial Narrow"/>
                <w:sz w:val="18"/>
                <w:szCs w:val="18"/>
              </w:rPr>
              <w:instrText xml:space="preserve"> FORMCHECKBOX </w:instrText>
            </w:r>
            <w:r w:rsidR="00BF2D4A">
              <w:rPr>
                <w:rFonts w:ascii="Arial Narrow" w:hAnsi="Arial Narrow"/>
                <w:sz w:val="18"/>
                <w:szCs w:val="18"/>
              </w:rPr>
            </w:r>
            <w:r w:rsidR="00BF2D4A">
              <w:rPr>
                <w:rFonts w:ascii="Arial Narrow" w:hAnsi="Arial Narrow"/>
                <w:sz w:val="18"/>
                <w:szCs w:val="18"/>
              </w:rPr>
              <w:fldChar w:fldCharType="separate"/>
            </w:r>
            <w:r w:rsidRPr="003A5AE5">
              <w:rPr>
                <w:rFonts w:ascii="Arial Narrow" w:hAnsi="Arial Narrow"/>
                <w:sz w:val="18"/>
                <w:szCs w:val="18"/>
              </w:rPr>
              <w:fldChar w:fldCharType="end"/>
            </w:r>
            <w:r w:rsidRPr="003A5AE5">
              <w:rPr>
                <w:rFonts w:ascii="Arial Narrow" w:hAnsi="Arial Narrow"/>
                <w:sz w:val="18"/>
                <w:szCs w:val="18"/>
              </w:rPr>
              <w:t xml:space="preserve">Medical Practitioners    </w:t>
            </w:r>
            <w:r w:rsidRPr="003A5AE5">
              <w:rPr>
                <w:rFonts w:ascii="Arial Narrow" w:hAnsi="Arial Narrow"/>
                <w:sz w:val="18"/>
                <w:szCs w:val="18"/>
              </w:rPr>
              <w:fldChar w:fldCharType="begin">
                <w:ffData>
                  <w:name w:val="Check3"/>
                  <w:enabled/>
                  <w:calcOnExit w:val="0"/>
                  <w:checkBox>
                    <w:sizeAuto/>
                    <w:default w:val="0"/>
                  </w:checkBox>
                </w:ffData>
              </w:fldChar>
            </w:r>
            <w:r w:rsidRPr="003A5AE5">
              <w:rPr>
                <w:rFonts w:ascii="Arial Narrow" w:hAnsi="Arial Narrow"/>
                <w:sz w:val="18"/>
                <w:szCs w:val="18"/>
              </w:rPr>
              <w:instrText xml:space="preserve"> FORMCHECKBOX </w:instrText>
            </w:r>
            <w:r w:rsidR="00BF2D4A">
              <w:rPr>
                <w:rFonts w:ascii="Arial Narrow" w:hAnsi="Arial Narrow"/>
                <w:sz w:val="18"/>
                <w:szCs w:val="18"/>
              </w:rPr>
            </w:r>
            <w:r w:rsidR="00BF2D4A">
              <w:rPr>
                <w:rFonts w:ascii="Arial Narrow" w:hAnsi="Arial Narrow"/>
                <w:sz w:val="18"/>
                <w:szCs w:val="18"/>
              </w:rPr>
              <w:fldChar w:fldCharType="separate"/>
            </w:r>
            <w:r w:rsidRPr="003A5AE5">
              <w:rPr>
                <w:rFonts w:ascii="Arial Narrow" w:hAnsi="Arial Narrow"/>
                <w:sz w:val="18"/>
                <w:szCs w:val="18"/>
              </w:rPr>
              <w:fldChar w:fldCharType="end"/>
            </w:r>
            <w:r w:rsidRPr="003A5AE5">
              <w:rPr>
                <w:rFonts w:ascii="Arial Narrow" w:hAnsi="Arial Narrow"/>
                <w:sz w:val="18"/>
                <w:szCs w:val="18"/>
              </w:rPr>
              <w:t xml:space="preserve">Nurse practitioners     </w:t>
            </w:r>
            <w:r w:rsidRPr="003A5AE5">
              <w:rPr>
                <w:rFonts w:ascii="Arial Narrow" w:hAnsi="Arial Narrow"/>
                <w:sz w:val="18"/>
                <w:szCs w:val="18"/>
              </w:rPr>
              <w:fldChar w:fldCharType="begin">
                <w:ffData>
                  <w:name w:val=""/>
                  <w:enabled/>
                  <w:calcOnExit w:val="0"/>
                  <w:checkBox>
                    <w:sizeAuto/>
                    <w:default w:val="0"/>
                  </w:checkBox>
                </w:ffData>
              </w:fldChar>
            </w:r>
            <w:r w:rsidRPr="003A5AE5">
              <w:rPr>
                <w:rFonts w:ascii="Arial Narrow" w:hAnsi="Arial Narrow"/>
                <w:sz w:val="18"/>
                <w:szCs w:val="18"/>
              </w:rPr>
              <w:instrText xml:space="preserve"> FORMCHECKBOX </w:instrText>
            </w:r>
            <w:r w:rsidR="00BF2D4A">
              <w:rPr>
                <w:rFonts w:ascii="Arial Narrow" w:hAnsi="Arial Narrow"/>
                <w:sz w:val="18"/>
                <w:szCs w:val="18"/>
              </w:rPr>
            </w:r>
            <w:r w:rsidR="00BF2D4A">
              <w:rPr>
                <w:rFonts w:ascii="Arial Narrow" w:hAnsi="Arial Narrow"/>
                <w:sz w:val="18"/>
                <w:szCs w:val="18"/>
              </w:rPr>
              <w:fldChar w:fldCharType="separate"/>
            </w:r>
            <w:r w:rsidRPr="003A5AE5">
              <w:rPr>
                <w:rFonts w:ascii="Arial Narrow" w:hAnsi="Arial Narrow"/>
                <w:sz w:val="18"/>
                <w:szCs w:val="18"/>
              </w:rPr>
              <w:fldChar w:fldCharType="end"/>
            </w:r>
            <w:r w:rsidRPr="003A5AE5">
              <w:rPr>
                <w:rFonts w:ascii="Arial Narrow" w:hAnsi="Arial Narrow"/>
                <w:sz w:val="18"/>
                <w:szCs w:val="18"/>
              </w:rPr>
              <w:t xml:space="preserve">Optometrists    </w:t>
            </w:r>
            <w:r w:rsidRPr="003A5AE5">
              <w:rPr>
                <w:rFonts w:ascii="Arial Narrow" w:hAnsi="Arial Narrow"/>
                <w:sz w:val="18"/>
                <w:szCs w:val="18"/>
              </w:rPr>
              <w:fldChar w:fldCharType="begin">
                <w:ffData>
                  <w:name w:val="Check5"/>
                  <w:enabled/>
                  <w:calcOnExit w:val="0"/>
                  <w:checkBox>
                    <w:sizeAuto/>
                    <w:default w:val="0"/>
                  </w:checkBox>
                </w:ffData>
              </w:fldChar>
            </w:r>
            <w:r w:rsidRPr="003A5AE5">
              <w:rPr>
                <w:rFonts w:ascii="Arial Narrow" w:hAnsi="Arial Narrow"/>
                <w:sz w:val="18"/>
                <w:szCs w:val="18"/>
              </w:rPr>
              <w:instrText xml:space="preserve"> FORMCHECKBOX </w:instrText>
            </w:r>
            <w:r w:rsidR="00BF2D4A">
              <w:rPr>
                <w:rFonts w:ascii="Arial Narrow" w:hAnsi="Arial Narrow"/>
                <w:sz w:val="18"/>
                <w:szCs w:val="18"/>
              </w:rPr>
            </w:r>
            <w:r w:rsidR="00BF2D4A">
              <w:rPr>
                <w:rFonts w:ascii="Arial Narrow" w:hAnsi="Arial Narrow"/>
                <w:sz w:val="18"/>
                <w:szCs w:val="18"/>
              </w:rPr>
              <w:fldChar w:fldCharType="separate"/>
            </w:r>
            <w:r w:rsidRPr="003A5AE5">
              <w:rPr>
                <w:rFonts w:ascii="Arial Narrow" w:hAnsi="Arial Narrow"/>
                <w:sz w:val="18"/>
                <w:szCs w:val="18"/>
              </w:rPr>
              <w:fldChar w:fldCharType="end"/>
            </w:r>
            <w:r w:rsidRPr="003A5AE5">
              <w:rPr>
                <w:rFonts w:ascii="Arial Narrow" w:hAnsi="Arial Narrow"/>
                <w:sz w:val="18"/>
                <w:szCs w:val="18"/>
              </w:rPr>
              <w:t>Midwives</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bottom w:val="single" w:sz="4" w:space="0" w:color="auto"/>
              <w:right w:val="single" w:sz="4" w:space="0" w:color="auto"/>
            </w:tcBorders>
          </w:tcPr>
          <w:p w:rsidR="00B40C5B" w:rsidRPr="003A5AE5" w:rsidRDefault="00B40C5B" w:rsidP="00033ED9">
            <w:pPr>
              <w:rPr>
                <w:rFonts w:ascii="Arial Narrow" w:eastAsia="Calibri" w:hAnsi="Arial Narrow"/>
                <w:sz w:val="18"/>
                <w:szCs w:val="18"/>
              </w:rPr>
            </w:pPr>
            <w:r w:rsidRPr="003A5AE5">
              <w:rPr>
                <w:rFonts w:ascii="Arial Narrow" w:hAnsi="Arial Narrow"/>
                <w:b/>
                <w:sz w:val="18"/>
                <w:szCs w:val="18"/>
              </w:rPr>
              <w:t xml:space="preserve">Restriction type: </w:t>
            </w:r>
          </w:p>
          <w:p w:rsidR="00B40C5B" w:rsidRPr="003A5AE5" w:rsidRDefault="00B40C5B" w:rsidP="00033ED9">
            <w:pPr>
              <w:rPr>
                <w:rFonts w:ascii="Arial Narrow" w:eastAsia="Calibri" w:hAnsi="Arial Narrow"/>
                <w:color w:val="FF00FF"/>
                <w:sz w:val="18"/>
                <w:szCs w:val="18"/>
              </w:rPr>
            </w:pPr>
            <w:r w:rsidRPr="003A5AE5">
              <w:rPr>
                <w:rFonts w:ascii="Arial Narrow" w:eastAsia="Calibri" w:hAnsi="Arial Narrow"/>
                <w:sz w:val="18"/>
                <w:szCs w:val="18"/>
              </w:rPr>
              <w:fldChar w:fldCharType="begin">
                <w:ffData>
                  <w:name w:val=""/>
                  <w:enabled/>
                  <w:calcOnExit w:val="0"/>
                  <w:checkBox>
                    <w:sizeAuto/>
                    <w:default w:val="1"/>
                  </w:checkBox>
                </w:ffData>
              </w:fldChar>
            </w:r>
            <w:r w:rsidRPr="003A5AE5">
              <w:rPr>
                <w:rFonts w:ascii="Arial Narrow" w:eastAsia="Calibri" w:hAnsi="Arial Narrow"/>
                <w:sz w:val="18"/>
                <w:szCs w:val="18"/>
              </w:rPr>
              <w:instrText xml:space="preserve"> FORMCHECKBOX </w:instrText>
            </w:r>
            <w:r w:rsidR="00BF2D4A">
              <w:rPr>
                <w:rFonts w:ascii="Arial Narrow" w:eastAsia="Calibri" w:hAnsi="Arial Narrow"/>
                <w:sz w:val="18"/>
                <w:szCs w:val="18"/>
              </w:rPr>
            </w:r>
            <w:r w:rsidR="00BF2D4A">
              <w:rPr>
                <w:rFonts w:ascii="Arial Narrow" w:eastAsia="Calibri" w:hAnsi="Arial Narrow"/>
                <w:sz w:val="18"/>
                <w:szCs w:val="18"/>
              </w:rPr>
              <w:fldChar w:fldCharType="separate"/>
            </w:r>
            <w:r w:rsidRPr="003A5AE5">
              <w:rPr>
                <w:rFonts w:ascii="Arial Narrow" w:eastAsia="Calibri" w:hAnsi="Arial Narrow"/>
                <w:sz w:val="18"/>
                <w:szCs w:val="18"/>
              </w:rPr>
              <w:fldChar w:fldCharType="end"/>
            </w:r>
            <w:r w:rsidRPr="003A5AE5">
              <w:rPr>
                <w:rFonts w:ascii="Arial Narrow" w:eastAsia="Calibri" w:hAnsi="Arial Narrow"/>
                <w:sz w:val="18"/>
                <w:szCs w:val="18"/>
              </w:rPr>
              <w:t>Authority Required – Streamlined [new code]</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B40C5B" w:rsidRPr="003A5AE5" w:rsidRDefault="00B40C5B" w:rsidP="00033ED9">
            <w:pPr>
              <w:rPr>
                <w:rFonts w:ascii="Arial Narrow" w:hAnsi="Arial Narrow"/>
                <w:color w:val="333333"/>
                <w:sz w:val="18"/>
                <w:szCs w:val="18"/>
              </w:rPr>
            </w:pPr>
            <w:r w:rsidRPr="003A5AE5">
              <w:rPr>
                <w:rFonts w:ascii="Arial Narrow" w:hAnsi="Arial Narrow"/>
                <w:b/>
                <w:bCs/>
                <w:color w:val="333333"/>
                <w:sz w:val="18"/>
                <w:szCs w:val="18"/>
              </w:rPr>
              <w:t>Administrative Advice:</w:t>
            </w:r>
          </w:p>
          <w:p w:rsidR="00B40C5B" w:rsidRPr="003A5AE5" w:rsidRDefault="00B40C5B" w:rsidP="00033ED9">
            <w:pPr>
              <w:rPr>
                <w:rFonts w:ascii="Arial Narrow" w:hAnsi="Arial Narrow"/>
                <w:color w:val="333333"/>
                <w:sz w:val="18"/>
                <w:szCs w:val="18"/>
              </w:rPr>
            </w:pPr>
            <w:r w:rsidRPr="003A5AE5">
              <w:rPr>
                <w:rFonts w:ascii="Arial Narrow" w:hAnsi="Arial Narrow"/>
                <w:i/>
                <w:color w:val="333333"/>
                <w:sz w:val="18"/>
                <w:szCs w:val="18"/>
              </w:rPr>
              <w:t>This drug is</w:t>
            </w:r>
            <w:r w:rsidRPr="003A5AE5">
              <w:rPr>
                <w:rFonts w:ascii="Arial Narrow" w:hAnsi="Arial Narrow"/>
                <w:color w:val="333333"/>
                <w:sz w:val="18"/>
                <w:szCs w:val="18"/>
              </w:rPr>
              <w:t xml:space="preserve"> not </w:t>
            </w:r>
            <w:r w:rsidRPr="003A5AE5">
              <w:rPr>
                <w:rFonts w:ascii="Arial Narrow" w:hAnsi="Arial Narrow"/>
                <w:i/>
                <w:color w:val="333333"/>
                <w:sz w:val="18"/>
                <w:szCs w:val="18"/>
              </w:rPr>
              <w:t>PBS-</w:t>
            </w:r>
            <w:r w:rsidRPr="003A5AE5">
              <w:rPr>
                <w:rFonts w:ascii="Arial Narrow" w:hAnsi="Arial Narrow"/>
                <w:color w:val="333333"/>
                <w:sz w:val="18"/>
                <w:szCs w:val="18"/>
              </w:rPr>
              <w:t>subsidised if it is administered to an in-patient in a public hospital.</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B40C5B" w:rsidRPr="003A5AE5" w:rsidRDefault="00B40C5B" w:rsidP="00033ED9">
            <w:pPr>
              <w:rPr>
                <w:rFonts w:ascii="Arial Narrow" w:hAnsi="Arial Narrow"/>
                <w:b/>
                <w:bCs/>
                <w:i/>
                <w:color w:val="333333"/>
                <w:sz w:val="18"/>
                <w:szCs w:val="18"/>
              </w:rPr>
            </w:pPr>
            <w:r w:rsidRPr="003A5AE5">
              <w:rPr>
                <w:rFonts w:ascii="Arial Narrow" w:hAnsi="Arial Narrow"/>
                <w:b/>
                <w:bCs/>
                <w:i/>
                <w:color w:val="333333"/>
                <w:sz w:val="18"/>
                <w:szCs w:val="18"/>
              </w:rPr>
              <w:t xml:space="preserve">Administrative Advice: </w:t>
            </w:r>
            <w:r w:rsidRPr="003A5AE5">
              <w:rPr>
                <w:rFonts w:ascii="Arial Narrow" w:hAnsi="Arial Narrow"/>
                <w:bCs/>
                <w:i/>
                <w:color w:val="333333"/>
                <w:sz w:val="18"/>
                <w:szCs w:val="18"/>
              </w:rPr>
              <w:t>Special Pricing Arrangements apply.</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B40C5B" w:rsidRPr="003A5AE5" w:rsidRDefault="00B40C5B" w:rsidP="00033ED9">
            <w:pPr>
              <w:rPr>
                <w:rFonts w:ascii="Arial Narrow" w:hAnsi="Arial Narrow"/>
                <w:bCs/>
                <w:color w:val="333333"/>
                <w:sz w:val="18"/>
                <w:szCs w:val="18"/>
              </w:rPr>
            </w:pPr>
            <w:r w:rsidRPr="003A5AE5">
              <w:rPr>
                <w:rFonts w:ascii="Arial Narrow" w:hAnsi="Arial Narrow"/>
                <w:b/>
                <w:bCs/>
                <w:color w:val="333333"/>
                <w:sz w:val="18"/>
                <w:szCs w:val="18"/>
              </w:rPr>
              <w:t xml:space="preserve">Episodicity: </w:t>
            </w:r>
            <w:r w:rsidRPr="003A5AE5">
              <w:rPr>
                <w:rFonts w:ascii="Arial Narrow" w:hAnsi="Arial Narrow"/>
                <w:bCs/>
                <w:strike/>
                <w:color w:val="333333"/>
                <w:sz w:val="18"/>
                <w:szCs w:val="18"/>
              </w:rPr>
              <w:t>Soft tissue sarcoma is a progressive disease that is not episodic in nature</w:t>
            </w:r>
            <w:r w:rsidRPr="003A5AE5">
              <w:rPr>
                <w:rFonts w:ascii="Arial Narrow" w:hAnsi="Arial Narrow"/>
                <w:bCs/>
                <w:color w:val="333333"/>
                <w:sz w:val="18"/>
                <w:szCs w:val="18"/>
              </w:rPr>
              <w:t xml:space="preserve"> [not repeated again]</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B40C5B" w:rsidRPr="003A5AE5" w:rsidRDefault="00B40C5B" w:rsidP="00033ED9">
            <w:pPr>
              <w:rPr>
                <w:rFonts w:ascii="Arial Narrow" w:hAnsi="Arial Narrow"/>
                <w:b/>
                <w:bCs/>
                <w:color w:val="333333"/>
                <w:sz w:val="18"/>
                <w:szCs w:val="18"/>
              </w:rPr>
            </w:pPr>
            <w:r w:rsidRPr="003A5AE5">
              <w:rPr>
                <w:rFonts w:ascii="Arial Narrow" w:hAnsi="Arial Narrow"/>
                <w:b/>
                <w:bCs/>
                <w:color w:val="333333"/>
                <w:sz w:val="18"/>
                <w:szCs w:val="18"/>
              </w:rPr>
              <w:t xml:space="preserve">Severity: </w:t>
            </w:r>
            <w:r w:rsidRPr="003A5AE5">
              <w:rPr>
                <w:rFonts w:ascii="Arial Narrow" w:hAnsi="Arial Narrow"/>
                <w:bCs/>
                <w:color w:val="000000" w:themeColor="text1"/>
                <w:sz w:val="18"/>
                <w:szCs w:val="18"/>
              </w:rPr>
              <w:t>Advanced (unresectable and/or metastatic)</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B40C5B" w:rsidRPr="003A5AE5" w:rsidRDefault="00B40C5B" w:rsidP="00033ED9">
            <w:pPr>
              <w:rPr>
                <w:rFonts w:ascii="Arial Narrow" w:hAnsi="Arial Narrow"/>
                <w:b/>
                <w:bCs/>
                <w:color w:val="333333"/>
                <w:sz w:val="18"/>
                <w:szCs w:val="18"/>
              </w:rPr>
            </w:pPr>
            <w:r w:rsidRPr="003A5AE5">
              <w:rPr>
                <w:rFonts w:ascii="Arial Narrow" w:hAnsi="Arial Narrow"/>
                <w:b/>
                <w:bCs/>
                <w:color w:val="333333"/>
                <w:sz w:val="18"/>
                <w:szCs w:val="18"/>
              </w:rPr>
              <w:t>Condition:</w:t>
            </w:r>
            <w:r w:rsidRPr="003A5AE5">
              <w:rPr>
                <w:rFonts w:ascii="Arial Narrow" w:hAnsi="Arial Narrow"/>
                <w:b/>
                <w:bCs/>
                <w:i/>
                <w:color w:val="333333"/>
                <w:sz w:val="18"/>
                <w:szCs w:val="18"/>
              </w:rPr>
              <w:t xml:space="preserve"> </w:t>
            </w:r>
            <w:r w:rsidRPr="003A5AE5">
              <w:rPr>
                <w:rFonts w:ascii="Arial Narrow" w:hAnsi="Arial Narrow"/>
                <w:bCs/>
                <w:i/>
                <w:color w:val="333333"/>
                <w:sz w:val="18"/>
                <w:szCs w:val="18"/>
              </w:rPr>
              <w:t>Leiomyosarcoma</w:t>
            </w:r>
            <w:r w:rsidRPr="003A5AE5">
              <w:rPr>
                <w:rFonts w:ascii="Arial Narrow" w:hAnsi="Arial Narrow"/>
                <w:bCs/>
                <w:color w:val="333333"/>
                <w:sz w:val="18"/>
                <w:szCs w:val="18"/>
              </w:rPr>
              <w:t xml:space="preserve"> </w:t>
            </w:r>
            <w:r w:rsidRPr="003A5AE5">
              <w:rPr>
                <w:rFonts w:ascii="Arial Narrow" w:hAnsi="Arial Narrow"/>
                <w:bCs/>
                <w:strike/>
                <w:color w:val="333333"/>
                <w:sz w:val="18"/>
                <w:szCs w:val="18"/>
              </w:rPr>
              <w:t>Soft Tissue Sarcoma</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hideMark/>
          </w:tcPr>
          <w:p w:rsidR="00B40C5B" w:rsidRPr="003A5AE5" w:rsidRDefault="00B40C5B" w:rsidP="00033ED9">
            <w:pPr>
              <w:rPr>
                <w:rFonts w:ascii="Arial Narrow" w:hAnsi="Arial Narrow"/>
                <w:color w:val="333333"/>
                <w:sz w:val="18"/>
                <w:szCs w:val="18"/>
              </w:rPr>
            </w:pPr>
            <w:r w:rsidRPr="003A5AE5">
              <w:rPr>
                <w:rFonts w:ascii="Arial Narrow" w:hAnsi="Arial Narrow"/>
                <w:b/>
                <w:bCs/>
                <w:color w:val="333333"/>
                <w:sz w:val="18"/>
                <w:szCs w:val="18"/>
              </w:rPr>
              <w:t>Indication:</w:t>
            </w:r>
            <w:r w:rsidRPr="003A5AE5">
              <w:rPr>
                <w:rFonts w:ascii="Arial Narrow" w:hAnsi="Arial Narrow"/>
                <w:color w:val="333333"/>
                <w:sz w:val="18"/>
                <w:szCs w:val="18"/>
              </w:rPr>
              <w:t xml:space="preserve"> </w:t>
            </w:r>
            <w:r w:rsidRPr="003A5AE5">
              <w:rPr>
                <w:rFonts w:ascii="Arial Narrow" w:hAnsi="Arial Narrow"/>
                <w:bCs/>
                <w:color w:val="000000" w:themeColor="text1"/>
                <w:sz w:val="18"/>
                <w:szCs w:val="18"/>
              </w:rPr>
              <w:t>Advanced (unresectable and/or metastatic) leiomyosarcoma</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hideMark/>
          </w:tcPr>
          <w:p w:rsidR="00B40C5B" w:rsidRPr="003A5AE5" w:rsidRDefault="00B40C5B" w:rsidP="00033ED9">
            <w:pPr>
              <w:rPr>
                <w:rFonts w:ascii="Arial Narrow" w:hAnsi="Arial Narrow"/>
                <w:color w:val="FF00FF"/>
                <w:sz w:val="18"/>
                <w:szCs w:val="18"/>
              </w:rPr>
            </w:pPr>
            <w:r w:rsidRPr="003A5AE5">
              <w:rPr>
                <w:rFonts w:ascii="Arial Narrow" w:hAnsi="Arial Narrow"/>
                <w:b/>
                <w:bCs/>
                <w:color w:val="333333"/>
                <w:sz w:val="18"/>
                <w:szCs w:val="18"/>
              </w:rPr>
              <w:t>Treatment Phase:</w:t>
            </w:r>
            <w:r w:rsidRPr="003A5AE5">
              <w:rPr>
                <w:rFonts w:ascii="Arial Narrow" w:hAnsi="Arial Narrow"/>
                <w:color w:val="333333"/>
                <w:sz w:val="18"/>
                <w:szCs w:val="18"/>
              </w:rPr>
              <w:t xml:space="preserve"> </w:t>
            </w:r>
            <w:r w:rsidRPr="003A5AE5">
              <w:rPr>
                <w:rFonts w:ascii="Arial Narrow" w:hAnsi="Arial Narrow"/>
                <w:color w:val="000000" w:themeColor="text1"/>
                <w:sz w:val="18"/>
                <w:szCs w:val="18"/>
              </w:rPr>
              <w:t xml:space="preserve">Initial treatment  </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B40C5B" w:rsidRPr="003A5AE5" w:rsidRDefault="00B40C5B" w:rsidP="00033ED9">
            <w:pPr>
              <w:rPr>
                <w:rFonts w:ascii="Arial Narrow" w:hAnsi="Arial Narrow"/>
                <w:b/>
                <w:bCs/>
                <w:strike/>
                <w:color w:val="333333"/>
                <w:sz w:val="18"/>
                <w:szCs w:val="18"/>
              </w:rPr>
            </w:pPr>
            <w:r w:rsidRPr="003A5AE5">
              <w:rPr>
                <w:rFonts w:ascii="Arial Narrow" w:hAnsi="Arial Narrow"/>
                <w:b/>
                <w:bCs/>
                <w:strike/>
                <w:color w:val="333333"/>
                <w:sz w:val="18"/>
                <w:szCs w:val="18"/>
              </w:rPr>
              <w:t>Clinical criteria:</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B40C5B" w:rsidRPr="003A5AE5" w:rsidRDefault="00B40C5B" w:rsidP="00033ED9">
            <w:pPr>
              <w:rPr>
                <w:rFonts w:ascii="Arial Narrow" w:hAnsi="Arial Narrow"/>
                <w:b/>
                <w:bCs/>
                <w:strike/>
                <w:color w:val="333333"/>
                <w:sz w:val="18"/>
                <w:szCs w:val="18"/>
              </w:rPr>
            </w:pPr>
            <w:r w:rsidRPr="003A5AE5">
              <w:rPr>
                <w:rFonts w:ascii="Arial Narrow" w:hAnsi="Arial Narrow" w:cs="Times New Roman"/>
                <w:strike/>
                <w:color w:val="000000" w:themeColor="text1"/>
                <w:sz w:val="18"/>
                <w:szCs w:val="18"/>
              </w:rPr>
              <w:t>Patient must have leiomyosarcoma</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B40C5B" w:rsidRPr="003A5AE5" w:rsidRDefault="00B40C5B" w:rsidP="00033ED9">
            <w:pPr>
              <w:rPr>
                <w:rFonts w:ascii="Arial Narrow" w:hAnsi="Arial Narrow"/>
                <w:b/>
                <w:bCs/>
                <w:strike/>
                <w:color w:val="333333"/>
                <w:sz w:val="18"/>
                <w:szCs w:val="18"/>
              </w:rPr>
            </w:pPr>
            <w:r w:rsidRPr="003A5AE5">
              <w:rPr>
                <w:rFonts w:ascii="Arial Narrow" w:hAnsi="Arial Narrow"/>
                <w:b/>
                <w:bCs/>
                <w:strike/>
                <w:color w:val="333333"/>
                <w:sz w:val="18"/>
                <w:szCs w:val="18"/>
              </w:rPr>
              <w:t>AND</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hideMark/>
          </w:tcPr>
          <w:p w:rsidR="00B40C5B" w:rsidRPr="003A5AE5" w:rsidRDefault="00B40C5B" w:rsidP="00033ED9">
            <w:pPr>
              <w:rPr>
                <w:rFonts w:ascii="Arial Narrow" w:hAnsi="Arial Narrow"/>
                <w:color w:val="FF00FF"/>
                <w:sz w:val="18"/>
                <w:szCs w:val="18"/>
              </w:rPr>
            </w:pPr>
            <w:r w:rsidRPr="003A5AE5">
              <w:rPr>
                <w:rFonts w:ascii="Arial Narrow" w:hAnsi="Arial Narrow"/>
                <w:b/>
                <w:bCs/>
                <w:color w:val="333333"/>
                <w:sz w:val="18"/>
                <w:szCs w:val="18"/>
              </w:rPr>
              <w:t>Clinical criteria:</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hideMark/>
          </w:tcPr>
          <w:p w:rsidR="00B40C5B" w:rsidRPr="003A5AE5" w:rsidRDefault="00B40C5B" w:rsidP="00033ED9">
            <w:pPr>
              <w:rPr>
                <w:rFonts w:ascii="Arial Narrow" w:hAnsi="Arial Narrow"/>
                <w:color w:val="333333"/>
                <w:sz w:val="18"/>
                <w:szCs w:val="18"/>
              </w:rPr>
            </w:pPr>
            <w:r w:rsidRPr="003A5AE5">
              <w:rPr>
                <w:rFonts w:ascii="Arial Narrow" w:hAnsi="Arial Narrow"/>
                <w:color w:val="333333"/>
                <w:sz w:val="18"/>
                <w:szCs w:val="18"/>
              </w:rPr>
              <w:t>Patient must have an ECOG performance status of 2 or less</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hideMark/>
          </w:tcPr>
          <w:p w:rsidR="00B40C5B" w:rsidRPr="003A5AE5" w:rsidRDefault="00B40C5B" w:rsidP="00033ED9">
            <w:pPr>
              <w:rPr>
                <w:rFonts w:ascii="Arial Narrow" w:hAnsi="Arial Narrow"/>
                <w:color w:val="333333"/>
                <w:sz w:val="18"/>
                <w:szCs w:val="18"/>
              </w:rPr>
            </w:pPr>
            <w:r w:rsidRPr="003A5AE5">
              <w:rPr>
                <w:rFonts w:ascii="Arial Narrow" w:hAnsi="Arial Narrow"/>
                <w:b/>
                <w:bCs/>
                <w:color w:val="333333"/>
                <w:sz w:val="18"/>
                <w:szCs w:val="18"/>
              </w:rPr>
              <w:t>AND</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hideMark/>
          </w:tcPr>
          <w:p w:rsidR="00B40C5B" w:rsidRPr="003A5AE5" w:rsidRDefault="00B40C5B" w:rsidP="00033ED9">
            <w:pPr>
              <w:rPr>
                <w:rFonts w:ascii="Arial Narrow" w:hAnsi="Arial Narrow"/>
                <w:color w:val="333333"/>
                <w:sz w:val="18"/>
                <w:szCs w:val="18"/>
              </w:rPr>
            </w:pPr>
            <w:r w:rsidRPr="003A5AE5">
              <w:rPr>
                <w:rFonts w:ascii="Arial Narrow" w:hAnsi="Arial Narrow"/>
                <w:b/>
                <w:bCs/>
                <w:color w:val="333333"/>
                <w:sz w:val="18"/>
                <w:szCs w:val="18"/>
              </w:rPr>
              <w:t>Clinical criteria:</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hideMark/>
          </w:tcPr>
          <w:p w:rsidR="00B40C5B" w:rsidRPr="003A5AE5" w:rsidRDefault="00B40C5B" w:rsidP="00033ED9">
            <w:pPr>
              <w:rPr>
                <w:rFonts w:ascii="Arial Narrow" w:hAnsi="Arial Narrow"/>
                <w:color w:val="333333"/>
                <w:sz w:val="18"/>
                <w:szCs w:val="18"/>
              </w:rPr>
            </w:pPr>
            <w:r w:rsidRPr="003A5AE5">
              <w:rPr>
                <w:rFonts w:ascii="Arial Narrow" w:hAnsi="Arial Narrow"/>
                <w:color w:val="333333"/>
                <w:sz w:val="18"/>
                <w:szCs w:val="18"/>
              </w:rPr>
              <w:t>Patient must have received prior chemotherapy treatment including an anthracycline</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B40C5B" w:rsidRPr="003A5AE5" w:rsidRDefault="00B40C5B" w:rsidP="00033ED9">
            <w:pPr>
              <w:rPr>
                <w:rFonts w:ascii="Arial Narrow" w:hAnsi="Arial Narrow"/>
                <w:color w:val="333333"/>
                <w:sz w:val="18"/>
                <w:szCs w:val="18"/>
              </w:rPr>
            </w:pPr>
            <w:r w:rsidRPr="003A5AE5">
              <w:rPr>
                <w:rFonts w:ascii="Arial Narrow" w:hAnsi="Arial Narrow"/>
                <w:b/>
                <w:bCs/>
                <w:color w:val="333333"/>
                <w:sz w:val="18"/>
                <w:szCs w:val="18"/>
              </w:rPr>
              <w:t>AND</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B40C5B" w:rsidRPr="003A5AE5" w:rsidRDefault="00B40C5B" w:rsidP="00033ED9">
            <w:pPr>
              <w:rPr>
                <w:rFonts w:ascii="Arial Narrow" w:hAnsi="Arial Narrow"/>
                <w:color w:val="333333"/>
                <w:sz w:val="18"/>
                <w:szCs w:val="18"/>
              </w:rPr>
            </w:pPr>
            <w:r w:rsidRPr="003A5AE5">
              <w:rPr>
                <w:rFonts w:ascii="Arial Narrow" w:hAnsi="Arial Narrow"/>
                <w:b/>
                <w:bCs/>
                <w:color w:val="333333"/>
                <w:sz w:val="18"/>
                <w:szCs w:val="18"/>
              </w:rPr>
              <w:t>Clinical criteria:</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B40C5B" w:rsidRPr="003A5AE5" w:rsidRDefault="00B40C5B" w:rsidP="00033ED9">
            <w:pPr>
              <w:rPr>
                <w:rFonts w:ascii="Arial Narrow" w:hAnsi="Arial Narrow"/>
                <w:color w:val="333333"/>
                <w:sz w:val="18"/>
                <w:szCs w:val="18"/>
              </w:rPr>
            </w:pPr>
            <w:r w:rsidRPr="003A5AE5">
              <w:rPr>
                <w:rFonts w:ascii="Arial Narrow" w:hAnsi="Arial Narrow"/>
                <w:color w:val="333333"/>
                <w:sz w:val="18"/>
                <w:szCs w:val="18"/>
              </w:rPr>
              <w:t>The treatment must be the sole PBS-subsidised therapy for this condition.</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B40C5B" w:rsidRPr="003A5AE5" w:rsidRDefault="00B40C5B" w:rsidP="00033ED9">
            <w:pPr>
              <w:rPr>
                <w:rFonts w:ascii="Arial Narrow" w:hAnsi="Arial Narrow"/>
                <w:color w:val="333333"/>
                <w:sz w:val="18"/>
                <w:szCs w:val="18"/>
              </w:rPr>
            </w:pPr>
            <w:r w:rsidRPr="003A5AE5">
              <w:rPr>
                <w:rFonts w:ascii="Arial Narrow" w:hAnsi="Arial Narrow"/>
                <w:b/>
                <w:color w:val="333333"/>
                <w:sz w:val="18"/>
                <w:szCs w:val="18"/>
              </w:rPr>
              <w:t>AND</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B40C5B" w:rsidRPr="003A5AE5" w:rsidRDefault="00B40C5B" w:rsidP="00033ED9">
            <w:pPr>
              <w:rPr>
                <w:rFonts w:ascii="Arial Narrow" w:hAnsi="Arial Narrow"/>
                <w:b/>
                <w:color w:val="333333"/>
                <w:sz w:val="18"/>
                <w:szCs w:val="18"/>
              </w:rPr>
            </w:pPr>
            <w:r w:rsidRPr="003A5AE5">
              <w:rPr>
                <w:rFonts w:ascii="Arial Narrow" w:hAnsi="Arial Narrow"/>
                <w:b/>
                <w:color w:val="333333"/>
                <w:sz w:val="18"/>
                <w:szCs w:val="18"/>
              </w:rPr>
              <w:t>Population criteria:</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B40C5B" w:rsidRPr="003A5AE5" w:rsidRDefault="00B40C5B" w:rsidP="00033ED9">
            <w:pPr>
              <w:rPr>
                <w:rFonts w:ascii="Arial Narrow" w:hAnsi="Arial Narrow"/>
                <w:color w:val="333333"/>
                <w:sz w:val="18"/>
                <w:szCs w:val="18"/>
              </w:rPr>
            </w:pPr>
            <w:r w:rsidRPr="003A5AE5">
              <w:rPr>
                <w:rFonts w:ascii="Arial Narrow" w:hAnsi="Arial Narrow"/>
                <w:color w:val="333333"/>
                <w:sz w:val="18"/>
                <w:szCs w:val="18"/>
              </w:rPr>
              <w:t>Patient must be aged 18 years or older.</w:t>
            </w:r>
          </w:p>
        </w:tc>
      </w:tr>
    </w:tbl>
    <w:p w:rsidR="00A611A5" w:rsidRPr="003A5AE5" w:rsidRDefault="00A611A5" w:rsidP="00033ED9"/>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559"/>
        <w:gridCol w:w="1134"/>
        <w:gridCol w:w="1276"/>
        <w:gridCol w:w="2551"/>
      </w:tblGrid>
      <w:tr w:rsidR="00EE7F22" w:rsidRPr="003A5AE5" w:rsidTr="00EE7F22">
        <w:trPr>
          <w:cantSplit/>
          <w:trHeight w:val="471"/>
        </w:trPr>
        <w:tc>
          <w:tcPr>
            <w:tcW w:w="2547" w:type="dxa"/>
          </w:tcPr>
          <w:p w:rsidR="00EE7F22" w:rsidRPr="003A5AE5" w:rsidRDefault="00EE7F22" w:rsidP="00033ED9">
            <w:pPr>
              <w:keepNext/>
              <w:ind w:left="-57"/>
              <w:rPr>
                <w:rFonts w:ascii="Arial Narrow" w:hAnsi="Arial Narrow"/>
                <w:b/>
                <w:sz w:val="18"/>
                <w:szCs w:val="18"/>
              </w:rPr>
            </w:pPr>
            <w:r w:rsidRPr="003A5AE5">
              <w:rPr>
                <w:rFonts w:ascii="Arial Narrow" w:hAnsi="Arial Narrow"/>
                <w:b/>
                <w:sz w:val="18"/>
                <w:szCs w:val="18"/>
              </w:rPr>
              <w:t>MEDICINAL PRODUCT</w:t>
            </w:r>
          </w:p>
          <w:p w:rsidR="00EE7F22" w:rsidRPr="003A5AE5" w:rsidRDefault="00EE7F22" w:rsidP="00033ED9">
            <w:pPr>
              <w:keepNext/>
              <w:ind w:left="-57"/>
              <w:rPr>
                <w:rFonts w:ascii="Arial Narrow" w:hAnsi="Arial Narrow"/>
                <w:b/>
                <w:sz w:val="18"/>
                <w:szCs w:val="18"/>
              </w:rPr>
            </w:pPr>
            <w:r w:rsidRPr="003A5AE5">
              <w:rPr>
                <w:rFonts w:ascii="Arial Narrow" w:hAnsi="Arial Narrow"/>
                <w:b/>
                <w:sz w:val="18"/>
                <w:szCs w:val="18"/>
              </w:rPr>
              <w:t>Form</w:t>
            </w:r>
          </w:p>
        </w:tc>
        <w:tc>
          <w:tcPr>
            <w:tcW w:w="1559" w:type="dxa"/>
          </w:tcPr>
          <w:p w:rsidR="00EE7F22" w:rsidRPr="003A5AE5" w:rsidRDefault="00EE7F22" w:rsidP="00033ED9">
            <w:pPr>
              <w:keepNext/>
              <w:ind w:left="-108"/>
              <w:jc w:val="center"/>
              <w:rPr>
                <w:rFonts w:ascii="Arial Narrow" w:hAnsi="Arial Narrow"/>
                <w:b/>
                <w:sz w:val="18"/>
                <w:szCs w:val="18"/>
              </w:rPr>
            </w:pPr>
            <w:r w:rsidRPr="003A5AE5">
              <w:rPr>
                <w:rFonts w:ascii="Arial Narrow" w:hAnsi="Arial Narrow"/>
                <w:b/>
                <w:sz w:val="18"/>
                <w:szCs w:val="18"/>
              </w:rPr>
              <w:t>PBS item code</w:t>
            </w:r>
          </w:p>
        </w:tc>
        <w:tc>
          <w:tcPr>
            <w:tcW w:w="1134" w:type="dxa"/>
          </w:tcPr>
          <w:p w:rsidR="00EE7F22" w:rsidRPr="003A5AE5" w:rsidRDefault="00EE7F22" w:rsidP="00033ED9">
            <w:pPr>
              <w:keepNext/>
              <w:ind w:left="-108"/>
              <w:jc w:val="center"/>
              <w:rPr>
                <w:rFonts w:ascii="Arial Narrow" w:hAnsi="Arial Narrow"/>
                <w:b/>
                <w:sz w:val="18"/>
                <w:szCs w:val="18"/>
              </w:rPr>
            </w:pPr>
            <w:r w:rsidRPr="003A5AE5">
              <w:rPr>
                <w:rFonts w:ascii="Arial Narrow" w:hAnsi="Arial Narrow"/>
                <w:b/>
                <w:sz w:val="18"/>
                <w:szCs w:val="18"/>
              </w:rPr>
              <w:t>Max.</w:t>
            </w:r>
          </w:p>
          <w:p w:rsidR="00EE7F22" w:rsidRPr="003A5AE5" w:rsidRDefault="00EE7F22" w:rsidP="00033ED9">
            <w:pPr>
              <w:keepNext/>
              <w:ind w:left="-108"/>
              <w:jc w:val="center"/>
              <w:rPr>
                <w:rFonts w:ascii="Arial Narrow" w:hAnsi="Arial Narrow"/>
                <w:b/>
                <w:sz w:val="18"/>
                <w:szCs w:val="18"/>
              </w:rPr>
            </w:pPr>
            <w:r w:rsidRPr="003A5AE5">
              <w:rPr>
                <w:rFonts w:ascii="Arial Narrow" w:hAnsi="Arial Narrow"/>
                <w:b/>
                <w:sz w:val="18"/>
                <w:szCs w:val="18"/>
              </w:rPr>
              <w:t>Amount</w:t>
            </w:r>
          </w:p>
        </w:tc>
        <w:tc>
          <w:tcPr>
            <w:tcW w:w="1276" w:type="dxa"/>
          </w:tcPr>
          <w:p w:rsidR="00EE7F22" w:rsidRPr="003A5AE5" w:rsidRDefault="00EE7F22" w:rsidP="00033ED9">
            <w:pPr>
              <w:keepNext/>
              <w:ind w:left="-108"/>
              <w:jc w:val="center"/>
              <w:rPr>
                <w:rFonts w:ascii="Arial Narrow" w:hAnsi="Arial Narrow"/>
                <w:b/>
                <w:sz w:val="18"/>
                <w:szCs w:val="18"/>
              </w:rPr>
            </w:pPr>
            <w:r w:rsidRPr="003A5AE5">
              <w:rPr>
                <w:rFonts w:ascii="Arial Narrow" w:hAnsi="Arial Narrow"/>
                <w:b/>
                <w:sz w:val="18"/>
                <w:szCs w:val="18"/>
              </w:rPr>
              <w:t>№.of Rpts</w:t>
            </w:r>
          </w:p>
        </w:tc>
        <w:tc>
          <w:tcPr>
            <w:tcW w:w="2551" w:type="dxa"/>
          </w:tcPr>
          <w:p w:rsidR="00EE7F22" w:rsidRPr="003A5AE5" w:rsidRDefault="00EE7F22" w:rsidP="00033ED9">
            <w:pPr>
              <w:keepNext/>
              <w:ind w:left="-108"/>
              <w:jc w:val="center"/>
              <w:rPr>
                <w:rFonts w:ascii="Arial Narrow" w:hAnsi="Arial Narrow"/>
                <w:b/>
                <w:sz w:val="18"/>
                <w:szCs w:val="18"/>
              </w:rPr>
            </w:pPr>
            <w:r w:rsidRPr="003A5AE5">
              <w:rPr>
                <w:rFonts w:ascii="Arial Narrow" w:hAnsi="Arial Narrow"/>
                <w:b/>
                <w:sz w:val="20"/>
                <w:szCs w:val="20"/>
              </w:rPr>
              <w:t>Dispensed price for maximum amount</w:t>
            </w:r>
          </w:p>
        </w:tc>
      </w:tr>
      <w:tr w:rsidR="00EE7F22" w:rsidRPr="003A5AE5" w:rsidTr="00EE7F22">
        <w:trPr>
          <w:cantSplit/>
          <w:trHeight w:val="577"/>
        </w:trPr>
        <w:tc>
          <w:tcPr>
            <w:tcW w:w="2547" w:type="dxa"/>
          </w:tcPr>
          <w:p w:rsidR="00EE7F22" w:rsidRPr="003A5AE5" w:rsidRDefault="00EE7F22" w:rsidP="00033ED9">
            <w:pPr>
              <w:keepNext/>
              <w:ind w:left="-57"/>
              <w:rPr>
                <w:rFonts w:ascii="Arial Narrow" w:hAnsi="Arial Narrow"/>
                <w:sz w:val="18"/>
                <w:szCs w:val="18"/>
              </w:rPr>
            </w:pPr>
            <w:r w:rsidRPr="003A5AE5">
              <w:rPr>
                <w:rFonts w:ascii="Arial Narrow" w:hAnsi="Arial Narrow"/>
                <w:sz w:val="18"/>
                <w:szCs w:val="18"/>
              </w:rPr>
              <w:t>TRABECTEDIN</w:t>
            </w:r>
          </w:p>
          <w:p w:rsidR="00EE7F22" w:rsidRPr="003A5AE5" w:rsidRDefault="00EE7F22" w:rsidP="00033ED9">
            <w:pPr>
              <w:keepNext/>
              <w:ind w:left="-57"/>
              <w:rPr>
                <w:rFonts w:ascii="Arial Narrow" w:hAnsi="Arial Narrow" w:cs="Arial Narrow"/>
                <w:sz w:val="18"/>
                <w:szCs w:val="18"/>
              </w:rPr>
            </w:pPr>
            <w:r w:rsidRPr="003A5AE5">
              <w:rPr>
                <w:rFonts w:ascii="Arial Narrow" w:hAnsi="Arial Narrow" w:cs="Arial Narrow"/>
                <w:sz w:val="18"/>
                <w:szCs w:val="18"/>
              </w:rPr>
              <w:t>Powder for I.V. infusion, 0.25mg</w:t>
            </w:r>
          </w:p>
          <w:p w:rsidR="00EE7F22" w:rsidRPr="003A5AE5" w:rsidRDefault="00EE7F22" w:rsidP="00033ED9">
            <w:pPr>
              <w:keepNext/>
              <w:ind w:left="-57"/>
              <w:rPr>
                <w:rFonts w:ascii="Arial Narrow" w:hAnsi="Arial Narrow"/>
                <w:sz w:val="18"/>
                <w:szCs w:val="18"/>
              </w:rPr>
            </w:pPr>
            <w:r w:rsidRPr="003A5AE5">
              <w:rPr>
                <w:rFonts w:ascii="Arial Narrow" w:hAnsi="Arial Narrow" w:cs="Arial Narrow"/>
                <w:sz w:val="18"/>
                <w:szCs w:val="18"/>
              </w:rPr>
              <w:t>Powder for I.V. infusion, 1 mg</w:t>
            </w:r>
          </w:p>
        </w:tc>
        <w:tc>
          <w:tcPr>
            <w:tcW w:w="1559" w:type="dxa"/>
          </w:tcPr>
          <w:p w:rsidR="00EE7F22" w:rsidRPr="003A5AE5" w:rsidRDefault="00EE7F22" w:rsidP="00033ED9">
            <w:pPr>
              <w:keepNext/>
              <w:ind w:left="-108"/>
              <w:jc w:val="center"/>
              <w:rPr>
                <w:rFonts w:ascii="Arial Narrow" w:hAnsi="Arial Narrow"/>
                <w:sz w:val="18"/>
                <w:szCs w:val="18"/>
              </w:rPr>
            </w:pPr>
          </w:p>
          <w:p w:rsidR="00EE7F22" w:rsidRPr="003A5AE5" w:rsidRDefault="00EE7F22" w:rsidP="00033ED9">
            <w:pPr>
              <w:keepNext/>
              <w:ind w:left="-108"/>
              <w:jc w:val="center"/>
              <w:rPr>
                <w:rFonts w:ascii="Arial Narrow" w:hAnsi="Arial Narrow"/>
                <w:sz w:val="18"/>
                <w:szCs w:val="18"/>
              </w:rPr>
            </w:pPr>
            <w:r w:rsidRPr="003A5AE5">
              <w:rPr>
                <w:rFonts w:ascii="Arial Narrow" w:hAnsi="Arial Narrow"/>
                <w:sz w:val="18"/>
                <w:szCs w:val="18"/>
              </w:rPr>
              <w:t>NEW (Public)</w:t>
            </w:r>
          </w:p>
          <w:p w:rsidR="00EE7F22" w:rsidRPr="003A5AE5" w:rsidRDefault="00EE7F22" w:rsidP="00033ED9">
            <w:pPr>
              <w:keepNext/>
              <w:ind w:left="-108"/>
              <w:jc w:val="center"/>
              <w:rPr>
                <w:rFonts w:ascii="Arial Narrow" w:hAnsi="Arial Narrow"/>
                <w:sz w:val="18"/>
                <w:szCs w:val="18"/>
              </w:rPr>
            </w:pPr>
            <w:r w:rsidRPr="003A5AE5">
              <w:rPr>
                <w:rFonts w:ascii="Arial Narrow" w:hAnsi="Arial Narrow"/>
                <w:sz w:val="18"/>
                <w:szCs w:val="18"/>
              </w:rPr>
              <w:t>NEW (Private)</w:t>
            </w:r>
          </w:p>
        </w:tc>
        <w:tc>
          <w:tcPr>
            <w:tcW w:w="1134" w:type="dxa"/>
          </w:tcPr>
          <w:p w:rsidR="00EE7F22" w:rsidRPr="003A5AE5" w:rsidRDefault="00EE7F22" w:rsidP="00033ED9">
            <w:pPr>
              <w:keepNext/>
              <w:jc w:val="center"/>
              <w:rPr>
                <w:rFonts w:ascii="Arial Narrow" w:hAnsi="Arial Narrow"/>
                <w:sz w:val="18"/>
                <w:szCs w:val="18"/>
              </w:rPr>
            </w:pPr>
            <w:r w:rsidRPr="003A5AE5">
              <w:rPr>
                <w:rFonts w:ascii="Arial Narrow" w:hAnsi="Arial Narrow"/>
                <w:sz w:val="18"/>
                <w:szCs w:val="18"/>
              </w:rPr>
              <w:t>3.25mg</w:t>
            </w:r>
          </w:p>
        </w:tc>
        <w:tc>
          <w:tcPr>
            <w:tcW w:w="1276" w:type="dxa"/>
          </w:tcPr>
          <w:p w:rsidR="00EE7F22" w:rsidRPr="003A5AE5" w:rsidRDefault="00EE7F22" w:rsidP="00033ED9">
            <w:pPr>
              <w:keepNext/>
              <w:jc w:val="center"/>
              <w:rPr>
                <w:rFonts w:ascii="Arial Narrow" w:hAnsi="Arial Narrow"/>
                <w:sz w:val="18"/>
                <w:szCs w:val="18"/>
              </w:rPr>
            </w:pPr>
            <w:r w:rsidRPr="003A5AE5">
              <w:rPr>
                <w:rFonts w:ascii="Arial Narrow" w:hAnsi="Arial Narrow"/>
                <w:strike/>
                <w:sz w:val="18"/>
                <w:szCs w:val="18"/>
              </w:rPr>
              <w:t>5</w:t>
            </w:r>
            <w:r w:rsidRPr="003A5AE5">
              <w:rPr>
                <w:rFonts w:ascii="Arial Narrow" w:hAnsi="Arial Narrow"/>
                <w:sz w:val="18"/>
                <w:szCs w:val="18"/>
              </w:rPr>
              <w:t xml:space="preserve"> </w:t>
            </w:r>
            <w:r w:rsidRPr="003A5AE5">
              <w:rPr>
                <w:rFonts w:ascii="Arial Narrow" w:hAnsi="Arial Narrow"/>
                <w:i/>
                <w:sz w:val="18"/>
                <w:szCs w:val="18"/>
              </w:rPr>
              <w:t>7</w:t>
            </w:r>
          </w:p>
        </w:tc>
        <w:tc>
          <w:tcPr>
            <w:tcW w:w="2551" w:type="dxa"/>
          </w:tcPr>
          <w:p w:rsidR="00EE7F22" w:rsidRPr="003A5AE5" w:rsidRDefault="00EE7F22" w:rsidP="00033ED9">
            <w:pPr>
              <w:jc w:val="left"/>
              <w:rPr>
                <w:rFonts w:ascii="Arial Narrow" w:hAnsi="Arial Narrow"/>
                <w:sz w:val="20"/>
                <w:szCs w:val="20"/>
              </w:rPr>
            </w:pPr>
            <w:r w:rsidRPr="003A5AE5">
              <w:rPr>
                <w:rFonts w:ascii="Arial Narrow" w:hAnsi="Arial Narrow"/>
                <w:sz w:val="20"/>
                <w:szCs w:val="20"/>
              </w:rPr>
              <w:t>Published:</w:t>
            </w:r>
          </w:p>
          <w:p w:rsidR="00EE7F22" w:rsidRPr="003A5AE5" w:rsidRDefault="00EE7F22" w:rsidP="00033ED9">
            <w:pPr>
              <w:jc w:val="left"/>
              <w:rPr>
                <w:rFonts w:ascii="Arial Narrow" w:hAnsi="Arial Narrow"/>
                <w:i/>
                <w:sz w:val="20"/>
                <w:szCs w:val="20"/>
                <w:vertAlign w:val="superscript"/>
              </w:rPr>
            </w:pPr>
            <w:r w:rsidRPr="003A5AE5">
              <w:rPr>
                <w:rFonts w:ascii="Arial Narrow" w:hAnsi="Arial Narrow"/>
                <w:i/>
                <w:sz w:val="20"/>
                <w:szCs w:val="20"/>
              </w:rPr>
              <w:t>$8,962.05 (Public hospital)</w:t>
            </w:r>
          </w:p>
          <w:p w:rsidR="00EE7F22" w:rsidRPr="003A5AE5" w:rsidRDefault="00EE7F22" w:rsidP="00033ED9">
            <w:pPr>
              <w:jc w:val="left"/>
              <w:rPr>
                <w:rFonts w:ascii="Arial Narrow" w:hAnsi="Arial Narrow"/>
                <w:sz w:val="20"/>
                <w:szCs w:val="20"/>
              </w:rPr>
            </w:pPr>
            <w:r w:rsidRPr="003A5AE5">
              <w:rPr>
                <w:rFonts w:ascii="Arial Narrow" w:hAnsi="Arial Narrow"/>
                <w:sz w:val="20"/>
                <w:szCs w:val="20"/>
              </w:rPr>
              <w:t>$9,126.95 (Private hospital) Effective:</w:t>
            </w:r>
          </w:p>
          <w:p w:rsidR="00EE7F22" w:rsidRPr="003A5AE5" w:rsidRDefault="00EE7F22" w:rsidP="00033ED9">
            <w:pPr>
              <w:jc w:val="left"/>
              <w:rPr>
                <w:rFonts w:ascii="Arial Narrow" w:hAnsi="Arial Narrow"/>
                <w:i/>
                <w:sz w:val="20"/>
                <w:szCs w:val="20"/>
                <w:vertAlign w:val="superscript"/>
              </w:rPr>
            </w:pPr>
            <w:r w:rsidRPr="003A5AE5">
              <w:rPr>
                <w:rFonts w:ascii="Arial Narrow" w:hAnsi="Arial Narrow"/>
                <w:i/>
                <w:sz w:val="20"/>
                <w:szCs w:val="20"/>
              </w:rPr>
              <w:t>$</w:t>
            </w:r>
            <w:r w:rsidR="00885AF3">
              <w:rPr>
                <w:rFonts w:ascii="Arial Narrow" w:hAnsi="Arial Narrow"/>
                <w:i/>
                <w:noProof/>
                <w:color w:val="000000"/>
                <w:sz w:val="20"/>
                <w:szCs w:val="20"/>
                <w:highlight w:val="black"/>
              </w:rPr>
              <w:t>''''''''''''''''''''</w:t>
            </w:r>
            <w:r w:rsidRPr="003A5AE5">
              <w:rPr>
                <w:rFonts w:ascii="Arial Narrow" w:hAnsi="Arial Narrow"/>
                <w:i/>
                <w:sz w:val="20"/>
                <w:szCs w:val="20"/>
              </w:rPr>
              <w:t xml:space="preserve"> (Public hospital)</w:t>
            </w:r>
          </w:p>
          <w:p w:rsidR="00EE7F22" w:rsidRPr="003A5AE5" w:rsidRDefault="00EE7F22" w:rsidP="00033ED9">
            <w:pPr>
              <w:keepNext/>
              <w:jc w:val="left"/>
              <w:rPr>
                <w:rFonts w:ascii="Arial Narrow" w:hAnsi="Arial Narrow"/>
                <w:sz w:val="18"/>
                <w:szCs w:val="18"/>
              </w:rPr>
            </w:pPr>
            <w:r w:rsidRPr="003A5AE5">
              <w:rPr>
                <w:rFonts w:ascii="Arial Narrow" w:hAnsi="Arial Narrow"/>
                <w:sz w:val="20"/>
                <w:szCs w:val="20"/>
              </w:rPr>
              <w:t>$</w:t>
            </w:r>
            <w:r w:rsidR="00885AF3">
              <w:rPr>
                <w:rFonts w:ascii="Arial Narrow" w:hAnsi="Arial Narrow"/>
                <w:noProof/>
                <w:color w:val="000000"/>
                <w:sz w:val="20"/>
                <w:szCs w:val="20"/>
                <w:highlight w:val="black"/>
              </w:rPr>
              <w:t>''''''''''''''''''''</w:t>
            </w:r>
            <w:r w:rsidRPr="003A5AE5">
              <w:rPr>
                <w:rFonts w:ascii="Arial Narrow" w:hAnsi="Arial Narrow"/>
                <w:sz w:val="20"/>
                <w:szCs w:val="20"/>
              </w:rPr>
              <w:t xml:space="preserve"> (Private hospital)</w:t>
            </w:r>
          </w:p>
        </w:tc>
      </w:tr>
      <w:tr w:rsidR="00A611A5" w:rsidRPr="003A5AE5" w:rsidTr="0058296A">
        <w:trPr>
          <w:cantSplit/>
          <w:trHeight w:val="225"/>
        </w:trPr>
        <w:tc>
          <w:tcPr>
            <w:tcW w:w="9067" w:type="dxa"/>
            <w:gridSpan w:val="5"/>
          </w:tcPr>
          <w:p w:rsidR="00A611A5" w:rsidRPr="003A5AE5" w:rsidRDefault="00A611A5" w:rsidP="00033ED9">
            <w:pPr>
              <w:keepNext/>
              <w:ind w:left="-57"/>
              <w:rPr>
                <w:rFonts w:ascii="Arial Narrow" w:hAnsi="Arial Narrow"/>
                <w:b/>
                <w:sz w:val="18"/>
                <w:szCs w:val="18"/>
              </w:rPr>
            </w:pPr>
            <w:r w:rsidRPr="003A5AE5">
              <w:rPr>
                <w:rFonts w:ascii="Arial Narrow" w:hAnsi="Arial Narrow"/>
                <w:b/>
                <w:sz w:val="18"/>
                <w:szCs w:val="18"/>
              </w:rPr>
              <w:t>Available brands</w:t>
            </w:r>
          </w:p>
        </w:tc>
      </w:tr>
      <w:tr w:rsidR="00A611A5" w:rsidRPr="003A5AE5" w:rsidTr="0058296A">
        <w:trPr>
          <w:cantSplit/>
          <w:trHeight w:val="360"/>
        </w:trPr>
        <w:tc>
          <w:tcPr>
            <w:tcW w:w="9067" w:type="dxa"/>
            <w:gridSpan w:val="5"/>
          </w:tcPr>
          <w:p w:rsidR="00A611A5" w:rsidRPr="003A5AE5" w:rsidRDefault="00A611A5" w:rsidP="00033ED9">
            <w:pPr>
              <w:ind w:left="-57"/>
              <w:rPr>
                <w:rFonts w:ascii="Arial Narrow" w:hAnsi="Arial Narrow"/>
                <w:sz w:val="18"/>
                <w:szCs w:val="18"/>
              </w:rPr>
            </w:pPr>
            <w:r w:rsidRPr="003A5AE5">
              <w:rPr>
                <w:rFonts w:ascii="Arial Narrow" w:hAnsi="Arial Narrow"/>
                <w:sz w:val="18"/>
                <w:szCs w:val="18"/>
              </w:rPr>
              <w:t>Yondelis</w:t>
            </w:r>
            <w:r w:rsidRPr="003A5AE5">
              <w:rPr>
                <w:rFonts w:ascii="Arial Narrow" w:hAnsi="Arial Narrow"/>
                <w:sz w:val="18"/>
                <w:szCs w:val="18"/>
                <w:vertAlign w:val="superscript"/>
              </w:rPr>
              <w:t>®</w:t>
            </w:r>
          </w:p>
        </w:tc>
      </w:tr>
      <w:tr w:rsidR="00A611A5" w:rsidRPr="003A5AE5" w:rsidTr="0058296A">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right w:val="single" w:sz="4" w:space="0" w:color="auto"/>
            </w:tcBorders>
          </w:tcPr>
          <w:p w:rsidR="00A611A5" w:rsidRPr="003A5AE5" w:rsidRDefault="00A611A5" w:rsidP="00033ED9">
            <w:pPr>
              <w:ind w:left="57"/>
              <w:rPr>
                <w:rFonts w:ascii="Arial Narrow" w:hAnsi="Arial Narrow"/>
                <w:b/>
                <w:color w:val="FF00FF"/>
                <w:sz w:val="18"/>
                <w:szCs w:val="18"/>
              </w:rPr>
            </w:pPr>
          </w:p>
        </w:tc>
      </w:tr>
      <w:tr w:rsidR="00A611A5" w:rsidRPr="003A5AE5" w:rsidTr="0058296A">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right w:val="single" w:sz="4" w:space="0" w:color="auto"/>
            </w:tcBorders>
          </w:tcPr>
          <w:p w:rsidR="00A611A5" w:rsidRPr="003A5AE5" w:rsidRDefault="00A611A5" w:rsidP="00033ED9">
            <w:pPr>
              <w:ind w:left="57"/>
              <w:rPr>
                <w:rFonts w:ascii="Arial Narrow" w:hAnsi="Arial Narrow"/>
                <w:b/>
                <w:sz w:val="18"/>
                <w:szCs w:val="18"/>
              </w:rPr>
            </w:pPr>
            <w:r w:rsidRPr="003A5AE5">
              <w:rPr>
                <w:rFonts w:ascii="Arial Narrow" w:hAnsi="Arial Narrow"/>
                <w:b/>
                <w:sz w:val="18"/>
                <w:szCs w:val="18"/>
              </w:rPr>
              <w:t>Restriction Summary [new]  / Treatment of Concept: [new]</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bottom w:val="single" w:sz="4" w:space="0" w:color="auto"/>
              <w:right w:val="single" w:sz="4" w:space="0" w:color="auto"/>
            </w:tcBorders>
          </w:tcPr>
          <w:p w:rsidR="00B40C5B" w:rsidRPr="003A5AE5" w:rsidRDefault="00B40C5B" w:rsidP="00033ED9">
            <w:pPr>
              <w:rPr>
                <w:rFonts w:ascii="Arial Narrow" w:hAnsi="Arial Narrow"/>
                <w:sz w:val="18"/>
                <w:szCs w:val="18"/>
              </w:rPr>
            </w:pPr>
            <w:r w:rsidRPr="003A5AE5">
              <w:rPr>
                <w:rFonts w:ascii="Arial Narrow" w:hAnsi="Arial Narrow"/>
                <w:b/>
                <w:sz w:val="18"/>
                <w:szCs w:val="18"/>
              </w:rPr>
              <w:t xml:space="preserve">Category / Program: </w:t>
            </w:r>
            <w:r w:rsidRPr="003A5AE5">
              <w:rPr>
                <w:rFonts w:ascii="Arial Narrow" w:hAnsi="Arial Narrow"/>
                <w:sz w:val="18"/>
                <w:szCs w:val="18"/>
              </w:rPr>
              <w:t xml:space="preserve">Section 100 – Efficient Funding of Chemotherapy Public/Private hospitals </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rPr>
          <w:trHeight w:val="240"/>
        </w:trPr>
        <w:tc>
          <w:tcPr>
            <w:tcW w:w="9067" w:type="dxa"/>
            <w:gridSpan w:val="5"/>
            <w:tcBorders>
              <w:top w:val="single" w:sz="4" w:space="0" w:color="auto"/>
              <w:left w:val="single" w:sz="4" w:space="0" w:color="auto"/>
              <w:bottom w:val="single" w:sz="4" w:space="0" w:color="auto"/>
              <w:right w:val="single" w:sz="4" w:space="0" w:color="auto"/>
            </w:tcBorders>
          </w:tcPr>
          <w:p w:rsidR="00B40C5B" w:rsidRPr="003A5AE5" w:rsidRDefault="00B40C5B" w:rsidP="00033ED9">
            <w:pPr>
              <w:rPr>
                <w:rFonts w:ascii="Arial Narrow" w:hAnsi="Arial Narrow"/>
                <w:b/>
                <w:sz w:val="18"/>
                <w:szCs w:val="18"/>
              </w:rPr>
            </w:pPr>
            <w:r w:rsidRPr="003A5AE5">
              <w:rPr>
                <w:rFonts w:ascii="Arial Narrow" w:hAnsi="Arial Narrow"/>
                <w:b/>
                <w:sz w:val="18"/>
                <w:szCs w:val="18"/>
              </w:rPr>
              <w:t xml:space="preserve">Prescriber type:   </w:t>
            </w:r>
            <w:r w:rsidRPr="003A5AE5">
              <w:rPr>
                <w:rFonts w:ascii="Arial Narrow" w:hAnsi="Arial Narrow"/>
                <w:sz w:val="18"/>
                <w:szCs w:val="18"/>
              </w:rPr>
              <w:fldChar w:fldCharType="begin">
                <w:ffData>
                  <w:name w:val="Check1"/>
                  <w:enabled/>
                  <w:calcOnExit w:val="0"/>
                  <w:checkBox>
                    <w:sizeAuto/>
                    <w:default w:val="0"/>
                  </w:checkBox>
                </w:ffData>
              </w:fldChar>
            </w:r>
            <w:r w:rsidRPr="003A5AE5">
              <w:rPr>
                <w:rFonts w:ascii="Arial Narrow" w:hAnsi="Arial Narrow"/>
                <w:sz w:val="18"/>
                <w:szCs w:val="18"/>
              </w:rPr>
              <w:instrText xml:space="preserve"> FORMCHECKBOX </w:instrText>
            </w:r>
            <w:r w:rsidR="00BF2D4A">
              <w:rPr>
                <w:rFonts w:ascii="Arial Narrow" w:hAnsi="Arial Narrow"/>
                <w:sz w:val="18"/>
                <w:szCs w:val="18"/>
              </w:rPr>
            </w:r>
            <w:r w:rsidR="00BF2D4A">
              <w:rPr>
                <w:rFonts w:ascii="Arial Narrow" w:hAnsi="Arial Narrow"/>
                <w:sz w:val="18"/>
                <w:szCs w:val="18"/>
              </w:rPr>
              <w:fldChar w:fldCharType="separate"/>
            </w:r>
            <w:r w:rsidRPr="003A5AE5">
              <w:rPr>
                <w:rFonts w:ascii="Arial Narrow" w:hAnsi="Arial Narrow"/>
                <w:sz w:val="18"/>
                <w:szCs w:val="18"/>
              </w:rPr>
              <w:fldChar w:fldCharType="end"/>
            </w:r>
            <w:r w:rsidRPr="003A5AE5">
              <w:rPr>
                <w:rFonts w:ascii="Arial Narrow" w:hAnsi="Arial Narrow"/>
                <w:sz w:val="18"/>
                <w:szCs w:val="18"/>
              </w:rPr>
              <w:t xml:space="preserve">Dental    </w:t>
            </w:r>
            <w:r w:rsidRPr="003A5AE5">
              <w:rPr>
                <w:rFonts w:ascii="Arial Narrow" w:hAnsi="Arial Narrow"/>
                <w:sz w:val="18"/>
                <w:szCs w:val="18"/>
              </w:rPr>
              <w:fldChar w:fldCharType="begin">
                <w:ffData>
                  <w:name w:val=""/>
                  <w:enabled/>
                  <w:calcOnExit w:val="0"/>
                  <w:checkBox>
                    <w:sizeAuto/>
                    <w:default w:val="1"/>
                  </w:checkBox>
                </w:ffData>
              </w:fldChar>
            </w:r>
            <w:r w:rsidRPr="003A5AE5">
              <w:rPr>
                <w:rFonts w:ascii="Arial Narrow" w:hAnsi="Arial Narrow"/>
                <w:sz w:val="18"/>
                <w:szCs w:val="18"/>
              </w:rPr>
              <w:instrText xml:space="preserve"> FORMCHECKBOX </w:instrText>
            </w:r>
            <w:r w:rsidR="00BF2D4A">
              <w:rPr>
                <w:rFonts w:ascii="Arial Narrow" w:hAnsi="Arial Narrow"/>
                <w:sz w:val="18"/>
                <w:szCs w:val="18"/>
              </w:rPr>
            </w:r>
            <w:r w:rsidR="00BF2D4A">
              <w:rPr>
                <w:rFonts w:ascii="Arial Narrow" w:hAnsi="Arial Narrow"/>
                <w:sz w:val="18"/>
                <w:szCs w:val="18"/>
              </w:rPr>
              <w:fldChar w:fldCharType="separate"/>
            </w:r>
            <w:r w:rsidRPr="003A5AE5">
              <w:rPr>
                <w:rFonts w:ascii="Arial Narrow" w:hAnsi="Arial Narrow"/>
                <w:sz w:val="18"/>
                <w:szCs w:val="18"/>
              </w:rPr>
              <w:fldChar w:fldCharType="end"/>
            </w:r>
            <w:r w:rsidRPr="003A5AE5">
              <w:rPr>
                <w:rFonts w:ascii="Arial Narrow" w:hAnsi="Arial Narrow"/>
                <w:sz w:val="18"/>
                <w:szCs w:val="18"/>
              </w:rPr>
              <w:t xml:space="preserve">Medical Practitioners    </w:t>
            </w:r>
            <w:r w:rsidRPr="003A5AE5">
              <w:rPr>
                <w:rFonts w:ascii="Arial Narrow" w:hAnsi="Arial Narrow"/>
                <w:sz w:val="18"/>
                <w:szCs w:val="18"/>
              </w:rPr>
              <w:fldChar w:fldCharType="begin">
                <w:ffData>
                  <w:name w:val="Check3"/>
                  <w:enabled/>
                  <w:calcOnExit w:val="0"/>
                  <w:checkBox>
                    <w:sizeAuto/>
                    <w:default w:val="0"/>
                  </w:checkBox>
                </w:ffData>
              </w:fldChar>
            </w:r>
            <w:r w:rsidRPr="003A5AE5">
              <w:rPr>
                <w:rFonts w:ascii="Arial Narrow" w:hAnsi="Arial Narrow"/>
                <w:sz w:val="18"/>
                <w:szCs w:val="18"/>
              </w:rPr>
              <w:instrText xml:space="preserve"> FORMCHECKBOX </w:instrText>
            </w:r>
            <w:r w:rsidR="00BF2D4A">
              <w:rPr>
                <w:rFonts w:ascii="Arial Narrow" w:hAnsi="Arial Narrow"/>
                <w:sz w:val="18"/>
                <w:szCs w:val="18"/>
              </w:rPr>
            </w:r>
            <w:r w:rsidR="00BF2D4A">
              <w:rPr>
                <w:rFonts w:ascii="Arial Narrow" w:hAnsi="Arial Narrow"/>
                <w:sz w:val="18"/>
                <w:szCs w:val="18"/>
              </w:rPr>
              <w:fldChar w:fldCharType="separate"/>
            </w:r>
            <w:r w:rsidRPr="003A5AE5">
              <w:rPr>
                <w:rFonts w:ascii="Arial Narrow" w:hAnsi="Arial Narrow"/>
                <w:sz w:val="18"/>
                <w:szCs w:val="18"/>
              </w:rPr>
              <w:fldChar w:fldCharType="end"/>
            </w:r>
            <w:r w:rsidRPr="003A5AE5">
              <w:rPr>
                <w:rFonts w:ascii="Arial Narrow" w:hAnsi="Arial Narrow"/>
                <w:sz w:val="18"/>
                <w:szCs w:val="18"/>
              </w:rPr>
              <w:t xml:space="preserve">Nurse practitioners     </w:t>
            </w:r>
            <w:r w:rsidRPr="003A5AE5">
              <w:rPr>
                <w:rFonts w:ascii="Arial Narrow" w:hAnsi="Arial Narrow"/>
                <w:sz w:val="18"/>
                <w:szCs w:val="18"/>
              </w:rPr>
              <w:fldChar w:fldCharType="begin">
                <w:ffData>
                  <w:name w:val=""/>
                  <w:enabled/>
                  <w:calcOnExit w:val="0"/>
                  <w:checkBox>
                    <w:sizeAuto/>
                    <w:default w:val="0"/>
                  </w:checkBox>
                </w:ffData>
              </w:fldChar>
            </w:r>
            <w:r w:rsidRPr="003A5AE5">
              <w:rPr>
                <w:rFonts w:ascii="Arial Narrow" w:hAnsi="Arial Narrow"/>
                <w:sz w:val="18"/>
                <w:szCs w:val="18"/>
              </w:rPr>
              <w:instrText xml:space="preserve"> FORMCHECKBOX </w:instrText>
            </w:r>
            <w:r w:rsidR="00BF2D4A">
              <w:rPr>
                <w:rFonts w:ascii="Arial Narrow" w:hAnsi="Arial Narrow"/>
                <w:sz w:val="18"/>
                <w:szCs w:val="18"/>
              </w:rPr>
            </w:r>
            <w:r w:rsidR="00BF2D4A">
              <w:rPr>
                <w:rFonts w:ascii="Arial Narrow" w:hAnsi="Arial Narrow"/>
                <w:sz w:val="18"/>
                <w:szCs w:val="18"/>
              </w:rPr>
              <w:fldChar w:fldCharType="separate"/>
            </w:r>
            <w:r w:rsidRPr="003A5AE5">
              <w:rPr>
                <w:rFonts w:ascii="Arial Narrow" w:hAnsi="Arial Narrow"/>
                <w:sz w:val="18"/>
                <w:szCs w:val="18"/>
              </w:rPr>
              <w:fldChar w:fldCharType="end"/>
            </w:r>
            <w:r w:rsidRPr="003A5AE5">
              <w:rPr>
                <w:rFonts w:ascii="Arial Narrow" w:hAnsi="Arial Narrow"/>
                <w:sz w:val="18"/>
                <w:szCs w:val="18"/>
              </w:rPr>
              <w:t xml:space="preserve">Optometrists    </w:t>
            </w:r>
            <w:r w:rsidRPr="003A5AE5">
              <w:rPr>
                <w:rFonts w:ascii="Arial Narrow" w:hAnsi="Arial Narrow"/>
                <w:sz w:val="18"/>
                <w:szCs w:val="18"/>
              </w:rPr>
              <w:fldChar w:fldCharType="begin">
                <w:ffData>
                  <w:name w:val="Check5"/>
                  <w:enabled/>
                  <w:calcOnExit w:val="0"/>
                  <w:checkBox>
                    <w:sizeAuto/>
                    <w:default w:val="0"/>
                  </w:checkBox>
                </w:ffData>
              </w:fldChar>
            </w:r>
            <w:r w:rsidRPr="003A5AE5">
              <w:rPr>
                <w:rFonts w:ascii="Arial Narrow" w:hAnsi="Arial Narrow"/>
                <w:sz w:val="18"/>
                <w:szCs w:val="18"/>
              </w:rPr>
              <w:instrText xml:space="preserve"> FORMCHECKBOX </w:instrText>
            </w:r>
            <w:r w:rsidR="00BF2D4A">
              <w:rPr>
                <w:rFonts w:ascii="Arial Narrow" w:hAnsi="Arial Narrow"/>
                <w:sz w:val="18"/>
                <w:szCs w:val="18"/>
              </w:rPr>
            </w:r>
            <w:r w:rsidR="00BF2D4A">
              <w:rPr>
                <w:rFonts w:ascii="Arial Narrow" w:hAnsi="Arial Narrow"/>
                <w:sz w:val="18"/>
                <w:szCs w:val="18"/>
              </w:rPr>
              <w:fldChar w:fldCharType="separate"/>
            </w:r>
            <w:r w:rsidRPr="003A5AE5">
              <w:rPr>
                <w:rFonts w:ascii="Arial Narrow" w:hAnsi="Arial Narrow"/>
                <w:sz w:val="18"/>
                <w:szCs w:val="18"/>
              </w:rPr>
              <w:fldChar w:fldCharType="end"/>
            </w:r>
            <w:r w:rsidRPr="003A5AE5">
              <w:rPr>
                <w:rFonts w:ascii="Arial Narrow" w:hAnsi="Arial Narrow"/>
                <w:sz w:val="18"/>
                <w:szCs w:val="18"/>
              </w:rPr>
              <w:t>Midwives</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bottom w:val="single" w:sz="4" w:space="0" w:color="auto"/>
              <w:right w:val="single" w:sz="4" w:space="0" w:color="auto"/>
            </w:tcBorders>
          </w:tcPr>
          <w:p w:rsidR="00B40C5B" w:rsidRPr="003A5AE5" w:rsidRDefault="00B40C5B" w:rsidP="00033ED9">
            <w:pPr>
              <w:rPr>
                <w:rFonts w:ascii="Arial Narrow" w:eastAsia="Calibri" w:hAnsi="Arial Narrow"/>
                <w:sz w:val="18"/>
                <w:szCs w:val="18"/>
              </w:rPr>
            </w:pPr>
            <w:r w:rsidRPr="003A5AE5">
              <w:rPr>
                <w:rFonts w:ascii="Arial Narrow" w:hAnsi="Arial Narrow"/>
                <w:b/>
                <w:sz w:val="18"/>
                <w:szCs w:val="18"/>
              </w:rPr>
              <w:t xml:space="preserve">Restriction type: </w:t>
            </w:r>
          </w:p>
          <w:p w:rsidR="00B40C5B" w:rsidRPr="003A5AE5" w:rsidRDefault="00B40C5B" w:rsidP="00033ED9">
            <w:pPr>
              <w:rPr>
                <w:rFonts w:ascii="Arial Narrow" w:eastAsia="Calibri" w:hAnsi="Arial Narrow"/>
                <w:color w:val="FF00FF"/>
                <w:sz w:val="18"/>
                <w:szCs w:val="18"/>
              </w:rPr>
            </w:pPr>
            <w:r w:rsidRPr="003A5AE5">
              <w:rPr>
                <w:rFonts w:ascii="Arial Narrow" w:eastAsia="Calibri" w:hAnsi="Arial Narrow"/>
                <w:sz w:val="18"/>
                <w:szCs w:val="18"/>
              </w:rPr>
              <w:fldChar w:fldCharType="begin">
                <w:ffData>
                  <w:name w:val=""/>
                  <w:enabled/>
                  <w:calcOnExit w:val="0"/>
                  <w:checkBox>
                    <w:sizeAuto/>
                    <w:default w:val="1"/>
                  </w:checkBox>
                </w:ffData>
              </w:fldChar>
            </w:r>
            <w:r w:rsidRPr="003A5AE5">
              <w:rPr>
                <w:rFonts w:ascii="Arial Narrow" w:eastAsia="Calibri" w:hAnsi="Arial Narrow"/>
                <w:sz w:val="18"/>
                <w:szCs w:val="18"/>
              </w:rPr>
              <w:instrText xml:space="preserve"> FORMCHECKBOX </w:instrText>
            </w:r>
            <w:r w:rsidR="00BF2D4A">
              <w:rPr>
                <w:rFonts w:ascii="Arial Narrow" w:eastAsia="Calibri" w:hAnsi="Arial Narrow"/>
                <w:sz w:val="18"/>
                <w:szCs w:val="18"/>
              </w:rPr>
            </w:r>
            <w:r w:rsidR="00BF2D4A">
              <w:rPr>
                <w:rFonts w:ascii="Arial Narrow" w:eastAsia="Calibri" w:hAnsi="Arial Narrow"/>
                <w:sz w:val="18"/>
                <w:szCs w:val="18"/>
              </w:rPr>
              <w:fldChar w:fldCharType="separate"/>
            </w:r>
            <w:r w:rsidRPr="003A5AE5">
              <w:rPr>
                <w:rFonts w:ascii="Arial Narrow" w:eastAsia="Calibri" w:hAnsi="Arial Narrow"/>
                <w:sz w:val="18"/>
                <w:szCs w:val="18"/>
              </w:rPr>
              <w:fldChar w:fldCharType="end"/>
            </w:r>
            <w:r w:rsidRPr="003A5AE5">
              <w:rPr>
                <w:rFonts w:ascii="Arial Narrow" w:eastAsia="Calibri" w:hAnsi="Arial Narrow"/>
                <w:sz w:val="18"/>
                <w:szCs w:val="18"/>
              </w:rPr>
              <w:t>Authority Required – Streamlined [new code]</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B40C5B" w:rsidRPr="003A5AE5" w:rsidRDefault="00B40C5B" w:rsidP="00033ED9">
            <w:pPr>
              <w:rPr>
                <w:rFonts w:ascii="Arial Narrow" w:hAnsi="Arial Narrow"/>
                <w:color w:val="333333"/>
                <w:sz w:val="18"/>
                <w:szCs w:val="18"/>
              </w:rPr>
            </w:pPr>
            <w:r w:rsidRPr="003A5AE5">
              <w:rPr>
                <w:rFonts w:ascii="Arial Narrow" w:hAnsi="Arial Narrow"/>
                <w:b/>
                <w:bCs/>
                <w:color w:val="333333"/>
                <w:sz w:val="18"/>
                <w:szCs w:val="18"/>
              </w:rPr>
              <w:t>Administrative Advice:</w:t>
            </w:r>
          </w:p>
          <w:p w:rsidR="00B40C5B" w:rsidRPr="003A5AE5" w:rsidRDefault="00B40C5B" w:rsidP="00033ED9">
            <w:pPr>
              <w:rPr>
                <w:rFonts w:ascii="Arial Narrow" w:hAnsi="Arial Narrow"/>
                <w:color w:val="333333"/>
                <w:sz w:val="18"/>
                <w:szCs w:val="18"/>
              </w:rPr>
            </w:pPr>
            <w:r w:rsidRPr="003A5AE5">
              <w:rPr>
                <w:rFonts w:ascii="Arial Narrow" w:hAnsi="Arial Narrow"/>
                <w:color w:val="333333"/>
                <w:sz w:val="18"/>
                <w:szCs w:val="18"/>
              </w:rPr>
              <w:t>This drug is not PBS-subsidised if it is administered to an in-patient in a public hospital.</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B40C5B" w:rsidRPr="003A5AE5" w:rsidRDefault="00B40C5B" w:rsidP="00033ED9">
            <w:pPr>
              <w:rPr>
                <w:rFonts w:ascii="Arial Narrow" w:hAnsi="Arial Narrow"/>
                <w:b/>
                <w:bCs/>
                <w:color w:val="333333"/>
                <w:sz w:val="18"/>
                <w:szCs w:val="18"/>
              </w:rPr>
            </w:pPr>
            <w:r w:rsidRPr="003A5AE5">
              <w:rPr>
                <w:rFonts w:ascii="Arial Narrow" w:hAnsi="Arial Narrow"/>
                <w:b/>
                <w:bCs/>
                <w:color w:val="333333"/>
                <w:sz w:val="18"/>
                <w:szCs w:val="18"/>
              </w:rPr>
              <w:t xml:space="preserve">Administrative Advice: </w:t>
            </w:r>
            <w:r w:rsidRPr="003A5AE5">
              <w:rPr>
                <w:rFonts w:ascii="Arial Narrow" w:hAnsi="Arial Narrow"/>
                <w:bCs/>
                <w:color w:val="333333"/>
                <w:sz w:val="18"/>
                <w:szCs w:val="18"/>
              </w:rPr>
              <w:t>Special Pricing Arrangements apply.</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B40C5B" w:rsidRPr="003A5AE5" w:rsidRDefault="00B40C5B" w:rsidP="00033ED9">
            <w:pPr>
              <w:rPr>
                <w:rFonts w:ascii="Arial Narrow" w:hAnsi="Arial Narrow"/>
                <w:bCs/>
                <w:color w:val="333333"/>
                <w:sz w:val="18"/>
                <w:szCs w:val="18"/>
              </w:rPr>
            </w:pPr>
            <w:r w:rsidRPr="003A5AE5">
              <w:rPr>
                <w:rFonts w:ascii="Arial Narrow" w:hAnsi="Arial Narrow"/>
                <w:b/>
                <w:bCs/>
                <w:color w:val="333333"/>
                <w:sz w:val="18"/>
                <w:szCs w:val="18"/>
              </w:rPr>
              <w:t xml:space="preserve">Episodicity: </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B40C5B" w:rsidRPr="003A5AE5" w:rsidRDefault="00B40C5B" w:rsidP="00033ED9">
            <w:pPr>
              <w:rPr>
                <w:rFonts w:ascii="Arial Narrow" w:hAnsi="Arial Narrow"/>
                <w:b/>
                <w:bCs/>
                <w:color w:val="333333"/>
                <w:sz w:val="18"/>
                <w:szCs w:val="18"/>
              </w:rPr>
            </w:pPr>
            <w:r w:rsidRPr="003A5AE5">
              <w:rPr>
                <w:rFonts w:ascii="Arial Narrow" w:hAnsi="Arial Narrow"/>
                <w:b/>
                <w:bCs/>
                <w:color w:val="333333"/>
                <w:sz w:val="18"/>
                <w:szCs w:val="18"/>
              </w:rPr>
              <w:t xml:space="preserve">Severity: </w:t>
            </w:r>
            <w:r w:rsidRPr="003A5AE5">
              <w:rPr>
                <w:rFonts w:ascii="Arial Narrow" w:hAnsi="Arial Narrow"/>
                <w:bCs/>
                <w:color w:val="000000" w:themeColor="text1"/>
                <w:sz w:val="18"/>
                <w:szCs w:val="18"/>
              </w:rPr>
              <w:t>Advanced (unresectable and/or metastatic)</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B40C5B" w:rsidRPr="003A5AE5" w:rsidRDefault="00B40C5B" w:rsidP="00033ED9">
            <w:pPr>
              <w:rPr>
                <w:rFonts w:ascii="Arial Narrow" w:hAnsi="Arial Narrow"/>
                <w:b/>
                <w:bCs/>
                <w:color w:val="333333"/>
                <w:sz w:val="18"/>
                <w:szCs w:val="18"/>
              </w:rPr>
            </w:pPr>
            <w:r w:rsidRPr="003A5AE5">
              <w:rPr>
                <w:rFonts w:ascii="Arial Narrow" w:hAnsi="Arial Narrow"/>
                <w:b/>
                <w:bCs/>
                <w:color w:val="333333"/>
                <w:sz w:val="18"/>
                <w:szCs w:val="18"/>
              </w:rPr>
              <w:t>Condition:</w:t>
            </w:r>
            <w:r w:rsidRPr="003A5AE5">
              <w:rPr>
                <w:rFonts w:ascii="Arial Narrow" w:hAnsi="Arial Narrow"/>
                <w:b/>
                <w:bCs/>
                <w:i/>
                <w:color w:val="333333"/>
                <w:sz w:val="18"/>
                <w:szCs w:val="18"/>
              </w:rPr>
              <w:t xml:space="preserve"> </w:t>
            </w:r>
            <w:r w:rsidRPr="003A5AE5">
              <w:rPr>
                <w:rFonts w:ascii="Arial Narrow" w:hAnsi="Arial Narrow"/>
                <w:bCs/>
                <w:i/>
                <w:color w:val="333333"/>
                <w:sz w:val="18"/>
                <w:szCs w:val="18"/>
              </w:rPr>
              <w:t>Leiomyosarcoma</w:t>
            </w:r>
            <w:r w:rsidRPr="003A5AE5">
              <w:rPr>
                <w:rFonts w:ascii="Arial Narrow" w:hAnsi="Arial Narrow"/>
                <w:bCs/>
                <w:color w:val="333333"/>
                <w:sz w:val="18"/>
                <w:szCs w:val="18"/>
              </w:rPr>
              <w:t xml:space="preserve"> </w:t>
            </w:r>
            <w:r w:rsidRPr="003A5AE5">
              <w:rPr>
                <w:rFonts w:ascii="Arial Narrow" w:hAnsi="Arial Narrow"/>
                <w:bCs/>
                <w:strike/>
                <w:color w:val="333333"/>
                <w:sz w:val="18"/>
                <w:szCs w:val="18"/>
              </w:rPr>
              <w:t>Soft Tissue Sarcoma</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hideMark/>
          </w:tcPr>
          <w:p w:rsidR="00B40C5B" w:rsidRPr="003A5AE5" w:rsidRDefault="00B40C5B" w:rsidP="00033ED9">
            <w:pPr>
              <w:rPr>
                <w:rFonts w:ascii="Arial Narrow" w:hAnsi="Arial Narrow"/>
                <w:color w:val="333333"/>
                <w:sz w:val="18"/>
                <w:szCs w:val="18"/>
              </w:rPr>
            </w:pPr>
            <w:r w:rsidRPr="003A5AE5">
              <w:rPr>
                <w:rFonts w:ascii="Arial Narrow" w:hAnsi="Arial Narrow"/>
                <w:b/>
                <w:bCs/>
                <w:color w:val="333333"/>
                <w:sz w:val="18"/>
                <w:szCs w:val="18"/>
              </w:rPr>
              <w:t>Indication:</w:t>
            </w:r>
            <w:r w:rsidRPr="003A5AE5">
              <w:rPr>
                <w:rFonts w:ascii="Arial Narrow" w:hAnsi="Arial Narrow"/>
                <w:color w:val="333333"/>
                <w:sz w:val="18"/>
                <w:szCs w:val="18"/>
              </w:rPr>
              <w:t xml:space="preserve"> </w:t>
            </w:r>
            <w:r w:rsidRPr="003A5AE5">
              <w:rPr>
                <w:rFonts w:ascii="Arial Narrow" w:hAnsi="Arial Narrow"/>
                <w:bCs/>
                <w:color w:val="000000" w:themeColor="text1"/>
                <w:sz w:val="18"/>
                <w:szCs w:val="18"/>
              </w:rPr>
              <w:t>Advanced (unresectable and/or metastatic) leiomyosarcoma</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hideMark/>
          </w:tcPr>
          <w:p w:rsidR="00B40C5B" w:rsidRPr="003A5AE5" w:rsidRDefault="00B40C5B" w:rsidP="00033ED9">
            <w:pPr>
              <w:rPr>
                <w:rFonts w:ascii="Arial Narrow" w:hAnsi="Arial Narrow"/>
                <w:color w:val="FF00FF"/>
                <w:sz w:val="18"/>
                <w:szCs w:val="18"/>
              </w:rPr>
            </w:pPr>
            <w:r w:rsidRPr="003A5AE5">
              <w:rPr>
                <w:rFonts w:ascii="Arial Narrow" w:hAnsi="Arial Narrow"/>
                <w:b/>
                <w:bCs/>
                <w:color w:val="333333"/>
                <w:sz w:val="18"/>
                <w:szCs w:val="18"/>
              </w:rPr>
              <w:t>Treatment Phase:</w:t>
            </w:r>
            <w:r w:rsidRPr="003A5AE5">
              <w:rPr>
                <w:rFonts w:ascii="Arial Narrow" w:hAnsi="Arial Narrow"/>
                <w:color w:val="333333"/>
                <w:sz w:val="18"/>
                <w:szCs w:val="18"/>
              </w:rPr>
              <w:t xml:space="preserve"> </w:t>
            </w:r>
            <w:r w:rsidRPr="003A5AE5">
              <w:rPr>
                <w:rFonts w:ascii="Arial Narrow" w:hAnsi="Arial Narrow"/>
                <w:color w:val="000000" w:themeColor="text1"/>
                <w:sz w:val="18"/>
                <w:szCs w:val="18"/>
              </w:rPr>
              <w:t xml:space="preserve">Continuing treatment  </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hideMark/>
          </w:tcPr>
          <w:p w:rsidR="00B40C5B" w:rsidRPr="003A5AE5" w:rsidRDefault="00B40C5B" w:rsidP="00033ED9">
            <w:pPr>
              <w:rPr>
                <w:rFonts w:ascii="Arial Narrow" w:hAnsi="Arial Narrow"/>
                <w:color w:val="FF00FF"/>
                <w:sz w:val="18"/>
                <w:szCs w:val="18"/>
              </w:rPr>
            </w:pPr>
            <w:r w:rsidRPr="003A5AE5">
              <w:rPr>
                <w:rFonts w:ascii="Arial Narrow" w:hAnsi="Arial Narrow"/>
                <w:b/>
                <w:bCs/>
                <w:color w:val="333333"/>
                <w:sz w:val="18"/>
                <w:szCs w:val="18"/>
              </w:rPr>
              <w:t>Clinical criteria:</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hideMark/>
          </w:tcPr>
          <w:p w:rsidR="00B40C5B" w:rsidRPr="003A5AE5" w:rsidRDefault="00B40C5B" w:rsidP="00033ED9">
            <w:pPr>
              <w:rPr>
                <w:rFonts w:ascii="Arial Narrow" w:hAnsi="Arial Narrow"/>
                <w:color w:val="333333"/>
                <w:sz w:val="18"/>
                <w:szCs w:val="18"/>
              </w:rPr>
            </w:pPr>
            <w:r w:rsidRPr="003A5AE5">
              <w:rPr>
                <w:rFonts w:ascii="Arial Narrow" w:hAnsi="Arial Narrow"/>
                <w:color w:val="333333"/>
                <w:sz w:val="18"/>
                <w:szCs w:val="18"/>
              </w:rPr>
              <w:t>Patient must have previously received PBS-subsidised therapy with this drug for this condition</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hideMark/>
          </w:tcPr>
          <w:p w:rsidR="00B40C5B" w:rsidRPr="003A5AE5" w:rsidRDefault="00B40C5B" w:rsidP="00033ED9">
            <w:pPr>
              <w:rPr>
                <w:rFonts w:ascii="Arial Narrow" w:hAnsi="Arial Narrow"/>
                <w:color w:val="333333"/>
                <w:sz w:val="18"/>
                <w:szCs w:val="18"/>
              </w:rPr>
            </w:pPr>
            <w:r w:rsidRPr="003A5AE5">
              <w:rPr>
                <w:rFonts w:ascii="Arial Narrow" w:hAnsi="Arial Narrow"/>
                <w:b/>
                <w:bCs/>
                <w:color w:val="333333"/>
                <w:sz w:val="18"/>
                <w:szCs w:val="18"/>
              </w:rPr>
              <w:t>AND</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hideMark/>
          </w:tcPr>
          <w:p w:rsidR="00B40C5B" w:rsidRPr="003A5AE5" w:rsidRDefault="00B40C5B" w:rsidP="00033ED9">
            <w:pPr>
              <w:rPr>
                <w:rFonts w:ascii="Arial Narrow" w:hAnsi="Arial Narrow"/>
                <w:color w:val="333333"/>
                <w:sz w:val="18"/>
                <w:szCs w:val="18"/>
              </w:rPr>
            </w:pPr>
            <w:r w:rsidRPr="003A5AE5">
              <w:rPr>
                <w:rFonts w:ascii="Arial Narrow" w:hAnsi="Arial Narrow"/>
                <w:b/>
                <w:bCs/>
                <w:color w:val="333333"/>
                <w:sz w:val="18"/>
                <w:szCs w:val="18"/>
              </w:rPr>
              <w:t>Clinical criteria:</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hideMark/>
          </w:tcPr>
          <w:p w:rsidR="00B40C5B" w:rsidRPr="003A5AE5" w:rsidRDefault="00B40C5B" w:rsidP="00033ED9">
            <w:pPr>
              <w:rPr>
                <w:rFonts w:ascii="Arial Narrow" w:hAnsi="Arial Narrow"/>
                <w:color w:val="333333"/>
                <w:sz w:val="18"/>
                <w:szCs w:val="18"/>
              </w:rPr>
            </w:pPr>
            <w:r w:rsidRPr="003A5AE5">
              <w:rPr>
                <w:rFonts w:ascii="Arial Narrow" w:hAnsi="Arial Narrow"/>
                <w:color w:val="333333"/>
                <w:sz w:val="18"/>
                <w:szCs w:val="18"/>
              </w:rPr>
              <w:t>Patient must not develop progressive disease while being treated with this drug for this condition,</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B40C5B" w:rsidRPr="003A5AE5" w:rsidRDefault="00B40C5B" w:rsidP="00033ED9">
            <w:pPr>
              <w:rPr>
                <w:rFonts w:ascii="Arial Narrow" w:hAnsi="Arial Narrow"/>
                <w:color w:val="333333"/>
                <w:sz w:val="18"/>
                <w:szCs w:val="18"/>
              </w:rPr>
            </w:pPr>
            <w:r w:rsidRPr="003A5AE5">
              <w:rPr>
                <w:rFonts w:ascii="Arial Narrow" w:hAnsi="Arial Narrow"/>
                <w:b/>
                <w:bCs/>
                <w:color w:val="333333"/>
                <w:sz w:val="18"/>
                <w:szCs w:val="18"/>
              </w:rPr>
              <w:t>AND</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B40C5B" w:rsidRPr="003A5AE5" w:rsidRDefault="00B40C5B" w:rsidP="00033ED9">
            <w:pPr>
              <w:rPr>
                <w:rFonts w:ascii="Arial Narrow" w:hAnsi="Arial Narrow"/>
                <w:color w:val="333333"/>
                <w:sz w:val="18"/>
                <w:szCs w:val="18"/>
              </w:rPr>
            </w:pPr>
            <w:r w:rsidRPr="003A5AE5">
              <w:rPr>
                <w:rFonts w:ascii="Arial Narrow" w:hAnsi="Arial Narrow"/>
                <w:b/>
                <w:bCs/>
                <w:color w:val="333333"/>
                <w:sz w:val="18"/>
                <w:szCs w:val="18"/>
              </w:rPr>
              <w:t>Clinical criteria:</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B40C5B" w:rsidRPr="003A5AE5" w:rsidRDefault="00B40C5B" w:rsidP="00033ED9">
            <w:pPr>
              <w:rPr>
                <w:rFonts w:ascii="Arial Narrow" w:hAnsi="Arial Narrow"/>
                <w:color w:val="333333"/>
                <w:sz w:val="18"/>
                <w:szCs w:val="18"/>
              </w:rPr>
            </w:pPr>
            <w:r w:rsidRPr="003A5AE5">
              <w:rPr>
                <w:rFonts w:ascii="Arial Narrow" w:hAnsi="Arial Narrow"/>
                <w:color w:val="333333"/>
                <w:sz w:val="18"/>
                <w:szCs w:val="18"/>
              </w:rPr>
              <w:t>The treatment must be the sole PBS-subsidised therapy for this condition.</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bottom w:val="single" w:sz="4" w:space="0" w:color="auto"/>
              <w:right w:val="single" w:sz="4" w:space="0" w:color="auto"/>
            </w:tcBorders>
            <w:vAlign w:val="center"/>
          </w:tcPr>
          <w:p w:rsidR="00B40C5B" w:rsidRPr="003A5AE5" w:rsidRDefault="00B40C5B" w:rsidP="00033ED9">
            <w:pPr>
              <w:rPr>
                <w:rFonts w:ascii="Arial Narrow" w:hAnsi="Arial Narrow"/>
                <w:b/>
                <w:color w:val="333333"/>
                <w:sz w:val="18"/>
                <w:szCs w:val="18"/>
              </w:rPr>
            </w:pPr>
            <w:r w:rsidRPr="003A5AE5">
              <w:rPr>
                <w:rFonts w:ascii="Arial Narrow" w:hAnsi="Arial Narrow"/>
                <w:b/>
                <w:color w:val="333333"/>
                <w:sz w:val="18"/>
                <w:szCs w:val="18"/>
              </w:rPr>
              <w:t>AND</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bottom w:val="single" w:sz="4" w:space="0" w:color="auto"/>
              <w:right w:val="single" w:sz="4" w:space="0" w:color="auto"/>
            </w:tcBorders>
            <w:vAlign w:val="center"/>
          </w:tcPr>
          <w:p w:rsidR="00B40C5B" w:rsidRPr="003A5AE5" w:rsidRDefault="00B40C5B" w:rsidP="00033ED9">
            <w:pPr>
              <w:rPr>
                <w:rFonts w:ascii="Arial Narrow" w:hAnsi="Arial Narrow"/>
                <w:b/>
                <w:color w:val="333333"/>
                <w:sz w:val="18"/>
                <w:szCs w:val="18"/>
              </w:rPr>
            </w:pPr>
            <w:r w:rsidRPr="003A5AE5">
              <w:rPr>
                <w:rFonts w:ascii="Arial Narrow" w:hAnsi="Arial Narrow"/>
                <w:b/>
                <w:color w:val="333333"/>
                <w:sz w:val="18"/>
                <w:szCs w:val="18"/>
              </w:rPr>
              <w:t>Population criteria:</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bottom w:val="single" w:sz="4" w:space="0" w:color="auto"/>
              <w:right w:val="single" w:sz="4" w:space="0" w:color="auto"/>
            </w:tcBorders>
            <w:vAlign w:val="center"/>
          </w:tcPr>
          <w:p w:rsidR="00B40C5B" w:rsidRPr="003A5AE5" w:rsidRDefault="00B40C5B" w:rsidP="00033ED9">
            <w:pPr>
              <w:rPr>
                <w:rFonts w:ascii="Arial Narrow" w:hAnsi="Arial Narrow"/>
                <w:color w:val="333333"/>
                <w:sz w:val="18"/>
                <w:szCs w:val="18"/>
              </w:rPr>
            </w:pPr>
            <w:r w:rsidRPr="003A5AE5">
              <w:rPr>
                <w:rFonts w:ascii="Arial Narrow" w:hAnsi="Arial Narrow"/>
                <w:color w:val="333333"/>
                <w:sz w:val="18"/>
                <w:szCs w:val="18"/>
              </w:rPr>
              <w:t>Patient must be aged 18 years or older.</w:t>
            </w:r>
          </w:p>
        </w:tc>
      </w:tr>
    </w:tbl>
    <w:p w:rsidR="00A611A5" w:rsidRPr="003A5AE5" w:rsidRDefault="00A611A5" w:rsidP="00033ED9"/>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559"/>
        <w:gridCol w:w="1276"/>
        <w:gridCol w:w="1276"/>
        <w:gridCol w:w="2409"/>
      </w:tblGrid>
      <w:tr w:rsidR="00EE7F22" w:rsidRPr="003A5AE5" w:rsidTr="00EE7F22">
        <w:trPr>
          <w:cantSplit/>
          <w:trHeight w:val="471"/>
        </w:trPr>
        <w:tc>
          <w:tcPr>
            <w:tcW w:w="2547" w:type="dxa"/>
          </w:tcPr>
          <w:p w:rsidR="00EE7F22" w:rsidRPr="003A5AE5" w:rsidRDefault="00EE7F22" w:rsidP="00033ED9">
            <w:pPr>
              <w:keepNext/>
              <w:ind w:left="-57"/>
              <w:rPr>
                <w:rFonts w:ascii="Arial Narrow" w:hAnsi="Arial Narrow"/>
                <w:b/>
                <w:i/>
                <w:sz w:val="18"/>
                <w:szCs w:val="18"/>
              </w:rPr>
            </w:pPr>
            <w:r w:rsidRPr="003A5AE5">
              <w:rPr>
                <w:rFonts w:ascii="Arial Narrow" w:hAnsi="Arial Narrow"/>
                <w:b/>
                <w:i/>
                <w:sz w:val="18"/>
                <w:szCs w:val="18"/>
              </w:rPr>
              <w:t>MEDICINAL PRODUCT</w:t>
            </w:r>
          </w:p>
          <w:p w:rsidR="00EE7F22" w:rsidRPr="003A5AE5" w:rsidRDefault="00EE7F22" w:rsidP="00033ED9">
            <w:pPr>
              <w:keepNext/>
              <w:ind w:left="-57"/>
              <w:rPr>
                <w:rFonts w:ascii="Arial Narrow" w:hAnsi="Arial Narrow"/>
                <w:b/>
                <w:i/>
                <w:sz w:val="18"/>
                <w:szCs w:val="18"/>
              </w:rPr>
            </w:pPr>
            <w:r w:rsidRPr="003A5AE5">
              <w:rPr>
                <w:rFonts w:ascii="Arial Narrow" w:hAnsi="Arial Narrow"/>
                <w:b/>
                <w:i/>
                <w:sz w:val="18"/>
                <w:szCs w:val="18"/>
              </w:rPr>
              <w:t>Form</w:t>
            </w:r>
          </w:p>
        </w:tc>
        <w:tc>
          <w:tcPr>
            <w:tcW w:w="1559" w:type="dxa"/>
          </w:tcPr>
          <w:p w:rsidR="00EE7F22" w:rsidRPr="003A5AE5" w:rsidRDefault="00EE7F22" w:rsidP="00033ED9">
            <w:pPr>
              <w:keepNext/>
              <w:ind w:left="-108"/>
              <w:jc w:val="center"/>
              <w:rPr>
                <w:rFonts w:ascii="Arial Narrow" w:hAnsi="Arial Narrow"/>
                <w:b/>
                <w:i/>
                <w:sz w:val="18"/>
                <w:szCs w:val="18"/>
              </w:rPr>
            </w:pPr>
            <w:r w:rsidRPr="003A5AE5">
              <w:rPr>
                <w:rFonts w:ascii="Arial Narrow" w:hAnsi="Arial Narrow"/>
                <w:b/>
                <w:i/>
                <w:sz w:val="18"/>
                <w:szCs w:val="18"/>
              </w:rPr>
              <w:t>PBS item code</w:t>
            </w:r>
          </w:p>
        </w:tc>
        <w:tc>
          <w:tcPr>
            <w:tcW w:w="1276" w:type="dxa"/>
          </w:tcPr>
          <w:p w:rsidR="00EE7F22" w:rsidRPr="003A5AE5" w:rsidRDefault="00EE7F22" w:rsidP="00033ED9">
            <w:pPr>
              <w:keepNext/>
              <w:ind w:left="-108"/>
              <w:jc w:val="center"/>
              <w:rPr>
                <w:rFonts w:ascii="Arial Narrow" w:hAnsi="Arial Narrow"/>
                <w:b/>
                <w:i/>
                <w:sz w:val="18"/>
                <w:szCs w:val="18"/>
              </w:rPr>
            </w:pPr>
            <w:r w:rsidRPr="003A5AE5">
              <w:rPr>
                <w:rFonts w:ascii="Arial Narrow" w:hAnsi="Arial Narrow"/>
                <w:b/>
                <w:i/>
                <w:sz w:val="18"/>
                <w:szCs w:val="18"/>
              </w:rPr>
              <w:t>Max.</w:t>
            </w:r>
          </w:p>
          <w:p w:rsidR="00EE7F22" w:rsidRPr="003A5AE5" w:rsidRDefault="00EE7F22" w:rsidP="00033ED9">
            <w:pPr>
              <w:keepNext/>
              <w:ind w:left="-108"/>
              <w:jc w:val="center"/>
              <w:rPr>
                <w:rFonts w:ascii="Arial Narrow" w:hAnsi="Arial Narrow"/>
                <w:b/>
                <w:i/>
                <w:sz w:val="18"/>
                <w:szCs w:val="18"/>
              </w:rPr>
            </w:pPr>
            <w:r w:rsidRPr="003A5AE5">
              <w:rPr>
                <w:rFonts w:ascii="Arial Narrow" w:hAnsi="Arial Narrow"/>
                <w:b/>
                <w:i/>
                <w:sz w:val="18"/>
                <w:szCs w:val="18"/>
              </w:rPr>
              <w:t>Amount</w:t>
            </w:r>
          </w:p>
        </w:tc>
        <w:tc>
          <w:tcPr>
            <w:tcW w:w="1276" w:type="dxa"/>
          </w:tcPr>
          <w:p w:rsidR="00EE7F22" w:rsidRPr="003A5AE5" w:rsidRDefault="00EE7F22" w:rsidP="00033ED9">
            <w:pPr>
              <w:keepNext/>
              <w:ind w:left="-108"/>
              <w:jc w:val="center"/>
              <w:rPr>
                <w:rFonts w:ascii="Arial Narrow" w:hAnsi="Arial Narrow"/>
                <w:b/>
                <w:i/>
                <w:sz w:val="18"/>
                <w:szCs w:val="18"/>
              </w:rPr>
            </w:pPr>
            <w:r w:rsidRPr="003A5AE5">
              <w:rPr>
                <w:rFonts w:ascii="Arial Narrow" w:hAnsi="Arial Narrow"/>
                <w:b/>
                <w:i/>
                <w:sz w:val="18"/>
                <w:szCs w:val="18"/>
              </w:rPr>
              <w:t>№.of Rpts</w:t>
            </w:r>
          </w:p>
        </w:tc>
        <w:tc>
          <w:tcPr>
            <w:tcW w:w="2409" w:type="dxa"/>
          </w:tcPr>
          <w:p w:rsidR="00EE7F22" w:rsidRPr="003A5AE5" w:rsidRDefault="00EE7F22" w:rsidP="00033ED9">
            <w:pPr>
              <w:keepNext/>
              <w:ind w:left="-108"/>
              <w:jc w:val="center"/>
              <w:rPr>
                <w:rFonts w:ascii="Arial Narrow" w:hAnsi="Arial Narrow"/>
                <w:b/>
                <w:i/>
                <w:sz w:val="18"/>
                <w:szCs w:val="18"/>
              </w:rPr>
            </w:pPr>
            <w:r w:rsidRPr="003A5AE5">
              <w:rPr>
                <w:rFonts w:ascii="Arial Narrow" w:hAnsi="Arial Narrow"/>
                <w:b/>
                <w:sz w:val="20"/>
                <w:szCs w:val="20"/>
              </w:rPr>
              <w:t>Dispensed price for maximum amount</w:t>
            </w:r>
          </w:p>
        </w:tc>
      </w:tr>
      <w:tr w:rsidR="00EE7F22" w:rsidRPr="003A5AE5" w:rsidTr="00EE7F22">
        <w:trPr>
          <w:cantSplit/>
          <w:trHeight w:val="577"/>
        </w:trPr>
        <w:tc>
          <w:tcPr>
            <w:tcW w:w="2547" w:type="dxa"/>
          </w:tcPr>
          <w:p w:rsidR="00EE7F22" w:rsidRPr="003A5AE5" w:rsidRDefault="00EE7F22" w:rsidP="00033ED9">
            <w:pPr>
              <w:keepNext/>
              <w:ind w:left="-57"/>
              <w:rPr>
                <w:rFonts w:ascii="Arial Narrow" w:hAnsi="Arial Narrow"/>
                <w:i/>
                <w:sz w:val="18"/>
                <w:szCs w:val="18"/>
              </w:rPr>
            </w:pPr>
            <w:r w:rsidRPr="003A5AE5">
              <w:rPr>
                <w:rFonts w:ascii="Arial Narrow" w:hAnsi="Arial Narrow"/>
                <w:i/>
                <w:sz w:val="18"/>
                <w:szCs w:val="18"/>
              </w:rPr>
              <w:t>TRABECTEDIN</w:t>
            </w:r>
          </w:p>
          <w:p w:rsidR="00EE7F22" w:rsidRPr="003A5AE5" w:rsidRDefault="00EE7F22" w:rsidP="00033ED9">
            <w:pPr>
              <w:keepNext/>
              <w:ind w:left="-57"/>
              <w:rPr>
                <w:rFonts w:ascii="Arial Narrow" w:hAnsi="Arial Narrow" w:cs="Arial Narrow"/>
                <w:i/>
                <w:sz w:val="18"/>
                <w:szCs w:val="18"/>
              </w:rPr>
            </w:pPr>
            <w:r w:rsidRPr="003A5AE5">
              <w:rPr>
                <w:rFonts w:ascii="Arial Narrow" w:hAnsi="Arial Narrow" w:cs="Arial Narrow"/>
                <w:i/>
                <w:sz w:val="18"/>
                <w:szCs w:val="18"/>
              </w:rPr>
              <w:t>Powder for I.V. infusion, 0.25mg</w:t>
            </w:r>
          </w:p>
          <w:p w:rsidR="00EE7F22" w:rsidRPr="003A5AE5" w:rsidRDefault="00EE7F22" w:rsidP="00033ED9">
            <w:pPr>
              <w:keepNext/>
              <w:ind w:left="-57"/>
              <w:rPr>
                <w:rFonts w:ascii="Arial Narrow" w:hAnsi="Arial Narrow"/>
                <w:i/>
                <w:sz w:val="18"/>
                <w:szCs w:val="18"/>
              </w:rPr>
            </w:pPr>
            <w:r w:rsidRPr="003A5AE5">
              <w:rPr>
                <w:rFonts w:ascii="Arial Narrow" w:hAnsi="Arial Narrow" w:cs="Arial Narrow"/>
                <w:i/>
                <w:sz w:val="18"/>
                <w:szCs w:val="18"/>
              </w:rPr>
              <w:t>Powder for I.V. infusion, 1 mg</w:t>
            </w:r>
          </w:p>
        </w:tc>
        <w:tc>
          <w:tcPr>
            <w:tcW w:w="1559" w:type="dxa"/>
          </w:tcPr>
          <w:p w:rsidR="00EE7F22" w:rsidRPr="003A5AE5" w:rsidRDefault="00EE7F22" w:rsidP="00033ED9">
            <w:pPr>
              <w:keepNext/>
              <w:ind w:left="-108"/>
              <w:jc w:val="center"/>
              <w:rPr>
                <w:rFonts w:ascii="Arial Narrow" w:hAnsi="Arial Narrow"/>
                <w:i/>
                <w:sz w:val="18"/>
                <w:szCs w:val="18"/>
              </w:rPr>
            </w:pPr>
          </w:p>
          <w:p w:rsidR="00EE7F22" w:rsidRPr="003A5AE5" w:rsidRDefault="00EE7F22" w:rsidP="00033ED9">
            <w:pPr>
              <w:keepNext/>
              <w:ind w:left="-108"/>
              <w:jc w:val="center"/>
              <w:rPr>
                <w:rFonts w:ascii="Arial Narrow" w:hAnsi="Arial Narrow"/>
                <w:i/>
                <w:sz w:val="18"/>
                <w:szCs w:val="18"/>
              </w:rPr>
            </w:pPr>
            <w:r w:rsidRPr="003A5AE5">
              <w:rPr>
                <w:rFonts w:ascii="Arial Narrow" w:hAnsi="Arial Narrow"/>
                <w:i/>
                <w:sz w:val="18"/>
                <w:szCs w:val="18"/>
              </w:rPr>
              <w:t>NEW (Public)</w:t>
            </w:r>
          </w:p>
          <w:p w:rsidR="00EE7F22" w:rsidRPr="003A5AE5" w:rsidRDefault="00EE7F22" w:rsidP="00033ED9">
            <w:pPr>
              <w:keepNext/>
              <w:ind w:left="-108"/>
              <w:jc w:val="center"/>
              <w:rPr>
                <w:rFonts w:ascii="Arial Narrow" w:hAnsi="Arial Narrow"/>
                <w:i/>
                <w:sz w:val="18"/>
                <w:szCs w:val="18"/>
              </w:rPr>
            </w:pPr>
            <w:r w:rsidRPr="003A5AE5">
              <w:rPr>
                <w:rFonts w:ascii="Arial Narrow" w:hAnsi="Arial Narrow"/>
                <w:i/>
                <w:sz w:val="18"/>
                <w:szCs w:val="18"/>
              </w:rPr>
              <w:t>NEW (Private)</w:t>
            </w:r>
          </w:p>
        </w:tc>
        <w:tc>
          <w:tcPr>
            <w:tcW w:w="1276" w:type="dxa"/>
          </w:tcPr>
          <w:p w:rsidR="00EE7F22" w:rsidRPr="003A5AE5" w:rsidRDefault="00EE7F22" w:rsidP="00033ED9">
            <w:pPr>
              <w:keepNext/>
              <w:jc w:val="center"/>
              <w:rPr>
                <w:rFonts w:ascii="Arial Narrow" w:hAnsi="Arial Narrow"/>
                <w:i/>
                <w:sz w:val="18"/>
                <w:szCs w:val="18"/>
              </w:rPr>
            </w:pPr>
            <w:r w:rsidRPr="003A5AE5">
              <w:rPr>
                <w:rFonts w:ascii="Arial Narrow" w:hAnsi="Arial Narrow"/>
                <w:i/>
                <w:sz w:val="18"/>
                <w:szCs w:val="18"/>
              </w:rPr>
              <w:t>3.25mg</w:t>
            </w:r>
          </w:p>
        </w:tc>
        <w:tc>
          <w:tcPr>
            <w:tcW w:w="1276" w:type="dxa"/>
          </w:tcPr>
          <w:p w:rsidR="00EE7F22" w:rsidRPr="003A5AE5" w:rsidRDefault="00EE7F22" w:rsidP="00033ED9">
            <w:pPr>
              <w:keepNext/>
              <w:jc w:val="center"/>
              <w:rPr>
                <w:rFonts w:ascii="Arial Narrow" w:hAnsi="Arial Narrow"/>
                <w:i/>
                <w:sz w:val="18"/>
                <w:szCs w:val="18"/>
              </w:rPr>
            </w:pPr>
            <w:r w:rsidRPr="003A5AE5">
              <w:rPr>
                <w:rFonts w:ascii="Arial Narrow" w:hAnsi="Arial Narrow"/>
                <w:i/>
                <w:sz w:val="18"/>
                <w:szCs w:val="18"/>
              </w:rPr>
              <w:t>7</w:t>
            </w:r>
          </w:p>
        </w:tc>
        <w:tc>
          <w:tcPr>
            <w:tcW w:w="2409" w:type="dxa"/>
          </w:tcPr>
          <w:p w:rsidR="00EE7F22" w:rsidRPr="003A5AE5" w:rsidRDefault="00EE7F22" w:rsidP="00033ED9">
            <w:pPr>
              <w:jc w:val="left"/>
              <w:rPr>
                <w:rFonts w:ascii="Arial Narrow" w:hAnsi="Arial Narrow"/>
                <w:sz w:val="20"/>
                <w:szCs w:val="20"/>
              </w:rPr>
            </w:pPr>
            <w:r w:rsidRPr="003A5AE5">
              <w:rPr>
                <w:rFonts w:ascii="Arial Narrow" w:hAnsi="Arial Narrow"/>
                <w:sz w:val="20"/>
                <w:szCs w:val="20"/>
              </w:rPr>
              <w:t>Published:</w:t>
            </w:r>
          </w:p>
          <w:p w:rsidR="00EE7F22" w:rsidRPr="003A5AE5" w:rsidRDefault="00EE7F22" w:rsidP="00033ED9">
            <w:pPr>
              <w:jc w:val="left"/>
              <w:rPr>
                <w:rFonts w:ascii="Arial Narrow" w:hAnsi="Arial Narrow"/>
                <w:i/>
                <w:sz w:val="20"/>
                <w:szCs w:val="20"/>
                <w:vertAlign w:val="superscript"/>
              </w:rPr>
            </w:pPr>
            <w:r w:rsidRPr="003A5AE5">
              <w:rPr>
                <w:rFonts w:ascii="Arial Narrow" w:hAnsi="Arial Narrow"/>
                <w:i/>
                <w:sz w:val="20"/>
                <w:szCs w:val="20"/>
              </w:rPr>
              <w:t>$8,962.05 (Public hospital)</w:t>
            </w:r>
          </w:p>
          <w:p w:rsidR="00EE7F22" w:rsidRPr="003A5AE5" w:rsidRDefault="00EE7F22" w:rsidP="00033ED9">
            <w:pPr>
              <w:jc w:val="left"/>
              <w:rPr>
                <w:rFonts w:ascii="Arial Narrow" w:hAnsi="Arial Narrow"/>
                <w:sz w:val="20"/>
                <w:szCs w:val="20"/>
              </w:rPr>
            </w:pPr>
            <w:r w:rsidRPr="003A5AE5">
              <w:rPr>
                <w:rFonts w:ascii="Arial Narrow" w:hAnsi="Arial Narrow"/>
                <w:sz w:val="20"/>
                <w:szCs w:val="20"/>
              </w:rPr>
              <w:t>$9,126.95 (Private hospital) Effective:</w:t>
            </w:r>
          </w:p>
          <w:p w:rsidR="00EE7F22" w:rsidRPr="003A5AE5" w:rsidRDefault="00EE7F22" w:rsidP="00033ED9">
            <w:pPr>
              <w:jc w:val="left"/>
              <w:rPr>
                <w:rFonts w:ascii="Arial Narrow" w:hAnsi="Arial Narrow"/>
                <w:i/>
                <w:sz w:val="20"/>
                <w:szCs w:val="20"/>
                <w:vertAlign w:val="superscript"/>
              </w:rPr>
            </w:pPr>
            <w:r w:rsidRPr="003A5AE5">
              <w:rPr>
                <w:rFonts w:ascii="Arial Narrow" w:hAnsi="Arial Narrow"/>
                <w:i/>
                <w:sz w:val="20"/>
                <w:szCs w:val="20"/>
              </w:rPr>
              <w:t>$</w:t>
            </w:r>
            <w:r w:rsidR="00885AF3">
              <w:rPr>
                <w:rFonts w:ascii="Arial Narrow" w:hAnsi="Arial Narrow"/>
                <w:i/>
                <w:noProof/>
                <w:color w:val="000000"/>
                <w:sz w:val="20"/>
                <w:szCs w:val="20"/>
                <w:highlight w:val="black"/>
              </w:rPr>
              <w:t xml:space="preserve">''''''''''''''''''''' </w:t>
            </w:r>
            <w:r w:rsidRPr="003A5AE5">
              <w:rPr>
                <w:rFonts w:ascii="Arial Narrow" w:hAnsi="Arial Narrow"/>
                <w:i/>
                <w:sz w:val="20"/>
                <w:szCs w:val="20"/>
              </w:rPr>
              <w:t>(Public hospital)</w:t>
            </w:r>
          </w:p>
          <w:p w:rsidR="00EE7F22" w:rsidRPr="003A5AE5" w:rsidRDefault="00EE7F22" w:rsidP="00033ED9">
            <w:pPr>
              <w:keepNext/>
              <w:jc w:val="left"/>
              <w:rPr>
                <w:rFonts w:ascii="Arial Narrow" w:hAnsi="Arial Narrow"/>
                <w:i/>
                <w:sz w:val="18"/>
                <w:szCs w:val="18"/>
              </w:rPr>
            </w:pPr>
            <w:r w:rsidRPr="003A5AE5">
              <w:rPr>
                <w:rFonts w:ascii="Arial Narrow" w:hAnsi="Arial Narrow"/>
                <w:sz w:val="20"/>
                <w:szCs w:val="20"/>
              </w:rPr>
              <w:t>$</w:t>
            </w:r>
            <w:r w:rsidR="00885AF3">
              <w:rPr>
                <w:rFonts w:ascii="Arial Narrow" w:hAnsi="Arial Narrow"/>
                <w:noProof/>
                <w:color w:val="000000"/>
                <w:sz w:val="20"/>
                <w:szCs w:val="20"/>
                <w:highlight w:val="black"/>
              </w:rPr>
              <w:t xml:space="preserve">'''''''''''''''''' </w:t>
            </w:r>
            <w:r w:rsidRPr="003A5AE5">
              <w:rPr>
                <w:rFonts w:ascii="Arial Narrow" w:hAnsi="Arial Narrow"/>
                <w:sz w:val="20"/>
                <w:szCs w:val="20"/>
              </w:rPr>
              <w:t>(Private hospital)</w:t>
            </w:r>
          </w:p>
        </w:tc>
      </w:tr>
      <w:tr w:rsidR="00A611A5" w:rsidRPr="003A5AE5" w:rsidTr="0058296A">
        <w:trPr>
          <w:cantSplit/>
          <w:trHeight w:val="225"/>
        </w:trPr>
        <w:tc>
          <w:tcPr>
            <w:tcW w:w="9067" w:type="dxa"/>
            <w:gridSpan w:val="5"/>
          </w:tcPr>
          <w:p w:rsidR="00A611A5" w:rsidRPr="003A5AE5" w:rsidRDefault="00A611A5" w:rsidP="00033ED9">
            <w:pPr>
              <w:keepNext/>
              <w:ind w:left="-57"/>
              <w:rPr>
                <w:rFonts w:ascii="Arial Narrow" w:hAnsi="Arial Narrow"/>
                <w:b/>
                <w:i/>
                <w:sz w:val="18"/>
                <w:szCs w:val="18"/>
              </w:rPr>
            </w:pPr>
            <w:r w:rsidRPr="003A5AE5">
              <w:rPr>
                <w:rFonts w:ascii="Arial Narrow" w:hAnsi="Arial Narrow"/>
                <w:b/>
                <w:i/>
                <w:sz w:val="18"/>
                <w:szCs w:val="18"/>
              </w:rPr>
              <w:t>Available brands</w:t>
            </w:r>
          </w:p>
        </w:tc>
      </w:tr>
      <w:tr w:rsidR="00A611A5" w:rsidRPr="003A5AE5" w:rsidTr="0058296A">
        <w:trPr>
          <w:cantSplit/>
          <w:trHeight w:val="360"/>
        </w:trPr>
        <w:tc>
          <w:tcPr>
            <w:tcW w:w="9067" w:type="dxa"/>
            <w:gridSpan w:val="5"/>
          </w:tcPr>
          <w:p w:rsidR="00A611A5" w:rsidRPr="003A5AE5" w:rsidRDefault="00A611A5" w:rsidP="00033ED9">
            <w:pPr>
              <w:ind w:left="-57"/>
              <w:rPr>
                <w:rFonts w:ascii="Arial Narrow" w:hAnsi="Arial Narrow"/>
                <w:i/>
                <w:sz w:val="18"/>
                <w:szCs w:val="18"/>
              </w:rPr>
            </w:pPr>
            <w:r w:rsidRPr="003A5AE5">
              <w:rPr>
                <w:rFonts w:ascii="Arial Narrow" w:hAnsi="Arial Narrow"/>
                <w:i/>
                <w:sz w:val="18"/>
                <w:szCs w:val="18"/>
              </w:rPr>
              <w:t>Yondelis</w:t>
            </w:r>
            <w:r w:rsidRPr="003A5AE5">
              <w:rPr>
                <w:rFonts w:ascii="Arial Narrow" w:hAnsi="Arial Narrow"/>
                <w:i/>
                <w:sz w:val="18"/>
                <w:szCs w:val="18"/>
                <w:vertAlign w:val="superscript"/>
              </w:rPr>
              <w:t>®</w:t>
            </w:r>
          </w:p>
        </w:tc>
      </w:tr>
      <w:tr w:rsidR="00A611A5" w:rsidRPr="003A5AE5" w:rsidTr="0058296A">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right w:val="single" w:sz="4" w:space="0" w:color="auto"/>
            </w:tcBorders>
          </w:tcPr>
          <w:p w:rsidR="00A611A5" w:rsidRPr="003A5AE5" w:rsidRDefault="00A611A5" w:rsidP="00033ED9">
            <w:pPr>
              <w:ind w:left="57"/>
              <w:rPr>
                <w:rFonts w:ascii="Arial Narrow" w:hAnsi="Arial Narrow"/>
                <w:b/>
                <w:i/>
                <w:color w:val="FF00FF"/>
                <w:sz w:val="18"/>
                <w:szCs w:val="18"/>
              </w:rPr>
            </w:pPr>
          </w:p>
        </w:tc>
      </w:tr>
      <w:tr w:rsidR="00A611A5" w:rsidRPr="003A5AE5" w:rsidTr="0058296A">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right w:val="single" w:sz="4" w:space="0" w:color="auto"/>
            </w:tcBorders>
          </w:tcPr>
          <w:p w:rsidR="00A611A5" w:rsidRPr="003A5AE5" w:rsidRDefault="00A611A5" w:rsidP="00033ED9">
            <w:pPr>
              <w:ind w:left="57"/>
              <w:rPr>
                <w:rFonts w:ascii="Arial Narrow" w:hAnsi="Arial Narrow"/>
                <w:b/>
                <w:i/>
                <w:sz w:val="18"/>
                <w:szCs w:val="18"/>
              </w:rPr>
            </w:pPr>
            <w:r w:rsidRPr="003A5AE5">
              <w:rPr>
                <w:rFonts w:ascii="Arial Narrow" w:hAnsi="Arial Narrow"/>
                <w:b/>
                <w:i/>
                <w:sz w:val="18"/>
                <w:szCs w:val="18"/>
              </w:rPr>
              <w:t>Restriction Summary [new]  / Treatment of Concept: [new]</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bottom w:val="single" w:sz="4" w:space="0" w:color="auto"/>
              <w:right w:val="single" w:sz="4" w:space="0" w:color="auto"/>
            </w:tcBorders>
          </w:tcPr>
          <w:p w:rsidR="00B40C5B" w:rsidRPr="003A5AE5" w:rsidRDefault="00B40C5B" w:rsidP="00033ED9">
            <w:pPr>
              <w:rPr>
                <w:rFonts w:ascii="Arial Narrow" w:hAnsi="Arial Narrow"/>
                <w:i/>
                <w:sz w:val="18"/>
                <w:szCs w:val="18"/>
              </w:rPr>
            </w:pPr>
            <w:r w:rsidRPr="003A5AE5">
              <w:rPr>
                <w:rFonts w:ascii="Arial Narrow" w:hAnsi="Arial Narrow"/>
                <w:b/>
                <w:i/>
                <w:sz w:val="18"/>
                <w:szCs w:val="18"/>
              </w:rPr>
              <w:t xml:space="preserve">Category / Program: </w:t>
            </w:r>
            <w:r w:rsidRPr="003A5AE5">
              <w:rPr>
                <w:rFonts w:ascii="Arial Narrow" w:hAnsi="Arial Narrow"/>
                <w:i/>
                <w:sz w:val="18"/>
                <w:szCs w:val="18"/>
              </w:rPr>
              <w:t xml:space="preserve">Section 100 – Efficient Funding of Chemotherapy Public/Private hospitals </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rPr>
          <w:trHeight w:val="240"/>
        </w:trPr>
        <w:tc>
          <w:tcPr>
            <w:tcW w:w="9067" w:type="dxa"/>
            <w:gridSpan w:val="5"/>
            <w:tcBorders>
              <w:top w:val="single" w:sz="4" w:space="0" w:color="auto"/>
              <w:left w:val="single" w:sz="4" w:space="0" w:color="auto"/>
              <w:bottom w:val="single" w:sz="4" w:space="0" w:color="auto"/>
              <w:right w:val="single" w:sz="4" w:space="0" w:color="auto"/>
            </w:tcBorders>
          </w:tcPr>
          <w:p w:rsidR="00B40C5B" w:rsidRPr="003A5AE5" w:rsidRDefault="00B40C5B" w:rsidP="00033ED9">
            <w:pPr>
              <w:rPr>
                <w:rFonts w:ascii="Arial Narrow" w:hAnsi="Arial Narrow"/>
                <w:b/>
                <w:i/>
                <w:sz w:val="18"/>
                <w:szCs w:val="18"/>
              </w:rPr>
            </w:pPr>
            <w:r w:rsidRPr="003A5AE5">
              <w:rPr>
                <w:rFonts w:ascii="Arial Narrow" w:hAnsi="Arial Narrow"/>
                <w:b/>
                <w:i/>
                <w:sz w:val="18"/>
                <w:szCs w:val="18"/>
              </w:rPr>
              <w:t xml:space="preserve">Prescriber type:   </w:t>
            </w:r>
            <w:r w:rsidRPr="003A5AE5">
              <w:rPr>
                <w:rFonts w:ascii="Arial Narrow" w:hAnsi="Arial Narrow"/>
                <w:i/>
                <w:sz w:val="18"/>
                <w:szCs w:val="18"/>
              </w:rPr>
              <w:fldChar w:fldCharType="begin">
                <w:ffData>
                  <w:name w:val="Check1"/>
                  <w:enabled/>
                  <w:calcOnExit w:val="0"/>
                  <w:checkBox>
                    <w:sizeAuto/>
                    <w:default w:val="0"/>
                  </w:checkBox>
                </w:ffData>
              </w:fldChar>
            </w:r>
            <w:r w:rsidRPr="003A5AE5">
              <w:rPr>
                <w:rFonts w:ascii="Arial Narrow" w:hAnsi="Arial Narrow"/>
                <w:i/>
                <w:sz w:val="18"/>
                <w:szCs w:val="18"/>
              </w:rPr>
              <w:instrText xml:space="preserve"> FORMCHECKBOX </w:instrText>
            </w:r>
            <w:r w:rsidR="00BF2D4A">
              <w:rPr>
                <w:rFonts w:ascii="Arial Narrow" w:hAnsi="Arial Narrow"/>
                <w:i/>
                <w:sz w:val="18"/>
                <w:szCs w:val="18"/>
              </w:rPr>
            </w:r>
            <w:r w:rsidR="00BF2D4A">
              <w:rPr>
                <w:rFonts w:ascii="Arial Narrow" w:hAnsi="Arial Narrow"/>
                <w:i/>
                <w:sz w:val="18"/>
                <w:szCs w:val="18"/>
              </w:rPr>
              <w:fldChar w:fldCharType="separate"/>
            </w:r>
            <w:r w:rsidRPr="003A5AE5">
              <w:rPr>
                <w:rFonts w:ascii="Arial Narrow" w:hAnsi="Arial Narrow"/>
                <w:i/>
                <w:sz w:val="18"/>
                <w:szCs w:val="18"/>
              </w:rPr>
              <w:fldChar w:fldCharType="end"/>
            </w:r>
            <w:r w:rsidRPr="003A5AE5">
              <w:rPr>
                <w:rFonts w:ascii="Arial Narrow" w:hAnsi="Arial Narrow"/>
                <w:i/>
                <w:sz w:val="18"/>
                <w:szCs w:val="18"/>
              </w:rPr>
              <w:t xml:space="preserve">Dental    </w:t>
            </w:r>
            <w:r w:rsidRPr="003A5AE5">
              <w:rPr>
                <w:rFonts w:ascii="Arial Narrow" w:hAnsi="Arial Narrow"/>
                <w:i/>
                <w:sz w:val="18"/>
                <w:szCs w:val="18"/>
              </w:rPr>
              <w:fldChar w:fldCharType="begin">
                <w:ffData>
                  <w:name w:val=""/>
                  <w:enabled/>
                  <w:calcOnExit w:val="0"/>
                  <w:checkBox>
                    <w:sizeAuto/>
                    <w:default w:val="1"/>
                  </w:checkBox>
                </w:ffData>
              </w:fldChar>
            </w:r>
            <w:r w:rsidRPr="003A5AE5">
              <w:rPr>
                <w:rFonts w:ascii="Arial Narrow" w:hAnsi="Arial Narrow"/>
                <w:i/>
                <w:sz w:val="18"/>
                <w:szCs w:val="18"/>
              </w:rPr>
              <w:instrText xml:space="preserve"> FORMCHECKBOX </w:instrText>
            </w:r>
            <w:r w:rsidR="00BF2D4A">
              <w:rPr>
                <w:rFonts w:ascii="Arial Narrow" w:hAnsi="Arial Narrow"/>
                <w:i/>
                <w:sz w:val="18"/>
                <w:szCs w:val="18"/>
              </w:rPr>
            </w:r>
            <w:r w:rsidR="00BF2D4A">
              <w:rPr>
                <w:rFonts w:ascii="Arial Narrow" w:hAnsi="Arial Narrow"/>
                <w:i/>
                <w:sz w:val="18"/>
                <w:szCs w:val="18"/>
              </w:rPr>
              <w:fldChar w:fldCharType="separate"/>
            </w:r>
            <w:r w:rsidRPr="003A5AE5">
              <w:rPr>
                <w:rFonts w:ascii="Arial Narrow" w:hAnsi="Arial Narrow"/>
                <w:i/>
                <w:sz w:val="18"/>
                <w:szCs w:val="18"/>
              </w:rPr>
              <w:fldChar w:fldCharType="end"/>
            </w:r>
            <w:r w:rsidRPr="003A5AE5">
              <w:rPr>
                <w:rFonts w:ascii="Arial Narrow" w:hAnsi="Arial Narrow"/>
                <w:i/>
                <w:sz w:val="18"/>
                <w:szCs w:val="18"/>
              </w:rPr>
              <w:t xml:space="preserve">Medical Practitioners    </w:t>
            </w:r>
            <w:r w:rsidRPr="003A5AE5">
              <w:rPr>
                <w:rFonts w:ascii="Arial Narrow" w:hAnsi="Arial Narrow"/>
                <w:i/>
                <w:sz w:val="18"/>
                <w:szCs w:val="18"/>
              </w:rPr>
              <w:fldChar w:fldCharType="begin">
                <w:ffData>
                  <w:name w:val="Check3"/>
                  <w:enabled/>
                  <w:calcOnExit w:val="0"/>
                  <w:checkBox>
                    <w:sizeAuto/>
                    <w:default w:val="0"/>
                  </w:checkBox>
                </w:ffData>
              </w:fldChar>
            </w:r>
            <w:r w:rsidRPr="003A5AE5">
              <w:rPr>
                <w:rFonts w:ascii="Arial Narrow" w:hAnsi="Arial Narrow"/>
                <w:i/>
                <w:sz w:val="18"/>
                <w:szCs w:val="18"/>
              </w:rPr>
              <w:instrText xml:space="preserve"> FORMCHECKBOX </w:instrText>
            </w:r>
            <w:r w:rsidR="00BF2D4A">
              <w:rPr>
                <w:rFonts w:ascii="Arial Narrow" w:hAnsi="Arial Narrow"/>
                <w:i/>
                <w:sz w:val="18"/>
                <w:szCs w:val="18"/>
              </w:rPr>
            </w:r>
            <w:r w:rsidR="00BF2D4A">
              <w:rPr>
                <w:rFonts w:ascii="Arial Narrow" w:hAnsi="Arial Narrow"/>
                <w:i/>
                <w:sz w:val="18"/>
                <w:szCs w:val="18"/>
              </w:rPr>
              <w:fldChar w:fldCharType="separate"/>
            </w:r>
            <w:r w:rsidRPr="003A5AE5">
              <w:rPr>
                <w:rFonts w:ascii="Arial Narrow" w:hAnsi="Arial Narrow"/>
                <w:i/>
                <w:sz w:val="18"/>
                <w:szCs w:val="18"/>
              </w:rPr>
              <w:fldChar w:fldCharType="end"/>
            </w:r>
            <w:r w:rsidRPr="003A5AE5">
              <w:rPr>
                <w:rFonts w:ascii="Arial Narrow" w:hAnsi="Arial Narrow"/>
                <w:i/>
                <w:sz w:val="18"/>
                <w:szCs w:val="18"/>
              </w:rPr>
              <w:t xml:space="preserve">Nurse practitioners     </w:t>
            </w:r>
            <w:r w:rsidRPr="003A5AE5">
              <w:rPr>
                <w:rFonts w:ascii="Arial Narrow" w:hAnsi="Arial Narrow"/>
                <w:i/>
                <w:sz w:val="18"/>
                <w:szCs w:val="18"/>
              </w:rPr>
              <w:fldChar w:fldCharType="begin">
                <w:ffData>
                  <w:name w:val=""/>
                  <w:enabled/>
                  <w:calcOnExit w:val="0"/>
                  <w:checkBox>
                    <w:sizeAuto/>
                    <w:default w:val="0"/>
                  </w:checkBox>
                </w:ffData>
              </w:fldChar>
            </w:r>
            <w:r w:rsidRPr="003A5AE5">
              <w:rPr>
                <w:rFonts w:ascii="Arial Narrow" w:hAnsi="Arial Narrow"/>
                <w:i/>
                <w:sz w:val="18"/>
                <w:szCs w:val="18"/>
              </w:rPr>
              <w:instrText xml:space="preserve"> FORMCHECKBOX </w:instrText>
            </w:r>
            <w:r w:rsidR="00BF2D4A">
              <w:rPr>
                <w:rFonts w:ascii="Arial Narrow" w:hAnsi="Arial Narrow"/>
                <w:i/>
                <w:sz w:val="18"/>
                <w:szCs w:val="18"/>
              </w:rPr>
            </w:r>
            <w:r w:rsidR="00BF2D4A">
              <w:rPr>
                <w:rFonts w:ascii="Arial Narrow" w:hAnsi="Arial Narrow"/>
                <w:i/>
                <w:sz w:val="18"/>
                <w:szCs w:val="18"/>
              </w:rPr>
              <w:fldChar w:fldCharType="separate"/>
            </w:r>
            <w:r w:rsidRPr="003A5AE5">
              <w:rPr>
                <w:rFonts w:ascii="Arial Narrow" w:hAnsi="Arial Narrow"/>
                <w:i/>
                <w:sz w:val="18"/>
                <w:szCs w:val="18"/>
              </w:rPr>
              <w:fldChar w:fldCharType="end"/>
            </w:r>
            <w:r w:rsidRPr="003A5AE5">
              <w:rPr>
                <w:rFonts w:ascii="Arial Narrow" w:hAnsi="Arial Narrow"/>
                <w:i/>
                <w:sz w:val="18"/>
                <w:szCs w:val="18"/>
              </w:rPr>
              <w:t xml:space="preserve">Optometrists    </w:t>
            </w:r>
            <w:r w:rsidRPr="003A5AE5">
              <w:rPr>
                <w:rFonts w:ascii="Arial Narrow" w:hAnsi="Arial Narrow"/>
                <w:i/>
                <w:sz w:val="18"/>
                <w:szCs w:val="18"/>
              </w:rPr>
              <w:fldChar w:fldCharType="begin">
                <w:ffData>
                  <w:name w:val="Check5"/>
                  <w:enabled/>
                  <w:calcOnExit w:val="0"/>
                  <w:checkBox>
                    <w:sizeAuto/>
                    <w:default w:val="0"/>
                  </w:checkBox>
                </w:ffData>
              </w:fldChar>
            </w:r>
            <w:r w:rsidRPr="003A5AE5">
              <w:rPr>
                <w:rFonts w:ascii="Arial Narrow" w:hAnsi="Arial Narrow"/>
                <w:i/>
                <w:sz w:val="18"/>
                <w:szCs w:val="18"/>
              </w:rPr>
              <w:instrText xml:space="preserve"> FORMCHECKBOX </w:instrText>
            </w:r>
            <w:r w:rsidR="00BF2D4A">
              <w:rPr>
                <w:rFonts w:ascii="Arial Narrow" w:hAnsi="Arial Narrow"/>
                <w:i/>
                <w:sz w:val="18"/>
                <w:szCs w:val="18"/>
              </w:rPr>
            </w:r>
            <w:r w:rsidR="00BF2D4A">
              <w:rPr>
                <w:rFonts w:ascii="Arial Narrow" w:hAnsi="Arial Narrow"/>
                <w:i/>
                <w:sz w:val="18"/>
                <w:szCs w:val="18"/>
              </w:rPr>
              <w:fldChar w:fldCharType="separate"/>
            </w:r>
            <w:r w:rsidRPr="003A5AE5">
              <w:rPr>
                <w:rFonts w:ascii="Arial Narrow" w:hAnsi="Arial Narrow"/>
                <w:i/>
                <w:sz w:val="18"/>
                <w:szCs w:val="18"/>
              </w:rPr>
              <w:fldChar w:fldCharType="end"/>
            </w:r>
            <w:r w:rsidRPr="003A5AE5">
              <w:rPr>
                <w:rFonts w:ascii="Arial Narrow" w:hAnsi="Arial Narrow"/>
                <w:i/>
                <w:sz w:val="18"/>
                <w:szCs w:val="18"/>
              </w:rPr>
              <w:t>Midwives</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bottom w:val="single" w:sz="4" w:space="0" w:color="auto"/>
              <w:right w:val="single" w:sz="4" w:space="0" w:color="auto"/>
            </w:tcBorders>
          </w:tcPr>
          <w:p w:rsidR="00B40C5B" w:rsidRPr="003A5AE5" w:rsidRDefault="00B40C5B" w:rsidP="00033ED9">
            <w:pPr>
              <w:rPr>
                <w:rFonts w:ascii="Arial Narrow" w:eastAsia="Calibri" w:hAnsi="Arial Narrow"/>
                <w:i/>
                <w:sz w:val="18"/>
                <w:szCs w:val="18"/>
              </w:rPr>
            </w:pPr>
            <w:r w:rsidRPr="003A5AE5">
              <w:rPr>
                <w:rFonts w:ascii="Arial Narrow" w:hAnsi="Arial Narrow"/>
                <w:b/>
                <w:i/>
                <w:sz w:val="18"/>
                <w:szCs w:val="18"/>
              </w:rPr>
              <w:t xml:space="preserve">Restriction type: </w:t>
            </w:r>
          </w:p>
          <w:p w:rsidR="00B40C5B" w:rsidRPr="003A5AE5" w:rsidRDefault="00B40C5B" w:rsidP="00033ED9">
            <w:pPr>
              <w:rPr>
                <w:rFonts w:ascii="Arial Narrow" w:eastAsia="Calibri" w:hAnsi="Arial Narrow"/>
                <w:i/>
                <w:color w:val="FF00FF"/>
                <w:sz w:val="18"/>
                <w:szCs w:val="18"/>
              </w:rPr>
            </w:pPr>
            <w:r w:rsidRPr="003A5AE5">
              <w:rPr>
                <w:rFonts w:ascii="Arial Narrow" w:eastAsia="Calibri" w:hAnsi="Arial Narrow"/>
                <w:i/>
                <w:sz w:val="18"/>
                <w:szCs w:val="18"/>
              </w:rPr>
              <w:fldChar w:fldCharType="begin">
                <w:ffData>
                  <w:name w:val=""/>
                  <w:enabled/>
                  <w:calcOnExit w:val="0"/>
                  <w:checkBox>
                    <w:sizeAuto/>
                    <w:default w:val="1"/>
                  </w:checkBox>
                </w:ffData>
              </w:fldChar>
            </w:r>
            <w:r w:rsidRPr="003A5AE5">
              <w:rPr>
                <w:rFonts w:ascii="Arial Narrow" w:eastAsia="Calibri" w:hAnsi="Arial Narrow"/>
                <w:i/>
                <w:sz w:val="18"/>
                <w:szCs w:val="18"/>
              </w:rPr>
              <w:instrText xml:space="preserve"> FORMCHECKBOX </w:instrText>
            </w:r>
            <w:r w:rsidR="00BF2D4A">
              <w:rPr>
                <w:rFonts w:ascii="Arial Narrow" w:eastAsia="Calibri" w:hAnsi="Arial Narrow"/>
                <w:i/>
                <w:sz w:val="18"/>
                <w:szCs w:val="18"/>
              </w:rPr>
            </w:r>
            <w:r w:rsidR="00BF2D4A">
              <w:rPr>
                <w:rFonts w:ascii="Arial Narrow" w:eastAsia="Calibri" w:hAnsi="Arial Narrow"/>
                <w:i/>
                <w:sz w:val="18"/>
                <w:szCs w:val="18"/>
              </w:rPr>
              <w:fldChar w:fldCharType="separate"/>
            </w:r>
            <w:r w:rsidRPr="003A5AE5">
              <w:rPr>
                <w:rFonts w:ascii="Arial Narrow" w:eastAsia="Calibri" w:hAnsi="Arial Narrow"/>
                <w:i/>
                <w:sz w:val="18"/>
                <w:szCs w:val="18"/>
              </w:rPr>
              <w:fldChar w:fldCharType="end"/>
            </w:r>
            <w:r w:rsidRPr="003A5AE5">
              <w:rPr>
                <w:rFonts w:ascii="Arial Narrow" w:eastAsia="Calibri" w:hAnsi="Arial Narrow"/>
                <w:i/>
                <w:sz w:val="18"/>
                <w:szCs w:val="18"/>
              </w:rPr>
              <w:t>Authority Required – Streamlined [new code]</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B40C5B" w:rsidRPr="003A5AE5" w:rsidRDefault="00B40C5B" w:rsidP="00033ED9">
            <w:pPr>
              <w:rPr>
                <w:rFonts w:ascii="Arial Narrow" w:hAnsi="Arial Narrow"/>
                <w:i/>
                <w:color w:val="333333"/>
                <w:sz w:val="18"/>
                <w:szCs w:val="18"/>
              </w:rPr>
            </w:pPr>
            <w:r w:rsidRPr="003A5AE5">
              <w:rPr>
                <w:rFonts w:ascii="Arial Narrow" w:hAnsi="Arial Narrow"/>
                <w:b/>
                <w:bCs/>
                <w:i/>
                <w:color w:val="333333"/>
                <w:sz w:val="18"/>
                <w:szCs w:val="18"/>
              </w:rPr>
              <w:t>Administrative Advice:</w:t>
            </w:r>
          </w:p>
          <w:p w:rsidR="00B40C5B" w:rsidRPr="003A5AE5" w:rsidRDefault="00B40C5B" w:rsidP="00033ED9">
            <w:pPr>
              <w:rPr>
                <w:rFonts w:ascii="Arial Narrow" w:hAnsi="Arial Narrow"/>
                <w:i/>
                <w:color w:val="333333"/>
                <w:sz w:val="18"/>
                <w:szCs w:val="18"/>
              </w:rPr>
            </w:pPr>
            <w:r w:rsidRPr="003A5AE5">
              <w:rPr>
                <w:rFonts w:ascii="Arial Narrow" w:hAnsi="Arial Narrow"/>
                <w:i/>
                <w:color w:val="333333"/>
                <w:sz w:val="18"/>
                <w:szCs w:val="18"/>
              </w:rPr>
              <w:t>This drug is not PBS-subsidised if it is administered to an in-patient in a public hospital.</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B40C5B" w:rsidRPr="003A5AE5" w:rsidRDefault="00B40C5B" w:rsidP="00033ED9">
            <w:pPr>
              <w:rPr>
                <w:rFonts w:ascii="Arial Narrow" w:hAnsi="Arial Narrow"/>
                <w:b/>
                <w:bCs/>
                <w:i/>
                <w:color w:val="333333"/>
                <w:sz w:val="18"/>
                <w:szCs w:val="18"/>
              </w:rPr>
            </w:pPr>
            <w:r w:rsidRPr="003A5AE5">
              <w:rPr>
                <w:rFonts w:ascii="Arial Narrow" w:hAnsi="Arial Narrow"/>
                <w:b/>
                <w:bCs/>
                <w:i/>
                <w:color w:val="333333"/>
                <w:sz w:val="18"/>
                <w:szCs w:val="18"/>
              </w:rPr>
              <w:t xml:space="preserve">Administrative Advice: </w:t>
            </w:r>
            <w:r w:rsidRPr="003A5AE5">
              <w:rPr>
                <w:rFonts w:ascii="Arial Narrow" w:hAnsi="Arial Narrow"/>
                <w:bCs/>
                <w:i/>
                <w:color w:val="333333"/>
                <w:sz w:val="18"/>
                <w:szCs w:val="18"/>
              </w:rPr>
              <w:t>Special Pricing Arrangements apply.</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B40C5B" w:rsidRPr="003A5AE5" w:rsidRDefault="00B40C5B" w:rsidP="00033ED9">
            <w:pPr>
              <w:rPr>
                <w:rFonts w:ascii="Arial Narrow" w:hAnsi="Arial Narrow"/>
                <w:bCs/>
                <w:i/>
                <w:color w:val="333333"/>
                <w:sz w:val="18"/>
                <w:szCs w:val="18"/>
              </w:rPr>
            </w:pPr>
            <w:r w:rsidRPr="003A5AE5">
              <w:rPr>
                <w:rFonts w:ascii="Arial Narrow" w:hAnsi="Arial Narrow"/>
                <w:b/>
                <w:bCs/>
                <w:i/>
                <w:color w:val="333333"/>
                <w:sz w:val="18"/>
                <w:szCs w:val="18"/>
              </w:rPr>
              <w:t xml:space="preserve">Episodicity: </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B40C5B" w:rsidRPr="003A5AE5" w:rsidRDefault="00B40C5B" w:rsidP="00033ED9">
            <w:pPr>
              <w:rPr>
                <w:rFonts w:ascii="Arial Narrow" w:hAnsi="Arial Narrow"/>
                <w:b/>
                <w:bCs/>
                <w:i/>
                <w:color w:val="333333"/>
                <w:sz w:val="18"/>
                <w:szCs w:val="18"/>
              </w:rPr>
            </w:pPr>
            <w:r w:rsidRPr="003A5AE5">
              <w:rPr>
                <w:rFonts w:ascii="Arial Narrow" w:hAnsi="Arial Narrow"/>
                <w:b/>
                <w:bCs/>
                <w:i/>
                <w:color w:val="333333"/>
                <w:sz w:val="18"/>
                <w:szCs w:val="18"/>
              </w:rPr>
              <w:t xml:space="preserve">Severity: </w:t>
            </w:r>
            <w:r w:rsidRPr="003A5AE5">
              <w:rPr>
                <w:rFonts w:ascii="Arial Narrow" w:hAnsi="Arial Narrow"/>
                <w:bCs/>
                <w:i/>
                <w:color w:val="000000" w:themeColor="text1"/>
                <w:sz w:val="18"/>
                <w:szCs w:val="18"/>
              </w:rPr>
              <w:t>Advanced (unresectable and/or metastatic)</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B40C5B" w:rsidRPr="003A5AE5" w:rsidRDefault="00B40C5B" w:rsidP="00033ED9">
            <w:pPr>
              <w:rPr>
                <w:rFonts w:ascii="Arial Narrow" w:hAnsi="Arial Narrow"/>
                <w:b/>
                <w:bCs/>
                <w:i/>
                <w:color w:val="333333"/>
                <w:sz w:val="18"/>
                <w:szCs w:val="18"/>
              </w:rPr>
            </w:pPr>
            <w:r w:rsidRPr="003A5AE5">
              <w:rPr>
                <w:rFonts w:ascii="Arial Narrow" w:hAnsi="Arial Narrow"/>
                <w:b/>
                <w:bCs/>
                <w:i/>
                <w:color w:val="333333"/>
                <w:sz w:val="18"/>
                <w:szCs w:val="18"/>
              </w:rPr>
              <w:t xml:space="preserve">Condition: </w:t>
            </w:r>
            <w:r w:rsidRPr="003A5AE5">
              <w:rPr>
                <w:rFonts w:ascii="Arial Narrow" w:hAnsi="Arial Narrow"/>
                <w:bCs/>
                <w:i/>
                <w:color w:val="333333"/>
                <w:sz w:val="18"/>
                <w:szCs w:val="18"/>
              </w:rPr>
              <w:t xml:space="preserve">Leiomyosarcoma </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hideMark/>
          </w:tcPr>
          <w:p w:rsidR="00B40C5B" w:rsidRPr="003A5AE5" w:rsidRDefault="00B40C5B" w:rsidP="00033ED9">
            <w:pPr>
              <w:rPr>
                <w:rFonts w:ascii="Arial Narrow" w:hAnsi="Arial Narrow"/>
                <w:i/>
                <w:color w:val="333333"/>
                <w:sz w:val="18"/>
                <w:szCs w:val="18"/>
              </w:rPr>
            </w:pPr>
            <w:r w:rsidRPr="003A5AE5">
              <w:rPr>
                <w:rFonts w:ascii="Arial Narrow" w:hAnsi="Arial Narrow"/>
                <w:b/>
                <w:bCs/>
                <w:i/>
                <w:color w:val="333333"/>
                <w:sz w:val="18"/>
                <w:szCs w:val="18"/>
              </w:rPr>
              <w:t>Indication:</w:t>
            </w:r>
            <w:r w:rsidRPr="003A5AE5">
              <w:rPr>
                <w:rFonts w:ascii="Arial Narrow" w:hAnsi="Arial Narrow"/>
                <w:i/>
                <w:color w:val="333333"/>
                <w:sz w:val="18"/>
                <w:szCs w:val="18"/>
              </w:rPr>
              <w:t xml:space="preserve"> </w:t>
            </w:r>
            <w:r w:rsidRPr="003A5AE5">
              <w:rPr>
                <w:rFonts w:ascii="Arial Narrow" w:hAnsi="Arial Narrow"/>
                <w:bCs/>
                <w:i/>
                <w:color w:val="000000" w:themeColor="text1"/>
                <w:sz w:val="18"/>
                <w:szCs w:val="18"/>
              </w:rPr>
              <w:t>Advanced (unresectable and/or metastatic) leiomyosarcoma</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hideMark/>
          </w:tcPr>
          <w:p w:rsidR="00B40C5B" w:rsidRPr="003A5AE5" w:rsidRDefault="00B40C5B" w:rsidP="00033ED9">
            <w:pPr>
              <w:rPr>
                <w:rFonts w:ascii="Arial Narrow" w:hAnsi="Arial Narrow"/>
                <w:i/>
                <w:color w:val="FF00FF"/>
                <w:sz w:val="18"/>
                <w:szCs w:val="18"/>
              </w:rPr>
            </w:pPr>
            <w:r w:rsidRPr="003A5AE5">
              <w:rPr>
                <w:rFonts w:ascii="Arial Narrow" w:hAnsi="Arial Narrow"/>
                <w:b/>
                <w:bCs/>
                <w:i/>
                <w:color w:val="333333"/>
                <w:sz w:val="18"/>
                <w:szCs w:val="18"/>
              </w:rPr>
              <w:t>Treatment Phase:</w:t>
            </w:r>
            <w:r w:rsidRPr="003A5AE5">
              <w:rPr>
                <w:rFonts w:ascii="Arial Narrow" w:hAnsi="Arial Narrow"/>
                <w:i/>
                <w:color w:val="333333"/>
                <w:sz w:val="18"/>
                <w:szCs w:val="18"/>
              </w:rPr>
              <w:t xml:space="preserve"> </w:t>
            </w:r>
            <w:r w:rsidRPr="003A5AE5">
              <w:rPr>
                <w:rFonts w:ascii="Arial Narrow" w:hAnsi="Arial Narrow"/>
                <w:i/>
                <w:color w:val="000000" w:themeColor="text1"/>
                <w:sz w:val="18"/>
                <w:szCs w:val="18"/>
              </w:rPr>
              <w:t>Grandfather treatment (transition from non-PBS-subsidised to PBS-subsidised treatment)</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hideMark/>
          </w:tcPr>
          <w:p w:rsidR="00B40C5B" w:rsidRPr="003A5AE5" w:rsidRDefault="00B40C5B" w:rsidP="00033ED9">
            <w:pPr>
              <w:rPr>
                <w:rFonts w:ascii="Arial Narrow" w:hAnsi="Arial Narrow"/>
                <w:i/>
                <w:color w:val="FF00FF"/>
                <w:sz w:val="18"/>
                <w:szCs w:val="18"/>
              </w:rPr>
            </w:pPr>
            <w:r w:rsidRPr="003A5AE5">
              <w:rPr>
                <w:rFonts w:ascii="Arial Narrow" w:hAnsi="Arial Narrow"/>
                <w:b/>
                <w:bCs/>
                <w:i/>
                <w:color w:val="333333"/>
                <w:sz w:val="18"/>
                <w:szCs w:val="18"/>
              </w:rPr>
              <w:t>Clinical criteria:</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hideMark/>
          </w:tcPr>
          <w:p w:rsidR="00B40C5B" w:rsidRPr="003A5AE5" w:rsidRDefault="00B40C5B" w:rsidP="00033ED9">
            <w:pPr>
              <w:rPr>
                <w:rFonts w:ascii="Arial Narrow" w:hAnsi="Arial Narrow"/>
                <w:i/>
                <w:color w:val="333333"/>
                <w:sz w:val="18"/>
                <w:szCs w:val="18"/>
              </w:rPr>
            </w:pPr>
            <w:r w:rsidRPr="003A5AE5">
              <w:rPr>
                <w:rFonts w:ascii="Arial Narrow" w:hAnsi="Arial Narrow"/>
                <w:i/>
                <w:color w:val="333333"/>
                <w:sz w:val="18"/>
                <w:szCs w:val="18"/>
              </w:rPr>
              <w:t>Patient must have been receiving treatment with this drug for this condition prior to &lt;PBS listing date&gt;</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hideMark/>
          </w:tcPr>
          <w:p w:rsidR="00B40C5B" w:rsidRPr="003A5AE5" w:rsidRDefault="00B40C5B" w:rsidP="00033ED9">
            <w:pPr>
              <w:rPr>
                <w:rFonts w:ascii="Arial Narrow" w:hAnsi="Arial Narrow"/>
                <w:i/>
                <w:color w:val="333333"/>
                <w:sz w:val="18"/>
                <w:szCs w:val="18"/>
              </w:rPr>
            </w:pPr>
            <w:r w:rsidRPr="003A5AE5">
              <w:rPr>
                <w:rFonts w:ascii="Arial Narrow" w:hAnsi="Arial Narrow"/>
                <w:b/>
                <w:bCs/>
                <w:i/>
                <w:color w:val="333333"/>
                <w:sz w:val="18"/>
                <w:szCs w:val="18"/>
              </w:rPr>
              <w:t>AND</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hideMark/>
          </w:tcPr>
          <w:p w:rsidR="00B40C5B" w:rsidRPr="003A5AE5" w:rsidRDefault="00B40C5B" w:rsidP="00033ED9">
            <w:pPr>
              <w:rPr>
                <w:rFonts w:ascii="Arial Narrow" w:hAnsi="Arial Narrow"/>
                <w:i/>
                <w:color w:val="333333"/>
                <w:sz w:val="18"/>
                <w:szCs w:val="18"/>
              </w:rPr>
            </w:pPr>
            <w:r w:rsidRPr="003A5AE5">
              <w:rPr>
                <w:rFonts w:ascii="Arial Narrow" w:hAnsi="Arial Narrow"/>
                <w:b/>
                <w:bCs/>
                <w:i/>
                <w:color w:val="333333"/>
                <w:sz w:val="18"/>
                <w:szCs w:val="18"/>
              </w:rPr>
              <w:t>Clinical criteria:</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hideMark/>
          </w:tcPr>
          <w:p w:rsidR="00B40C5B" w:rsidRPr="003A5AE5" w:rsidRDefault="00B40C5B" w:rsidP="00033ED9">
            <w:pPr>
              <w:rPr>
                <w:rFonts w:ascii="Arial Narrow" w:hAnsi="Arial Narrow"/>
                <w:i/>
                <w:color w:val="333333"/>
                <w:sz w:val="18"/>
                <w:szCs w:val="18"/>
                <w:highlight w:val="yellow"/>
              </w:rPr>
            </w:pPr>
            <w:r w:rsidRPr="003A5AE5">
              <w:rPr>
                <w:rFonts w:ascii="Arial Narrow" w:hAnsi="Arial Narrow"/>
                <w:i/>
                <w:color w:val="333333"/>
                <w:sz w:val="18"/>
                <w:szCs w:val="18"/>
              </w:rPr>
              <w:t>Patient must have an ECOG performance status of 2 or less prior to initiating non-PBS subsidised treatment</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B40C5B" w:rsidRPr="003A5AE5" w:rsidRDefault="00B40C5B" w:rsidP="00033ED9">
            <w:pPr>
              <w:rPr>
                <w:rFonts w:ascii="Arial Narrow" w:hAnsi="Arial Narrow"/>
                <w:b/>
                <w:bCs/>
                <w:i/>
                <w:color w:val="333333"/>
                <w:sz w:val="18"/>
                <w:szCs w:val="18"/>
              </w:rPr>
            </w:pPr>
            <w:r w:rsidRPr="003A5AE5">
              <w:rPr>
                <w:rFonts w:ascii="Arial Narrow" w:hAnsi="Arial Narrow"/>
                <w:b/>
                <w:bCs/>
                <w:i/>
                <w:color w:val="333333"/>
                <w:sz w:val="18"/>
                <w:szCs w:val="18"/>
              </w:rPr>
              <w:t>AND</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B40C5B" w:rsidRPr="003A5AE5" w:rsidRDefault="00B40C5B" w:rsidP="00033ED9">
            <w:pPr>
              <w:rPr>
                <w:rFonts w:ascii="Arial Narrow" w:hAnsi="Arial Narrow"/>
                <w:b/>
                <w:bCs/>
                <w:i/>
                <w:color w:val="333333"/>
                <w:sz w:val="18"/>
                <w:szCs w:val="18"/>
              </w:rPr>
            </w:pPr>
            <w:r w:rsidRPr="003A5AE5">
              <w:rPr>
                <w:rFonts w:ascii="Arial Narrow" w:hAnsi="Arial Narrow"/>
                <w:b/>
                <w:bCs/>
                <w:i/>
                <w:color w:val="333333"/>
                <w:sz w:val="18"/>
                <w:szCs w:val="18"/>
              </w:rPr>
              <w:t>Clinical criteria:</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B40C5B" w:rsidRPr="003A5AE5" w:rsidRDefault="00B40C5B" w:rsidP="00033ED9">
            <w:pPr>
              <w:rPr>
                <w:rFonts w:ascii="Arial Narrow" w:hAnsi="Arial Narrow"/>
                <w:b/>
                <w:bCs/>
                <w:i/>
                <w:color w:val="333333"/>
                <w:sz w:val="18"/>
                <w:szCs w:val="18"/>
              </w:rPr>
            </w:pPr>
            <w:r w:rsidRPr="003A5AE5">
              <w:rPr>
                <w:rFonts w:ascii="Arial Narrow" w:hAnsi="Arial Narrow"/>
                <w:i/>
                <w:color w:val="333333"/>
                <w:sz w:val="18"/>
                <w:szCs w:val="18"/>
              </w:rPr>
              <w:t>Patient must have received chemotherapy treatment including an anthracycline prior to initiating non-PBS subsidised treatment</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B40C5B" w:rsidRPr="003A5AE5" w:rsidRDefault="00B40C5B" w:rsidP="00033ED9">
            <w:pPr>
              <w:rPr>
                <w:rFonts w:ascii="Arial Narrow" w:hAnsi="Arial Narrow"/>
                <w:i/>
                <w:color w:val="333333"/>
                <w:sz w:val="18"/>
                <w:szCs w:val="18"/>
              </w:rPr>
            </w:pPr>
            <w:r w:rsidRPr="003A5AE5">
              <w:rPr>
                <w:rFonts w:ascii="Arial Narrow" w:hAnsi="Arial Narrow"/>
                <w:b/>
                <w:bCs/>
                <w:i/>
                <w:color w:val="333333"/>
                <w:sz w:val="18"/>
                <w:szCs w:val="18"/>
              </w:rPr>
              <w:t>AND</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B40C5B" w:rsidRPr="003A5AE5" w:rsidRDefault="00B40C5B" w:rsidP="00033ED9">
            <w:pPr>
              <w:rPr>
                <w:rFonts w:ascii="Arial Narrow" w:hAnsi="Arial Narrow"/>
                <w:i/>
                <w:color w:val="333333"/>
                <w:sz w:val="18"/>
                <w:szCs w:val="18"/>
              </w:rPr>
            </w:pPr>
            <w:r w:rsidRPr="003A5AE5">
              <w:rPr>
                <w:rFonts w:ascii="Arial Narrow" w:hAnsi="Arial Narrow"/>
                <w:b/>
                <w:bCs/>
                <w:i/>
                <w:color w:val="333333"/>
                <w:sz w:val="18"/>
                <w:szCs w:val="18"/>
              </w:rPr>
              <w:t>Clinical criteria:</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B40C5B" w:rsidRPr="003A5AE5" w:rsidRDefault="00B40C5B" w:rsidP="00033ED9">
            <w:pPr>
              <w:rPr>
                <w:rFonts w:ascii="Arial Narrow" w:hAnsi="Arial Narrow"/>
                <w:i/>
                <w:color w:val="333333"/>
                <w:sz w:val="18"/>
                <w:szCs w:val="18"/>
              </w:rPr>
            </w:pPr>
            <w:r w:rsidRPr="003A5AE5">
              <w:rPr>
                <w:rFonts w:ascii="Arial Narrow" w:hAnsi="Arial Narrow"/>
                <w:i/>
                <w:color w:val="333333"/>
                <w:sz w:val="18"/>
                <w:szCs w:val="18"/>
              </w:rPr>
              <w:t>Patient must not develop progressive disease while being treated with this drug for this condition,</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B40C5B" w:rsidRPr="003A5AE5" w:rsidRDefault="00B40C5B" w:rsidP="00033ED9">
            <w:pPr>
              <w:rPr>
                <w:rFonts w:ascii="Arial Narrow" w:hAnsi="Arial Narrow"/>
                <w:i/>
                <w:color w:val="333333"/>
                <w:sz w:val="18"/>
                <w:szCs w:val="18"/>
              </w:rPr>
            </w:pPr>
            <w:r w:rsidRPr="003A5AE5">
              <w:rPr>
                <w:rFonts w:ascii="Arial Narrow" w:hAnsi="Arial Narrow"/>
                <w:b/>
                <w:bCs/>
                <w:i/>
                <w:color w:val="333333"/>
                <w:sz w:val="18"/>
                <w:szCs w:val="18"/>
              </w:rPr>
              <w:t>AND</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B40C5B" w:rsidRPr="003A5AE5" w:rsidRDefault="00B40C5B" w:rsidP="00033ED9">
            <w:pPr>
              <w:rPr>
                <w:rFonts w:ascii="Arial Narrow" w:hAnsi="Arial Narrow"/>
                <w:i/>
                <w:color w:val="333333"/>
                <w:sz w:val="18"/>
                <w:szCs w:val="18"/>
              </w:rPr>
            </w:pPr>
            <w:r w:rsidRPr="003A5AE5">
              <w:rPr>
                <w:rFonts w:ascii="Arial Narrow" w:hAnsi="Arial Narrow"/>
                <w:b/>
                <w:bCs/>
                <w:i/>
                <w:color w:val="333333"/>
                <w:sz w:val="18"/>
                <w:szCs w:val="18"/>
              </w:rPr>
              <w:t>Clinical criteria:</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B40C5B" w:rsidRPr="003A5AE5" w:rsidRDefault="00B40C5B" w:rsidP="00033ED9">
            <w:pPr>
              <w:rPr>
                <w:rFonts w:ascii="Arial Narrow" w:hAnsi="Arial Narrow"/>
                <w:i/>
                <w:color w:val="333333"/>
                <w:sz w:val="18"/>
                <w:szCs w:val="18"/>
              </w:rPr>
            </w:pPr>
            <w:r w:rsidRPr="003A5AE5">
              <w:rPr>
                <w:rFonts w:ascii="Arial Narrow" w:hAnsi="Arial Narrow"/>
                <w:i/>
                <w:color w:val="333333"/>
                <w:sz w:val="18"/>
                <w:szCs w:val="18"/>
              </w:rPr>
              <w:t>The treatment must be the sole PBS-subsidised therapy for this condition.</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bottom w:val="single" w:sz="4" w:space="0" w:color="auto"/>
              <w:right w:val="single" w:sz="4" w:space="0" w:color="auto"/>
            </w:tcBorders>
            <w:vAlign w:val="center"/>
          </w:tcPr>
          <w:p w:rsidR="00B40C5B" w:rsidRPr="003A5AE5" w:rsidRDefault="00B40C5B" w:rsidP="00033ED9">
            <w:pPr>
              <w:rPr>
                <w:rFonts w:ascii="Arial Narrow" w:hAnsi="Arial Narrow"/>
                <w:b/>
                <w:i/>
                <w:color w:val="333333"/>
                <w:sz w:val="18"/>
                <w:szCs w:val="18"/>
              </w:rPr>
            </w:pPr>
            <w:r w:rsidRPr="003A5AE5">
              <w:rPr>
                <w:rFonts w:ascii="Arial Narrow" w:hAnsi="Arial Narrow"/>
                <w:b/>
                <w:i/>
                <w:color w:val="333333"/>
                <w:sz w:val="18"/>
                <w:szCs w:val="18"/>
              </w:rPr>
              <w:t>AND</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bottom w:val="single" w:sz="4" w:space="0" w:color="auto"/>
              <w:right w:val="single" w:sz="4" w:space="0" w:color="auto"/>
            </w:tcBorders>
            <w:vAlign w:val="center"/>
          </w:tcPr>
          <w:p w:rsidR="00B40C5B" w:rsidRPr="003A5AE5" w:rsidRDefault="00B40C5B" w:rsidP="00033ED9">
            <w:pPr>
              <w:rPr>
                <w:rFonts w:ascii="Arial Narrow" w:hAnsi="Arial Narrow"/>
                <w:b/>
                <w:i/>
                <w:color w:val="333333"/>
                <w:sz w:val="18"/>
                <w:szCs w:val="18"/>
              </w:rPr>
            </w:pPr>
            <w:r w:rsidRPr="003A5AE5">
              <w:rPr>
                <w:rFonts w:ascii="Arial Narrow" w:hAnsi="Arial Narrow"/>
                <w:b/>
                <w:i/>
                <w:color w:val="333333"/>
                <w:sz w:val="18"/>
                <w:szCs w:val="18"/>
              </w:rPr>
              <w:t>Population criteria:</w:t>
            </w:r>
          </w:p>
        </w:tc>
      </w:tr>
      <w:tr w:rsidR="00B40C5B" w:rsidRPr="003A5AE5" w:rsidTr="00B40C5B">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bottom w:val="single" w:sz="4" w:space="0" w:color="auto"/>
              <w:right w:val="single" w:sz="4" w:space="0" w:color="auto"/>
            </w:tcBorders>
            <w:vAlign w:val="center"/>
          </w:tcPr>
          <w:p w:rsidR="00B40C5B" w:rsidRPr="003A5AE5" w:rsidRDefault="00B40C5B" w:rsidP="00033ED9">
            <w:pPr>
              <w:rPr>
                <w:rFonts w:ascii="Arial Narrow" w:hAnsi="Arial Narrow"/>
                <w:i/>
                <w:color w:val="333333"/>
                <w:sz w:val="18"/>
                <w:szCs w:val="18"/>
              </w:rPr>
            </w:pPr>
            <w:r w:rsidRPr="003A5AE5">
              <w:rPr>
                <w:rFonts w:ascii="Arial Narrow" w:hAnsi="Arial Narrow"/>
                <w:i/>
                <w:color w:val="333333"/>
                <w:sz w:val="18"/>
                <w:szCs w:val="18"/>
              </w:rPr>
              <w:t>Patient must be aged 18 years or older.</w:t>
            </w:r>
          </w:p>
        </w:tc>
      </w:tr>
    </w:tbl>
    <w:p w:rsidR="00F5082C" w:rsidRPr="003A5AE5" w:rsidRDefault="00F5082C" w:rsidP="00033ED9"/>
    <w:p w:rsidR="00F5082C" w:rsidRPr="003A5AE5" w:rsidRDefault="00F5082C" w:rsidP="00033ED9">
      <w:pPr>
        <w:pStyle w:val="3-BodyText"/>
        <w:rPr>
          <w:color w:val="0066FF"/>
        </w:rPr>
      </w:pPr>
      <w:r w:rsidRPr="003A5AE5">
        <w:t xml:space="preserve">The </w:t>
      </w:r>
      <w:r w:rsidR="00A460EE" w:rsidRPr="003A5AE5">
        <w:t xml:space="preserve">sponsor </w:t>
      </w:r>
      <w:r w:rsidR="00643C1E" w:rsidRPr="003A5AE5">
        <w:t>was aware of a</w:t>
      </w:r>
      <w:r w:rsidRPr="003A5AE5">
        <w:t xml:space="preserve"> Special Pricing Arrangement (SPA)</w:t>
      </w:r>
      <w:r w:rsidR="00643C1E" w:rsidRPr="003A5AE5">
        <w:t xml:space="preserve"> for pazopanib, and indicated </w:t>
      </w:r>
      <w:r w:rsidR="00A460EE" w:rsidRPr="003A5AE5">
        <w:t>a</w:t>
      </w:r>
      <w:r w:rsidR="00643C1E" w:rsidRPr="003A5AE5">
        <w:t xml:space="preserve"> willing</w:t>
      </w:r>
      <w:r w:rsidR="00A460EE" w:rsidRPr="003A5AE5">
        <w:t>ness</w:t>
      </w:r>
      <w:r w:rsidR="00643C1E" w:rsidRPr="003A5AE5">
        <w:t xml:space="preserve"> to negotiate a</w:t>
      </w:r>
      <w:r w:rsidR="003A5AE5">
        <w:t>n</w:t>
      </w:r>
      <w:r w:rsidR="00643C1E" w:rsidRPr="003A5AE5">
        <w:t xml:space="preserve"> SPA for trabectedin based on this arrangement</w:t>
      </w:r>
      <w:r w:rsidRPr="003A5AE5">
        <w:t>.</w:t>
      </w:r>
      <w:r w:rsidR="00875EC3" w:rsidRPr="003A5AE5">
        <w:t xml:space="preserve"> The proposed </w:t>
      </w:r>
      <w:r w:rsidR="0084633C" w:rsidRPr="003A5AE5">
        <w:t xml:space="preserve">published </w:t>
      </w:r>
      <w:r w:rsidR="00875EC3" w:rsidRPr="003A5AE5">
        <w:t xml:space="preserve">and </w:t>
      </w:r>
      <w:r w:rsidR="0084633C" w:rsidRPr="003A5AE5">
        <w:t xml:space="preserve">effective </w:t>
      </w:r>
      <w:r w:rsidR="00875EC3" w:rsidRPr="003A5AE5">
        <w:t xml:space="preserve">ex-manufacturer price per 1 mg vial of </w:t>
      </w:r>
      <w:r w:rsidR="00EA4B68" w:rsidRPr="003A5AE5">
        <w:t xml:space="preserve">trabectedin </w:t>
      </w:r>
      <w:r w:rsidR="000F6A94" w:rsidRPr="003A5AE5">
        <w:t>wa</w:t>
      </w:r>
      <w:r w:rsidR="00875EC3" w:rsidRPr="003A5AE5">
        <w:t>s $2,</w:t>
      </w:r>
      <w:r w:rsidR="00EA4B68" w:rsidRPr="003A5AE5">
        <w:t>731.16</w:t>
      </w:r>
      <w:r w:rsidR="00875EC3" w:rsidRPr="003A5AE5">
        <w:t xml:space="preserve"> and $</w:t>
      </w:r>
      <w:r w:rsidR="00885AF3">
        <w:rPr>
          <w:noProof/>
          <w:color w:val="000000"/>
          <w:highlight w:val="black"/>
        </w:rPr>
        <w:t>''''''''''''''''</w:t>
      </w:r>
      <w:r w:rsidR="00875EC3" w:rsidRPr="003A5AE5">
        <w:t>, respectively</w:t>
      </w:r>
      <w:r w:rsidR="00EA4B68" w:rsidRPr="003A5AE5">
        <w:t xml:space="preserve">. The proposed </w:t>
      </w:r>
      <w:r w:rsidR="0084633C" w:rsidRPr="003A5AE5">
        <w:t xml:space="preserve">published </w:t>
      </w:r>
      <w:r w:rsidR="00EA4B68" w:rsidRPr="003A5AE5">
        <w:t xml:space="preserve">and </w:t>
      </w:r>
      <w:r w:rsidR="0084633C" w:rsidRPr="003A5AE5">
        <w:t xml:space="preserve">effective </w:t>
      </w:r>
      <w:r w:rsidR="00EA4B68" w:rsidRPr="003A5AE5">
        <w:t xml:space="preserve">ex-manufacturer price per 0.25 mg vial of trabectedin </w:t>
      </w:r>
      <w:r w:rsidR="000F6A94" w:rsidRPr="003A5AE5">
        <w:t>wa</w:t>
      </w:r>
      <w:r w:rsidR="00EA4B68" w:rsidRPr="003A5AE5">
        <w:t>s $682.79 and $</w:t>
      </w:r>
      <w:r w:rsidR="00885AF3">
        <w:rPr>
          <w:noProof/>
          <w:color w:val="000000"/>
          <w:highlight w:val="black"/>
        </w:rPr>
        <w:t>'''''''''''''</w:t>
      </w:r>
      <w:r w:rsidR="00EA4B68" w:rsidRPr="003A5AE5">
        <w:t>, respectively.</w:t>
      </w:r>
    </w:p>
    <w:p w:rsidR="001A5376" w:rsidRPr="003A5AE5" w:rsidRDefault="001A5376" w:rsidP="00033ED9">
      <w:pPr>
        <w:pStyle w:val="3-BodyText"/>
      </w:pPr>
      <w:r w:rsidRPr="003A5AE5">
        <w:t xml:space="preserve">The PBAC noted the number of repeats was increased to 3 for initial therapy and 7 for continuing therapy to reflect the durations of therapy requested in the submission (three months and six months respectively). </w:t>
      </w:r>
    </w:p>
    <w:p w:rsidR="00F5082C" w:rsidRPr="003A5AE5" w:rsidRDefault="00F5082C" w:rsidP="00033ED9">
      <w:pPr>
        <w:pStyle w:val="3-BodyText"/>
      </w:pPr>
      <w:r w:rsidRPr="003A5AE5">
        <w:t xml:space="preserve">The requested restriction </w:t>
      </w:r>
      <w:r w:rsidR="000F6A94" w:rsidRPr="003A5AE5">
        <w:t>was</w:t>
      </w:r>
      <w:r w:rsidRPr="003A5AE5">
        <w:t xml:space="preserve"> within the proposed indication in the draft Product Information (PI), however </w:t>
      </w:r>
      <w:r w:rsidR="000F6A94" w:rsidRPr="003A5AE5">
        <w:t xml:space="preserve">it </w:t>
      </w:r>
      <w:r w:rsidRPr="003A5AE5">
        <w:t>allow</w:t>
      </w:r>
      <w:r w:rsidR="000F6A94" w:rsidRPr="003A5AE5">
        <w:t>ed</w:t>
      </w:r>
      <w:r w:rsidRPr="003A5AE5">
        <w:t xml:space="preserve"> for second-line use, which </w:t>
      </w:r>
      <w:r w:rsidR="000F6A94" w:rsidRPr="003A5AE5">
        <w:t>wa</w:t>
      </w:r>
      <w:r w:rsidR="005D303A" w:rsidRPr="003A5AE5">
        <w:t>s</w:t>
      </w:r>
      <w:r w:rsidRPr="003A5AE5">
        <w:t xml:space="preserve"> inconsistent with the proposed treatment algorithm presented in the submission</w:t>
      </w:r>
      <w:r w:rsidR="002771E9" w:rsidRPr="003A5AE5">
        <w:t xml:space="preserve">. Inclusion criteria for Study 3007 </w:t>
      </w:r>
      <w:r w:rsidR="00C53DF6" w:rsidRPr="003A5AE5">
        <w:t xml:space="preserve">specified </w:t>
      </w:r>
      <w:r w:rsidR="0059166B" w:rsidRPr="003A5AE5">
        <w:t xml:space="preserve">(i) </w:t>
      </w:r>
      <w:r w:rsidR="00C53DF6" w:rsidRPr="003A5AE5">
        <w:t>a prior anthracycline- and ifosfamide-containing regimen</w:t>
      </w:r>
      <w:r w:rsidR="00CB1D24" w:rsidRPr="003A5AE5">
        <w:t>,</w:t>
      </w:r>
      <w:r w:rsidR="00C53DF6" w:rsidRPr="003A5AE5">
        <w:t xml:space="preserve"> or </w:t>
      </w:r>
      <w:r w:rsidR="0059166B" w:rsidRPr="003A5AE5">
        <w:t xml:space="preserve">(ii) </w:t>
      </w:r>
      <w:r w:rsidR="00C53DF6" w:rsidRPr="003A5AE5">
        <w:t xml:space="preserve">a prior anthracycline and at least </w:t>
      </w:r>
      <w:r w:rsidR="00CB1D24" w:rsidRPr="003A5AE5">
        <w:t>one</w:t>
      </w:r>
      <w:r w:rsidR="00C53DF6" w:rsidRPr="003A5AE5">
        <w:t xml:space="preserve"> additional cytotoxic agent</w:t>
      </w:r>
      <w:r w:rsidR="0059166B" w:rsidRPr="003A5AE5">
        <w:t>.</w:t>
      </w:r>
      <w:r w:rsidR="00D5629F" w:rsidRPr="003A5AE5">
        <w:t xml:space="preserve"> The majority (88.3%) of patients in Study 3007 had received </w:t>
      </w:r>
      <w:r w:rsidR="003A5AE5">
        <w:t>two</w:t>
      </w:r>
      <w:r w:rsidR="00D5629F" w:rsidRPr="003A5AE5">
        <w:t xml:space="preserve"> or more lines of prior chemotherapy</w:t>
      </w:r>
      <w:r w:rsidR="00A47C94" w:rsidRPr="003A5AE5">
        <w:t>.</w:t>
      </w:r>
      <w:r w:rsidR="000D69E1" w:rsidRPr="003A5AE5">
        <w:t xml:space="preserve"> The PSCR argued there was no clinical rationale for positioning trabectedin after pazopanib as international treatment guidelines, clinical trial data and usage data from international markets </w:t>
      </w:r>
      <w:r w:rsidR="00E31D5A" w:rsidRPr="003A5AE5">
        <w:t>d</w:t>
      </w:r>
      <w:r w:rsidR="000D69E1" w:rsidRPr="003A5AE5">
        <w:t>o not support such a</w:t>
      </w:r>
      <w:r w:rsidR="003E4A8A" w:rsidRPr="003A5AE5">
        <w:t>n additional</w:t>
      </w:r>
      <w:r w:rsidR="000D69E1" w:rsidRPr="003A5AE5">
        <w:t xml:space="preserve"> restriction. The ESC agreed with the PSCR and considered the proposed restriction and placement of trabectedin in the treatment algorithm was reasonable. </w:t>
      </w:r>
      <w:r w:rsidR="00386215" w:rsidRPr="003A5AE5">
        <w:t xml:space="preserve">The PBAC considered a restriction that allowed sequential therapy of pazopanib and trabectedin appropriate. </w:t>
      </w:r>
    </w:p>
    <w:p w:rsidR="00C97359" w:rsidRPr="003A5AE5" w:rsidRDefault="00C97359" w:rsidP="00033ED9">
      <w:pPr>
        <w:pStyle w:val="3-BodyText"/>
      </w:pPr>
      <w:r w:rsidRPr="003A5AE5">
        <w:rPr>
          <w:lang w:eastAsia="en-US"/>
        </w:rPr>
        <w:t xml:space="preserve">The PBAC noted an ECOG performance status of </w:t>
      </w:r>
      <w:r w:rsidR="003A5AE5">
        <w:rPr>
          <w:lang w:eastAsia="en-US"/>
        </w:rPr>
        <w:t xml:space="preserve">two </w:t>
      </w:r>
      <w:r w:rsidRPr="003A5AE5">
        <w:rPr>
          <w:lang w:eastAsia="en-US"/>
        </w:rPr>
        <w:t xml:space="preserve">or less was consistent with the current pazopanib restriction and considered it appropriate for a trabectedin listing. </w:t>
      </w:r>
    </w:p>
    <w:p w:rsidR="00C97359" w:rsidRPr="003A5AE5" w:rsidRDefault="00C97359" w:rsidP="00033ED9">
      <w:pPr>
        <w:pStyle w:val="3-BodyText"/>
      </w:pPr>
      <w:r w:rsidRPr="003A5AE5">
        <w:t xml:space="preserve">The PBAC </w:t>
      </w:r>
      <w:r w:rsidR="00333E4C" w:rsidRPr="003A5AE5">
        <w:t>advised the</w:t>
      </w:r>
      <w:r w:rsidRPr="003A5AE5">
        <w:t xml:space="preserve"> age restriction </w:t>
      </w:r>
      <w:r w:rsidR="00333E4C" w:rsidRPr="003A5AE5">
        <w:t xml:space="preserve">be removed from the restriction </w:t>
      </w:r>
      <w:r w:rsidRPr="003A5AE5">
        <w:t>t</w:t>
      </w:r>
      <w:r w:rsidR="00333E4C" w:rsidRPr="003A5AE5">
        <w:t xml:space="preserve">o allow </w:t>
      </w:r>
      <w:r w:rsidR="003A5AE5" w:rsidRPr="003A5AE5">
        <w:t>clinical</w:t>
      </w:r>
      <w:r w:rsidR="00333E4C" w:rsidRPr="003A5AE5">
        <w:t xml:space="preserve"> judgment </w:t>
      </w:r>
      <w:r w:rsidR="0060216E" w:rsidRPr="003A5AE5">
        <w:t>to</w:t>
      </w:r>
      <w:r w:rsidR="00333E4C" w:rsidRPr="003A5AE5">
        <w:t xml:space="preserve"> guide the use of</w:t>
      </w:r>
      <w:r w:rsidRPr="003A5AE5">
        <w:t xml:space="preserve"> trabectedin</w:t>
      </w:r>
      <w:r w:rsidR="00333E4C" w:rsidRPr="003A5AE5">
        <w:t xml:space="preserve"> in patients under 18 years of age</w:t>
      </w:r>
      <w:r w:rsidRPr="003A5AE5">
        <w:t xml:space="preserve">. </w:t>
      </w:r>
    </w:p>
    <w:p w:rsidR="00F5082C" w:rsidRPr="003A5AE5" w:rsidRDefault="00F5082C" w:rsidP="00033ED9">
      <w:pPr>
        <w:pStyle w:val="3-BodyText"/>
      </w:pPr>
      <w:r w:rsidRPr="003A5AE5">
        <w:t>The submission stated that a paid access program was introduced in November 2019</w:t>
      </w:r>
      <w:r w:rsidR="00654EC3" w:rsidRPr="003A5AE5">
        <w:t xml:space="preserve"> with </w:t>
      </w:r>
      <w:r w:rsidR="00407E11" w:rsidRPr="003A5AE5">
        <w:t>29 patients with LMS or LPS in the program at March 2021.</w:t>
      </w:r>
      <w:r w:rsidRPr="003A5AE5">
        <w:t xml:space="preserve"> The submission did not present a grandfather restriction</w:t>
      </w:r>
      <w:r w:rsidR="00193E21" w:rsidRPr="003A5AE5">
        <w:rPr>
          <w:i/>
        </w:rPr>
        <w:t>.</w:t>
      </w:r>
      <w:r w:rsidR="002D06F4" w:rsidRPr="003A5AE5">
        <w:rPr>
          <w:i/>
        </w:rPr>
        <w:t xml:space="preserve"> </w:t>
      </w:r>
      <w:r w:rsidR="00404FDE" w:rsidRPr="003A5AE5">
        <w:t xml:space="preserve">The PBAC considered a grandfather restriction appropriate. </w:t>
      </w:r>
    </w:p>
    <w:p w:rsidR="002515F5" w:rsidRPr="003A5AE5" w:rsidRDefault="002515F5" w:rsidP="00033ED9">
      <w:pPr>
        <w:ind w:firstLine="709"/>
      </w:pPr>
      <w:r w:rsidRPr="003A5AE5">
        <w:rPr>
          <w:rFonts w:asciiTheme="minorHAnsi" w:hAnsiTheme="minorHAnsi"/>
          <w:i/>
        </w:rPr>
        <w:t>For more detail on PBAC’s view, see section 7 PBAC outcome.</w:t>
      </w:r>
    </w:p>
    <w:p w:rsidR="00F5082C" w:rsidRPr="003A5AE5" w:rsidRDefault="00F5082C" w:rsidP="00033ED9">
      <w:pPr>
        <w:pStyle w:val="2-SectionHeading"/>
      </w:pPr>
      <w:bookmarkStart w:id="22" w:name="_Toc69165192"/>
      <w:bookmarkStart w:id="23" w:name="_Toc72160054"/>
      <w:bookmarkStart w:id="24" w:name="_Toc72205671"/>
      <w:bookmarkStart w:id="25" w:name="_Toc72315626"/>
      <w:r w:rsidRPr="003A5AE5">
        <w:t>Population and disease</w:t>
      </w:r>
      <w:bookmarkEnd w:id="22"/>
      <w:bookmarkEnd w:id="23"/>
      <w:bookmarkEnd w:id="24"/>
      <w:bookmarkEnd w:id="25"/>
    </w:p>
    <w:p w:rsidR="0058296A" w:rsidRPr="003A5AE5" w:rsidRDefault="0058296A" w:rsidP="00033ED9">
      <w:pPr>
        <w:pStyle w:val="3-BodyText"/>
      </w:pPr>
      <w:r w:rsidRPr="003A5AE5">
        <w:t xml:space="preserve">Soft tissue sarcomas (STS) are a rare, heterogeneous group of malignant tumours of mesenchymal origin that comprise less than 1% of all adult malignancies, and 12% of paediatric cancers. </w:t>
      </w:r>
      <w:r w:rsidR="00F80008" w:rsidRPr="003A5AE5">
        <w:t>LMS and LPS</w:t>
      </w:r>
      <w:r w:rsidR="00234BC2" w:rsidRPr="003A5AE5">
        <w:t xml:space="preserve"> are among the most common mesench</w:t>
      </w:r>
      <w:r w:rsidR="00F80008" w:rsidRPr="003A5AE5">
        <w:t xml:space="preserve">ymal sarcomas, accounting for 20% and 10% of all </w:t>
      </w:r>
      <w:r w:rsidR="00234BC2" w:rsidRPr="003A5AE5">
        <w:t>STS, respectively</w:t>
      </w:r>
      <w:r w:rsidR="00F80008" w:rsidRPr="003A5AE5">
        <w:t xml:space="preserve"> (Bessen et al, 2016)</w:t>
      </w:r>
      <w:r w:rsidR="00234BC2" w:rsidRPr="003A5AE5">
        <w:t>.</w:t>
      </w:r>
    </w:p>
    <w:p w:rsidR="00F5082C" w:rsidRPr="003A5AE5" w:rsidRDefault="00F5082C" w:rsidP="00033ED9">
      <w:pPr>
        <w:pStyle w:val="3-BodyText"/>
      </w:pPr>
      <w:r w:rsidRPr="003A5AE5">
        <w:t>Leiomyosarcoma is an aggressive soft tissue sarcoma derived from smooth muscle cells typically of uterine, gastrointestinal or soft tissue origin. Women are affected more than men (2:1), with the disease typically occurring in the 5th and 6th decades of life. Prognosis and treatment vary on the location, stage and grade of the primary tumour as well as the presence of metastatic disease.</w:t>
      </w:r>
    </w:p>
    <w:p w:rsidR="00F5082C" w:rsidRPr="003A5AE5" w:rsidRDefault="00F5082C" w:rsidP="00033ED9">
      <w:pPr>
        <w:pStyle w:val="3-BodyText"/>
      </w:pPr>
      <w:r w:rsidRPr="003A5AE5">
        <w:t>Many patients present with advanced disease. Unresectable or metastatic LMS has a poor prognosis</w:t>
      </w:r>
      <w:r w:rsidR="003A5AE5">
        <w:t>.</w:t>
      </w:r>
      <w:r w:rsidRPr="003A5AE5">
        <w:t xml:space="preserve"> </w:t>
      </w:r>
      <w:r w:rsidR="003A5AE5">
        <w:t>T</w:t>
      </w:r>
      <w:r w:rsidR="003A5AE5" w:rsidRPr="003A5AE5">
        <w:t xml:space="preserve">he </w:t>
      </w:r>
      <w:r w:rsidRPr="003A5AE5">
        <w:t>median overall survival</w:t>
      </w:r>
      <w:r w:rsidR="00407E11" w:rsidRPr="003A5AE5">
        <w:t xml:space="preserve"> (OS)</w:t>
      </w:r>
      <w:r w:rsidRPr="003A5AE5">
        <w:t xml:space="preserve"> for LMS ranges from</w:t>
      </w:r>
      <w:r w:rsidR="0059166B" w:rsidRPr="003A5AE5">
        <w:t xml:space="preserve"> approximately</w:t>
      </w:r>
      <w:r w:rsidRPr="003A5AE5">
        <w:t xml:space="preserve"> 17 months for those on </w:t>
      </w:r>
      <w:r w:rsidR="00643C1E" w:rsidRPr="003A5AE5">
        <w:t>second-line</w:t>
      </w:r>
      <w:r w:rsidRPr="003A5AE5">
        <w:t xml:space="preserve"> therapy to 9 months for those on </w:t>
      </w:r>
      <w:r w:rsidR="00643C1E" w:rsidRPr="003A5AE5">
        <w:t>fourth-</w:t>
      </w:r>
      <w:r w:rsidRPr="003A5AE5">
        <w:t>line therapy.</w:t>
      </w:r>
    </w:p>
    <w:p w:rsidR="00F5082C" w:rsidRPr="003A5AE5" w:rsidRDefault="00F5082C" w:rsidP="00033ED9">
      <w:pPr>
        <w:pStyle w:val="3-BodyText"/>
      </w:pPr>
      <w:r w:rsidRPr="003A5AE5">
        <w:t>Pazopanib is currently available as a later line treatment for patients with LMS who ha</w:t>
      </w:r>
      <w:r w:rsidR="0005131A" w:rsidRPr="003A5AE5">
        <w:t>ve</w:t>
      </w:r>
      <w:r w:rsidRPr="003A5AE5">
        <w:t xml:space="preserve"> received prior chemotherapy treatment including an anthracycline. The submission proposed trabectedin as an alternative to pazopanib in the treatment algorithm. However, the treatment algorithm</w:t>
      </w:r>
      <w:r w:rsidR="004749A6" w:rsidRPr="003A5AE5">
        <w:t xml:space="preserve"> </w:t>
      </w:r>
      <w:r w:rsidR="004749A6" w:rsidRPr="003A5AE5">
        <w:rPr>
          <w:iCs/>
        </w:rPr>
        <w:t>(</w:t>
      </w:r>
      <w:r w:rsidR="00541903" w:rsidRPr="003A5AE5">
        <w:t>Figure 1</w:t>
      </w:r>
      <w:r w:rsidR="004749A6" w:rsidRPr="003A5AE5">
        <w:rPr>
          <w:iCs/>
        </w:rPr>
        <w:t xml:space="preserve"> below)</w:t>
      </w:r>
      <w:r w:rsidRPr="003A5AE5">
        <w:t xml:space="preserve"> and the clinical evidence presented in the submission indicated that pazopanib and trabectedin</w:t>
      </w:r>
      <w:r w:rsidR="003B61C2" w:rsidRPr="003A5AE5">
        <w:t xml:space="preserve"> can be</w:t>
      </w:r>
      <w:r w:rsidRPr="003A5AE5">
        <w:t xml:space="preserve"> used sequentially.</w:t>
      </w:r>
      <w:r w:rsidRPr="003A5AE5">
        <w:rPr>
          <w:iCs/>
        </w:rPr>
        <w:t xml:space="preserve"> The trabectedin arm of Study 3007 had </w:t>
      </w:r>
      <w:r w:rsidR="004749A6" w:rsidRPr="003A5AE5">
        <w:rPr>
          <w:iCs/>
        </w:rPr>
        <w:t>substantial</w:t>
      </w:r>
      <w:r w:rsidRPr="003A5AE5">
        <w:rPr>
          <w:iCs/>
        </w:rPr>
        <w:t xml:space="preserve"> prior (9.8%) and subsequent (28.6%) pazopanib use, and the pazopanib arm of the PALETTE trial had 16% and 34% of patients </w:t>
      </w:r>
      <w:r w:rsidR="0005131A" w:rsidRPr="003A5AE5">
        <w:rPr>
          <w:iCs/>
        </w:rPr>
        <w:t xml:space="preserve">who had </w:t>
      </w:r>
      <w:r w:rsidRPr="003A5AE5">
        <w:rPr>
          <w:iCs/>
        </w:rPr>
        <w:t xml:space="preserve">received prior and subsequent trabectedin respectively. The proportion of patients who may receive both trabectedin and pazopanib in Australian clinical practice is likely to be higher, as patients in Study 3007 had access to therapies not </w:t>
      </w:r>
      <w:r w:rsidR="0084633C" w:rsidRPr="003A5AE5">
        <w:rPr>
          <w:iCs/>
        </w:rPr>
        <w:t xml:space="preserve">commonly used </w:t>
      </w:r>
      <w:r w:rsidRPr="003A5AE5">
        <w:rPr>
          <w:iCs/>
        </w:rPr>
        <w:t xml:space="preserve">in Australia; for example, 26.6% of patients in the trabectedin arm went on to receive dacarbazine, which </w:t>
      </w:r>
      <w:r w:rsidR="0059166B" w:rsidRPr="003A5AE5">
        <w:rPr>
          <w:iCs/>
        </w:rPr>
        <w:t>is</w:t>
      </w:r>
      <w:r w:rsidRPr="003A5AE5">
        <w:rPr>
          <w:iCs/>
        </w:rPr>
        <w:t xml:space="preserve"> not </w:t>
      </w:r>
      <w:r w:rsidR="0059166B" w:rsidRPr="003A5AE5">
        <w:rPr>
          <w:iCs/>
        </w:rPr>
        <w:t xml:space="preserve">a </w:t>
      </w:r>
      <w:r w:rsidR="0084633C" w:rsidRPr="003A5AE5">
        <w:rPr>
          <w:iCs/>
        </w:rPr>
        <w:t xml:space="preserve">PBS-listed </w:t>
      </w:r>
      <w:r w:rsidR="0059166B" w:rsidRPr="003A5AE5">
        <w:rPr>
          <w:iCs/>
        </w:rPr>
        <w:t>treatment</w:t>
      </w:r>
      <w:r w:rsidRPr="003A5AE5">
        <w:rPr>
          <w:iCs/>
        </w:rPr>
        <w:t xml:space="preserve"> option in Australia. </w:t>
      </w:r>
      <w:r w:rsidR="003B61C2" w:rsidRPr="003A5AE5">
        <w:rPr>
          <w:iCs/>
        </w:rPr>
        <w:t xml:space="preserve">Sequential use suggests placebo/best supportive care may be the appropriate comparator </w:t>
      </w:r>
      <w:r w:rsidR="004749A6" w:rsidRPr="003A5AE5">
        <w:rPr>
          <w:iCs/>
        </w:rPr>
        <w:t xml:space="preserve">in </w:t>
      </w:r>
      <w:r w:rsidR="0059166B" w:rsidRPr="003A5AE5">
        <w:rPr>
          <w:iCs/>
        </w:rPr>
        <w:t>the</w:t>
      </w:r>
      <w:r w:rsidR="003B61C2" w:rsidRPr="003A5AE5">
        <w:rPr>
          <w:iCs/>
        </w:rPr>
        <w:t xml:space="preserve"> </w:t>
      </w:r>
      <w:r w:rsidR="0059166B" w:rsidRPr="003A5AE5">
        <w:rPr>
          <w:iCs/>
        </w:rPr>
        <w:t>population anticipated to receive pazopanib, then trabectedin</w:t>
      </w:r>
      <w:r w:rsidR="003B61C2" w:rsidRPr="003A5AE5">
        <w:rPr>
          <w:iCs/>
        </w:rPr>
        <w:t>.</w:t>
      </w:r>
      <w:r w:rsidR="009E78F8" w:rsidRPr="003A5AE5">
        <w:rPr>
          <w:iCs/>
        </w:rPr>
        <w:t xml:space="preserve"> </w:t>
      </w:r>
      <w:r w:rsidR="00921E2D" w:rsidRPr="003A5AE5">
        <w:rPr>
          <w:iCs/>
        </w:rPr>
        <w:t xml:space="preserve">The ESC considered that guidelines are consistent in recommending a doxorubicin containing regimen first-line (NCCN 2018, Casali 2018) but were broad in their recommendations </w:t>
      </w:r>
      <w:r w:rsidR="000D199C" w:rsidRPr="003A5AE5">
        <w:rPr>
          <w:iCs/>
        </w:rPr>
        <w:t>o</w:t>
      </w:r>
      <w:r w:rsidR="00921E2D" w:rsidRPr="003A5AE5">
        <w:rPr>
          <w:iCs/>
        </w:rPr>
        <w:t>n subsequent lines of therapy with optimal sequencing of chemotherapies not clearly established in clinical practice.</w:t>
      </w:r>
    </w:p>
    <w:p w:rsidR="0059166B" w:rsidRPr="003A5AE5" w:rsidRDefault="0059166B" w:rsidP="00033ED9">
      <w:pPr>
        <w:pStyle w:val="TableFigureHeading"/>
      </w:pPr>
      <w:bookmarkStart w:id="26" w:name="_Ref71553002"/>
      <w:r w:rsidRPr="003A5AE5">
        <w:t xml:space="preserve">Figure </w:t>
      </w:r>
      <w:r w:rsidR="00541903" w:rsidRPr="003A5AE5">
        <w:t>1</w:t>
      </w:r>
      <w:bookmarkEnd w:id="26"/>
      <w:r w:rsidRPr="003A5AE5">
        <w:t xml:space="preserve">: Proposed treatment algorithm for patients with </w:t>
      </w:r>
      <w:r w:rsidR="004749A6" w:rsidRPr="003A5AE5">
        <w:t>leiomyosarcoma</w:t>
      </w:r>
      <w:r w:rsidRPr="003A5AE5">
        <w:t xml:space="preserve"> treated with palliative intent</w:t>
      </w:r>
      <w:r w:rsidR="004749A6" w:rsidRPr="003A5AE5">
        <w:t xml:space="preserve"> following the listing</w:t>
      </w:r>
      <w:r w:rsidRPr="003A5AE5">
        <w:t xml:space="preserve"> of trabectedin</w:t>
      </w:r>
    </w:p>
    <w:p w:rsidR="0059166B" w:rsidRPr="003A5AE5" w:rsidRDefault="0059166B" w:rsidP="00033ED9">
      <w:pPr>
        <w:pStyle w:val="3-BodyText"/>
        <w:numPr>
          <w:ilvl w:val="0"/>
          <w:numId w:val="0"/>
        </w:numPr>
        <w:ind w:left="720"/>
      </w:pPr>
      <w:r w:rsidRPr="003A5AE5">
        <w:rPr>
          <w:noProof/>
        </w:rPr>
        <w:drawing>
          <wp:inline distT="0" distB="0" distL="0" distR="0" wp14:anchorId="1102080B" wp14:editId="3CBEE1B1">
            <wp:extent cx="3773949" cy="3480880"/>
            <wp:effectExtent l="0" t="0" r="0" b="5715"/>
            <wp:docPr id="12" name="Picture 12" title="Figure 1: Proposed treatment algorithm for patients with leiomyosarcoma treated with palliative intent following the listing of trabect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91300" cy="3496884"/>
                    </a:xfrm>
                    <a:prstGeom prst="rect">
                      <a:avLst/>
                    </a:prstGeom>
                  </pic:spPr>
                </pic:pic>
              </a:graphicData>
            </a:graphic>
          </wp:inline>
        </w:drawing>
      </w:r>
    </w:p>
    <w:p w:rsidR="0059166B" w:rsidRPr="003A5AE5" w:rsidRDefault="0059166B" w:rsidP="00033ED9">
      <w:pPr>
        <w:pStyle w:val="TableFigureFooter"/>
      </w:pPr>
      <w:r w:rsidRPr="003A5AE5">
        <w:t>Source: Figure 9, p 26 of the submission.</w:t>
      </w:r>
    </w:p>
    <w:p w:rsidR="00234BC2" w:rsidRPr="003A5AE5" w:rsidRDefault="009E78F8" w:rsidP="00033ED9">
      <w:pPr>
        <w:pStyle w:val="3-BodyText"/>
      </w:pPr>
      <w:r w:rsidRPr="003A5AE5">
        <w:t>The clinical role of trabectedin in the target population is uncertain. The submission proposed trabectedin as either third- or fourth-line therapy in the treatment algorithm but the requested restriction did not preclude use as second-line therapy. Trabectedin treatment requires the insertion of a central venous catheter and connection of a 24-hour infusion once every 21</w:t>
      </w:r>
      <w:r w:rsidR="00EB3F90">
        <w:t xml:space="preserve"> </w:t>
      </w:r>
      <w:r w:rsidRPr="003A5AE5">
        <w:t xml:space="preserve">days, with steroid pre-treatment and observation in the outpatient setting. Pazopanib is a single tablet taken orally once per day. If patients were offered a choice between these two therapies in the third-line setting and told they had similar efficacy, the ESC considered it is conceivable that many patients would prefer the simpler tablet regime. </w:t>
      </w:r>
    </w:p>
    <w:p w:rsidR="002515F5" w:rsidRPr="003A5AE5" w:rsidRDefault="002515F5" w:rsidP="00033ED9">
      <w:pPr>
        <w:ind w:firstLine="709"/>
      </w:pPr>
      <w:r w:rsidRPr="003A5AE5">
        <w:rPr>
          <w:rFonts w:asciiTheme="minorHAnsi" w:hAnsiTheme="minorHAnsi"/>
          <w:i/>
        </w:rPr>
        <w:t>For more detail on PBAC’s view, see section 7 PBAC outcome.</w:t>
      </w:r>
    </w:p>
    <w:p w:rsidR="00F5082C" w:rsidRPr="003A5AE5" w:rsidRDefault="00F5082C" w:rsidP="00033ED9">
      <w:pPr>
        <w:pStyle w:val="2-SectionHeading"/>
      </w:pPr>
      <w:bookmarkStart w:id="27" w:name="_Toc69165193"/>
      <w:bookmarkStart w:id="28" w:name="_Toc72160055"/>
      <w:bookmarkStart w:id="29" w:name="_Toc72205672"/>
      <w:bookmarkStart w:id="30" w:name="_Toc72315627"/>
      <w:r w:rsidRPr="003A5AE5">
        <w:t>Comparator</w:t>
      </w:r>
      <w:bookmarkEnd w:id="27"/>
      <w:bookmarkEnd w:id="28"/>
      <w:bookmarkEnd w:id="29"/>
      <w:bookmarkEnd w:id="30"/>
    </w:p>
    <w:p w:rsidR="00F5082C" w:rsidRPr="003A5AE5" w:rsidRDefault="00F5082C" w:rsidP="00033ED9">
      <w:pPr>
        <w:pStyle w:val="3-BodyText"/>
        <w:rPr>
          <w:snapToGrid/>
        </w:rPr>
      </w:pPr>
      <w:r w:rsidRPr="003A5AE5">
        <w:rPr>
          <w:snapToGrid/>
        </w:rPr>
        <w:t xml:space="preserve">The submission nominated pazopanib as the main comparator. </w:t>
      </w:r>
      <w:r w:rsidRPr="003A5AE5">
        <w:t xml:space="preserve">The main argument provided in support of this nomination </w:t>
      </w:r>
      <w:r w:rsidR="003807F5" w:rsidRPr="003A5AE5">
        <w:t xml:space="preserve">was that </w:t>
      </w:r>
      <w:r w:rsidRPr="003A5AE5">
        <w:t xml:space="preserve">the current treatment guidelines from the Australia and New Zealand Sarcoma Association (ANZSA) place </w:t>
      </w:r>
      <w:r w:rsidR="000C47AC" w:rsidRPr="003A5AE5">
        <w:t xml:space="preserve">both pazopanib and </w:t>
      </w:r>
      <w:r w:rsidRPr="003A5AE5">
        <w:t xml:space="preserve">trabectedin as a </w:t>
      </w:r>
      <w:r w:rsidR="00643C1E" w:rsidRPr="003A5AE5">
        <w:t>second-</w:t>
      </w:r>
      <w:r w:rsidRPr="003A5AE5">
        <w:t>line</w:t>
      </w:r>
      <w:r w:rsidR="003807F5" w:rsidRPr="003A5AE5">
        <w:t>,</w:t>
      </w:r>
      <w:r w:rsidRPr="003A5AE5">
        <w:t xml:space="preserve"> or beyond </w:t>
      </w:r>
      <w:r w:rsidR="00643C1E" w:rsidRPr="003A5AE5">
        <w:t>second-</w:t>
      </w:r>
      <w:r w:rsidRPr="003A5AE5">
        <w:t>line</w:t>
      </w:r>
      <w:r w:rsidR="003807F5" w:rsidRPr="003A5AE5">
        <w:t>,</w:t>
      </w:r>
      <w:r w:rsidRPr="003A5AE5">
        <w:t xml:space="preserve"> treatment option</w:t>
      </w:r>
      <w:r w:rsidR="000C47AC" w:rsidRPr="003A5AE5">
        <w:t>s</w:t>
      </w:r>
      <w:r w:rsidRPr="003A5AE5">
        <w:t>.</w:t>
      </w:r>
    </w:p>
    <w:p w:rsidR="00F5082C" w:rsidRPr="003A5AE5" w:rsidRDefault="004749A6" w:rsidP="00033ED9">
      <w:pPr>
        <w:pStyle w:val="3-BodyText"/>
        <w:rPr>
          <w:snapToGrid/>
        </w:rPr>
      </w:pPr>
      <w:r w:rsidRPr="003A5AE5">
        <w:rPr>
          <w:snapToGrid/>
        </w:rPr>
        <w:t>In patients where trabectedin is to be</w:t>
      </w:r>
      <w:r w:rsidR="00270FFF" w:rsidRPr="003A5AE5">
        <w:rPr>
          <w:snapToGrid/>
        </w:rPr>
        <w:t xml:space="preserve"> used after pazopanib, </w:t>
      </w:r>
      <w:r w:rsidR="00F55146" w:rsidRPr="003A5AE5">
        <w:rPr>
          <w:snapToGrid/>
        </w:rPr>
        <w:t>placebo may have been a more appropriate comparator</w:t>
      </w:r>
      <w:r w:rsidR="00270FFF" w:rsidRPr="003A5AE5">
        <w:rPr>
          <w:snapToGrid/>
        </w:rPr>
        <w:t>. In the PALETTE trial, 49% of</w:t>
      </w:r>
      <w:r w:rsidR="00E44760" w:rsidRPr="003A5AE5">
        <w:rPr>
          <w:snapToGrid/>
        </w:rPr>
        <w:t xml:space="preserve"> pazopanib-treated</w:t>
      </w:r>
      <w:r w:rsidR="00270FFF" w:rsidRPr="003A5AE5">
        <w:rPr>
          <w:snapToGrid/>
        </w:rPr>
        <w:t xml:space="preserve"> patients went on to </w:t>
      </w:r>
      <w:r w:rsidR="00415DD7" w:rsidRPr="003A5AE5">
        <w:rPr>
          <w:snapToGrid/>
        </w:rPr>
        <w:t>receive subsequent chemotherapy and the submission used this figure to calculate the number of Australian patients who would receive pazopanib and then trabectedin.</w:t>
      </w:r>
      <w:r w:rsidR="00422E2C" w:rsidRPr="003A5AE5">
        <w:rPr>
          <w:snapToGrid/>
        </w:rPr>
        <w:t xml:space="preserve"> </w:t>
      </w:r>
    </w:p>
    <w:p w:rsidR="001D37FE" w:rsidRPr="003A5AE5" w:rsidRDefault="001D37FE" w:rsidP="00033ED9">
      <w:pPr>
        <w:pStyle w:val="3-BodyText"/>
        <w:rPr>
          <w:snapToGrid/>
        </w:rPr>
      </w:pPr>
      <w:r w:rsidRPr="003A5AE5">
        <w:t xml:space="preserve">The PSCR argued that data in international markets where both pazopanib and trabectedin are available indicate that trabectedin is widely used and that the difference in administration routes would likely not be a major issue as patients in this line of therapy would </w:t>
      </w:r>
      <w:r w:rsidR="00C77FFB" w:rsidRPr="003A5AE5">
        <w:t xml:space="preserve">usually </w:t>
      </w:r>
      <w:r w:rsidRPr="003A5AE5">
        <w:t>have a central line. The ESC considered th</w:t>
      </w:r>
      <w:r w:rsidR="00E31D5A" w:rsidRPr="003A5AE5">
        <w:t>at while some patients may elect to use an oral therapy such as pazopanib, the</w:t>
      </w:r>
      <w:r w:rsidRPr="003A5AE5">
        <w:t xml:space="preserve"> nominated comparator and justification of the proposed place in therapy was reasonable.</w:t>
      </w:r>
    </w:p>
    <w:p w:rsidR="00ED36E9" w:rsidRPr="003A5AE5" w:rsidRDefault="00ED36E9" w:rsidP="00033ED9">
      <w:pPr>
        <w:ind w:firstLine="709"/>
        <w:rPr>
          <w:rFonts w:asciiTheme="minorHAnsi" w:hAnsiTheme="minorHAnsi"/>
          <w:i/>
        </w:rPr>
      </w:pPr>
      <w:r w:rsidRPr="003A5AE5">
        <w:rPr>
          <w:rFonts w:asciiTheme="minorHAnsi" w:hAnsiTheme="minorHAnsi"/>
          <w:i/>
        </w:rPr>
        <w:t>For more detail on PBAC’s vi</w:t>
      </w:r>
      <w:r w:rsidR="00EE7F22" w:rsidRPr="003A5AE5">
        <w:rPr>
          <w:rFonts w:asciiTheme="minorHAnsi" w:hAnsiTheme="minorHAnsi"/>
          <w:i/>
        </w:rPr>
        <w:t>ew, see section 7 PBAC outcome.</w:t>
      </w:r>
    </w:p>
    <w:p w:rsidR="00F5082C" w:rsidRPr="003A5AE5" w:rsidRDefault="00F5082C" w:rsidP="00033ED9">
      <w:pPr>
        <w:pStyle w:val="2-SectionHeading"/>
      </w:pPr>
      <w:bookmarkStart w:id="31" w:name="_Toc69165194"/>
      <w:bookmarkStart w:id="32" w:name="_Toc72160056"/>
      <w:bookmarkStart w:id="33" w:name="_Toc72205673"/>
      <w:bookmarkStart w:id="34" w:name="_Toc72315628"/>
      <w:bookmarkStart w:id="35" w:name="_Toc22897640"/>
      <w:r w:rsidRPr="003A5AE5">
        <w:t>Consideration of the evidence</w:t>
      </w:r>
      <w:bookmarkEnd w:id="31"/>
      <w:bookmarkEnd w:id="32"/>
      <w:bookmarkEnd w:id="33"/>
      <w:bookmarkEnd w:id="34"/>
    </w:p>
    <w:p w:rsidR="00AB71C3" w:rsidRPr="003A5AE5" w:rsidRDefault="00ED36E9" w:rsidP="00033ED9">
      <w:pPr>
        <w:spacing w:before="240" w:line="276" w:lineRule="auto"/>
        <w:outlineLvl w:val="1"/>
        <w:rPr>
          <w:rFonts w:asciiTheme="minorHAnsi" w:hAnsiTheme="minorHAnsi"/>
          <w:b/>
          <w:bCs/>
          <w:i/>
          <w:snapToGrid w:val="0"/>
          <w:sz w:val="28"/>
          <w:szCs w:val="28"/>
        </w:rPr>
      </w:pPr>
      <w:bookmarkStart w:id="36" w:name="_Toc69165195"/>
      <w:bookmarkStart w:id="37" w:name="_Toc72160057"/>
      <w:bookmarkStart w:id="38" w:name="_Toc72205674"/>
      <w:bookmarkStart w:id="39" w:name="_Toc72315629"/>
      <w:r w:rsidRPr="003A5AE5">
        <w:rPr>
          <w:rFonts w:asciiTheme="minorHAnsi" w:hAnsiTheme="minorHAnsi"/>
          <w:b/>
          <w:bCs/>
          <w:i/>
          <w:snapToGrid w:val="0"/>
          <w:sz w:val="28"/>
          <w:szCs w:val="28"/>
        </w:rPr>
        <w:t>Sponsor hearing</w:t>
      </w:r>
    </w:p>
    <w:p w:rsidR="00ED36E9" w:rsidRPr="003A5AE5" w:rsidRDefault="00ED36E9" w:rsidP="00033ED9">
      <w:pPr>
        <w:numPr>
          <w:ilvl w:val="1"/>
          <w:numId w:val="1"/>
        </w:numPr>
        <w:spacing w:after="120"/>
        <w:rPr>
          <w:rFonts w:asciiTheme="minorHAnsi" w:hAnsiTheme="minorHAnsi"/>
          <w:bCs/>
          <w:snapToGrid w:val="0"/>
        </w:rPr>
      </w:pPr>
      <w:r w:rsidRPr="003A5AE5">
        <w:rPr>
          <w:rFonts w:asciiTheme="minorHAnsi" w:hAnsiTheme="minorHAnsi"/>
          <w:bCs/>
          <w:snapToGrid w:val="0"/>
        </w:rPr>
        <w:t>There was no h</w:t>
      </w:r>
      <w:r w:rsidR="00AB71C3" w:rsidRPr="003A5AE5">
        <w:rPr>
          <w:rFonts w:asciiTheme="minorHAnsi" w:hAnsiTheme="minorHAnsi"/>
          <w:bCs/>
          <w:snapToGrid w:val="0"/>
        </w:rPr>
        <w:t>earing for this item</w:t>
      </w:r>
      <w:r w:rsidRPr="003A5AE5">
        <w:rPr>
          <w:rFonts w:asciiTheme="minorHAnsi" w:hAnsiTheme="minorHAnsi"/>
          <w:bCs/>
          <w:snapToGrid w:val="0"/>
        </w:rPr>
        <w:t>.</w:t>
      </w:r>
    </w:p>
    <w:p w:rsidR="00ED36E9" w:rsidRPr="003A5AE5" w:rsidRDefault="00ED36E9" w:rsidP="00033ED9">
      <w:pPr>
        <w:spacing w:before="240" w:line="276" w:lineRule="auto"/>
        <w:outlineLvl w:val="1"/>
        <w:rPr>
          <w:rFonts w:asciiTheme="minorHAnsi" w:hAnsiTheme="minorHAnsi"/>
          <w:b/>
          <w:bCs/>
          <w:i/>
          <w:snapToGrid w:val="0"/>
          <w:sz w:val="28"/>
          <w:szCs w:val="28"/>
        </w:rPr>
      </w:pPr>
      <w:r w:rsidRPr="003A5AE5">
        <w:rPr>
          <w:rFonts w:asciiTheme="minorHAnsi" w:hAnsiTheme="minorHAnsi"/>
          <w:b/>
          <w:bCs/>
          <w:i/>
          <w:snapToGrid w:val="0"/>
          <w:sz w:val="28"/>
          <w:szCs w:val="28"/>
        </w:rPr>
        <w:t>Consumer comments</w:t>
      </w:r>
    </w:p>
    <w:p w:rsidR="00ED36E9" w:rsidRPr="003A5AE5" w:rsidRDefault="00ED36E9" w:rsidP="00033ED9">
      <w:pPr>
        <w:numPr>
          <w:ilvl w:val="1"/>
          <w:numId w:val="1"/>
        </w:numPr>
        <w:spacing w:after="120"/>
        <w:rPr>
          <w:rFonts w:asciiTheme="minorHAnsi" w:hAnsiTheme="minorHAnsi"/>
          <w:bCs/>
          <w:snapToGrid w:val="0"/>
        </w:rPr>
      </w:pPr>
      <w:r w:rsidRPr="003A5AE5">
        <w:rPr>
          <w:rFonts w:asciiTheme="minorHAnsi" w:hAnsiTheme="minorHAnsi"/>
          <w:bCs/>
          <w:snapToGrid w:val="0"/>
        </w:rPr>
        <w:t>The PBAC noted and welcom</w:t>
      </w:r>
      <w:r w:rsidR="00407E11" w:rsidRPr="003A5AE5">
        <w:rPr>
          <w:rFonts w:asciiTheme="minorHAnsi" w:hAnsiTheme="minorHAnsi"/>
          <w:bCs/>
          <w:snapToGrid w:val="0"/>
        </w:rPr>
        <w:t xml:space="preserve">ed the input from </w:t>
      </w:r>
      <w:r w:rsidRPr="003A5AE5">
        <w:rPr>
          <w:rFonts w:asciiTheme="minorHAnsi" w:hAnsiTheme="minorHAnsi"/>
          <w:bCs/>
          <w:snapToGrid w:val="0"/>
        </w:rPr>
        <w:t>health care profess</w:t>
      </w:r>
      <w:r w:rsidR="00F17AB7" w:rsidRPr="003A5AE5">
        <w:rPr>
          <w:rFonts w:asciiTheme="minorHAnsi" w:hAnsiTheme="minorHAnsi"/>
          <w:bCs/>
          <w:snapToGrid w:val="0"/>
        </w:rPr>
        <w:t>ionals (7</w:t>
      </w:r>
      <w:r w:rsidR="00AB71C3" w:rsidRPr="003A5AE5">
        <w:rPr>
          <w:rFonts w:asciiTheme="minorHAnsi" w:hAnsiTheme="minorHAnsi"/>
          <w:bCs/>
          <w:snapToGrid w:val="0"/>
        </w:rPr>
        <w:t>) and organisations (2</w:t>
      </w:r>
      <w:r w:rsidRPr="003A5AE5">
        <w:rPr>
          <w:rFonts w:asciiTheme="minorHAnsi" w:hAnsiTheme="minorHAnsi"/>
          <w:bCs/>
          <w:snapToGrid w:val="0"/>
        </w:rPr>
        <w:t>) via the Consumer Comments facility on the PBS website</w:t>
      </w:r>
      <w:r w:rsidR="003A5AE5" w:rsidRPr="003A5AE5">
        <w:rPr>
          <w:rFonts w:asciiTheme="minorHAnsi" w:hAnsiTheme="minorHAnsi"/>
          <w:bCs/>
          <w:snapToGrid w:val="0"/>
        </w:rPr>
        <w:t xml:space="preserve">. </w:t>
      </w:r>
      <w:r w:rsidRPr="003A5AE5">
        <w:rPr>
          <w:rFonts w:asciiTheme="minorHAnsi" w:hAnsiTheme="minorHAnsi"/>
          <w:bCs/>
          <w:snapToGrid w:val="0"/>
        </w:rPr>
        <w:t xml:space="preserve">The comments described </w:t>
      </w:r>
      <w:r w:rsidR="00AB71C3" w:rsidRPr="003A5AE5">
        <w:rPr>
          <w:rFonts w:asciiTheme="minorHAnsi" w:hAnsiTheme="minorHAnsi"/>
          <w:bCs/>
          <w:snapToGrid w:val="0"/>
        </w:rPr>
        <w:t xml:space="preserve">the need for additional treatment options for LMS (and </w:t>
      </w:r>
      <w:r w:rsidR="00407E11" w:rsidRPr="003A5AE5">
        <w:rPr>
          <w:rFonts w:asciiTheme="minorHAnsi" w:hAnsiTheme="minorHAnsi"/>
          <w:bCs/>
          <w:snapToGrid w:val="0"/>
        </w:rPr>
        <w:t>also LPS</w:t>
      </w:r>
      <w:r w:rsidR="00AB71C3" w:rsidRPr="003A5AE5">
        <w:rPr>
          <w:rFonts w:asciiTheme="minorHAnsi" w:hAnsiTheme="minorHAnsi"/>
          <w:bCs/>
          <w:snapToGrid w:val="0"/>
        </w:rPr>
        <w:t>, for which PBS subsidy was not</w:t>
      </w:r>
      <w:r w:rsidR="004823A5" w:rsidRPr="003A5AE5">
        <w:rPr>
          <w:rFonts w:asciiTheme="minorHAnsi" w:hAnsiTheme="minorHAnsi"/>
          <w:bCs/>
          <w:snapToGrid w:val="0"/>
        </w:rPr>
        <w:t xml:space="preserve"> specifically</w:t>
      </w:r>
      <w:r w:rsidR="00AB71C3" w:rsidRPr="003A5AE5">
        <w:rPr>
          <w:rFonts w:asciiTheme="minorHAnsi" w:hAnsiTheme="minorHAnsi"/>
          <w:bCs/>
          <w:snapToGrid w:val="0"/>
        </w:rPr>
        <w:t xml:space="preserve"> sought) and highlighted that trabectedin is currently being used in </w:t>
      </w:r>
      <w:r w:rsidR="00EB3F90">
        <w:rPr>
          <w:rFonts w:asciiTheme="minorHAnsi" w:hAnsiTheme="minorHAnsi"/>
          <w:bCs/>
          <w:snapToGrid w:val="0"/>
        </w:rPr>
        <w:t xml:space="preserve">clinical </w:t>
      </w:r>
      <w:r w:rsidR="00AB71C3" w:rsidRPr="003A5AE5">
        <w:rPr>
          <w:rFonts w:asciiTheme="minorHAnsi" w:hAnsiTheme="minorHAnsi"/>
          <w:bCs/>
          <w:snapToGrid w:val="0"/>
        </w:rPr>
        <w:t>practice through the TGA Special Access Scheme at a great financial cost to patients.</w:t>
      </w:r>
    </w:p>
    <w:p w:rsidR="00ED36E9" w:rsidRPr="003A5AE5" w:rsidRDefault="00ED36E9" w:rsidP="00033ED9">
      <w:pPr>
        <w:numPr>
          <w:ilvl w:val="1"/>
          <w:numId w:val="1"/>
        </w:numPr>
        <w:spacing w:after="120"/>
        <w:rPr>
          <w:rFonts w:asciiTheme="minorHAnsi" w:hAnsiTheme="minorHAnsi"/>
          <w:bCs/>
          <w:snapToGrid w:val="0"/>
        </w:rPr>
      </w:pPr>
      <w:r w:rsidRPr="003A5AE5">
        <w:rPr>
          <w:rFonts w:asciiTheme="minorHAnsi" w:hAnsiTheme="minorHAnsi"/>
          <w:bCs/>
          <w:snapToGrid w:val="0"/>
        </w:rPr>
        <w:t xml:space="preserve">The PBAC noted the advice received from </w:t>
      </w:r>
      <w:r w:rsidR="00AB71C3" w:rsidRPr="003A5AE5">
        <w:rPr>
          <w:rFonts w:asciiTheme="minorHAnsi" w:hAnsiTheme="minorHAnsi"/>
          <w:bCs/>
          <w:snapToGrid w:val="0"/>
        </w:rPr>
        <w:t>Rare Cancers Australia, which highlighted the often poor prognosis associated with LMS and the need for additional therapeutic options for treating this rare condition.</w:t>
      </w:r>
    </w:p>
    <w:p w:rsidR="00ED36E9" w:rsidRPr="003A5AE5" w:rsidRDefault="00ED36E9" w:rsidP="00033ED9">
      <w:pPr>
        <w:numPr>
          <w:ilvl w:val="1"/>
          <w:numId w:val="1"/>
        </w:numPr>
        <w:spacing w:after="120"/>
        <w:rPr>
          <w:rFonts w:asciiTheme="minorHAnsi" w:hAnsiTheme="minorHAnsi"/>
          <w:bCs/>
          <w:snapToGrid w:val="0"/>
        </w:rPr>
      </w:pPr>
      <w:r w:rsidRPr="003A5AE5">
        <w:rPr>
          <w:rFonts w:asciiTheme="minorHAnsi" w:hAnsiTheme="minorHAnsi"/>
          <w:bCs/>
          <w:snapToGrid w:val="0"/>
        </w:rPr>
        <w:t xml:space="preserve">The Medical Oncology Group of Australia (MOGA) also expressed its support for the trabectedin submission. The PBAC noted that the MOGA presented a European Society for Medical Oncology Magnitude of Clinical Benefit Scale (ESMO-MCBS) for </w:t>
      </w:r>
      <w:r w:rsidR="00AB71C3" w:rsidRPr="003A5AE5">
        <w:rPr>
          <w:rFonts w:asciiTheme="minorHAnsi" w:hAnsiTheme="minorHAnsi"/>
          <w:bCs/>
          <w:snapToGrid w:val="0"/>
        </w:rPr>
        <w:t>trabectedin, which was limited to 2</w:t>
      </w:r>
      <w:r w:rsidRPr="003A5AE5">
        <w:rPr>
          <w:rFonts w:asciiTheme="minorHAnsi" w:hAnsiTheme="minorHAnsi"/>
          <w:bCs/>
          <w:snapToGrid w:val="0"/>
        </w:rPr>
        <w:t xml:space="preserve"> (out of a maximum of 5, where 5 and 4 represent the grades with substantial improvement)</w:t>
      </w:r>
      <w:r w:rsidRPr="003A5AE5">
        <w:rPr>
          <w:rFonts w:asciiTheme="minorHAnsi" w:hAnsiTheme="minorHAnsi"/>
          <w:bCs/>
          <w:snapToGrid w:val="0"/>
          <w:vertAlign w:val="superscript"/>
        </w:rPr>
        <w:t>[1]</w:t>
      </w:r>
      <w:r w:rsidRPr="003A5AE5">
        <w:rPr>
          <w:rFonts w:asciiTheme="minorHAnsi" w:hAnsiTheme="minorHAnsi"/>
          <w:bCs/>
          <w:snapToGrid w:val="0"/>
        </w:rPr>
        <w:t>,</w:t>
      </w:r>
      <w:r w:rsidR="00AB71C3" w:rsidRPr="003A5AE5">
        <w:rPr>
          <w:rFonts w:asciiTheme="minorHAnsi" w:hAnsiTheme="minorHAnsi"/>
          <w:bCs/>
          <w:snapToGrid w:val="0"/>
        </w:rPr>
        <w:t xml:space="preserve"> based on a comparison with various comparators</w:t>
      </w:r>
      <w:r w:rsidR="003A5AE5" w:rsidRPr="003A5AE5">
        <w:rPr>
          <w:rFonts w:asciiTheme="minorHAnsi" w:hAnsiTheme="minorHAnsi"/>
          <w:bCs/>
          <w:snapToGrid w:val="0"/>
        </w:rPr>
        <w:t xml:space="preserve">. </w:t>
      </w:r>
    </w:p>
    <w:p w:rsidR="00F5082C" w:rsidRPr="003A5AE5" w:rsidRDefault="00F5082C" w:rsidP="00033ED9">
      <w:pPr>
        <w:pStyle w:val="4-SubsectionHeading"/>
      </w:pPr>
      <w:r w:rsidRPr="003A5AE5">
        <w:t>Clinical studies</w:t>
      </w:r>
      <w:bookmarkEnd w:id="35"/>
      <w:bookmarkEnd w:id="36"/>
      <w:bookmarkEnd w:id="37"/>
      <w:bookmarkEnd w:id="38"/>
      <w:bookmarkEnd w:id="39"/>
    </w:p>
    <w:p w:rsidR="00F5082C" w:rsidRPr="003A5AE5" w:rsidRDefault="00F5082C" w:rsidP="00033ED9">
      <w:pPr>
        <w:pStyle w:val="3-BodyText"/>
      </w:pPr>
      <w:r w:rsidRPr="003A5AE5">
        <w:rPr>
          <w:snapToGrid/>
        </w:rPr>
        <w:t xml:space="preserve">The submission was based on </w:t>
      </w:r>
      <w:r w:rsidR="00EB3F90">
        <w:rPr>
          <w:snapToGrid/>
        </w:rPr>
        <w:t xml:space="preserve">two studies. The first was </w:t>
      </w:r>
      <w:r w:rsidR="00EF4E53" w:rsidRPr="003A5AE5">
        <w:rPr>
          <w:snapToGrid/>
        </w:rPr>
        <w:t>a</w:t>
      </w:r>
      <w:r w:rsidRPr="003A5AE5">
        <w:rPr>
          <w:snapToGrid/>
        </w:rPr>
        <w:t xml:space="preserve"> head-to-head</w:t>
      </w:r>
      <w:r w:rsidR="00F519E0" w:rsidRPr="003A5AE5">
        <w:rPr>
          <w:snapToGrid/>
        </w:rPr>
        <w:t>, open-label</w:t>
      </w:r>
      <w:r w:rsidRPr="003A5AE5">
        <w:rPr>
          <w:snapToGrid/>
        </w:rPr>
        <w:t xml:space="preserve"> trial comparing trabectedin with dacarbazine </w:t>
      </w:r>
      <w:r w:rsidRPr="003A5AE5">
        <w:t>in patients with histologically proven LPS or LMS who have received prior treatment with</w:t>
      </w:r>
      <w:r w:rsidR="009E6D40" w:rsidRPr="003A5AE5">
        <w:t xml:space="preserve"> either</w:t>
      </w:r>
      <w:r w:rsidRPr="003A5AE5">
        <w:t xml:space="preserve"> </w:t>
      </w:r>
      <w:r w:rsidR="0084633C" w:rsidRPr="003A5AE5">
        <w:t xml:space="preserve">(i) a prior anthracycline- and ifosfamide-containing regimen, or (ii) a prior anthracycline and at least one additional cytotoxic agent </w:t>
      </w:r>
      <w:r w:rsidRPr="003A5AE5">
        <w:t>(n= 577, Study 3007)</w:t>
      </w:r>
      <w:r w:rsidR="00EB3F90">
        <w:t xml:space="preserve">. The second was </w:t>
      </w:r>
      <w:r w:rsidRPr="003A5AE5">
        <w:t>another head-to-head</w:t>
      </w:r>
      <w:r w:rsidR="00F519E0" w:rsidRPr="003A5AE5">
        <w:t>, double-blinded</w:t>
      </w:r>
      <w:r w:rsidRPr="003A5AE5">
        <w:t xml:space="preserve"> randomised trial comparing pazopanib with placebo in </w:t>
      </w:r>
      <w:r w:rsidR="00FC1063" w:rsidRPr="003A5AE5">
        <w:t xml:space="preserve">a </w:t>
      </w:r>
      <w:r w:rsidRPr="003A5AE5">
        <w:t xml:space="preserve">similar population (n =369, </w:t>
      </w:r>
      <w:r w:rsidR="00067FA0" w:rsidRPr="003A5AE5">
        <w:t>PALETTE</w:t>
      </w:r>
      <w:r w:rsidRPr="003A5AE5">
        <w:t>).</w:t>
      </w:r>
      <w:r w:rsidRPr="003A5AE5">
        <w:rPr>
          <w:snapToGrid/>
        </w:rPr>
        <w:t xml:space="preserve"> </w:t>
      </w:r>
      <w:r w:rsidR="008100D6">
        <w:rPr>
          <w:snapToGrid/>
        </w:rPr>
        <w:t xml:space="preserve">The PBAC </w:t>
      </w:r>
      <w:r w:rsidR="003604B6">
        <w:rPr>
          <w:snapToGrid/>
        </w:rPr>
        <w:t>reviewed</w:t>
      </w:r>
      <w:r w:rsidR="008100D6">
        <w:rPr>
          <w:snapToGrid/>
        </w:rPr>
        <w:t xml:space="preserve"> </w:t>
      </w:r>
      <w:r w:rsidR="00067FA0" w:rsidRPr="003A5AE5">
        <w:rPr>
          <w:snapToGrid/>
        </w:rPr>
        <w:t>PALETTE</w:t>
      </w:r>
      <w:r w:rsidRPr="003A5AE5">
        <w:rPr>
          <w:snapToGrid/>
        </w:rPr>
        <w:t xml:space="preserve"> when considering pazopanib for the PBS listing in November 2012. The submission claimed that </w:t>
      </w:r>
      <w:r w:rsidRPr="003A5AE5">
        <w:t>an indirect treatment comparison (ITC) could not be performed, as the trials were too heterogeneous</w:t>
      </w:r>
      <w:r w:rsidR="00FC1063" w:rsidRPr="003A5AE5">
        <w:t>. Despite this</w:t>
      </w:r>
      <w:r w:rsidR="00045E3F" w:rsidRPr="003A5AE5">
        <w:t>, a matching-adjusted</w:t>
      </w:r>
      <w:r w:rsidRPr="003A5AE5">
        <w:t xml:space="preserve"> ITC published as a conference abstract based on the same trials was presented in the submission to support its claim of the non-inferiority of trabectedin to pazopanib in terms of clinical efficacy and safety.</w:t>
      </w:r>
    </w:p>
    <w:p w:rsidR="00F5082C" w:rsidRPr="003A5AE5" w:rsidRDefault="00F5082C" w:rsidP="00033ED9">
      <w:pPr>
        <w:pStyle w:val="3-BodyText"/>
      </w:pPr>
      <w:r w:rsidRPr="003A5AE5">
        <w:t xml:space="preserve">The submission also presented one additional trial, the TSAR study, </w:t>
      </w:r>
      <w:r w:rsidR="00EF4E53" w:rsidRPr="003A5AE5">
        <w:t xml:space="preserve">which </w:t>
      </w:r>
      <w:r w:rsidRPr="003A5AE5">
        <w:t xml:space="preserve">compared trabectedin with best supportive care (BSC), however only an abstract </w:t>
      </w:r>
      <w:r w:rsidR="00FC1063" w:rsidRPr="003A5AE5">
        <w:t>wa</w:t>
      </w:r>
      <w:r w:rsidRPr="003A5AE5">
        <w:t>s available. The limited information presented in the abstract preclude</w:t>
      </w:r>
      <w:r w:rsidR="00FC1063" w:rsidRPr="003A5AE5">
        <w:t>d</w:t>
      </w:r>
      <w:r w:rsidRPr="003A5AE5">
        <w:t xml:space="preserve"> an adequate evaluation of this study. </w:t>
      </w:r>
    </w:p>
    <w:p w:rsidR="00F5082C" w:rsidRPr="003A5AE5" w:rsidRDefault="008100D6" w:rsidP="00033ED9">
      <w:pPr>
        <w:pStyle w:val="3-BodyText"/>
      </w:pPr>
      <w:r>
        <w:rPr>
          <w:snapToGrid/>
        </w:rPr>
        <w:t>The table below presents the d</w:t>
      </w:r>
      <w:r w:rsidR="00F5082C" w:rsidRPr="003A5AE5">
        <w:rPr>
          <w:snapToGrid/>
        </w:rPr>
        <w:t>etails of the</w:t>
      </w:r>
      <w:r w:rsidR="00EF4E53" w:rsidRPr="003A5AE5">
        <w:rPr>
          <w:snapToGrid/>
        </w:rPr>
        <w:t xml:space="preserve"> key</w:t>
      </w:r>
      <w:r w:rsidR="00F5082C" w:rsidRPr="003A5AE5">
        <w:rPr>
          <w:snapToGrid/>
        </w:rPr>
        <w:t xml:space="preserve"> studies. </w:t>
      </w:r>
    </w:p>
    <w:p w:rsidR="00F5082C" w:rsidRPr="003A5AE5" w:rsidRDefault="00F5082C" w:rsidP="00033ED9">
      <w:pPr>
        <w:pStyle w:val="TableHeading"/>
        <w:rPr>
          <w:rStyle w:val="CommentReference"/>
          <w:b/>
          <w:szCs w:val="24"/>
        </w:rPr>
      </w:pPr>
      <w:r w:rsidRPr="003A5AE5">
        <w:t xml:space="preserve">Table </w:t>
      </w:r>
      <w:r w:rsidR="00C534E3" w:rsidRPr="003A5AE5">
        <w:t>2</w:t>
      </w:r>
      <w:r w:rsidRPr="003A5AE5">
        <w:t xml:space="preserve">: </w:t>
      </w:r>
      <w:r w:rsidRPr="003A5AE5">
        <w:rPr>
          <w:rStyle w:val="CommentReference"/>
          <w:b/>
          <w:szCs w:val="24"/>
        </w:rPr>
        <w:t>Studies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6238"/>
        <w:gridCol w:w="1791"/>
      </w:tblGrid>
      <w:tr w:rsidR="00F5082C" w:rsidRPr="003A5AE5" w:rsidTr="00D934E3">
        <w:trPr>
          <w:cantSplit/>
          <w:tblHeader/>
        </w:trPr>
        <w:tc>
          <w:tcPr>
            <w:tcW w:w="548" w:type="pct"/>
            <w:tcBorders>
              <w:bottom w:val="single" w:sz="4" w:space="0" w:color="auto"/>
            </w:tcBorders>
            <w:shd w:val="clear" w:color="auto" w:fill="auto"/>
          </w:tcPr>
          <w:p w:rsidR="00F5082C" w:rsidRPr="003A5AE5" w:rsidRDefault="00F5082C" w:rsidP="00033ED9">
            <w:pPr>
              <w:pStyle w:val="TableText1"/>
              <w:rPr>
                <w:b/>
              </w:rPr>
            </w:pPr>
            <w:r w:rsidRPr="003A5AE5">
              <w:rPr>
                <w:b/>
              </w:rPr>
              <w:t>Trial ID</w:t>
            </w:r>
          </w:p>
        </w:tc>
        <w:tc>
          <w:tcPr>
            <w:tcW w:w="3459" w:type="pct"/>
            <w:shd w:val="clear" w:color="auto" w:fill="auto"/>
          </w:tcPr>
          <w:p w:rsidR="00F5082C" w:rsidRPr="003A5AE5" w:rsidRDefault="00F5082C" w:rsidP="00033ED9">
            <w:pPr>
              <w:pStyle w:val="TableText1"/>
              <w:rPr>
                <w:b/>
              </w:rPr>
            </w:pPr>
            <w:r w:rsidRPr="003A5AE5">
              <w:rPr>
                <w:b/>
              </w:rPr>
              <w:t>Protocol title/ Publication title</w:t>
            </w:r>
          </w:p>
        </w:tc>
        <w:tc>
          <w:tcPr>
            <w:tcW w:w="993" w:type="pct"/>
            <w:shd w:val="clear" w:color="auto" w:fill="auto"/>
          </w:tcPr>
          <w:p w:rsidR="00F5082C" w:rsidRPr="003A5AE5" w:rsidRDefault="00F5082C" w:rsidP="00033ED9">
            <w:pPr>
              <w:pStyle w:val="TableText1"/>
              <w:rPr>
                <w:b/>
              </w:rPr>
            </w:pPr>
            <w:r w:rsidRPr="003A5AE5">
              <w:rPr>
                <w:b/>
              </w:rPr>
              <w:t>Publication citation</w:t>
            </w:r>
          </w:p>
        </w:tc>
      </w:tr>
      <w:tr w:rsidR="00F5082C" w:rsidRPr="003A5AE5" w:rsidTr="00F5082C">
        <w:trPr>
          <w:cantSplit/>
        </w:trPr>
        <w:tc>
          <w:tcPr>
            <w:tcW w:w="4007" w:type="pct"/>
            <w:gridSpan w:val="2"/>
            <w:shd w:val="clear" w:color="auto" w:fill="auto"/>
          </w:tcPr>
          <w:p w:rsidR="00F5082C" w:rsidRPr="003A5AE5" w:rsidRDefault="00F5082C" w:rsidP="00033ED9">
            <w:pPr>
              <w:pStyle w:val="TableBodytext"/>
              <w:keepNext/>
              <w:rPr>
                <w:rFonts w:ascii="Arial Narrow" w:hAnsi="Arial Narrow"/>
                <w:b/>
                <w:bCs/>
                <w:sz w:val="20"/>
                <w:szCs w:val="20"/>
              </w:rPr>
            </w:pPr>
            <w:r w:rsidRPr="003A5AE5">
              <w:rPr>
                <w:rFonts w:ascii="Arial Narrow" w:hAnsi="Arial Narrow"/>
                <w:b/>
                <w:bCs/>
                <w:sz w:val="20"/>
                <w:szCs w:val="20"/>
              </w:rPr>
              <w:t>Trabectedin v Dacarbazine</w:t>
            </w:r>
          </w:p>
        </w:tc>
        <w:tc>
          <w:tcPr>
            <w:tcW w:w="993" w:type="pct"/>
            <w:shd w:val="clear" w:color="auto" w:fill="auto"/>
          </w:tcPr>
          <w:p w:rsidR="00F5082C" w:rsidRPr="003A5AE5" w:rsidRDefault="00F5082C" w:rsidP="00033ED9">
            <w:pPr>
              <w:pStyle w:val="TableBodytext"/>
              <w:keepNext/>
              <w:rPr>
                <w:rFonts w:ascii="Arial Narrow" w:hAnsi="Arial Narrow"/>
                <w:b/>
                <w:bCs/>
                <w:sz w:val="20"/>
                <w:szCs w:val="20"/>
              </w:rPr>
            </w:pPr>
          </w:p>
        </w:tc>
      </w:tr>
      <w:tr w:rsidR="00B26DB0" w:rsidRPr="003A5AE5" w:rsidTr="00D934E3">
        <w:trPr>
          <w:cantSplit/>
        </w:trPr>
        <w:tc>
          <w:tcPr>
            <w:tcW w:w="548" w:type="pct"/>
            <w:vMerge w:val="restart"/>
            <w:shd w:val="clear" w:color="auto" w:fill="auto"/>
          </w:tcPr>
          <w:p w:rsidR="00B26DB0" w:rsidRPr="003A5AE5" w:rsidRDefault="00B26DB0" w:rsidP="00033ED9">
            <w:pPr>
              <w:pStyle w:val="TableBodytext"/>
              <w:rPr>
                <w:rFonts w:ascii="Arial Narrow" w:hAnsi="Arial Narrow"/>
                <w:sz w:val="20"/>
                <w:szCs w:val="20"/>
              </w:rPr>
            </w:pPr>
            <w:r w:rsidRPr="003A5AE5">
              <w:rPr>
                <w:rFonts w:ascii="Arial Narrow" w:hAnsi="Arial Narrow"/>
                <w:sz w:val="20"/>
                <w:szCs w:val="20"/>
              </w:rPr>
              <w:t>Study 3007</w:t>
            </w:r>
          </w:p>
        </w:tc>
        <w:tc>
          <w:tcPr>
            <w:tcW w:w="3459" w:type="pct"/>
            <w:shd w:val="clear" w:color="auto" w:fill="auto"/>
          </w:tcPr>
          <w:p w:rsidR="00B26DB0" w:rsidRPr="003A5AE5" w:rsidRDefault="00B26DB0" w:rsidP="00033ED9">
            <w:pPr>
              <w:pStyle w:val="TableBodytext"/>
              <w:rPr>
                <w:rFonts w:ascii="Arial Narrow" w:hAnsi="Arial Narrow"/>
                <w:sz w:val="20"/>
                <w:szCs w:val="20"/>
              </w:rPr>
            </w:pPr>
            <w:r w:rsidRPr="003A5AE5">
              <w:rPr>
                <w:rFonts w:ascii="Arial Narrow" w:hAnsi="Arial Narrow"/>
                <w:sz w:val="20"/>
                <w:szCs w:val="20"/>
              </w:rPr>
              <w:t>Janssen Research &amp; Development. A Randomized Controlled Study of YONDELIS</w:t>
            </w:r>
            <w:r w:rsidRPr="003A5AE5">
              <w:rPr>
                <w:rFonts w:ascii="Arial Narrow" w:hAnsi="Arial Narrow"/>
                <w:sz w:val="20"/>
                <w:szCs w:val="20"/>
                <w:vertAlign w:val="superscript"/>
              </w:rPr>
              <w:t>®</w:t>
            </w:r>
            <w:r w:rsidRPr="003A5AE5">
              <w:rPr>
                <w:rFonts w:ascii="Arial Narrow" w:hAnsi="Arial Narrow"/>
                <w:sz w:val="20"/>
                <w:szCs w:val="20"/>
              </w:rPr>
              <w:t xml:space="preserve"> (Trabectedin) or Dacarbazine for the Treatment of Advanced Liposarcoma or Leiomyosarcoma. Clinical Study Report ET743-SAR-3007</w:t>
            </w:r>
          </w:p>
        </w:tc>
        <w:tc>
          <w:tcPr>
            <w:tcW w:w="993" w:type="pct"/>
            <w:shd w:val="clear" w:color="auto" w:fill="auto"/>
          </w:tcPr>
          <w:p w:rsidR="00B26DB0" w:rsidRPr="003A5AE5" w:rsidRDefault="000902A1" w:rsidP="00033ED9">
            <w:pPr>
              <w:pStyle w:val="TableBodytext"/>
              <w:rPr>
                <w:rFonts w:ascii="Arial Narrow" w:hAnsi="Arial Narrow"/>
                <w:sz w:val="20"/>
                <w:szCs w:val="20"/>
              </w:rPr>
            </w:pPr>
            <w:r w:rsidRPr="003A5AE5">
              <w:rPr>
                <w:rFonts w:ascii="Arial Narrow" w:hAnsi="Arial Narrow"/>
                <w:sz w:val="20"/>
                <w:szCs w:val="20"/>
              </w:rPr>
              <w:t>October 2014</w:t>
            </w:r>
          </w:p>
        </w:tc>
      </w:tr>
      <w:tr w:rsidR="00B26DB0" w:rsidRPr="003A5AE5" w:rsidTr="00D934E3">
        <w:trPr>
          <w:cantSplit/>
          <w:trHeight w:val="405"/>
        </w:trPr>
        <w:tc>
          <w:tcPr>
            <w:tcW w:w="548" w:type="pct"/>
            <w:vMerge/>
            <w:shd w:val="clear" w:color="auto" w:fill="auto"/>
          </w:tcPr>
          <w:p w:rsidR="00B26DB0" w:rsidRPr="003A5AE5" w:rsidRDefault="00B26DB0" w:rsidP="00033ED9">
            <w:pPr>
              <w:pStyle w:val="TableBodytext"/>
              <w:rPr>
                <w:rFonts w:ascii="Arial Narrow" w:hAnsi="Arial Narrow"/>
                <w:sz w:val="20"/>
                <w:szCs w:val="20"/>
              </w:rPr>
            </w:pPr>
          </w:p>
        </w:tc>
        <w:tc>
          <w:tcPr>
            <w:tcW w:w="3459" w:type="pct"/>
            <w:tcBorders>
              <w:bottom w:val="single" w:sz="4" w:space="0" w:color="auto"/>
            </w:tcBorders>
            <w:shd w:val="clear" w:color="auto" w:fill="auto"/>
          </w:tcPr>
          <w:p w:rsidR="00B26DB0" w:rsidRPr="003A5AE5" w:rsidRDefault="00B26DB0" w:rsidP="00033ED9">
            <w:pPr>
              <w:pStyle w:val="TableBodytext"/>
              <w:rPr>
                <w:rFonts w:ascii="Arial Narrow" w:hAnsi="Arial Narrow"/>
                <w:sz w:val="20"/>
                <w:szCs w:val="20"/>
              </w:rPr>
            </w:pPr>
            <w:r w:rsidRPr="003A5AE5">
              <w:rPr>
                <w:rFonts w:ascii="Arial Narrow" w:hAnsi="Arial Narrow"/>
                <w:sz w:val="20"/>
                <w:szCs w:val="20"/>
              </w:rPr>
              <w:t>Janssen Research &amp; Development. A Randomized Controlled Study of YONDELIS® (Trabectedin) or Dacarbazine for the Treatment of Advanced Liposarcoma or Leiomyosarcoma. Final Clinical Study Report Addendum ET743-SAR-3007</w:t>
            </w:r>
          </w:p>
        </w:tc>
        <w:tc>
          <w:tcPr>
            <w:tcW w:w="993" w:type="pct"/>
            <w:shd w:val="clear" w:color="auto" w:fill="auto"/>
          </w:tcPr>
          <w:p w:rsidR="00B26DB0" w:rsidRPr="003A5AE5" w:rsidRDefault="000902A1" w:rsidP="00033ED9">
            <w:pPr>
              <w:pStyle w:val="TableBodytext"/>
              <w:rPr>
                <w:rFonts w:ascii="Arial Narrow" w:hAnsi="Arial Narrow"/>
                <w:sz w:val="20"/>
                <w:szCs w:val="20"/>
              </w:rPr>
            </w:pPr>
            <w:r w:rsidRPr="003A5AE5">
              <w:rPr>
                <w:rFonts w:ascii="Arial Narrow" w:hAnsi="Arial Narrow"/>
                <w:sz w:val="20"/>
                <w:szCs w:val="20"/>
              </w:rPr>
              <w:t>November 2015</w:t>
            </w:r>
          </w:p>
        </w:tc>
      </w:tr>
      <w:tr w:rsidR="00B26DB0" w:rsidRPr="003A5AE5" w:rsidTr="00D934E3">
        <w:trPr>
          <w:cantSplit/>
          <w:trHeight w:val="405"/>
        </w:trPr>
        <w:tc>
          <w:tcPr>
            <w:tcW w:w="548" w:type="pct"/>
            <w:vMerge/>
            <w:tcBorders>
              <w:bottom w:val="single" w:sz="4" w:space="0" w:color="auto"/>
            </w:tcBorders>
            <w:shd w:val="clear" w:color="auto" w:fill="auto"/>
          </w:tcPr>
          <w:p w:rsidR="00B26DB0" w:rsidRPr="003A5AE5" w:rsidRDefault="00B26DB0" w:rsidP="00033ED9">
            <w:pPr>
              <w:pStyle w:val="TableBodytext"/>
              <w:rPr>
                <w:rFonts w:ascii="Arial Narrow" w:hAnsi="Arial Narrow"/>
                <w:sz w:val="20"/>
                <w:szCs w:val="20"/>
              </w:rPr>
            </w:pPr>
          </w:p>
        </w:tc>
        <w:tc>
          <w:tcPr>
            <w:tcW w:w="3459" w:type="pct"/>
            <w:tcBorders>
              <w:bottom w:val="single" w:sz="4" w:space="0" w:color="auto"/>
            </w:tcBorders>
            <w:shd w:val="clear" w:color="auto" w:fill="auto"/>
          </w:tcPr>
          <w:p w:rsidR="00B26DB0" w:rsidRPr="003A5AE5" w:rsidRDefault="00B26DB0" w:rsidP="00033ED9">
            <w:pPr>
              <w:pStyle w:val="TableBodytext"/>
              <w:rPr>
                <w:rFonts w:ascii="Arial Narrow" w:hAnsi="Arial Narrow"/>
                <w:sz w:val="20"/>
                <w:szCs w:val="20"/>
              </w:rPr>
            </w:pPr>
            <w:r w:rsidRPr="003A5AE5">
              <w:rPr>
                <w:rFonts w:ascii="Arial Narrow" w:hAnsi="Arial Narrow"/>
                <w:sz w:val="20"/>
                <w:szCs w:val="20"/>
              </w:rPr>
              <w:t xml:space="preserve">Demetri GD, von Mehren M, Jones RL, Hensley ML, Schuetze SM, Staddon A, Milhem M, Elias A, Ganjoo K, Tawbi H, Van Tine BA, Spira A, Dean A, Khokhar NZ, Park YC, Knoblauch RE, Parekh TV, Maki RG, Patel SR Efficacy and Safety of Trabectedin or Dacarbazine for Metastatic Liposarcoma or Leiomyosarcoma After Failure of Conventional Chemotherapy: Results of a Phase III Randomized Multicenter Clinical Trial. </w:t>
            </w:r>
          </w:p>
        </w:tc>
        <w:tc>
          <w:tcPr>
            <w:tcW w:w="993" w:type="pct"/>
            <w:tcBorders>
              <w:bottom w:val="single" w:sz="4" w:space="0" w:color="auto"/>
            </w:tcBorders>
            <w:shd w:val="clear" w:color="auto" w:fill="auto"/>
          </w:tcPr>
          <w:p w:rsidR="00B26DB0" w:rsidRPr="003A5AE5" w:rsidRDefault="00B26DB0" w:rsidP="00033ED9">
            <w:pPr>
              <w:pStyle w:val="TableBodytext"/>
              <w:rPr>
                <w:rFonts w:ascii="Arial Narrow" w:hAnsi="Arial Narrow"/>
                <w:sz w:val="20"/>
                <w:szCs w:val="20"/>
              </w:rPr>
            </w:pPr>
            <w:r w:rsidRPr="003A5AE5">
              <w:rPr>
                <w:rFonts w:ascii="Arial Narrow" w:hAnsi="Arial Narrow"/>
                <w:i/>
                <w:sz w:val="20"/>
                <w:szCs w:val="20"/>
              </w:rPr>
              <w:t xml:space="preserve">Journal of Clinical Oncology </w:t>
            </w:r>
            <w:r w:rsidRPr="003A5AE5">
              <w:rPr>
                <w:rFonts w:ascii="Arial Narrow" w:hAnsi="Arial Narrow"/>
                <w:sz w:val="20"/>
                <w:szCs w:val="20"/>
              </w:rPr>
              <w:t>2016; 34(8):786-93.</w:t>
            </w:r>
          </w:p>
        </w:tc>
      </w:tr>
      <w:tr w:rsidR="00F5082C" w:rsidRPr="003A5AE5" w:rsidTr="00F5082C">
        <w:trPr>
          <w:cantSplit/>
        </w:trPr>
        <w:tc>
          <w:tcPr>
            <w:tcW w:w="4007" w:type="pct"/>
            <w:gridSpan w:val="2"/>
            <w:shd w:val="clear" w:color="auto" w:fill="auto"/>
          </w:tcPr>
          <w:p w:rsidR="00F5082C" w:rsidRPr="003A5AE5" w:rsidRDefault="00F5082C" w:rsidP="00033ED9">
            <w:pPr>
              <w:pStyle w:val="TableBodytext"/>
              <w:keepNext/>
              <w:rPr>
                <w:rFonts w:ascii="Arial Narrow" w:hAnsi="Arial Narrow"/>
                <w:b/>
                <w:bCs/>
                <w:sz w:val="20"/>
                <w:szCs w:val="20"/>
              </w:rPr>
            </w:pPr>
            <w:r w:rsidRPr="003A5AE5">
              <w:rPr>
                <w:rFonts w:ascii="Arial Narrow" w:hAnsi="Arial Narrow"/>
                <w:b/>
                <w:bCs/>
                <w:sz w:val="20"/>
                <w:szCs w:val="20"/>
              </w:rPr>
              <w:t>Trabectedin v Placebo</w:t>
            </w:r>
          </w:p>
        </w:tc>
        <w:tc>
          <w:tcPr>
            <w:tcW w:w="993" w:type="pct"/>
            <w:shd w:val="clear" w:color="auto" w:fill="auto"/>
          </w:tcPr>
          <w:p w:rsidR="00F5082C" w:rsidRPr="003A5AE5" w:rsidRDefault="00F5082C" w:rsidP="00033ED9">
            <w:pPr>
              <w:pStyle w:val="TableBodytext"/>
              <w:keepNext/>
              <w:rPr>
                <w:rFonts w:ascii="Arial Narrow" w:hAnsi="Arial Narrow"/>
                <w:b/>
                <w:bCs/>
                <w:sz w:val="20"/>
                <w:szCs w:val="20"/>
              </w:rPr>
            </w:pPr>
          </w:p>
        </w:tc>
      </w:tr>
      <w:tr w:rsidR="00F5082C" w:rsidRPr="003A5AE5" w:rsidTr="00D934E3">
        <w:trPr>
          <w:cantSplit/>
        </w:trPr>
        <w:tc>
          <w:tcPr>
            <w:tcW w:w="548" w:type="pct"/>
            <w:tcBorders>
              <w:top w:val="nil"/>
              <w:bottom w:val="nil"/>
            </w:tcBorders>
            <w:shd w:val="clear" w:color="auto" w:fill="auto"/>
          </w:tcPr>
          <w:p w:rsidR="00F5082C" w:rsidRPr="003A5AE5" w:rsidRDefault="00F5082C" w:rsidP="00033ED9">
            <w:pPr>
              <w:pStyle w:val="TableBodytext"/>
              <w:rPr>
                <w:rFonts w:ascii="Arial Narrow" w:hAnsi="Arial Narrow"/>
                <w:sz w:val="20"/>
                <w:szCs w:val="20"/>
              </w:rPr>
            </w:pPr>
            <w:r w:rsidRPr="003A5AE5">
              <w:rPr>
                <w:rFonts w:ascii="Arial Narrow" w:hAnsi="Arial Narrow"/>
                <w:sz w:val="20"/>
                <w:szCs w:val="20"/>
              </w:rPr>
              <w:t>TSAR</w:t>
            </w:r>
          </w:p>
        </w:tc>
        <w:tc>
          <w:tcPr>
            <w:tcW w:w="3459" w:type="pct"/>
            <w:shd w:val="clear" w:color="auto" w:fill="auto"/>
          </w:tcPr>
          <w:p w:rsidR="00F5082C" w:rsidRPr="003A5AE5" w:rsidRDefault="00F5082C" w:rsidP="00033ED9">
            <w:pPr>
              <w:pStyle w:val="TableBodytext"/>
              <w:rPr>
                <w:rFonts w:ascii="Arial Narrow" w:hAnsi="Arial Narrow"/>
                <w:sz w:val="20"/>
                <w:szCs w:val="20"/>
              </w:rPr>
            </w:pPr>
            <w:r w:rsidRPr="003A5AE5">
              <w:rPr>
                <w:rFonts w:ascii="Arial Narrow" w:hAnsi="Arial Narrow"/>
                <w:sz w:val="20"/>
                <w:szCs w:val="20"/>
              </w:rPr>
              <w:t xml:space="preserve">NCT02672527 Trial Comparing Trabectedin to the Best Supportive Care in Patients With Sarcoma (TSAR). </w:t>
            </w:r>
            <w:r w:rsidRPr="00885AF3">
              <w:rPr>
                <w:rFonts w:ascii="Arial Narrow" w:hAnsi="Arial Narrow"/>
                <w:sz w:val="20"/>
                <w:szCs w:val="20"/>
              </w:rPr>
              <w:t>https://clinicaltrials.gov/ct2/show/NCT02672527</w:t>
            </w:r>
          </w:p>
        </w:tc>
        <w:tc>
          <w:tcPr>
            <w:tcW w:w="993" w:type="pct"/>
            <w:shd w:val="clear" w:color="auto" w:fill="auto"/>
          </w:tcPr>
          <w:p w:rsidR="00F5082C" w:rsidRPr="003A5AE5" w:rsidRDefault="00200698" w:rsidP="00033ED9">
            <w:pPr>
              <w:pStyle w:val="TableBodytext"/>
              <w:rPr>
                <w:rFonts w:ascii="Arial Narrow" w:hAnsi="Arial Narrow"/>
                <w:sz w:val="20"/>
                <w:szCs w:val="20"/>
              </w:rPr>
            </w:pPr>
            <w:r w:rsidRPr="003A5AE5">
              <w:rPr>
                <w:rFonts w:ascii="Arial Narrow" w:hAnsi="Arial Narrow"/>
                <w:sz w:val="20"/>
                <w:szCs w:val="20"/>
              </w:rPr>
              <w:t>Last updated 2018.</w:t>
            </w:r>
          </w:p>
        </w:tc>
      </w:tr>
      <w:tr w:rsidR="00F5082C" w:rsidRPr="003A5AE5" w:rsidTr="00D934E3">
        <w:trPr>
          <w:cantSplit/>
        </w:trPr>
        <w:tc>
          <w:tcPr>
            <w:tcW w:w="548" w:type="pct"/>
            <w:tcBorders>
              <w:top w:val="nil"/>
              <w:bottom w:val="nil"/>
            </w:tcBorders>
            <w:shd w:val="clear" w:color="auto" w:fill="auto"/>
          </w:tcPr>
          <w:p w:rsidR="00F5082C" w:rsidRPr="003A5AE5" w:rsidRDefault="00F5082C" w:rsidP="00033ED9">
            <w:pPr>
              <w:pStyle w:val="TableBodytext"/>
              <w:rPr>
                <w:rFonts w:ascii="Arial Narrow" w:hAnsi="Arial Narrow"/>
                <w:sz w:val="20"/>
                <w:szCs w:val="20"/>
              </w:rPr>
            </w:pPr>
          </w:p>
        </w:tc>
        <w:tc>
          <w:tcPr>
            <w:tcW w:w="3459" w:type="pct"/>
            <w:shd w:val="clear" w:color="auto" w:fill="auto"/>
          </w:tcPr>
          <w:p w:rsidR="00F5082C" w:rsidRPr="003A5AE5" w:rsidRDefault="00F5082C" w:rsidP="00033ED9">
            <w:pPr>
              <w:pStyle w:val="TableBodytext"/>
              <w:rPr>
                <w:rFonts w:ascii="Arial Narrow" w:hAnsi="Arial Narrow"/>
                <w:sz w:val="20"/>
                <w:szCs w:val="20"/>
              </w:rPr>
            </w:pPr>
            <w:r w:rsidRPr="003A5AE5">
              <w:rPr>
                <w:rFonts w:ascii="Arial Narrow" w:hAnsi="Arial Narrow"/>
                <w:sz w:val="20"/>
                <w:szCs w:val="20"/>
              </w:rPr>
              <w:t>Le Cesne A, Kapso Kapnang R, Foulon S, Bonastre J. Health-related quality of life in patients with advanced soft tissue sarcoma (ASTS): Results from the TSAR randomized phase III trial of the French Sarcoma Group.</w:t>
            </w:r>
            <w:r w:rsidRPr="003A5AE5">
              <w:t xml:space="preserve"> </w:t>
            </w:r>
          </w:p>
        </w:tc>
        <w:tc>
          <w:tcPr>
            <w:tcW w:w="993" w:type="pct"/>
            <w:shd w:val="clear" w:color="auto" w:fill="auto"/>
          </w:tcPr>
          <w:p w:rsidR="00F5082C" w:rsidRPr="003A5AE5" w:rsidRDefault="00F5082C" w:rsidP="00033ED9">
            <w:pPr>
              <w:pStyle w:val="TableBodytext"/>
              <w:rPr>
                <w:rFonts w:ascii="Arial Narrow" w:hAnsi="Arial Narrow"/>
                <w:sz w:val="20"/>
                <w:szCs w:val="20"/>
              </w:rPr>
            </w:pPr>
            <w:r w:rsidRPr="003A5AE5">
              <w:rPr>
                <w:rFonts w:ascii="Arial Narrow" w:hAnsi="Arial Narrow"/>
                <w:sz w:val="20"/>
                <w:szCs w:val="20"/>
              </w:rPr>
              <w:t>Conference: 43rd Congress of European Society for Medical Oncology, ESMO 2018. Germany. 29 (Supplement 8) (pp viii577).</w:t>
            </w:r>
          </w:p>
        </w:tc>
      </w:tr>
      <w:tr w:rsidR="00F5082C" w:rsidRPr="003A5AE5" w:rsidTr="00D934E3">
        <w:trPr>
          <w:cantSplit/>
        </w:trPr>
        <w:tc>
          <w:tcPr>
            <w:tcW w:w="548" w:type="pct"/>
            <w:tcBorders>
              <w:top w:val="nil"/>
              <w:bottom w:val="nil"/>
            </w:tcBorders>
            <w:shd w:val="clear" w:color="auto" w:fill="auto"/>
          </w:tcPr>
          <w:p w:rsidR="00F5082C" w:rsidRPr="003A5AE5" w:rsidRDefault="00F5082C" w:rsidP="00033ED9">
            <w:pPr>
              <w:pStyle w:val="TableBodytext"/>
              <w:rPr>
                <w:rFonts w:ascii="Arial Narrow" w:hAnsi="Arial Narrow"/>
                <w:sz w:val="20"/>
                <w:szCs w:val="20"/>
              </w:rPr>
            </w:pPr>
          </w:p>
        </w:tc>
        <w:tc>
          <w:tcPr>
            <w:tcW w:w="3459" w:type="pct"/>
            <w:shd w:val="clear" w:color="auto" w:fill="auto"/>
          </w:tcPr>
          <w:p w:rsidR="00F5082C" w:rsidRPr="003A5AE5" w:rsidRDefault="00F5082C" w:rsidP="00033ED9">
            <w:pPr>
              <w:pStyle w:val="TableBodytext"/>
              <w:rPr>
                <w:rFonts w:ascii="Arial Narrow" w:hAnsi="Arial Narrow"/>
                <w:sz w:val="20"/>
                <w:szCs w:val="20"/>
              </w:rPr>
            </w:pPr>
            <w:r w:rsidRPr="003A5AE5">
              <w:rPr>
                <w:rFonts w:ascii="Arial Narrow" w:hAnsi="Arial Narrow"/>
                <w:sz w:val="20"/>
                <w:szCs w:val="20"/>
              </w:rPr>
              <w:t xml:space="preserve">Le Cesne A, Blay J-Y, Cupissol D, Italiano A, Delcambre C, Penel N, Isambert N, Chevreau C, Bompas E, Bertucci F, Chaigneau L, Piperno-Neumann S, Salas S, Rios M, Guillemet C, Bay JO, Ray-Coquard IR, Haddag L, Mir O, and Foulon S. Results of a prospective randomized phase III T-SAR trial comparing trabectedin (T) vs best supportive care (BSC) in patients with pretreated advanced soft tissue sarcoma (ASTS): A French Sarcoma Group (FSG) trial. </w:t>
            </w:r>
          </w:p>
        </w:tc>
        <w:tc>
          <w:tcPr>
            <w:tcW w:w="993" w:type="pct"/>
            <w:shd w:val="clear" w:color="auto" w:fill="auto"/>
          </w:tcPr>
          <w:p w:rsidR="00F5082C" w:rsidRPr="003A5AE5" w:rsidRDefault="00F5082C" w:rsidP="00033ED9">
            <w:pPr>
              <w:pStyle w:val="TableBodytext"/>
              <w:rPr>
                <w:rFonts w:ascii="Arial Narrow" w:hAnsi="Arial Narrow"/>
                <w:sz w:val="20"/>
                <w:szCs w:val="20"/>
              </w:rPr>
            </w:pPr>
            <w:r w:rsidRPr="003A5AE5">
              <w:rPr>
                <w:rFonts w:ascii="Arial Narrow" w:hAnsi="Arial Narrow"/>
                <w:i/>
                <w:sz w:val="20"/>
                <w:szCs w:val="20"/>
              </w:rPr>
              <w:t>Journal of Clinical Oncology</w:t>
            </w:r>
            <w:r w:rsidRPr="003A5AE5">
              <w:rPr>
                <w:rFonts w:ascii="Arial Narrow" w:hAnsi="Arial Narrow"/>
                <w:sz w:val="20"/>
                <w:szCs w:val="20"/>
              </w:rPr>
              <w:t xml:space="preserve"> 2018; 36:15_suppl, 11508-11508.</w:t>
            </w:r>
          </w:p>
        </w:tc>
      </w:tr>
      <w:tr w:rsidR="00F5082C" w:rsidRPr="003A5AE5" w:rsidTr="00D934E3">
        <w:trPr>
          <w:cantSplit/>
        </w:trPr>
        <w:tc>
          <w:tcPr>
            <w:tcW w:w="548" w:type="pct"/>
            <w:tcBorders>
              <w:top w:val="nil"/>
              <w:bottom w:val="nil"/>
            </w:tcBorders>
            <w:shd w:val="clear" w:color="auto" w:fill="auto"/>
          </w:tcPr>
          <w:p w:rsidR="00F5082C" w:rsidRPr="003A5AE5" w:rsidRDefault="00F5082C" w:rsidP="00033ED9">
            <w:pPr>
              <w:pStyle w:val="TableBodytext"/>
              <w:rPr>
                <w:rFonts w:ascii="Arial Narrow" w:hAnsi="Arial Narrow"/>
                <w:sz w:val="20"/>
                <w:szCs w:val="20"/>
              </w:rPr>
            </w:pPr>
          </w:p>
        </w:tc>
        <w:tc>
          <w:tcPr>
            <w:tcW w:w="3459" w:type="pct"/>
            <w:shd w:val="clear" w:color="auto" w:fill="auto"/>
          </w:tcPr>
          <w:p w:rsidR="00F5082C" w:rsidRPr="003A5AE5" w:rsidRDefault="00F5082C" w:rsidP="00033ED9">
            <w:pPr>
              <w:pStyle w:val="TableBodytext"/>
              <w:rPr>
                <w:rFonts w:ascii="Arial Narrow" w:hAnsi="Arial Narrow"/>
                <w:sz w:val="20"/>
                <w:szCs w:val="20"/>
              </w:rPr>
            </w:pPr>
            <w:r w:rsidRPr="003A5AE5">
              <w:rPr>
                <w:rFonts w:ascii="Arial Narrow" w:hAnsi="Arial Narrow"/>
                <w:sz w:val="20"/>
                <w:szCs w:val="20"/>
              </w:rPr>
              <w:t xml:space="preserve">Results of a prospective randomized phase III T-SAR trial comparing trabectedin vs best supportive care (BSC) in patients with pretreated advanced soft tissue sarcoma (ASTS). </w:t>
            </w:r>
          </w:p>
        </w:tc>
        <w:tc>
          <w:tcPr>
            <w:tcW w:w="993" w:type="pct"/>
            <w:shd w:val="clear" w:color="auto" w:fill="auto"/>
          </w:tcPr>
          <w:p w:rsidR="00F5082C" w:rsidRPr="003A5AE5" w:rsidRDefault="00F5082C" w:rsidP="00033ED9">
            <w:pPr>
              <w:pStyle w:val="TableBodytext"/>
              <w:rPr>
                <w:rFonts w:ascii="Arial Narrow" w:hAnsi="Arial Narrow"/>
                <w:sz w:val="20"/>
                <w:szCs w:val="20"/>
              </w:rPr>
            </w:pPr>
            <w:r w:rsidRPr="003A5AE5">
              <w:rPr>
                <w:rFonts w:ascii="Arial Narrow" w:hAnsi="Arial Narrow"/>
                <w:sz w:val="20"/>
                <w:szCs w:val="20"/>
              </w:rPr>
              <w:t>Conference: 41st European Society for Medical Oncology Congress, ESMO 2016. Denmark. 27 (Supplement 6) (no pagination).</w:t>
            </w:r>
          </w:p>
        </w:tc>
      </w:tr>
      <w:tr w:rsidR="00F5082C" w:rsidRPr="003A5AE5" w:rsidTr="00D934E3">
        <w:trPr>
          <w:cantSplit/>
        </w:trPr>
        <w:tc>
          <w:tcPr>
            <w:tcW w:w="548" w:type="pct"/>
            <w:tcBorders>
              <w:top w:val="nil"/>
              <w:bottom w:val="nil"/>
            </w:tcBorders>
            <w:shd w:val="clear" w:color="auto" w:fill="auto"/>
          </w:tcPr>
          <w:p w:rsidR="00F5082C" w:rsidRPr="003A5AE5" w:rsidRDefault="00F5082C" w:rsidP="00033ED9">
            <w:pPr>
              <w:pStyle w:val="TableBodytext"/>
              <w:rPr>
                <w:rFonts w:ascii="Arial Narrow" w:hAnsi="Arial Narrow"/>
                <w:sz w:val="20"/>
                <w:szCs w:val="20"/>
              </w:rPr>
            </w:pPr>
          </w:p>
        </w:tc>
        <w:tc>
          <w:tcPr>
            <w:tcW w:w="3459" w:type="pct"/>
            <w:shd w:val="clear" w:color="auto" w:fill="auto"/>
          </w:tcPr>
          <w:p w:rsidR="00F5082C" w:rsidRPr="003A5AE5" w:rsidRDefault="00F5082C" w:rsidP="00033ED9">
            <w:pPr>
              <w:pStyle w:val="TableBodytext"/>
              <w:rPr>
                <w:rFonts w:ascii="Arial Narrow" w:hAnsi="Arial Narrow"/>
                <w:sz w:val="20"/>
                <w:szCs w:val="20"/>
              </w:rPr>
            </w:pPr>
            <w:r w:rsidRPr="003A5AE5">
              <w:rPr>
                <w:rFonts w:ascii="Arial Narrow" w:hAnsi="Arial Narrow"/>
                <w:sz w:val="20"/>
                <w:szCs w:val="20"/>
              </w:rPr>
              <w:t xml:space="preserve">Maillard M, Chevreau C, Louedec F, Cassou M, Delmas C, Gourdain L, Blay J-Y, Cupissol D, Bompas E, Italiano A, Isambert N, Delcambre-Lair C, Penel N, Bertucci F, Guillemet C, Plenecassagnes J, Foulon S, Chatelut É, Le Cesne A, Thomas F. Pharmacogenetic Study of Trabectedin-Induced Severe Hepatotoxicity in Patients with Advanced Soft Tissue Sarcoma. </w:t>
            </w:r>
          </w:p>
        </w:tc>
        <w:tc>
          <w:tcPr>
            <w:tcW w:w="993" w:type="pct"/>
            <w:shd w:val="clear" w:color="auto" w:fill="auto"/>
          </w:tcPr>
          <w:p w:rsidR="00F5082C" w:rsidRPr="003A5AE5" w:rsidRDefault="00F5082C" w:rsidP="00033ED9">
            <w:pPr>
              <w:pStyle w:val="TableBodytext"/>
              <w:rPr>
                <w:rFonts w:ascii="Arial Narrow" w:hAnsi="Arial Narrow"/>
                <w:sz w:val="20"/>
                <w:szCs w:val="20"/>
              </w:rPr>
            </w:pPr>
            <w:r w:rsidRPr="003A5AE5">
              <w:rPr>
                <w:rFonts w:ascii="Arial Narrow" w:hAnsi="Arial Narrow"/>
                <w:i/>
                <w:sz w:val="20"/>
                <w:szCs w:val="20"/>
              </w:rPr>
              <w:t>Cancers</w:t>
            </w:r>
            <w:r w:rsidRPr="003A5AE5">
              <w:rPr>
                <w:rFonts w:ascii="Arial Narrow" w:hAnsi="Arial Narrow"/>
                <w:sz w:val="20"/>
                <w:szCs w:val="20"/>
              </w:rPr>
              <w:t xml:space="preserve"> 2020; 12. 3647. 10.3390/cancers12123647.</w:t>
            </w:r>
          </w:p>
        </w:tc>
      </w:tr>
      <w:tr w:rsidR="00F5082C" w:rsidRPr="003A5AE5" w:rsidTr="00F5082C">
        <w:trPr>
          <w:cantSplit/>
        </w:trPr>
        <w:tc>
          <w:tcPr>
            <w:tcW w:w="4007" w:type="pct"/>
            <w:gridSpan w:val="2"/>
            <w:shd w:val="clear" w:color="auto" w:fill="auto"/>
          </w:tcPr>
          <w:p w:rsidR="00F5082C" w:rsidRPr="003A5AE5" w:rsidRDefault="00F5082C" w:rsidP="00033ED9">
            <w:pPr>
              <w:pStyle w:val="TableBodytext"/>
              <w:keepNext/>
              <w:rPr>
                <w:rFonts w:ascii="Arial Narrow" w:hAnsi="Arial Narrow"/>
                <w:b/>
                <w:bCs/>
                <w:sz w:val="20"/>
                <w:szCs w:val="20"/>
              </w:rPr>
            </w:pPr>
            <w:r w:rsidRPr="003A5AE5">
              <w:rPr>
                <w:rFonts w:ascii="Arial Narrow" w:hAnsi="Arial Narrow"/>
                <w:b/>
                <w:bCs/>
                <w:sz w:val="20"/>
                <w:szCs w:val="20"/>
              </w:rPr>
              <w:t>Pazopanib v Placebo</w:t>
            </w:r>
          </w:p>
        </w:tc>
        <w:tc>
          <w:tcPr>
            <w:tcW w:w="993" w:type="pct"/>
            <w:shd w:val="clear" w:color="auto" w:fill="auto"/>
          </w:tcPr>
          <w:p w:rsidR="00F5082C" w:rsidRPr="003A5AE5" w:rsidRDefault="00F5082C" w:rsidP="00033ED9">
            <w:pPr>
              <w:pStyle w:val="TableBodytext"/>
              <w:keepNext/>
              <w:rPr>
                <w:rFonts w:ascii="Arial Narrow" w:hAnsi="Arial Narrow"/>
                <w:b/>
                <w:bCs/>
                <w:sz w:val="20"/>
                <w:szCs w:val="20"/>
              </w:rPr>
            </w:pPr>
          </w:p>
        </w:tc>
      </w:tr>
      <w:tr w:rsidR="00067FA0" w:rsidRPr="003A5AE5" w:rsidTr="00D934E3">
        <w:trPr>
          <w:cantSplit/>
        </w:trPr>
        <w:tc>
          <w:tcPr>
            <w:tcW w:w="548" w:type="pct"/>
            <w:vMerge w:val="restart"/>
            <w:shd w:val="clear" w:color="auto" w:fill="auto"/>
          </w:tcPr>
          <w:p w:rsidR="00067FA0" w:rsidRPr="003A5AE5" w:rsidRDefault="00067FA0" w:rsidP="00033ED9">
            <w:pPr>
              <w:pStyle w:val="TableBodytext"/>
              <w:rPr>
                <w:rFonts w:ascii="Arial Narrow" w:hAnsi="Arial Narrow"/>
                <w:sz w:val="20"/>
                <w:szCs w:val="20"/>
              </w:rPr>
            </w:pPr>
            <w:r w:rsidRPr="003A5AE5">
              <w:rPr>
                <w:rFonts w:ascii="Arial Narrow" w:hAnsi="Arial Narrow"/>
                <w:sz w:val="20"/>
                <w:szCs w:val="20"/>
              </w:rPr>
              <w:t>PALETTE</w:t>
            </w:r>
          </w:p>
        </w:tc>
        <w:tc>
          <w:tcPr>
            <w:tcW w:w="3459" w:type="pct"/>
            <w:shd w:val="clear" w:color="auto" w:fill="auto"/>
          </w:tcPr>
          <w:p w:rsidR="00067FA0" w:rsidRPr="003A5AE5" w:rsidRDefault="00067FA0" w:rsidP="00033ED9">
            <w:pPr>
              <w:pStyle w:val="TableBodytext"/>
              <w:rPr>
                <w:rFonts w:ascii="Arial Narrow" w:hAnsi="Arial Narrow"/>
                <w:sz w:val="20"/>
                <w:szCs w:val="20"/>
              </w:rPr>
            </w:pPr>
            <w:r w:rsidRPr="003A5AE5">
              <w:rPr>
                <w:rFonts w:ascii="Arial Narrow" w:hAnsi="Arial Narrow"/>
                <w:sz w:val="20"/>
                <w:szCs w:val="20"/>
              </w:rPr>
              <w:t xml:space="preserve">EUCTR2008-001307-33-SE A randomized double blind phase III trial of pazopanib versus placebo in patients with soft tissue sarcoma whose disease has progressed during or following prior therapy. – PALETTE </w:t>
            </w:r>
            <w:r w:rsidRPr="00885AF3">
              <w:rPr>
                <w:rFonts w:ascii="Arial Narrow" w:hAnsi="Arial Narrow"/>
                <w:sz w:val="20"/>
                <w:szCs w:val="20"/>
              </w:rPr>
              <w:t>http://www.who.int/trialsearch/Trial2.aspx?TrialID=EUCTR2008-001307-33-SE</w:t>
            </w:r>
            <w:r w:rsidRPr="003A5AE5">
              <w:rPr>
                <w:rFonts w:ascii="Arial Narrow" w:hAnsi="Arial Narrow"/>
                <w:sz w:val="20"/>
                <w:szCs w:val="20"/>
              </w:rPr>
              <w:t>.</w:t>
            </w:r>
          </w:p>
        </w:tc>
        <w:tc>
          <w:tcPr>
            <w:tcW w:w="993" w:type="pct"/>
            <w:shd w:val="clear" w:color="auto" w:fill="auto"/>
          </w:tcPr>
          <w:p w:rsidR="00067FA0" w:rsidRPr="003A5AE5" w:rsidRDefault="00200698" w:rsidP="00033ED9">
            <w:pPr>
              <w:pStyle w:val="TableBodytext"/>
              <w:rPr>
                <w:rFonts w:ascii="Arial Narrow" w:hAnsi="Arial Narrow"/>
                <w:sz w:val="20"/>
                <w:szCs w:val="20"/>
              </w:rPr>
            </w:pPr>
            <w:r w:rsidRPr="003A5AE5">
              <w:rPr>
                <w:rFonts w:ascii="Arial Narrow" w:hAnsi="Arial Narrow"/>
                <w:sz w:val="20"/>
                <w:szCs w:val="20"/>
              </w:rPr>
              <w:t>2008</w:t>
            </w:r>
          </w:p>
        </w:tc>
      </w:tr>
      <w:tr w:rsidR="00067FA0" w:rsidRPr="003A5AE5" w:rsidTr="00D934E3">
        <w:trPr>
          <w:cantSplit/>
        </w:trPr>
        <w:tc>
          <w:tcPr>
            <w:tcW w:w="548" w:type="pct"/>
            <w:vMerge/>
            <w:shd w:val="clear" w:color="auto" w:fill="auto"/>
          </w:tcPr>
          <w:p w:rsidR="00067FA0" w:rsidRPr="003A5AE5" w:rsidRDefault="00067FA0" w:rsidP="00033ED9">
            <w:pPr>
              <w:pStyle w:val="TableColumnheadings"/>
              <w:rPr>
                <w:rFonts w:ascii="Arial Narrow" w:hAnsi="Arial Narrow"/>
                <w:b w:val="0"/>
                <w:sz w:val="20"/>
                <w:szCs w:val="20"/>
              </w:rPr>
            </w:pPr>
          </w:p>
        </w:tc>
        <w:tc>
          <w:tcPr>
            <w:tcW w:w="3459" w:type="pct"/>
            <w:shd w:val="clear" w:color="auto" w:fill="auto"/>
          </w:tcPr>
          <w:p w:rsidR="00067FA0" w:rsidRPr="003A5AE5" w:rsidRDefault="00067FA0" w:rsidP="00033ED9">
            <w:pPr>
              <w:pStyle w:val="TableBodytext"/>
              <w:rPr>
                <w:rFonts w:ascii="Arial Narrow" w:hAnsi="Arial Narrow"/>
                <w:sz w:val="20"/>
                <w:szCs w:val="20"/>
              </w:rPr>
            </w:pPr>
            <w:r w:rsidRPr="003A5AE5">
              <w:rPr>
                <w:rFonts w:ascii="Arial Narrow" w:hAnsi="Arial Narrow"/>
                <w:sz w:val="20"/>
                <w:szCs w:val="20"/>
              </w:rPr>
              <w:t xml:space="preserve">NCT00753688 Pazopanib Versus Placebo in Patients With Soft Tissue Sarcoma Whose Disease Has Progressed During or Following Prior Therapy </w:t>
            </w:r>
            <w:r w:rsidRPr="00885AF3">
              <w:rPr>
                <w:rFonts w:ascii="Arial Narrow" w:hAnsi="Arial Narrow"/>
                <w:sz w:val="20"/>
                <w:szCs w:val="20"/>
              </w:rPr>
              <w:t>https://clinicaltrials.gov/show/NCT00753688</w:t>
            </w:r>
            <w:r w:rsidRPr="003A5AE5">
              <w:rPr>
                <w:rFonts w:ascii="Arial Narrow" w:hAnsi="Arial Narrow"/>
                <w:sz w:val="20"/>
                <w:szCs w:val="20"/>
              </w:rPr>
              <w:t>.</w:t>
            </w:r>
          </w:p>
        </w:tc>
        <w:tc>
          <w:tcPr>
            <w:tcW w:w="993" w:type="pct"/>
            <w:shd w:val="clear" w:color="auto" w:fill="auto"/>
          </w:tcPr>
          <w:p w:rsidR="00067FA0" w:rsidRPr="003A5AE5" w:rsidRDefault="00200698" w:rsidP="00033ED9">
            <w:pPr>
              <w:pStyle w:val="TableBodytext"/>
              <w:rPr>
                <w:rFonts w:ascii="Arial Narrow" w:hAnsi="Arial Narrow"/>
                <w:sz w:val="20"/>
                <w:szCs w:val="20"/>
              </w:rPr>
            </w:pPr>
            <w:r w:rsidRPr="003A5AE5">
              <w:rPr>
                <w:rFonts w:ascii="Arial Narrow" w:hAnsi="Arial Narrow"/>
                <w:sz w:val="20"/>
                <w:szCs w:val="20"/>
              </w:rPr>
              <w:t>2008</w:t>
            </w:r>
          </w:p>
        </w:tc>
      </w:tr>
      <w:tr w:rsidR="00067FA0" w:rsidRPr="003A5AE5" w:rsidTr="00D934E3">
        <w:trPr>
          <w:cantSplit/>
        </w:trPr>
        <w:tc>
          <w:tcPr>
            <w:tcW w:w="548" w:type="pct"/>
            <w:vMerge/>
            <w:shd w:val="clear" w:color="auto" w:fill="auto"/>
          </w:tcPr>
          <w:p w:rsidR="00067FA0" w:rsidRPr="003A5AE5" w:rsidRDefault="00067FA0" w:rsidP="00033ED9">
            <w:pPr>
              <w:pStyle w:val="TableColumnheadings"/>
              <w:rPr>
                <w:rFonts w:ascii="Arial Narrow" w:hAnsi="Arial Narrow"/>
                <w:b w:val="0"/>
                <w:sz w:val="20"/>
                <w:szCs w:val="20"/>
              </w:rPr>
            </w:pPr>
          </w:p>
        </w:tc>
        <w:tc>
          <w:tcPr>
            <w:tcW w:w="3459" w:type="pct"/>
            <w:shd w:val="clear" w:color="auto" w:fill="auto"/>
          </w:tcPr>
          <w:p w:rsidR="00067FA0" w:rsidRPr="003A5AE5" w:rsidRDefault="00067FA0" w:rsidP="00033ED9">
            <w:pPr>
              <w:pStyle w:val="TableBodytext"/>
              <w:rPr>
                <w:rFonts w:ascii="Arial Narrow" w:hAnsi="Arial Narrow"/>
                <w:sz w:val="20"/>
                <w:szCs w:val="20"/>
              </w:rPr>
            </w:pPr>
            <w:r w:rsidRPr="003A5AE5">
              <w:rPr>
                <w:rFonts w:ascii="Arial Narrow" w:hAnsi="Arial Narrow"/>
                <w:sz w:val="20"/>
                <w:szCs w:val="20"/>
              </w:rPr>
              <w:t>van der Graaf WT, Blay JY, Chawla SP, Kim DW, Bui-Nguyen B, Casali PG, Schöffski P, Aglietta M, Staddon AP, Beppu Y, Le Cesne A, Gelderblom H, Judson IR, Araki N, Ouali M, Marreaud S, Hodge R, Dewji MR, Coens C, Demetri GD, Fletcher CD, Dei Tos AP, Hohenberger P, EORTC Soft Tissue and Bone Sarcoma Group, PALETTE study group. Pazopanib for metastatic soft-tissue sarcoma (PALETTE): a randomised, double-blind, placebo-controlled phase 3 trial.</w:t>
            </w:r>
            <w:r w:rsidRPr="003A5AE5">
              <w:t xml:space="preserve"> </w:t>
            </w:r>
          </w:p>
        </w:tc>
        <w:tc>
          <w:tcPr>
            <w:tcW w:w="993" w:type="pct"/>
            <w:shd w:val="clear" w:color="auto" w:fill="auto"/>
          </w:tcPr>
          <w:p w:rsidR="00067FA0" w:rsidRPr="003A5AE5" w:rsidRDefault="00067FA0" w:rsidP="00033ED9">
            <w:pPr>
              <w:pStyle w:val="TableBodytext"/>
              <w:rPr>
                <w:rFonts w:ascii="Arial Narrow" w:hAnsi="Arial Narrow"/>
                <w:sz w:val="20"/>
                <w:szCs w:val="20"/>
              </w:rPr>
            </w:pPr>
            <w:r w:rsidRPr="003A5AE5">
              <w:rPr>
                <w:rFonts w:ascii="Arial Narrow" w:hAnsi="Arial Narrow"/>
                <w:i/>
                <w:sz w:val="20"/>
                <w:szCs w:val="20"/>
              </w:rPr>
              <w:t>Lancet</w:t>
            </w:r>
            <w:r w:rsidRPr="003A5AE5">
              <w:rPr>
                <w:rFonts w:ascii="Arial Narrow" w:hAnsi="Arial Narrow"/>
                <w:sz w:val="20"/>
                <w:szCs w:val="20"/>
              </w:rPr>
              <w:t xml:space="preserve"> 2012; 379(9829):1879-86.</w:t>
            </w:r>
          </w:p>
        </w:tc>
      </w:tr>
      <w:tr w:rsidR="00067FA0" w:rsidRPr="003A5AE5" w:rsidTr="00D934E3">
        <w:trPr>
          <w:cantSplit/>
        </w:trPr>
        <w:tc>
          <w:tcPr>
            <w:tcW w:w="548" w:type="pct"/>
            <w:vMerge/>
            <w:shd w:val="clear" w:color="auto" w:fill="auto"/>
          </w:tcPr>
          <w:p w:rsidR="00067FA0" w:rsidRPr="003A5AE5" w:rsidRDefault="00067FA0" w:rsidP="00033ED9">
            <w:pPr>
              <w:pStyle w:val="TableColumnheadings"/>
              <w:rPr>
                <w:rFonts w:ascii="Arial Narrow" w:hAnsi="Arial Narrow"/>
                <w:b w:val="0"/>
                <w:sz w:val="20"/>
                <w:szCs w:val="20"/>
              </w:rPr>
            </w:pPr>
          </w:p>
        </w:tc>
        <w:tc>
          <w:tcPr>
            <w:tcW w:w="3459" w:type="pct"/>
            <w:shd w:val="clear" w:color="auto" w:fill="auto"/>
          </w:tcPr>
          <w:p w:rsidR="00067FA0" w:rsidRPr="003A5AE5" w:rsidRDefault="00067FA0" w:rsidP="00033ED9">
            <w:pPr>
              <w:pStyle w:val="TableBodytext"/>
              <w:rPr>
                <w:rFonts w:ascii="Arial Narrow" w:hAnsi="Arial Narrow"/>
                <w:sz w:val="20"/>
                <w:szCs w:val="20"/>
              </w:rPr>
            </w:pPr>
            <w:r w:rsidRPr="003A5AE5">
              <w:rPr>
                <w:rFonts w:ascii="Arial Narrow" w:hAnsi="Arial Narrow"/>
                <w:sz w:val="20"/>
                <w:szCs w:val="20"/>
              </w:rPr>
              <w:t xml:space="preserve">Le Cesne A, Bauer S, Demetri GD, Han G, Dezzani L, Ahmad Q, Blay J-Y, Judson I, Schöffski P, Aglietta M, Hohenberger P. Gelderblom H. Safety and efficacy of Pazopanib in advanced soft tissue sarcoma: PALETTE (EORTC 62072) subgroup analyses. </w:t>
            </w:r>
          </w:p>
        </w:tc>
        <w:tc>
          <w:tcPr>
            <w:tcW w:w="993" w:type="pct"/>
            <w:shd w:val="clear" w:color="auto" w:fill="auto"/>
          </w:tcPr>
          <w:p w:rsidR="00067FA0" w:rsidRPr="003A5AE5" w:rsidRDefault="00067FA0" w:rsidP="00033ED9">
            <w:pPr>
              <w:pStyle w:val="TableBodytext"/>
              <w:rPr>
                <w:rFonts w:ascii="Arial Narrow" w:hAnsi="Arial Narrow"/>
                <w:sz w:val="20"/>
                <w:szCs w:val="20"/>
              </w:rPr>
            </w:pPr>
            <w:r w:rsidRPr="003A5AE5">
              <w:rPr>
                <w:rFonts w:ascii="Arial Narrow" w:hAnsi="Arial Narrow"/>
                <w:i/>
                <w:sz w:val="20"/>
                <w:szCs w:val="20"/>
              </w:rPr>
              <w:t xml:space="preserve">BMC Cancer </w:t>
            </w:r>
            <w:r w:rsidRPr="003A5AE5">
              <w:rPr>
                <w:rFonts w:ascii="Arial Narrow" w:hAnsi="Arial Narrow"/>
                <w:sz w:val="20"/>
                <w:szCs w:val="20"/>
              </w:rPr>
              <w:t>2019. 19 (1) (no pagination). Article Number: 794.</w:t>
            </w:r>
          </w:p>
        </w:tc>
      </w:tr>
      <w:tr w:rsidR="00067FA0" w:rsidRPr="003A5AE5" w:rsidTr="00D934E3">
        <w:trPr>
          <w:cantSplit/>
          <w:trHeight w:val="2545"/>
        </w:trPr>
        <w:tc>
          <w:tcPr>
            <w:tcW w:w="548" w:type="pct"/>
            <w:vMerge/>
            <w:shd w:val="clear" w:color="auto" w:fill="auto"/>
          </w:tcPr>
          <w:p w:rsidR="00067FA0" w:rsidRPr="003A5AE5" w:rsidRDefault="00067FA0" w:rsidP="00033ED9">
            <w:pPr>
              <w:pStyle w:val="TableColumnheadings"/>
              <w:rPr>
                <w:rFonts w:ascii="Arial Narrow" w:hAnsi="Arial Narrow"/>
                <w:b w:val="0"/>
                <w:sz w:val="20"/>
                <w:szCs w:val="20"/>
              </w:rPr>
            </w:pPr>
          </w:p>
        </w:tc>
        <w:tc>
          <w:tcPr>
            <w:tcW w:w="3459" w:type="pct"/>
            <w:shd w:val="clear" w:color="auto" w:fill="auto"/>
          </w:tcPr>
          <w:p w:rsidR="00067FA0" w:rsidRPr="003A5AE5" w:rsidRDefault="00067FA0" w:rsidP="00033ED9">
            <w:pPr>
              <w:pStyle w:val="TableBodytext"/>
              <w:rPr>
                <w:rFonts w:ascii="Arial Narrow" w:hAnsi="Arial Narrow"/>
                <w:sz w:val="20"/>
                <w:szCs w:val="20"/>
              </w:rPr>
            </w:pPr>
            <w:r w:rsidRPr="003A5AE5">
              <w:rPr>
                <w:rFonts w:ascii="Arial Narrow" w:hAnsi="Arial Narrow"/>
                <w:sz w:val="20"/>
                <w:szCs w:val="20"/>
              </w:rPr>
              <w:t xml:space="preserve">Van Der Graaf WTA, Blay J.-Y, Chawla SP, Kim D-W, Nguyen BB, Casali PG, Schöffski P, Aglietta M, Staddon AP, Beppu Y, Le Cesne A, Gelderblom H, Judson IR, Araki N, Ouali M, Marreaud S, Hodge R, Dewji M, Dei Tos AP, Hohenberger P. PALETTE: Final overall survival (OS) data and predictive factors for OS of EORTC 62072/GSK VEG110727, a randomized double-blind phase III trial of pazopanib versus placebo in advanced soft tissue sarcoma (STS) patients. </w:t>
            </w:r>
          </w:p>
        </w:tc>
        <w:tc>
          <w:tcPr>
            <w:tcW w:w="993" w:type="pct"/>
            <w:shd w:val="clear" w:color="auto" w:fill="auto"/>
          </w:tcPr>
          <w:p w:rsidR="00067FA0" w:rsidRPr="003A5AE5" w:rsidRDefault="00067FA0" w:rsidP="00033ED9">
            <w:pPr>
              <w:pStyle w:val="TableBodytext"/>
              <w:rPr>
                <w:rFonts w:ascii="Arial Narrow" w:hAnsi="Arial Narrow"/>
                <w:sz w:val="20"/>
                <w:szCs w:val="20"/>
              </w:rPr>
            </w:pPr>
            <w:r w:rsidRPr="003A5AE5">
              <w:rPr>
                <w:rFonts w:ascii="Arial Narrow" w:hAnsi="Arial Narrow"/>
                <w:sz w:val="20"/>
                <w:szCs w:val="20"/>
              </w:rPr>
              <w:t>Conference: 2012 Annual Meeting of the American Society of Clinical Oncology, ASCO. Conference Publication: (var.</w:t>
            </w:r>
            <w:r w:rsidR="008100D6">
              <w:rPr>
                <w:rFonts w:ascii="Arial Narrow" w:hAnsi="Arial Narrow"/>
                <w:sz w:val="20"/>
                <w:szCs w:val="20"/>
              </w:rPr>
              <w:t xml:space="preserve"> </w:t>
            </w:r>
            <w:r w:rsidRPr="003A5AE5">
              <w:rPr>
                <w:rFonts w:ascii="Arial Narrow" w:hAnsi="Arial Narrow"/>
                <w:sz w:val="20"/>
                <w:szCs w:val="20"/>
              </w:rPr>
              <w:t>pagings). 30 (15 SUPPL. 1) (no pagination).</w:t>
            </w:r>
          </w:p>
        </w:tc>
      </w:tr>
      <w:tr w:rsidR="00F5082C" w:rsidRPr="003A5AE5" w:rsidTr="00F5082C">
        <w:trPr>
          <w:cantSplit/>
        </w:trPr>
        <w:tc>
          <w:tcPr>
            <w:tcW w:w="4007" w:type="pct"/>
            <w:gridSpan w:val="2"/>
            <w:tcBorders>
              <w:top w:val="nil"/>
            </w:tcBorders>
            <w:shd w:val="clear" w:color="auto" w:fill="auto"/>
          </w:tcPr>
          <w:p w:rsidR="00F5082C" w:rsidRPr="003A5AE5" w:rsidRDefault="00067FA0" w:rsidP="00033ED9">
            <w:pPr>
              <w:pStyle w:val="TableBodytext"/>
              <w:rPr>
                <w:rFonts w:ascii="Arial Narrow" w:hAnsi="Arial Narrow"/>
                <w:sz w:val="20"/>
                <w:szCs w:val="20"/>
              </w:rPr>
            </w:pPr>
            <w:r w:rsidRPr="003A5AE5">
              <w:rPr>
                <w:rFonts w:ascii="Arial Narrow" w:hAnsi="Arial Narrow"/>
                <w:b/>
                <w:sz w:val="20"/>
                <w:szCs w:val="20"/>
              </w:rPr>
              <w:t>Indirect comparison</w:t>
            </w:r>
          </w:p>
        </w:tc>
        <w:tc>
          <w:tcPr>
            <w:tcW w:w="993" w:type="pct"/>
            <w:tcBorders>
              <w:top w:val="nil"/>
            </w:tcBorders>
            <w:shd w:val="clear" w:color="auto" w:fill="auto"/>
          </w:tcPr>
          <w:p w:rsidR="00F5082C" w:rsidRPr="003A5AE5" w:rsidRDefault="00F5082C" w:rsidP="00033ED9">
            <w:pPr>
              <w:pStyle w:val="TableBodytext"/>
              <w:rPr>
                <w:rFonts w:ascii="Arial Narrow" w:hAnsi="Arial Narrow"/>
                <w:b/>
                <w:sz w:val="20"/>
                <w:szCs w:val="20"/>
              </w:rPr>
            </w:pPr>
          </w:p>
        </w:tc>
      </w:tr>
      <w:tr w:rsidR="00067FA0" w:rsidRPr="003A5AE5" w:rsidTr="00D934E3">
        <w:trPr>
          <w:cantSplit/>
          <w:trHeight w:val="1267"/>
        </w:trPr>
        <w:tc>
          <w:tcPr>
            <w:tcW w:w="548" w:type="pct"/>
            <w:tcBorders>
              <w:top w:val="nil"/>
            </w:tcBorders>
            <w:shd w:val="clear" w:color="auto" w:fill="auto"/>
          </w:tcPr>
          <w:p w:rsidR="00067FA0" w:rsidRPr="003A5AE5" w:rsidRDefault="00067FA0" w:rsidP="00033ED9">
            <w:pPr>
              <w:pStyle w:val="TableColumnheadings"/>
              <w:rPr>
                <w:rFonts w:ascii="Arial Narrow" w:hAnsi="Arial Narrow"/>
                <w:b w:val="0"/>
                <w:sz w:val="20"/>
                <w:szCs w:val="20"/>
              </w:rPr>
            </w:pPr>
          </w:p>
        </w:tc>
        <w:tc>
          <w:tcPr>
            <w:tcW w:w="3459" w:type="pct"/>
            <w:shd w:val="clear" w:color="auto" w:fill="auto"/>
          </w:tcPr>
          <w:p w:rsidR="00067FA0" w:rsidRPr="003A5AE5" w:rsidRDefault="00067FA0" w:rsidP="00033ED9">
            <w:pPr>
              <w:pStyle w:val="TableBodytext"/>
              <w:rPr>
                <w:rFonts w:ascii="Arial Narrow" w:hAnsi="Arial Narrow"/>
                <w:sz w:val="20"/>
                <w:szCs w:val="20"/>
              </w:rPr>
            </w:pPr>
            <w:r w:rsidRPr="003A5AE5">
              <w:rPr>
                <w:rFonts w:ascii="Arial Narrow" w:hAnsi="Arial Narrow"/>
                <w:sz w:val="20"/>
                <w:szCs w:val="20"/>
              </w:rPr>
              <w:t xml:space="preserve">Jones RL, Blay J-Y, Lecesne A, Martin-Broto J, Pontes MJ, Fernandez Santos JM, Garcia San Andres B, Wang G, Wang S, Shin CR, Maki R, Patel S, Demetri GDS. A matching-adjusted indirect comparison of trabectedin and pazopanib for the treatment of advanced, metastatic, leiomyosarcomas. </w:t>
            </w:r>
          </w:p>
        </w:tc>
        <w:tc>
          <w:tcPr>
            <w:tcW w:w="993" w:type="pct"/>
            <w:shd w:val="clear" w:color="auto" w:fill="auto"/>
          </w:tcPr>
          <w:p w:rsidR="00067FA0" w:rsidRPr="003A5AE5" w:rsidRDefault="00067FA0" w:rsidP="00033ED9">
            <w:pPr>
              <w:pStyle w:val="TableBodytext"/>
              <w:rPr>
                <w:rFonts w:ascii="Arial Narrow" w:hAnsi="Arial Narrow"/>
                <w:sz w:val="20"/>
                <w:szCs w:val="20"/>
              </w:rPr>
            </w:pPr>
            <w:r w:rsidRPr="003A5AE5">
              <w:rPr>
                <w:rFonts w:ascii="Arial Narrow" w:hAnsi="Arial Narrow"/>
                <w:sz w:val="20"/>
                <w:szCs w:val="20"/>
              </w:rPr>
              <w:t>Conference: 42nd ESMO Congress, ESMO 2017. Spain. 28 (Supplement 5) (pp v524-v525).</w:t>
            </w:r>
          </w:p>
        </w:tc>
      </w:tr>
      <w:tr w:rsidR="00F5082C" w:rsidRPr="003A5AE5" w:rsidTr="00F5082C">
        <w:trPr>
          <w:cantSplit/>
        </w:trPr>
        <w:tc>
          <w:tcPr>
            <w:tcW w:w="4007" w:type="pct"/>
            <w:gridSpan w:val="2"/>
            <w:tcBorders>
              <w:top w:val="nil"/>
            </w:tcBorders>
            <w:shd w:val="clear" w:color="auto" w:fill="auto"/>
          </w:tcPr>
          <w:p w:rsidR="00F5082C" w:rsidRPr="003A5AE5" w:rsidRDefault="00F5082C" w:rsidP="00033ED9">
            <w:pPr>
              <w:pStyle w:val="TableBodytext"/>
              <w:rPr>
                <w:rFonts w:ascii="Arial Narrow" w:hAnsi="Arial Narrow"/>
                <w:sz w:val="20"/>
                <w:szCs w:val="20"/>
              </w:rPr>
            </w:pPr>
            <w:r w:rsidRPr="003A5AE5">
              <w:rPr>
                <w:rFonts w:ascii="Arial Narrow" w:hAnsi="Arial Narrow"/>
                <w:b/>
                <w:sz w:val="20"/>
                <w:szCs w:val="20"/>
              </w:rPr>
              <w:t>Systematic reviews</w:t>
            </w:r>
          </w:p>
        </w:tc>
        <w:tc>
          <w:tcPr>
            <w:tcW w:w="993" w:type="pct"/>
            <w:tcBorders>
              <w:top w:val="nil"/>
            </w:tcBorders>
            <w:shd w:val="clear" w:color="auto" w:fill="auto"/>
          </w:tcPr>
          <w:p w:rsidR="00F5082C" w:rsidRPr="003A5AE5" w:rsidRDefault="00F5082C" w:rsidP="00033ED9">
            <w:pPr>
              <w:pStyle w:val="TableBodytext"/>
              <w:rPr>
                <w:rFonts w:ascii="Arial Narrow" w:hAnsi="Arial Narrow"/>
                <w:b/>
                <w:sz w:val="20"/>
                <w:szCs w:val="20"/>
              </w:rPr>
            </w:pPr>
          </w:p>
        </w:tc>
      </w:tr>
      <w:tr w:rsidR="00F5082C" w:rsidRPr="003A5AE5" w:rsidTr="00D934E3">
        <w:trPr>
          <w:cantSplit/>
        </w:trPr>
        <w:tc>
          <w:tcPr>
            <w:tcW w:w="548" w:type="pct"/>
            <w:shd w:val="clear" w:color="auto" w:fill="auto"/>
          </w:tcPr>
          <w:p w:rsidR="00F5082C" w:rsidRPr="003A5AE5" w:rsidRDefault="00F5082C" w:rsidP="00033ED9">
            <w:pPr>
              <w:pStyle w:val="TableColumnheadings"/>
              <w:rPr>
                <w:rFonts w:ascii="Arial Narrow" w:hAnsi="Arial Narrow"/>
                <w:b w:val="0"/>
                <w:sz w:val="20"/>
                <w:szCs w:val="20"/>
              </w:rPr>
            </w:pPr>
          </w:p>
        </w:tc>
        <w:tc>
          <w:tcPr>
            <w:tcW w:w="3459" w:type="pct"/>
            <w:shd w:val="clear" w:color="auto" w:fill="auto"/>
          </w:tcPr>
          <w:p w:rsidR="00F5082C" w:rsidRPr="003A5AE5" w:rsidRDefault="00F5082C" w:rsidP="00033ED9">
            <w:pPr>
              <w:pStyle w:val="TableBodytext"/>
              <w:rPr>
                <w:rFonts w:ascii="Arial Narrow" w:hAnsi="Arial Narrow"/>
                <w:sz w:val="20"/>
                <w:szCs w:val="20"/>
              </w:rPr>
            </w:pPr>
            <w:r w:rsidRPr="003A5AE5">
              <w:rPr>
                <w:rFonts w:ascii="Arial Narrow" w:hAnsi="Arial Narrow"/>
                <w:sz w:val="20"/>
                <w:szCs w:val="20"/>
              </w:rPr>
              <w:t xml:space="preserve">Sharma S, Takyar S, Manson SC, Powell S, Penel N. Efficacy and safety of pharmacological interventions in second- or later-line treatment of patients with advanced soft tissue sarcoma: a systematic review. </w:t>
            </w:r>
          </w:p>
        </w:tc>
        <w:tc>
          <w:tcPr>
            <w:tcW w:w="993" w:type="pct"/>
            <w:shd w:val="clear" w:color="auto" w:fill="auto"/>
          </w:tcPr>
          <w:p w:rsidR="00F5082C" w:rsidRPr="003A5AE5" w:rsidRDefault="00F5082C" w:rsidP="00033ED9">
            <w:pPr>
              <w:pStyle w:val="TableBodytext"/>
              <w:rPr>
                <w:rFonts w:ascii="Arial Narrow" w:hAnsi="Arial Narrow"/>
                <w:sz w:val="20"/>
                <w:szCs w:val="20"/>
              </w:rPr>
            </w:pPr>
            <w:r w:rsidRPr="003A5AE5">
              <w:rPr>
                <w:rFonts w:ascii="Arial Narrow" w:hAnsi="Arial Narrow"/>
                <w:i/>
                <w:sz w:val="20"/>
                <w:szCs w:val="20"/>
              </w:rPr>
              <w:t>BMC Cancer</w:t>
            </w:r>
            <w:r w:rsidRPr="003A5AE5">
              <w:rPr>
                <w:rFonts w:ascii="Arial Narrow" w:hAnsi="Arial Narrow"/>
                <w:sz w:val="20"/>
                <w:szCs w:val="20"/>
              </w:rPr>
              <w:t xml:space="preserve"> 2013; 13:385.</w:t>
            </w:r>
          </w:p>
        </w:tc>
      </w:tr>
      <w:tr w:rsidR="00F5082C" w:rsidRPr="003A5AE5" w:rsidTr="00D934E3">
        <w:trPr>
          <w:cantSplit/>
        </w:trPr>
        <w:tc>
          <w:tcPr>
            <w:tcW w:w="548" w:type="pct"/>
            <w:shd w:val="clear" w:color="auto" w:fill="auto"/>
          </w:tcPr>
          <w:p w:rsidR="00F5082C" w:rsidRPr="003A5AE5" w:rsidRDefault="00F5082C" w:rsidP="00033ED9">
            <w:pPr>
              <w:pStyle w:val="TableColumnheadings"/>
              <w:rPr>
                <w:rFonts w:ascii="Arial Narrow" w:hAnsi="Arial Narrow"/>
                <w:b w:val="0"/>
                <w:sz w:val="20"/>
                <w:szCs w:val="20"/>
              </w:rPr>
            </w:pPr>
          </w:p>
        </w:tc>
        <w:tc>
          <w:tcPr>
            <w:tcW w:w="3459" w:type="pct"/>
            <w:shd w:val="clear" w:color="auto" w:fill="auto"/>
          </w:tcPr>
          <w:p w:rsidR="00F5082C" w:rsidRPr="003A5AE5" w:rsidRDefault="00F5082C" w:rsidP="00033ED9">
            <w:pPr>
              <w:pStyle w:val="TableBodytext"/>
              <w:rPr>
                <w:rFonts w:ascii="Arial Narrow" w:hAnsi="Arial Narrow"/>
                <w:sz w:val="20"/>
                <w:szCs w:val="20"/>
              </w:rPr>
            </w:pPr>
            <w:r w:rsidRPr="003A5AE5">
              <w:rPr>
                <w:rFonts w:ascii="Arial Narrow" w:hAnsi="Arial Narrow"/>
                <w:sz w:val="20"/>
                <w:szCs w:val="20"/>
              </w:rPr>
              <w:t xml:space="preserve">Rafia R, Simpson E, Stevenson M, Papaioannou D. Trabectedin for the treatment of advanced metastatic soft tissue sarcoma: a NICE single technology appraisal. </w:t>
            </w:r>
          </w:p>
        </w:tc>
        <w:tc>
          <w:tcPr>
            <w:tcW w:w="993" w:type="pct"/>
            <w:shd w:val="clear" w:color="auto" w:fill="auto"/>
          </w:tcPr>
          <w:p w:rsidR="00F5082C" w:rsidRPr="003A5AE5" w:rsidRDefault="00F5082C" w:rsidP="00033ED9">
            <w:pPr>
              <w:pStyle w:val="TableBodytext"/>
              <w:rPr>
                <w:rFonts w:ascii="Arial Narrow" w:hAnsi="Arial Narrow"/>
                <w:sz w:val="20"/>
                <w:szCs w:val="20"/>
              </w:rPr>
            </w:pPr>
            <w:r w:rsidRPr="003A5AE5">
              <w:rPr>
                <w:rFonts w:ascii="Arial Narrow" w:hAnsi="Arial Narrow"/>
                <w:i/>
                <w:sz w:val="20"/>
                <w:szCs w:val="20"/>
              </w:rPr>
              <w:t>Pharmacoeconomics</w:t>
            </w:r>
            <w:r w:rsidRPr="003A5AE5">
              <w:rPr>
                <w:rFonts w:ascii="Arial Narrow" w:hAnsi="Arial Narrow"/>
                <w:sz w:val="20"/>
                <w:szCs w:val="20"/>
              </w:rPr>
              <w:t>2013; 31(6):471-8.</w:t>
            </w:r>
          </w:p>
        </w:tc>
      </w:tr>
      <w:tr w:rsidR="00F5082C" w:rsidRPr="003A5AE5" w:rsidTr="00D934E3">
        <w:trPr>
          <w:cantSplit/>
        </w:trPr>
        <w:tc>
          <w:tcPr>
            <w:tcW w:w="548" w:type="pct"/>
            <w:shd w:val="clear" w:color="auto" w:fill="auto"/>
          </w:tcPr>
          <w:p w:rsidR="00F5082C" w:rsidRPr="003A5AE5" w:rsidRDefault="00F5082C" w:rsidP="00033ED9">
            <w:pPr>
              <w:pStyle w:val="TableColumnheadings"/>
              <w:rPr>
                <w:rFonts w:ascii="Arial Narrow" w:hAnsi="Arial Narrow"/>
                <w:b w:val="0"/>
                <w:sz w:val="20"/>
                <w:szCs w:val="20"/>
              </w:rPr>
            </w:pPr>
          </w:p>
        </w:tc>
        <w:tc>
          <w:tcPr>
            <w:tcW w:w="3459" w:type="pct"/>
            <w:shd w:val="clear" w:color="auto" w:fill="auto"/>
          </w:tcPr>
          <w:p w:rsidR="00F5082C" w:rsidRPr="003A5AE5" w:rsidRDefault="00F5082C" w:rsidP="00033ED9">
            <w:pPr>
              <w:pStyle w:val="TableBodytext"/>
              <w:rPr>
                <w:rFonts w:ascii="Arial Narrow" w:hAnsi="Arial Narrow"/>
                <w:sz w:val="20"/>
                <w:szCs w:val="20"/>
              </w:rPr>
            </w:pPr>
            <w:r w:rsidRPr="003A5AE5">
              <w:rPr>
                <w:rFonts w:ascii="Arial Narrow" w:hAnsi="Arial Narrow"/>
                <w:sz w:val="20"/>
                <w:szCs w:val="20"/>
              </w:rPr>
              <w:t xml:space="preserve">Gupta AA, Yao X, Verma S, Mackay H, Hopkins L, Sarcoma Disease Site Group and the Gynecology Cancer Disease Site Group. Systematic chemotherapy for inoperable, locally advanced, recurrent, or metastatic uterine leiomyosarcoma: a systematic review. </w:t>
            </w:r>
          </w:p>
        </w:tc>
        <w:tc>
          <w:tcPr>
            <w:tcW w:w="993" w:type="pct"/>
            <w:shd w:val="clear" w:color="auto" w:fill="auto"/>
          </w:tcPr>
          <w:p w:rsidR="00F5082C" w:rsidRPr="003A5AE5" w:rsidRDefault="00F5082C" w:rsidP="00033ED9">
            <w:pPr>
              <w:pStyle w:val="TableBodytext"/>
              <w:rPr>
                <w:rFonts w:ascii="Arial Narrow" w:hAnsi="Arial Narrow"/>
                <w:sz w:val="20"/>
                <w:szCs w:val="20"/>
              </w:rPr>
            </w:pPr>
            <w:r w:rsidRPr="003A5AE5">
              <w:rPr>
                <w:rFonts w:ascii="Arial Narrow" w:hAnsi="Arial Narrow"/>
                <w:i/>
                <w:sz w:val="20"/>
                <w:szCs w:val="20"/>
              </w:rPr>
              <w:t xml:space="preserve">Clinical Oncology (Royal College of Radiologists) </w:t>
            </w:r>
            <w:r w:rsidRPr="003A5AE5">
              <w:rPr>
                <w:rFonts w:ascii="Arial Narrow" w:hAnsi="Arial Narrow"/>
                <w:sz w:val="20"/>
                <w:szCs w:val="20"/>
              </w:rPr>
              <w:t>2013; 25(6):346-55.</w:t>
            </w:r>
          </w:p>
        </w:tc>
      </w:tr>
      <w:tr w:rsidR="00F5082C" w:rsidRPr="003A5AE5" w:rsidTr="00D934E3">
        <w:trPr>
          <w:cantSplit/>
        </w:trPr>
        <w:tc>
          <w:tcPr>
            <w:tcW w:w="548" w:type="pct"/>
            <w:shd w:val="clear" w:color="auto" w:fill="auto"/>
          </w:tcPr>
          <w:p w:rsidR="00F5082C" w:rsidRPr="003A5AE5" w:rsidRDefault="00F5082C" w:rsidP="00033ED9">
            <w:pPr>
              <w:pStyle w:val="TableColumnheadings"/>
              <w:rPr>
                <w:rFonts w:ascii="Arial Narrow" w:hAnsi="Arial Narrow"/>
                <w:b w:val="0"/>
                <w:sz w:val="20"/>
                <w:szCs w:val="20"/>
              </w:rPr>
            </w:pPr>
          </w:p>
        </w:tc>
        <w:tc>
          <w:tcPr>
            <w:tcW w:w="3459" w:type="pct"/>
            <w:shd w:val="clear" w:color="auto" w:fill="auto"/>
          </w:tcPr>
          <w:p w:rsidR="00F5082C" w:rsidRPr="003A5AE5" w:rsidRDefault="00F5082C" w:rsidP="00033ED9">
            <w:pPr>
              <w:pStyle w:val="TableBodytext"/>
              <w:rPr>
                <w:rFonts w:ascii="Arial Narrow" w:hAnsi="Arial Narrow"/>
                <w:sz w:val="20"/>
                <w:szCs w:val="20"/>
              </w:rPr>
            </w:pPr>
            <w:r w:rsidRPr="003A5AE5">
              <w:rPr>
                <w:rFonts w:ascii="Arial Narrow" w:hAnsi="Arial Narrow"/>
                <w:sz w:val="20"/>
                <w:szCs w:val="20"/>
              </w:rPr>
              <w:t xml:space="preserve">Simpson EL, Rafia R, Stevenson MD, Papaioannou D. Trabectedin for the treatment of advanced metastatic soft tissue sarcoma. </w:t>
            </w:r>
          </w:p>
        </w:tc>
        <w:tc>
          <w:tcPr>
            <w:tcW w:w="993" w:type="pct"/>
            <w:shd w:val="clear" w:color="auto" w:fill="auto"/>
          </w:tcPr>
          <w:p w:rsidR="00F5082C" w:rsidRPr="003A5AE5" w:rsidRDefault="00F5082C" w:rsidP="00033ED9">
            <w:pPr>
              <w:pStyle w:val="TableBodytext"/>
              <w:rPr>
                <w:rFonts w:ascii="Arial Narrow" w:hAnsi="Arial Narrow"/>
                <w:sz w:val="20"/>
                <w:szCs w:val="20"/>
              </w:rPr>
            </w:pPr>
            <w:r w:rsidRPr="003A5AE5">
              <w:rPr>
                <w:rFonts w:ascii="Arial Narrow" w:hAnsi="Arial Narrow"/>
                <w:i/>
                <w:sz w:val="20"/>
                <w:szCs w:val="20"/>
              </w:rPr>
              <w:t>Health Technology Assessment</w:t>
            </w:r>
            <w:r w:rsidRPr="003A5AE5">
              <w:rPr>
                <w:rFonts w:ascii="Arial Narrow" w:hAnsi="Arial Narrow"/>
                <w:sz w:val="20"/>
                <w:szCs w:val="20"/>
              </w:rPr>
              <w:t xml:space="preserve"> 2010; 14 Suppl 1:63-7.</w:t>
            </w:r>
          </w:p>
        </w:tc>
      </w:tr>
    </w:tbl>
    <w:p w:rsidR="00F5082C" w:rsidRPr="003A5AE5" w:rsidRDefault="00F5082C" w:rsidP="00033ED9">
      <w:pPr>
        <w:pStyle w:val="TableFigureFooter"/>
        <w:rPr>
          <w:sz w:val="20"/>
        </w:rPr>
      </w:pPr>
      <w:r w:rsidRPr="003A5AE5">
        <w:t xml:space="preserve">Source: </w:t>
      </w:r>
      <w:r w:rsidRPr="003A5AE5">
        <w:rPr>
          <w:szCs w:val="18"/>
        </w:rPr>
        <w:t>Table 12, pp 43-49 of the submission</w:t>
      </w:r>
      <w:r w:rsidRPr="003A5AE5">
        <w:t>.</w:t>
      </w:r>
    </w:p>
    <w:p w:rsidR="00F5082C" w:rsidRPr="003A5AE5" w:rsidRDefault="00F5082C" w:rsidP="00033ED9">
      <w:pPr>
        <w:pStyle w:val="3-BodyText"/>
        <w:rPr>
          <w:color w:val="0066FF"/>
        </w:rPr>
      </w:pPr>
      <w:r w:rsidRPr="003A5AE5">
        <w:t xml:space="preserve">The key features of the included evidence are summarised in the table below. </w:t>
      </w:r>
    </w:p>
    <w:p w:rsidR="00F5082C" w:rsidRPr="003A5AE5" w:rsidRDefault="00F5082C" w:rsidP="00033ED9">
      <w:pPr>
        <w:pStyle w:val="TableHeading0"/>
        <w:rPr>
          <w:rStyle w:val="CommentReference"/>
          <w:b/>
          <w:szCs w:val="22"/>
        </w:rPr>
      </w:pPr>
      <w:r w:rsidRPr="003A5AE5">
        <w:t xml:space="preserve">Table </w:t>
      </w:r>
      <w:r w:rsidR="00C534E3" w:rsidRPr="003A5AE5">
        <w:t>3</w:t>
      </w:r>
      <w:r w:rsidRPr="003A5AE5">
        <w:t xml:space="preserve">: </w:t>
      </w:r>
      <w:r w:rsidRPr="003A5AE5">
        <w:rPr>
          <w:rStyle w:val="CommentReference"/>
          <w:b/>
          <w:szCs w:val="24"/>
        </w:rPr>
        <w:t>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09"/>
        <w:gridCol w:w="853"/>
        <w:gridCol w:w="1426"/>
        <w:gridCol w:w="1131"/>
        <w:gridCol w:w="3214"/>
        <w:gridCol w:w="1084"/>
      </w:tblGrid>
      <w:tr w:rsidR="00F5082C" w:rsidRPr="003A5AE5" w:rsidTr="00F5082C">
        <w:trPr>
          <w:tblHeader/>
        </w:trPr>
        <w:tc>
          <w:tcPr>
            <w:tcW w:w="726" w:type="pct"/>
            <w:shd w:val="clear" w:color="auto" w:fill="auto"/>
            <w:vAlign w:val="center"/>
          </w:tcPr>
          <w:p w:rsidR="00F5082C" w:rsidRPr="003A5AE5" w:rsidRDefault="00F5082C" w:rsidP="00033ED9">
            <w:pPr>
              <w:pStyle w:val="In-tableHeading"/>
              <w:rPr>
                <w:lang w:val="en-AU"/>
              </w:rPr>
            </w:pPr>
            <w:r w:rsidRPr="003A5AE5">
              <w:rPr>
                <w:lang w:val="en-AU"/>
              </w:rPr>
              <w:t>Trial</w:t>
            </w:r>
          </w:p>
        </w:tc>
        <w:tc>
          <w:tcPr>
            <w:tcW w:w="473" w:type="pct"/>
            <w:shd w:val="clear" w:color="auto" w:fill="auto"/>
            <w:vAlign w:val="center"/>
          </w:tcPr>
          <w:p w:rsidR="00F5082C" w:rsidRPr="003A5AE5" w:rsidRDefault="00F5082C" w:rsidP="00033ED9">
            <w:pPr>
              <w:pStyle w:val="In-tableHeading"/>
              <w:jc w:val="center"/>
              <w:rPr>
                <w:lang w:val="en-AU"/>
              </w:rPr>
            </w:pPr>
            <w:r w:rsidRPr="003A5AE5">
              <w:rPr>
                <w:lang w:val="en-AU"/>
              </w:rPr>
              <w:t>N</w:t>
            </w:r>
          </w:p>
        </w:tc>
        <w:tc>
          <w:tcPr>
            <w:tcW w:w="791" w:type="pct"/>
            <w:shd w:val="clear" w:color="auto" w:fill="auto"/>
            <w:vAlign w:val="center"/>
          </w:tcPr>
          <w:p w:rsidR="00F5082C" w:rsidRPr="003A5AE5" w:rsidRDefault="00F5082C" w:rsidP="00033ED9">
            <w:pPr>
              <w:pStyle w:val="In-tableHeading"/>
              <w:jc w:val="center"/>
              <w:rPr>
                <w:lang w:val="en-AU"/>
              </w:rPr>
            </w:pPr>
            <w:r w:rsidRPr="003A5AE5">
              <w:rPr>
                <w:lang w:val="en-AU"/>
              </w:rPr>
              <w:t>Design/ duration</w:t>
            </w:r>
          </w:p>
        </w:tc>
        <w:tc>
          <w:tcPr>
            <w:tcW w:w="627" w:type="pct"/>
            <w:shd w:val="clear" w:color="auto" w:fill="auto"/>
            <w:vAlign w:val="center"/>
          </w:tcPr>
          <w:p w:rsidR="00F5082C" w:rsidRPr="003A5AE5" w:rsidRDefault="00F5082C" w:rsidP="00033ED9">
            <w:pPr>
              <w:pStyle w:val="In-tableHeading"/>
              <w:jc w:val="center"/>
              <w:rPr>
                <w:lang w:val="en-AU"/>
              </w:rPr>
            </w:pPr>
            <w:r w:rsidRPr="003A5AE5">
              <w:rPr>
                <w:lang w:val="en-AU"/>
              </w:rPr>
              <w:t>Risk of bias</w:t>
            </w:r>
          </w:p>
        </w:tc>
        <w:tc>
          <w:tcPr>
            <w:tcW w:w="1782" w:type="pct"/>
            <w:shd w:val="clear" w:color="auto" w:fill="auto"/>
            <w:vAlign w:val="center"/>
          </w:tcPr>
          <w:p w:rsidR="00F5082C" w:rsidRPr="003A5AE5" w:rsidRDefault="00F5082C" w:rsidP="00033ED9">
            <w:pPr>
              <w:pStyle w:val="In-tableHeading"/>
              <w:jc w:val="center"/>
              <w:rPr>
                <w:lang w:val="en-AU"/>
              </w:rPr>
            </w:pPr>
            <w:r w:rsidRPr="003A5AE5">
              <w:rPr>
                <w:lang w:val="en-AU"/>
              </w:rPr>
              <w:t>Patient population</w:t>
            </w:r>
          </w:p>
        </w:tc>
        <w:tc>
          <w:tcPr>
            <w:tcW w:w="601" w:type="pct"/>
            <w:shd w:val="clear" w:color="auto" w:fill="auto"/>
            <w:vAlign w:val="center"/>
          </w:tcPr>
          <w:p w:rsidR="00F5082C" w:rsidRPr="003A5AE5" w:rsidRDefault="00F5082C" w:rsidP="00033ED9">
            <w:pPr>
              <w:pStyle w:val="In-tableHeading"/>
              <w:jc w:val="center"/>
              <w:rPr>
                <w:lang w:val="en-AU"/>
              </w:rPr>
            </w:pPr>
            <w:r w:rsidRPr="003A5AE5">
              <w:rPr>
                <w:lang w:val="en-AU"/>
              </w:rPr>
              <w:t>Outcomes</w:t>
            </w:r>
          </w:p>
        </w:tc>
      </w:tr>
      <w:tr w:rsidR="00F5082C" w:rsidRPr="003A5AE5" w:rsidTr="00F5082C">
        <w:tc>
          <w:tcPr>
            <w:tcW w:w="5000" w:type="pct"/>
            <w:gridSpan w:val="6"/>
            <w:shd w:val="clear" w:color="auto" w:fill="auto"/>
            <w:vAlign w:val="center"/>
          </w:tcPr>
          <w:p w:rsidR="00F5082C" w:rsidRPr="003A5AE5" w:rsidRDefault="00F5082C" w:rsidP="00033ED9">
            <w:pPr>
              <w:pStyle w:val="In-tableHeading"/>
              <w:rPr>
                <w:lang w:val="en-AU"/>
              </w:rPr>
            </w:pPr>
            <w:r w:rsidRPr="003A5AE5">
              <w:rPr>
                <w:lang w:val="en-AU"/>
              </w:rPr>
              <w:t>Trabectedin vs dacarbazine (Study 3007) or vs BSC (TSAR)</w:t>
            </w:r>
          </w:p>
        </w:tc>
      </w:tr>
      <w:tr w:rsidR="00F5082C" w:rsidRPr="003A5AE5" w:rsidTr="00F5082C">
        <w:tc>
          <w:tcPr>
            <w:tcW w:w="726" w:type="pct"/>
            <w:shd w:val="clear" w:color="auto" w:fill="auto"/>
            <w:vAlign w:val="center"/>
          </w:tcPr>
          <w:p w:rsidR="00F5082C" w:rsidRPr="003A5AE5" w:rsidRDefault="00F5082C" w:rsidP="00033ED9">
            <w:pPr>
              <w:pStyle w:val="TableText0"/>
            </w:pPr>
            <w:r w:rsidRPr="003A5AE5">
              <w:t>Study 3007</w:t>
            </w:r>
          </w:p>
        </w:tc>
        <w:tc>
          <w:tcPr>
            <w:tcW w:w="473" w:type="pct"/>
            <w:shd w:val="clear" w:color="auto" w:fill="auto"/>
            <w:vAlign w:val="center"/>
          </w:tcPr>
          <w:p w:rsidR="00F5082C" w:rsidRPr="003A5AE5" w:rsidRDefault="00F5082C" w:rsidP="00033ED9">
            <w:pPr>
              <w:pStyle w:val="TableText0"/>
              <w:jc w:val="center"/>
            </w:pPr>
            <w:r w:rsidRPr="003A5AE5">
              <w:t>577</w:t>
            </w:r>
          </w:p>
        </w:tc>
        <w:tc>
          <w:tcPr>
            <w:tcW w:w="791" w:type="pct"/>
            <w:shd w:val="clear" w:color="auto" w:fill="auto"/>
            <w:vAlign w:val="center"/>
          </w:tcPr>
          <w:p w:rsidR="00F5082C" w:rsidRPr="003A5AE5" w:rsidRDefault="00F5082C" w:rsidP="00033ED9">
            <w:pPr>
              <w:pStyle w:val="TableText0"/>
              <w:jc w:val="center"/>
            </w:pPr>
            <w:r w:rsidRPr="003A5AE5">
              <w:t>R, OL</w:t>
            </w:r>
          </w:p>
          <w:p w:rsidR="00F5082C" w:rsidRPr="003A5AE5" w:rsidRDefault="00F5082C" w:rsidP="00033ED9">
            <w:pPr>
              <w:pStyle w:val="TableText0"/>
              <w:jc w:val="center"/>
            </w:pPr>
            <w:r w:rsidRPr="003A5AE5">
              <w:t>21.2 mths*</w:t>
            </w:r>
          </w:p>
        </w:tc>
        <w:tc>
          <w:tcPr>
            <w:tcW w:w="627" w:type="pct"/>
            <w:shd w:val="clear" w:color="auto" w:fill="auto"/>
            <w:vAlign w:val="center"/>
          </w:tcPr>
          <w:p w:rsidR="00F5082C" w:rsidRPr="003A5AE5" w:rsidRDefault="00F5082C" w:rsidP="00033ED9">
            <w:pPr>
              <w:pStyle w:val="TableText0"/>
              <w:jc w:val="center"/>
            </w:pPr>
            <w:r w:rsidRPr="003A5AE5">
              <w:t>Low</w:t>
            </w:r>
          </w:p>
        </w:tc>
        <w:tc>
          <w:tcPr>
            <w:tcW w:w="1782" w:type="pct"/>
            <w:shd w:val="clear" w:color="auto" w:fill="auto"/>
            <w:vAlign w:val="center"/>
          </w:tcPr>
          <w:p w:rsidR="00F5082C" w:rsidRPr="003A5AE5" w:rsidRDefault="00F5082C" w:rsidP="00033ED9">
            <w:pPr>
              <w:pStyle w:val="TableText0"/>
            </w:pPr>
            <w:r w:rsidRPr="003A5AE5">
              <w:t>Patients with advanced L-type sarcoma who had previously received chemotherapy with at least an anthracycline and ifosfamide containing regimen or an anthracycline containing regimen and one additional cytotoxic agent.</w:t>
            </w:r>
          </w:p>
        </w:tc>
        <w:tc>
          <w:tcPr>
            <w:tcW w:w="601" w:type="pct"/>
            <w:shd w:val="clear" w:color="auto" w:fill="auto"/>
            <w:vAlign w:val="center"/>
          </w:tcPr>
          <w:p w:rsidR="00F5082C" w:rsidRPr="003A5AE5" w:rsidRDefault="00F5082C" w:rsidP="00033ED9">
            <w:pPr>
              <w:pStyle w:val="TableText0"/>
              <w:jc w:val="center"/>
            </w:pPr>
            <w:r w:rsidRPr="003A5AE5">
              <w:t>OS, PFS</w:t>
            </w:r>
          </w:p>
        </w:tc>
      </w:tr>
      <w:tr w:rsidR="00F5082C" w:rsidRPr="003A5AE5" w:rsidTr="00F5082C">
        <w:tc>
          <w:tcPr>
            <w:tcW w:w="726" w:type="pct"/>
            <w:shd w:val="clear" w:color="auto" w:fill="auto"/>
            <w:vAlign w:val="center"/>
          </w:tcPr>
          <w:p w:rsidR="00F5082C" w:rsidRPr="003A5AE5" w:rsidRDefault="00F5082C" w:rsidP="00033ED9">
            <w:pPr>
              <w:pStyle w:val="TableText0"/>
            </w:pPr>
            <w:r w:rsidRPr="003A5AE5">
              <w:t>TSAR</w:t>
            </w:r>
          </w:p>
        </w:tc>
        <w:tc>
          <w:tcPr>
            <w:tcW w:w="473" w:type="pct"/>
            <w:shd w:val="clear" w:color="auto" w:fill="auto"/>
            <w:vAlign w:val="center"/>
          </w:tcPr>
          <w:p w:rsidR="00F5082C" w:rsidRPr="003A5AE5" w:rsidRDefault="00F5082C" w:rsidP="00033ED9">
            <w:pPr>
              <w:pStyle w:val="TableText0"/>
              <w:jc w:val="center"/>
            </w:pPr>
            <w:r w:rsidRPr="003A5AE5">
              <w:t>101</w:t>
            </w:r>
          </w:p>
        </w:tc>
        <w:tc>
          <w:tcPr>
            <w:tcW w:w="791" w:type="pct"/>
            <w:shd w:val="clear" w:color="auto" w:fill="auto"/>
            <w:vAlign w:val="center"/>
          </w:tcPr>
          <w:p w:rsidR="00F5082C" w:rsidRPr="003A5AE5" w:rsidRDefault="00F5082C" w:rsidP="00033ED9">
            <w:pPr>
              <w:pStyle w:val="TableText0"/>
              <w:jc w:val="center"/>
            </w:pPr>
            <w:r w:rsidRPr="003A5AE5">
              <w:t>R, OL</w:t>
            </w:r>
          </w:p>
          <w:p w:rsidR="00F5082C" w:rsidRPr="003A5AE5" w:rsidRDefault="00F5082C" w:rsidP="00033ED9">
            <w:pPr>
              <w:pStyle w:val="TableText0"/>
              <w:jc w:val="center"/>
            </w:pPr>
            <w:r w:rsidRPr="003A5AE5">
              <w:t>25.7 mths*</w:t>
            </w:r>
          </w:p>
        </w:tc>
        <w:tc>
          <w:tcPr>
            <w:tcW w:w="627" w:type="pct"/>
            <w:shd w:val="clear" w:color="auto" w:fill="auto"/>
            <w:vAlign w:val="center"/>
          </w:tcPr>
          <w:p w:rsidR="00F5082C" w:rsidRPr="003A5AE5" w:rsidRDefault="00F5082C" w:rsidP="00033ED9">
            <w:pPr>
              <w:pStyle w:val="TableText0"/>
              <w:jc w:val="center"/>
            </w:pPr>
            <w:r w:rsidRPr="003A5AE5">
              <w:t>Unclear</w:t>
            </w:r>
          </w:p>
        </w:tc>
        <w:tc>
          <w:tcPr>
            <w:tcW w:w="1782" w:type="pct"/>
            <w:shd w:val="clear" w:color="auto" w:fill="auto"/>
            <w:vAlign w:val="center"/>
          </w:tcPr>
          <w:p w:rsidR="00F5082C" w:rsidRPr="003A5AE5" w:rsidRDefault="00F5082C" w:rsidP="00033ED9">
            <w:pPr>
              <w:pStyle w:val="TableText0"/>
            </w:pPr>
            <w:r w:rsidRPr="003A5AE5">
              <w:t>Patients with histologically proven advanced STS who progressed after at least 1 anthracycline-containing regimen (≤3 previous chemotherapy lines).</w:t>
            </w:r>
          </w:p>
        </w:tc>
        <w:tc>
          <w:tcPr>
            <w:tcW w:w="601" w:type="pct"/>
            <w:shd w:val="clear" w:color="auto" w:fill="auto"/>
            <w:vAlign w:val="center"/>
          </w:tcPr>
          <w:p w:rsidR="00F5082C" w:rsidRPr="003A5AE5" w:rsidRDefault="00F5082C" w:rsidP="00033ED9">
            <w:pPr>
              <w:pStyle w:val="TableText0"/>
              <w:jc w:val="center"/>
            </w:pPr>
            <w:r w:rsidRPr="003A5AE5">
              <w:t>OS, PFS</w:t>
            </w:r>
          </w:p>
        </w:tc>
      </w:tr>
      <w:tr w:rsidR="00F5082C" w:rsidRPr="003A5AE5" w:rsidTr="00F5082C">
        <w:tc>
          <w:tcPr>
            <w:tcW w:w="5000" w:type="pct"/>
            <w:gridSpan w:val="6"/>
            <w:shd w:val="clear" w:color="auto" w:fill="auto"/>
            <w:vAlign w:val="center"/>
          </w:tcPr>
          <w:p w:rsidR="00F5082C" w:rsidRPr="003A5AE5" w:rsidRDefault="00F5082C" w:rsidP="00033ED9">
            <w:pPr>
              <w:pStyle w:val="In-tableHeading"/>
              <w:rPr>
                <w:lang w:val="en-AU"/>
              </w:rPr>
            </w:pPr>
            <w:r w:rsidRPr="003A5AE5">
              <w:rPr>
                <w:lang w:val="en-AU"/>
              </w:rPr>
              <w:t>Pazopanib vs placebo</w:t>
            </w:r>
          </w:p>
        </w:tc>
      </w:tr>
      <w:tr w:rsidR="00F5082C" w:rsidRPr="003A5AE5" w:rsidTr="00F5082C">
        <w:tc>
          <w:tcPr>
            <w:tcW w:w="726" w:type="pct"/>
            <w:shd w:val="clear" w:color="auto" w:fill="auto"/>
            <w:vAlign w:val="center"/>
          </w:tcPr>
          <w:p w:rsidR="00F5082C" w:rsidRPr="003A5AE5" w:rsidRDefault="00F5082C" w:rsidP="00033ED9">
            <w:pPr>
              <w:pStyle w:val="TableText0"/>
            </w:pPr>
            <w:r w:rsidRPr="003A5AE5">
              <w:t>PALETTE</w:t>
            </w:r>
          </w:p>
        </w:tc>
        <w:tc>
          <w:tcPr>
            <w:tcW w:w="473" w:type="pct"/>
            <w:shd w:val="clear" w:color="auto" w:fill="auto"/>
            <w:vAlign w:val="center"/>
          </w:tcPr>
          <w:p w:rsidR="00F5082C" w:rsidRPr="003A5AE5" w:rsidRDefault="00F5082C" w:rsidP="00033ED9">
            <w:pPr>
              <w:pStyle w:val="TableText0"/>
              <w:jc w:val="center"/>
            </w:pPr>
            <w:r w:rsidRPr="003A5AE5">
              <w:t>369</w:t>
            </w:r>
          </w:p>
        </w:tc>
        <w:tc>
          <w:tcPr>
            <w:tcW w:w="791" w:type="pct"/>
            <w:shd w:val="clear" w:color="auto" w:fill="auto"/>
            <w:vAlign w:val="center"/>
          </w:tcPr>
          <w:p w:rsidR="00F5082C" w:rsidRPr="003A5AE5" w:rsidRDefault="00F5082C" w:rsidP="00033ED9">
            <w:pPr>
              <w:pStyle w:val="TableText0"/>
              <w:jc w:val="center"/>
            </w:pPr>
            <w:r w:rsidRPr="003A5AE5">
              <w:t>R, DB</w:t>
            </w:r>
          </w:p>
          <w:p w:rsidR="00F5082C" w:rsidRPr="003A5AE5" w:rsidRDefault="00F5082C" w:rsidP="00033ED9">
            <w:pPr>
              <w:pStyle w:val="TableText0"/>
              <w:jc w:val="center"/>
            </w:pPr>
            <w:r w:rsidRPr="003A5AE5">
              <w:t>14.6 mth*</w:t>
            </w:r>
          </w:p>
        </w:tc>
        <w:tc>
          <w:tcPr>
            <w:tcW w:w="627" w:type="pct"/>
            <w:shd w:val="clear" w:color="auto" w:fill="auto"/>
            <w:vAlign w:val="center"/>
          </w:tcPr>
          <w:p w:rsidR="00F5082C" w:rsidRPr="003A5AE5" w:rsidRDefault="00F5082C" w:rsidP="00033ED9">
            <w:pPr>
              <w:pStyle w:val="TableText0"/>
              <w:jc w:val="center"/>
            </w:pPr>
            <w:r w:rsidRPr="003A5AE5">
              <w:t>Low</w:t>
            </w:r>
          </w:p>
        </w:tc>
        <w:tc>
          <w:tcPr>
            <w:tcW w:w="1782" w:type="pct"/>
            <w:shd w:val="clear" w:color="auto" w:fill="auto"/>
            <w:vAlign w:val="center"/>
          </w:tcPr>
          <w:p w:rsidR="00F5082C" w:rsidRPr="003A5AE5" w:rsidRDefault="00F5082C" w:rsidP="00033ED9">
            <w:pPr>
              <w:pStyle w:val="TableText0"/>
            </w:pPr>
            <w:r w:rsidRPr="003A5AE5">
              <w:t>Patients with metastatic STS who had received at least one regimen containing anthracycline and a maximum of four previous lines of systemic therapy for metastatic disease</w:t>
            </w:r>
          </w:p>
        </w:tc>
        <w:tc>
          <w:tcPr>
            <w:tcW w:w="601" w:type="pct"/>
            <w:shd w:val="clear" w:color="auto" w:fill="auto"/>
            <w:vAlign w:val="center"/>
          </w:tcPr>
          <w:p w:rsidR="00F5082C" w:rsidRPr="003A5AE5" w:rsidRDefault="00F5082C" w:rsidP="00033ED9">
            <w:pPr>
              <w:pStyle w:val="TableText0"/>
              <w:jc w:val="center"/>
            </w:pPr>
            <w:r w:rsidRPr="003A5AE5">
              <w:t>OS, PFS</w:t>
            </w:r>
          </w:p>
        </w:tc>
      </w:tr>
    </w:tbl>
    <w:p w:rsidR="00F5082C" w:rsidRPr="003A5AE5" w:rsidRDefault="00F5082C" w:rsidP="00033ED9">
      <w:pPr>
        <w:pStyle w:val="TableFigureFooter"/>
      </w:pPr>
      <w:r w:rsidRPr="003A5AE5">
        <w:t>Source: Sections 2</w:t>
      </w:r>
      <w:r w:rsidR="009E3959" w:rsidRPr="003A5AE5">
        <w:t>.3</w:t>
      </w:r>
      <w:r w:rsidRPr="003A5AE5">
        <w:t xml:space="preserve"> and </w:t>
      </w:r>
      <w:r w:rsidR="003D0DD1" w:rsidRPr="003A5AE5">
        <w:t>2.4</w:t>
      </w:r>
      <w:r w:rsidRPr="003A5AE5">
        <w:t>, pp52-89 of the submission.</w:t>
      </w:r>
    </w:p>
    <w:p w:rsidR="00F5082C" w:rsidRPr="003A5AE5" w:rsidRDefault="00F5082C" w:rsidP="00033ED9">
      <w:pPr>
        <w:pStyle w:val="TableFigureFooter"/>
      </w:pPr>
      <w:r w:rsidRPr="003A5AE5">
        <w:t>*The median durations of follow-up for Study 3007 and TSA</w:t>
      </w:r>
      <w:r w:rsidR="003B61C2" w:rsidRPr="003A5AE5">
        <w:t>R are for OS, while that for PA</w:t>
      </w:r>
      <w:r w:rsidRPr="003A5AE5">
        <w:t>LE</w:t>
      </w:r>
      <w:r w:rsidR="003B61C2" w:rsidRPr="003A5AE5">
        <w:t>T</w:t>
      </w:r>
      <w:r w:rsidRPr="003A5AE5">
        <w:t>T</w:t>
      </w:r>
      <w:r w:rsidR="00D95591" w:rsidRPr="003A5AE5">
        <w:t>E</w:t>
      </w:r>
      <w:r w:rsidRPr="003A5AE5">
        <w:t xml:space="preserve"> is for PFS. The median duration of follow-up for OS was not reported.</w:t>
      </w:r>
    </w:p>
    <w:p w:rsidR="00F5082C" w:rsidRPr="003A5AE5" w:rsidRDefault="00F5082C" w:rsidP="00033ED9">
      <w:pPr>
        <w:pStyle w:val="TableFigureFooter"/>
      </w:pPr>
      <w:r w:rsidRPr="003A5AE5">
        <w:t xml:space="preserve">DB = double blind; </w:t>
      </w:r>
      <w:r w:rsidR="00B26DB0" w:rsidRPr="003A5AE5">
        <w:t xml:space="preserve">L-type sarcoma = liposarcoma or leiomyosarcoma; </w:t>
      </w:r>
      <w:r w:rsidR="00CB1D24" w:rsidRPr="003A5AE5">
        <w:t xml:space="preserve">mths = months; </w:t>
      </w:r>
      <w:r w:rsidRPr="003A5AE5">
        <w:t>OL = open label; OS = overall survival; PFS = progression-free survival; R = randomised; BSC = best supportive care, STS = soft tissue sarcoma</w:t>
      </w:r>
      <w:r w:rsidR="003A5AE5" w:rsidRPr="003A5AE5">
        <w:t xml:space="preserve">. </w:t>
      </w:r>
    </w:p>
    <w:p w:rsidR="00F5082C" w:rsidRPr="003A5AE5" w:rsidRDefault="00F5082C" w:rsidP="00033ED9">
      <w:pPr>
        <w:pStyle w:val="3-BodyText"/>
      </w:pPr>
      <w:r w:rsidRPr="003A5AE5">
        <w:t>For the individual studies 3007 and PALETTE, the</w:t>
      </w:r>
      <w:r w:rsidR="00F3375C">
        <w:t xml:space="preserve"> evaluation considered the</w:t>
      </w:r>
      <w:r w:rsidRPr="003A5AE5">
        <w:t xml:space="preserve"> risk of bias </w:t>
      </w:r>
      <w:r w:rsidR="00F3375C">
        <w:t>was</w:t>
      </w:r>
      <w:r w:rsidR="0084633C" w:rsidRPr="003A5AE5">
        <w:t xml:space="preserve"> </w:t>
      </w:r>
      <w:r w:rsidRPr="003A5AE5">
        <w:t>low</w:t>
      </w:r>
      <w:r w:rsidR="0084633C" w:rsidRPr="003A5AE5">
        <w:t xml:space="preserve">; the primary outcome of Study 3007 was OS, and </w:t>
      </w:r>
      <w:r w:rsidR="008100D6">
        <w:t xml:space="preserve">a blinded panel validated the </w:t>
      </w:r>
      <w:r w:rsidR="0084633C" w:rsidRPr="003A5AE5">
        <w:t>PFS assessment. The risk of bias for TSAR could not be determined based on the limited information available in the abstract.</w:t>
      </w:r>
    </w:p>
    <w:p w:rsidR="00F5082C" w:rsidRPr="003A5AE5" w:rsidRDefault="00F5082C" w:rsidP="00033ED9">
      <w:pPr>
        <w:pStyle w:val="3-BodyText"/>
      </w:pPr>
      <w:r w:rsidRPr="003A5AE5">
        <w:t xml:space="preserve">The submission </w:t>
      </w:r>
      <w:r w:rsidR="006A13E9" w:rsidRPr="003A5AE5">
        <w:t>did not present</w:t>
      </w:r>
      <w:r w:rsidRPr="003A5AE5">
        <w:t xml:space="preserve"> a formal indirect comparison of trabectedin and pazopanib. It was determined that the differences in comparator (dacarbazine versus placebo), use of subsequent therapies, duration of follow-up and patient demographics and histological subtypes precluded </w:t>
      </w:r>
      <w:r w:rsidR="00F35D5E" w:rsidRPr="003A5AE5">
        <w:t xml:space="preserve">formal </w:t>
      </w:r>
      <w:r w:rsidR="004176DC" w:rsidRPr="003A5AE5">
        <w:t>ITC</w:t>
      </w:r>
      <w:r w:rsidRPr="003A5AE5">
        <w:t xml:space="preserve">. </w:t>
      </w:r>
      <w:r w:rsidR="004176DC" w:rsidRPr="003A5AE5">
        <w:t xml:space="preserve">The risk of bias in a standard Bucher method ITC would be high. </w:t>
      </w:r>
      <w:r w:rsidRPr="003A5AE5">
        <w:t xml:space="preserve">The data </w:t>
      </w:r>
      <w:r w:rsidR="00F66E38" w:rsidRPr="003A5AE5">
        <w:t xml:space="preserve">from Study 3007 and PALETTE </w:t>
      </w:r>
      <w:r w:rsidRPr="003A5AE5">
        <w:t>are presented together to provide an overview of the evidence.</w:t>
      </w:r>
    </w:p>
    <w:p w:rsidR="003D0DD1" w:rsidRPr="003A5AE5" w:rsidRDefault="003D0DD1" w:rsidP="00033ED9">
      <w:pPr>
        <w:pStyle w:val="4-SubsectionHeading"/>
      </w:pPr>
      <w:bookmarkStart w:id="40" w:name="_Toc72160058"/>
      <w:bookmarkStart w:id="41" w:name="_Toc72205675"/>
      <w:bookmarkStart w:id="42" w:name="_Toc72315630"/>
      <w:r w:rsidRPr="003A5AE5">
        <w:t>Comparative effectiveness</w:t>
      </w:r>
      <w:bookmarkEnd w:id="40"/>
      <w:bookmarkEnd w:id="41"/>
      <w:bookmarkEnd w:id="42"/>
    </w:p>
    <w:p w:rsidR="00F5082C" w:rsidRPr="003A5AE5" w:rsidRDefault="00F5082C" w:rsidP="00033ED9">
      <w:pPr>
        <w:pStyle w:val="3-BodyText"/>
      </w:pPr>
      <w:r w:rsidRPr="003A5AE5">
        <w:t>The Kaplan-Meier curves for OS</w:t>
      </w:r>
      <w:r w:rsidR="00187BDC" w:rsidRPr="003A5AE5">
        <w:t xml:space="preserve"> </w:t>
      </w:r>
      <w:r w:rsidRPr="003A5AE5">
        <w:t xml:space="preserve">from Study 3007 </w:t>
      </w:r>
      <w:r w:rsidR="00C83AC8" w:rsidRPr="003A5AE5">
        <w:t>at final data cut-off</w:t>
      </w:r>
      <w:r w:rsidR="00187BDC" w:rsidRPr="003A5AE5">
        <w:t xml:space="preserve"> </w:t>
      </w:r>
      <w:r w:rsidRPr="003A5AE5">
        <w:t>are presented below.</w:t>
      </w:r>
      <w:r w:rsidR="0084633C" w:rsidRPr="003A5AE5">
        <w:t xml:space="preserve"> The unstratified HR was 0.927 (95% CI: 0.748, 1.150). </w:t>
      </w:r>
      <w:r w:rsidR="008100D6">
        <w:t xml:space="preserve">The submission </w:t>
      </w:r>
      <w:r w:rsidR="003B61C2" w:rsidRPr="003A5AE5">
        <w:t>noted the</w:t>
      </w:r>
      <w:r w:rsidR="00236C97" w:rsidRPr="003A5AE5">
        <w:t xml:space="preserve"> survival</w:t>
      </w:r>
      <w:r w:rsidR="003B61C2" w:rsidRPr="003A5AE5">
        <w:t xml:space="preserve"> curves intersect, meaning the proportional hazards assumption is likely violated and </w:t>
      </w:r>
      <w:r w:rsidR="00F66EAC" w:rsidRPr="003A5AE5">
        <w:t>the reported hazard ratio</w:t>
      </w:r>
      <w:r w:rsidR="003B61C2" w:rsidRPr="003A5AE5">
        <w:t xml:space="preserve"> must be interpreted cautiously.</w:t>
      </w:r>
      <w:r w:rsidRPr="003A5AE5">
        <w:t xml:space="preserve"> An analysis of OS stratified by ECOG performance status score, </w:t>
      </w:r>
      <w:r w:rsidR="00C83AC8" w:rsidRPr="003A5AE5">
        <w:t xml:space="preserve">sarcoma </w:t>
      </w:r>
      <w:r w:rsidRPr="003A5AE5">
        <w:t xml:space="preserve">type </w:t>
      </w:r>
      <w:r w:rsidR="00C83AC8" w:rsidRPr="003A5AE5">
        <w:t>(LMS vs LPS)</w:t>
      </w:r>
      <w:r w:rsidRPr="003A5AE5">
        <w:t xml:space="preserve">, and number of prior lines of chemotherapy (the pre-specified stratification factors) was performed. When stratified </w:t>
      </w:r>
      <w:r w:rsidR="0051465F" w:rsidRPr="003A5AE5">
        <w:t xml:space="preserve">by </w:t>
      </w:r>
      <w:r w:rsidRPr="003A5AE5">
        <w:t xml:space="preserve">these factors, the results </w:t>
      </w:r>
      <w:r w:rsidR="0051465F" w:rsidRPr="003A5AE5">
        <w:t xml:space="preserve">of the </w:t>
      </w:r>
      <w:r w:rsidRPr="003A5AE5">
        <w:t xml:space="preserve">OS analysis (HR=0.939; 95% CI: 0.756, 1.167; p=0.5721) were consistent with the unstratified analysis of OS, and did not demonstrate a statistically significant improvement </w:t>
      </w:r>
      <w:r w:rsidR="0051465F" w:rsidRPr="003A5AE5">
        <w:t xml:space="preserve">in OS </w:t>
      </w:r>
      <w:r w:rsidRPr="003A5AE5">
        <w:t xml:space="preserve">with trabectedin </w:t>
      </w:r>
      <w:r w:rsidR="0017381D" w:rsidRPr="003A5AE5">
        <w:t xml:space="preserve">treatment as </w:t>
      </w:r>
      <w:r w:rsidRPr="003A5AE5">
        <w:t>compared to dacarbazine</w:t>
      </w:r>
      <w:r w:rsidR="0017381D" w:rsidRPr="003A5AE5">
        <w:t xml:space="preserve"> treatment</w:t>
      </w:r>
      <w:r w:rsidRPr="003A5AE5">
        <w:t>.</w:t>
      </w:r>
    </w:p>
    <w:p w:rsidR="00F5082C" w:rsidRPr="003A5AE5" w:rsidRDefault="00F5082C" w:rsidP="00033ED9">
      <w:pPr>
        <w:pStyle w:val="TableFigureHeading"/>
      </w:pPr>
      <w:r w:rsidRPr="003A5AE5">
        <w:t xml:space="preserve">Figure </w:t>
      </w:r>
      <w:r w:rsidR="00541903" w:rsidRPr="003A5AE5">
        <w:t>2</w:t>
      </w:r>
      <w:r w:rsidRPr="003A5AE5">
        <w:t>: Overall Survival - Stratified Analysis; All Randomised Subjects in the trabectedin trial (3007)</w:t>
      </w:r>
      <w:r w:rsidR="00187BDC" w:rsidRPr="003A5AE5">
        <w:t>, final data cut-off</w:t>
      </w:r>
    </w:p>
    <w:p w:rsidR="00F5082C" w:rsidRPr="003A5AE5" w:rsidRDefault="00F5082C" w:rsidP="00033ED9">
      <w:pPr>
        <w:pStyle w:val="TableHeading0"/>
      </w:pPr>
      <w:r w:rsidRPr="003A5AE5">
        <w:rPr>
          <w:noProof/>
          <w:lang w:eastAsia="en-AU"/>
        </w:rPr>
        <w:drawing>
          <wp:inline distT="0" distB="0" distL="0" distR="0" wp14:anchorId="4FBBCACC" wp14:editId="725FDAC2">
            <wp:extent cx="5764696" cy="3505200"/>
            <wp:effectExtent l="0" t="0" r="7620" b="0"/>
            <wp:docPr id="7" name="Picture 7" title="Figure 2: Overall Survival - Stratified Analysis; All Randomised Subjects in the trabectedin trial (3007), final data cut-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8556" cy="3507547"/>
                    </a:xfrm>
                    <a:prstGeom prst="rect">
                      <a:avLst/>
                    </a:prstGeom>
                    <a:noFill/>
                  </pic:spPr>
                </pic:pic>
              </a:graphicData>
            </a:graphic>
          </wp:inline>
        </w:drawing>
      </w:r>
    </w:p>
    <w:p w:rsidR="00F5082C" w:rsidRPr="003A5AE5" w:rsidRDefault="00F5082C" w:rsidP="00033ED9">
      <w:pPr>
        <w:pStyle w:val="TableFigureFooter"/>
      </w:pPr>
      <w:r w:rsidRPr="003A5AE5">
        <w:t>Source: Figure 16, p 91 of the submission.</w:t>
      </w:r>
    </w:p>
    <w:p w:rsidR="00187BDC" w:rsidRPr="003A5AE5" w:rsidRDefault="00187BDC" w:rsidP="00033ED9">
      <w:pPr>
        <w:pStyle w:val="TableFigureFooter"/>
      </w:pPr>
      <w:r w:rsidRPr="003A5AE5">
        <w:t>Final data cut-off: 05 January 2015.</w:t>
      </w:r>
      <w:bookmarkStart w:id="43" w:name="_GoBack"/>
      <w:bookmarkEnd w:id="43"/>
    </w:p>
    <w:p w:rsidR="00F5082C" w:rsidRPr="003A5AE5" w:rsidRDefault="00F5082C" w:rsidP="00033ED9">
      <w:pPr>
        <w:pStyle w:val="TableHeading0"/>
      </w:pPr>
    </w:p>
    <w:p w:rsidR="00F5082C" w:rsidRPr="003A5AE5" w:rsidRDefault="00F5082C" w:rsidP="00033ED9">
      <w:pPr>
        <w:pStyle w:val="3-BodyText"/>
      </w:pPr>
      <w:r w:rsidRPr="003A5AE5">
        <w:t>The Kaplan-Meier curves for progression free survival (PFS) from Study 3007 are presented below. There was a statistically significant PFS benefit of approximately 2.7 months in the trabectedin arm compared to dacarbazine</w:t>
      </w:r>
      <w:r w:rsidR="0084633C" w:rsidRPr="003A5AE5">
        <w:t>, with a median PFS of 4.21 months vs 1.54 months respectively. The HR was 0.550 (95% CI: 0.436, 0.696; p &lt;0.0001). An independent radiologist review carried out on 60% of the patients found a similar PFS benefit (HR= 0.549, 95% CI: 0.399, 0.754; p=0.0001).</w:t>
      </w:r>
      <w:r w:rsidRPr="003A5AE5">
        <w:t xml:space="preserve"> This analysis was performed at the interim clinical cut-off of 16 September 2013, after 329 PFS events </w:t>
      </w:r>
      <w:r w:rsidR="00C83AC8" w:rsidRPr="003A5AE5">
        <w:t xml:space="preserve">(approximately 64% of participants) </w:t>
      </w:r>
      <w:r w:rsidRPr="003A5AE5">
        <w:t xml:space="preserve">had occurred. </w:t>
      </w:r>
      <w:r w:rsidR="00C83AC8" w:rsidRPr="003A5AE5">
        <w:t>This was the only planned PFS analysis, with no further PFS analyses conducted at final data cut-off</w:t>
      </w:r>
      <w:r w:rsidRPr="003A5AE5">
        <w:t>.</w:t>
      </w:r>
    </w:p>
    <w:p w:rsidR="00F5082C" w:rsidRPr="003A5AE5" w:rsidRDefault="00F5082C" w:rsidP="00033ED9">
      <w:pPr>
        <w:pStyle w:val="TableFigureHeading"/>
      </w:pPr>
      <w:r w:rsidRPr="003A5AE5">
        <w:t xml:space="preserve">Figure </w:t>
      </w:r>
      <w:r w:rsidR="00541903" w:rsidRPr="003A5AE5">
        <w:t>3</w:t>
      </w:r>
      <w:r w:rsidRPr="003A5AE5">
        <w:t>: Progression-Free Survival; All Randomised Subjects in the trabectedin trial (3007)</w:t>
      </w:r>
      <w:r w:rsidR="00187BDC" w:rsidRPr="003A5AE5">
        <w:t>, interim data cut-off</w:t>
      </w:r>
    </w:p>
    <w:p w:rsidR="00F5082C" w:rsidRPr="003A5AE5" w:rsidRDefault="00F5082C" w:rsidP="00033ED9">
      <w:pPr>
        <w:pStyle w:val="In-tableHeading"/>
        <w:rPr>
          <w:lang w:val="en-AU"/>
        </w:rPr>
      </w:pPr>
      <w:r w:rsidRPr="003A5AE5">
        <w:rPr>
          <w:noProof/>
          <w:lang w:val="en-AU"/>
        </w:rPr>
        <w:drawing>
          <wp:inline distT="0" distB="0" distL="0" distR="0" wp14:anchorId="62583ED5" wp14:editId="6E6F630B">
            <wp:extent cx="5401310" cy="3444240"/>
            <wp:effectExtent l="0" t="0" r="8890" b="3810"/>
            <wp:docPr id="11" name="Picture 11" title="Figure 3: Progression-Free Survival; All Randomised Subjects in the trabectedin trial (3007), interim data cut-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1310" cy="3444240"/>
                    </a:xfrm>
                    <a:prstGeom prst="rect">
                      <a:avLst/>
                    </a:prstGeom>
                    <a:noFill/>
                  </pic:spPr>
                </pic:pic>
              </a:graphicData>
            </a:graphic>
          </wp:inline>
        </w:drawing>
      </w:r>
    </w:p>
    <w:p w:rsidR="00F5082C" w:rsidRPr="003A5AE5" w:rsidRDefault="00F5082C" w:rsidP="00033ED9">
      <w:pPr>
        <w:pStyle w:val="TableFigureFooter"/>
      </w:pPr>
      <w:r w:rsidRPr="003A5AE5">
        <w:t>Source: Figure 24, p 104 of the submission.</w:t>
      </w:r>
    </w:p>
    <w:p w:rsidR="00187BDC" w:rsidRPr="003A5AE5" w:rsidRDefault="00187BDC" w:rsidP="00033ED9">
      <w:pPr>
        <w:pStyle w:val="TableFigureFooter"/>
      </w:pPr>
      <w:r w:rsidRPr="003A5AE5">
        <w:t>Interim data cut-off: 16 September 2013</w:t>
      </w:r>
    </w:p>
    <w:p w:rsidR="00F5082C" w:rsidRPr="003A5AE5" w:rsidRDefault="00F5082C" w:rsidP="00033ED9">
      <w:pPr>
        <w:pStyle w:val="3-BodyText"/>
        <w:rPr>
          <w:color w:val="0066FF"/>
        </w:rPr>
      </w:pPr>
      <w:r w:rsidRPr="003A5AE5">
        <w:t>There was no statistically significant difference in OS between trabectedin and BSC in TSAR</w:t>
      </w:r>
      <w:r w:rsidR="0084633C" w:rsidRPr="003A5AE5">
        <w:t>, with a median OS of 13.6 vs 10.8 months respectively (HR not reported)</w:t>
      </w:r>
      <w:r w:rsidRPr="003A5AE5">
        <w:t xml:space="preserve">. 92% of patients in the BSC arm switched to trabectedin on or after disease progression. A statistically significant PFS benefit of 1.6 months favouring trabectedin </w:t>
      </w:r>
      <w:r w:rsidR="0084633C" w:rsidRPr="003A5AE5">
        <w:t xml:space="preserve">over BSC </w:t>
      </w:r>
      <w:r w:rsidRPr="003A5AE5">
        <w:t>was observed in this study</w:t>
      </w:r>
      <w:r w:rsidR="00FE04DB" w:rsidRPr="003A5AE5">
        <w:t>, with a median PFS of 3.1 vs 1.5 months (HR 0.39, p &lt;0.0001). The PFS benefit was more pronounced in the LPS/LMS subgroup, where median PFS for trabectedin was 5.1 months, compared to 1.4 months for BSC (HR 0.29, p &lt;0.0001)</w:t>
      </w:r>
      <w:r w:rsidR="003A5AE5" w:rsidRPr="003A5AE5">
        <w:t xml:space="preserve">. </w:t>
      </w:r>
    </w:p>
    <w:p w:rsidR="00FA5EF6" w:rsidRPr="003A5AE5" w:rsidRDefault="0089794D" w:rsidP="00033ED9">
      <w:pPr>
        <w:pStyle w:val="3-BodyText"/>
        <w:numPr>
          <w:ilvl w:val="0"/>
          <w:numId w:val="0"/>
        </w:numPr>
        <w:rPr>
          <w:u w:val="single"/>
        </w:rPr>
      </w:pPr>
      <w:r w:rsidRPr="003A5AE5">
        <w:rPr>
          <w:u w:val="single"/>
        </w:rPr>
        <w:t>Subgroup analyses</w:t>
      </w:r>
    </w:p>
    <w:p w:rsidR="004A2696" w:rsidRPr="003A5AE5" w:rsidRDefault="00FE04DB" w:rsidP="00033ED9">
      <w:pPr>
        <w:pStyle w:val="3-BodyText"/>
      </w:pPr>
      <w:r w:rsidRPr="003A5AE5">
        <w:t>T</w:t>
      </w:r>
      <w:r w:rsidR="004A2696" w:rsidRPr="003A5AE5">
        <w:t xml:space="preserve">he </w:t>
      </w:r>
      <w:r w:rsidR="008100D6">
        <w:t xml:space="preserve">table below provides the </w:t>
      </w:r>
      <w:r w:rsidR="004A2696" w:rsidRPr="003A5AE5">
        <w:t>results from Study 3007 in the ITT and LMS/LPS subgroups.</w:t>
      </w:r>
    </w:p>
    <w:p w:rsidR="008C278A" w:rsidRPr="003A5AE5" w:rsidRDefault="008C278A" w:rsidP="00033ED9">
      <w:pPr>
        <w:jc w:val="left"/>
        <w:rPr>
          <w:rFonts w:ascii="Arial Narrow" w:hAnsi="Arial Narrow" w:cs="Arial Narrow"/>
          <w:b/>
          <w:bCs/>
          <w:snapToGrid w:val="0"/>
          <w:sz w:val="20"/>
        </w:rPr>
      </w:pPr>
    </w:p>
    <w:p w:rsidR="00C54430" w:rsidRDefault="00C54430">
      <w:pPr>
        <w:jc w:val="left"/>
        <w:rPr>
          <w:rFonts w:ascii="Arial Narrow" w:hAnsi="Arial Narrow" w:cs="Arial Narrow"/>
          <w:b/>
          <w:bCs/>
          <w:snapToGrid w:val="0"/>
          <w:sz w:val="20"/>
        </w:rPr>
      </w:pPr>
      <w:r>
        <w:br w:type="page"/>
      </w:r>
    </w:p>
    <w:p w:rsidR="004A2696" w:rsidRPr="003A5AE5" w:rsidRDefault="00FE04DB" w:rsidP="00033ED9">
      <w:pPr>
        <w:pStyle w:val="TableHeading"/>
      </w:pPr>
      <w:r w:rsidRPr="003A5AE5">
        <w:t xml:space="preserve">Table </w:t>
      </w:r>
      <w:r w:rsidR="00C534E3" w:rsidRPr="003A5AE5">
        <w:t>4</w:t>
      </w:r>
      <w:r w:rsidRPr="003A5AE5">
        <w:t>: Overall Survival and Progression-free survival - Subgroup Analysis by histological type in Study 3007</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1990"/>
        <w:gridCol w:w="2126"/>
        <w:gridCol w:w="2552"/>
      </w:tblGrid>
      <w:tr w:rsidR="00FE04DB" w:rsidRPr="003A5AE5" w:rsidTr="007621D6">
        <w:trPr>
          <w:tblHeader/>
        </w:trPr>
        <w:tc>
          <w:tcPr>
            <w:tcW w:w="2258" w:type="dxa"/>
            <w:tcBorders>
              <w:top w:val="single" w:sz="4" w:space="0" w:color="auto"/>
              <w:left w:val="single" w:sz="4" w:space="0" w:color="auto"/>
              <w:bottom w:val="single" w:sz="4" w:space="0" w:color="auto"/>
              <w:right w:val="single" w:sz="4" w:space="0" w:color="auto"/>
            </w:tcBorders>
            <w:shd w:val="clear" w:color="auto" w:fill="auto"/>
          </w:tcPr>
          <w:p w:rsidR="00FE04DB" w:rsidRPr="003A5AE5" w:rsidRDefault="00FE04DB" w:rsidP="00033ED9">
            <w:pPr>
              <w:pStyle w:val="TableFigureFooter"/>
            </w:pPr>
          </w:p>
        </w:tc>
        <w:tc>
          <w:tcPr>
            <w:tcW w:w="1990" w:type="dxa"/>
            <w:tcBorders>
              <w:top w:val="single" w:sz="4" w:space="0" w:color="auto"/>
              <w:left w:val="single" w:sz="4" w:space="0" w:color="auto"/>
              <w:bottom w:val="single" w:sz="4" w:space="0" w:color="auto"/>
              <w:right w:val="single" w:sz="4" w:space="0" w:color="auto"/>
            </w:tcBorders>
            <w:shd w:val="clear" w:color="auto" w:fill="auto"/>
            <w:hideMark/>
          </w:tcPr>
          <w:p w:rsidR="00FE04DB" w:rsidRPr="003A5AE5" w:rsidRDefault="00FE04DB" w:rsidP="00033ED9">
            <w:pPr>
              <w:pStyle w:val="TableFigureFooter"/>
              <w:jc w:val="left"/>
              <w:rPr>
                <w:b/>
                <w:bCs/>
              </w:rPr>
            </w:pPr>
            <w:r w:rsidRPr="003A5AE5">
              <w:rPr>
                <w:b/>
                <w:bCs/>
              </w:rPr>
              <w:t>Trabectedin</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E04DB" w:rsidRPr="003A5AE5" w:rsidRDefault="00FE04DB" w:rsidP="00033ED9">
            <w:pPr>
              <w:pStyle w:val="TableFigureFooter"/>
              <w:jc w:val="left"/>
              <w:rPr>
                <w:b/>
                <w:bCs/>
              </w:rPr>
            </w:pPr>
            <w:r w:rsidRPr="003A5AE5">
              <w:rPr>
                <w:b/>
                <w:bCs/>
              </w:rPr>
              <w:t>Dacarbazine</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FE04DB" w:rsidRPr="003A5AE5" w:rsidRDefault="00FE04DB" w:rsidP="00033ED9">
            <w:pPr>
              <w:pStyle w:val="TableFigureFooter"/>
              <w:jc w:val="left"/>
              <w:rPr>
                <w:b/>
                <w:bCs/>
              </w:rPr>
            </w:pPr>
            <w:r w:rsidRPr="003A5AE5">
              <w:rPr>
                <w:b/>
                <w:bCs/>
              </w:rPr>
              <w:t xml:space="preserve">Hazard ratio </w:t>
            </w:r>
            <w:r w:rsidRPr="003A5AE5">
              <w:rPr>
                <w:b/>
                <w:bCs/>
              </w:rPr>
              <w:br/>
              <w:t>(95% CI)</w:t>
            </w:r>
          </w:p>
        </w:tc>
      </w:tr>
      <w:tr w:rsidR="00FE04DB" w:rsidRPr="003A5AE5" w:rsidTr="007621D6">
        <w:tc>
          <w:tcPr>
            <w:tcW w:w="2258" w:type="dxa"/>
            <w:tcBorders>
              <w:top w:val="single" w:sz="4" w:space="0" w:color="auto"/>
              <w:left w:val="single" w:sz="4" w:space="0" w:color="auto"/>
              <w:bottom w:val="single" w:sz="4" w:space="0" w:color="auto"/>
              <w:right w:val="nil"/>
            </w:tcBorders>
            <w:shd w:val="clear" w:color="auto" w:fill="auto"/>
            <w:hideMark/>
          </w:tcPr>
          <w:p w:rsidR="00FE04DB" w:rsidRPr="003A5AE5" w:rsidRDefault="00FE04DB" w:rsidP="00033ED9">
            <w:pPr>
              <w:pStyle w:val="TableFigureFooter"/>
              <w:rPr>
                <w:b/>
                <w:bCs/>
                <w:u w:val="single"/>
              </w:rPr>
            </w:pPr>
            <w:r w:rsidRPr="003A5AE5">
              <w:rPr>
                <w:b/>
                <w:bCs/>
                <w:u w:val="single"/>
              </w:rPr>
              <w:t>Overall Survival</w:t>
            </w:r>
          </w:p>
        </w:tc>
        <w:tc>
          <w:tcPr>
            <w:tcW w:w="1990" w:type="dxa"/>
            <w:tcBorders>
              <w:top w:val="single" w:sz="4" w:space="0" w:color="auto"/>
              <w:left w:val="nil"/>
              <w:bottom w:val="single" w:sz="4" w:space="0" w:color="auto"/>
              <w:right w:val="nil"/>
            </w:tcBorders>
            <w:shd w:val="clear" w:color="auto" w:fill="auto"/>
          </w:tcPr>
          <w:p w:rsidR="00FE04DB" w:rsidRPr="003A5AE5" w:rsidRDefault="00FE04DB" w:rsidP="00033ED9">
            <w:pPr>
              <w:pStyle w:val="TableFigureFooter"/>
              <w:jc w:val="left"/>
              <w:rPr>
                <w:b/>
                <w:bCs/>
              </w:rPr>
            </w:pPr>
          </w:p>
        </w:tc>
        <w:tc>
          <w:tcPr>
            <w:tcW w:w="2126" w:type="dxa"/>
            <w:tcBorders>
              <w:top w:val="single" w:sz="4" w:space="0" w:color="auto"/>
              <w:left w:val="nil"/>
              <w:bottom w:val="single" w:sz="4" w:space="0" w:color="auto"/>
              <w:right w:val="nil"/>
            </w:tcBorders>
            <w:shd w:val="clear" w:color="auto" w:fill="auto"/>
          </w:tcPr>
          <w:p w:rsidR="00FE04DB" w:rsidRPr="003A5AE5" w:rsidRDefault="00FE04DB" w:rsidP="00033ED9">
            <w:pPr>
              <w:pStyle w:val="TableFigureFooter"/>
              <w:jc w:val="left"/>
              <w:rPr>
                <w:b/>
              </w:rPr>
            </w:pPr>
          </w:p>
        </w:tc>
        <w:tc>
          <w:tcPr>
            <w:tcW w:w="2552" w:type="dxa"/>
            <w:tcBorders>
              <w:top w:val="single" w:sz="4" w:space="0" w:color="auto"/>
              <w:left w:val="nil"/>
              <w:bottom w:val="single" w:sz="4" w:space="0" w:color="auto"/>
              <w:right w:val="single" w:sz="4" w:space="0" w:color="auto"/>
            </w:tcBorders>
            <w:shd w:val="clear" w:color="auto" w:fill="auto"/>
          </w:tcPr>
          <w:p w:rsidR="00FE04DB" w:rsidRPr="003A5AE5" w:rsidRDefault="00FE04DB" w:rsidP="00033ED9">
            <w:pPr>
              <w:pStyle w:val="TableFigureFooter"/>
              <w:jc w:val="left"/>
              <w:rPr>
                <w:bCs/>
              </w:rPr>
            </w:pPr>
          </w:p>
        </w:tc>
      </w:tr>
      <w:tr w:rsidR="00FE04DB" w:rsidRPr="003A5AE5" w:rsidTr="007621D6">
        <w:tc>
          <w:tcPr>
            <w:tcW w:w="2258" w:type="dxa"/>
            <w:tcBorders>
              <w:top w:val="single" w:sz="4" w:space="0" w:color="auto"/>
              <w:left w:val="single" w:sz="4" w:space="0" w:color="auto"/>
              <w:bottom w:val="single" w:sz="4" w:space="0" w:color="auto"/>
              <w:right w:val="nil"/>
            </w:tcBorders>
            <w:shd w:val="clear" w:color="auto" w:fill="auto"/>
          </w:tcPr>
          <w:p w:rsidR="00FE04DB" w:rsidRPr="003A5AE5" w:rsidRDefault="00FE04DB" w:rsidP="00033ED9">
            <w:pPr>
              <w:pStyle w:val="TableFigureFooter"/>
              <w:rPr>
                <w:b/>
                <w:bCs/>
              </w:rPr>
            </w:pPr>
            <w:r w:rsidRPr="003A5AE5">
              <w:rPr>
                <w:b/>
                <w:bCs/>
              </w:rPr>
              <w:t>ITT</w:t>
            </w:r>
          </w:p>
        </w:tc>
        <w:tc>
          <w:tcPr>
            <w:tcW w:w="1990" w:type="dxa"/>
            <w:tcBorders>
              <w:top w:val="single" w:sz="4" w:space="0" w:color="auto"/>
              <w:left w:val="nil"/>
              <w:bottom w:val="single" w:sz="4" w:space="0" w:color="auto"/>
              <w:right w:val="nil"/>
            </w:tcBorders>
            <w:shd w:val="clear" w:color="auto" w:fill="auto"/>
          </w:tcPr>
          <w:p w:rsidR="00FE04DB" w:rsidRPr="003A5AE5" w:rsidRDefault="00FE04DB" w:rsidP="00033ED9">
            <w:pPr>
              <w:pStyle w:val="TableFigureFooter"/>
              <w:jc w:val="left"/>
              <w:rPr>
                <w:b/>
                <w:bCs/>
              </w:rPr>
            </w:pPr>
          </w:p>
        </w:tc>
        <w:tc>
          <w:tcPr>
            <w:tcW w:w="2126" w:type="dxa"/>
            <w:tcBorders>
              <w:top w:val="single" w:sz="4" w:space="0" w:color="auto"/>
              <w:left w:val="nil"/>
              <w:bottom w:val="single" w:sz="4" w:space="0" w:color="auto"/>
              <w:right w:val="nil"/>
            </w:tcBorders>
            <w:shd w:val="clear" w:color="auto" w:fill="auto"/>
          </w:tcPr>
          <w:p w:rsidR="00FE04DB" w:rsidRPr="003A5AE5" w:rsidRDefault="00FE04DB" w:rsidP="00033ED9">
            <w:pPr>
              <w:pStyle w:val="TableFigureFooter"/>
              <w:jc w:val="left"/>
              <w:rPr>
                <w:b/>
              </w:rPr>
            </w:pPr>
          </w:p>
        </w:tc>
        <w:tc>
          <w:tcPr>
            <w:tcW w:w="2552" w:type="dxa"/>
            <w:tcBorders>
              <w:top w:val="single" w:sz="4" w:space="0" w:color="auto"/>
              <w:left w:val="nil"/>
              <w:bottom w:val="single" w:sz="4" w:space="0" w:color="auto"/>
              <w:right w:val="single" w:sz="4" w:space="0" w:color="auto"/>
            </w:tcBorders>
            <w:shd w:val="clear" w:color="auto" w:fill="auto"/>
          </w:tcPr>
          <w:p w:rsidR="00FE04DB" w:rsidRPr="003A5AE5" w:rsidRDefault="00FE04DB" w:rsidP="00033ED9">
            <w:pPr>
              <w:pStyle w:val="TableFigureFooter"/>
              <w:jc w:val="left"/>
              <w:rPr>
                <w:bCs/>
              </w:rPr>
            </w:pPr>
          </w:p>
        </w:tc>
      </w:tr>
      <w:tr w:rsidR="00FE04DB" w:rsidRPr="003A5AE5" w:rsidTr="007621D6">
        <w:tc>
          <w:tcPr>
            <w:tcW w:w="2258" w:type="dxa"/>
            <w:tcBorders>
              <w:top w:val="single" w:sz="4" w:space="0" w:color="auto"/>
              <w:left w:val="single" w:sz="4" w:space="0" w:color="auto"/>
              <w:bottom w:val="single" w:sz="4" w:space="0" w:color="auto"/>
              <w:right w:val="single" w:sz="4" w:space="0" w:color="auto"/>
            </w:tcBorders>
            <w:shd w:val="clear" w:color="auto" w:fill="auto"/>
            <w:hideMark/>
          </w:tcPr>
          <w:p w:rsidR="00FE04DB" w:rsidRPr="003A5AE5" w:rsidRDefault="00FE04DB" w:rsidP="00033ED9">
            <w:pPr>
              <w:pStyle w:val="TableFigureFooter"/>
            </w:pPr>
            <w:r w:rsidRPr="003A5AE5">
              <w:t>Number of events</w:t>
            </w:r>
          </w:p>
        </w:tc>
        <w:tc>
          <w:tcPr>
            <w:tcW w:w="1990" w:type="dxa"/>
            <w:tcBorders>
              <w:top w:val="single" w:sz="4" w:space="0" w:color="auto"/>
              <w:left w:val="single" w:sz="4" w:space="0" w:color="auto"/>
              <w:bottom w:val="single" w:sz="4" w:space="0" w:color="auto"/>
              <w:right w:val="single" w:sz="4" w:space="0" w:color="auto"/>
            </w:tcBorders>
            <w:shd w:val="clear" w:color="auto" w:fill="auto"/>
            <w:hideMark/>
          </w:tcPr>
          <w:p w:rsidR="00FE04DB" w:rsidRPr="003A5AE5" w:rsidRDefault="00FE04DB" w:rsidP="00033ED9">
            <w:pPr>
              <w:pStyle w:val="TableFigureFooter"/>
              <w:jc w:val="left"/>
            </w:pPr>
            <w:r w:rsidRPr="003A5AE5">
              <w:rPr>
                <w:bCs/>
              </w:rPr>
              <w:t>258/384 (67.2)</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E04DB" w:rsidRPr="003A5AE5" w:rsidRDefault="00FE04DB" w:rsidP="00033ED9">
            <w:pPr>
              <w:pStyle w:val="TableFigureFooter"/>
              <w:jc w:val="left"/>
              <w:rPr>
                <w:bCs/>
              </w:rPr>
            </w:pPr>
            <w:r w:rsidRPr="003A5AE5">
              <w:rPr>
                <w:bCs/>
              </w:rPr>
              <w:t>123/193 (63.7)</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FE04DB" w:rsidRPr="003A5AE5" w:rsidRDefault="00FE04DB" w:rsidP="00033ED9">
            <w:pPr>
              <w:pStyle w:val="TableFigureFooter"/>
              <w:jc w:val="left"/>
              <w:rPr>
                <w:bCs/>
              </w:rPr>
            </w:pPr>
          </w:p>
        </w:tc>
      </w:tr>
      <w:tr w:rsidR="00FE04DB" w:rsidRPr="003A5AE5" w:rsidTr="007621D6">
        <w:tc>
          <w:tcPr>
            <w:tcW w:w="2258" w:type="dxa"/>
            <w:tcBorders>
              <w:top w:val="single" w:sz="4" w:space="0" w:color="auto"/>
              <w:left w:val="single" w:sz="4" w:space="0" w:color="auto"/>
              <w:bottom w:val="single" w:sz="4" w:space="0" w:color="auto"/>
              <w:right w:val="single" w:sz="4" w:space="0" w:color="auto"/>
            </w:tcBorders>
            <w:shd w:val="clear" w:color="auto" w:fill="auto"/>
            <w:hideMark/>
          </w:tcPr>
          <w:p w:rsidR="00FE04DB" w:rsidRPr="003A5AE5" w:rsidRDefault="00FE04DB" w:rsidP="00033ED9">
            <w:pPr>
              <w:pStyle w:val="TableFigureFooter"/>
            </w:pPr>
            <w:r w:rsidRPr="003A5AE5">
              <w:t>Median – months (95% CI)</w:t>
            </w:r>
          </w:p>
        </w:tc>
        <w:tc>
          <w:tcPr>
            <w:tcW w:w="1990" w:type="dxa"/>
            <w:tcBorders>
              <w:top w:val="single" w:sz="4" w:space="0" w:color="auto"/>
              <w:left w:val="single" w:sz="4" w:space="0" w:color="auto"/>
              <w:bottom w:val="single" w:sz="4" w:space="0" w:color="auto"/>
              <w:right w:val="single" w:sz="4" w:space="0" w:color="auto"/>
            </w:tcBorders>
            <w:shd w:val="clear" w:color="auto" w:fill="auto"/>
            <w:hideMark/>
          </w:tcPr>
          <w:p w:rsidR="00FE04DB" w:rsidRPr="003A5AE5" w:rsidRDefault="00FE04DB" w:rsidP="00033ED9">
            <w:pPr>
              <w:pStyle w:val="TableFigureFooter"/>
              <w:jc w:val="left"/>
            </w:pPr>
            <w:r w:rsidRPr="003A5AE5">
              <w:rPr>
                <w:bCs/>
              </w:rPr>
              <w:t>13.73 (12.16, 16.00</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E04DB" w:rsidRPr="003A5AE5" w:rsidRDefault="00FE04DB" w:rsidP="00033ED9">
            <w:pPr>
              <w:pStyle w:val="TableFigureFooter"/>
              <w:jc w:val="left"/>
              <w:rPr>
                <w:bCs/>
              </w:rPr>
            </w:pPr>
            <w:r w:rsidRPr="003A5AE5">
              <w:rPr>
                <w:bCs/>
              </w:rPr>
              <w:t>13.14 (9.10, 16.23)</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FE04DB" w:rsidRPr="003A5AE5" w:rsidRDefault="00FE04DB" w:rsidP="00033ED9">
            <w:pPr>
              <w:pStyle w:val="TableFigureFooter"/>
              <w:jc w:val="left"/>
              <w:rPr>
                <w:bCs/>
              </w:rPr>
            </w:pPr>
            <w:r w:rsidRPr="003A5AE5">
              <w:rPr>
                <w:bCs/>
              </w:rPr>
              <w:t>0.927 (0.748, 1.150)</w:t>
            </w:r>
          </w:p>
        </w:tc>
      </w:tr>
      <w:tr w:rsidR="00FE04DB" w:rsidRPr="003A5AE5" w:rsidTr="007621D6">
        <w:tc>
          <w:tcPr>
            <w:tcW w:w="2258" w:type="dxa"/>
            <w:tcBorders>
              <w:top w:val="single" w:sz="4" w:space="0" w:color="auto"/>
              <w:left w:val="single" w:sz="4" w:space="0" w:color="auto"/>
              <w:bottom w:val="single" w:sz="4" w:space="0" w:color="auto"/>
              <w:right w:val="nil"/>
            </w:tcBorders>
            <w:shd w:val="clear" w:color="auto" w:fill="auto"/>
            <w:hideMark/>
          </w:tcPr>
          <w:p w:rsidR="00FE04DB" w:rsidRPr="003A5AE5" w:rsidRDefault="00FE04DB" w:rsidP="00033ED9">
            <w:pPr>
              <w:pStyle w:val="TableFigureFooter"/>
              <w:rPr>
                <w:b/>
                <w:bCs/>
              </w:rPr>
            </w:pPr>
            <w:r w:rsidRPr="003A5AE5">
              <w:rPr>
                <w:b/>
                <w:bCs/>
              </w:rPr>
              <w:t>Leiomyosarcoma</w:t>
            </w:r>
          </w:p>
        </w:tc>
        <w:tc>
          <w:tcPr>
            <w:tcW w:w="1990" w:type="dxa"/>
            <w:tcBorders>
              <w:top w:val="single" w:sz="4" w:space="0" w:color="auto"/>
              <w:left w:val="nil"/>
              <w:bottom w:val="single" w:sz="4" w:space="0" w:color="auto"/>
              <w:right w:val="nil"/>
            </w:tcBorders>
            <w:shd w:val="clear" w:color="auto" w:fill="auto"/>
          </w:tcPr>
          <w:p w:rsidR="00FE04DB" w:rsidRPr="003A5AE5" w:rsidRDefault="00FE04DB" w:rsidP="00033ED9">
            <w:pPr>
              <w:pStyle w:val="TableFigureFooter"/>
              <w:jc w:val="left"/>
              <w:rPr>
                <w:b/>
                <w:bCs/>
              </w:rPr>
            </w:pPr>
          </w:p>
        </w:tc>
        <w:tc>
          <w:tcPr>
            <w:tcW w:w="2126" w:type="dxa"/>
            <w:tcBorders>
              <w:top w:val="single" w:sz="4" w:space="0" w:color="auto"/>
              <w:left w:val="nil"/>
              <w:bottom w:val="single" w:sz="4" w:space="0" w:color="auto"/>
              <w:right w:val="nil"/>
            </w:tcBorders>
            <w:shd w:val="clear" w:color="auto" w:fill="auto"/>
          </w:tcPr>
          <w:p w:rsidR="00FE04DB" w:rsidRPr="003A5AE5" w:rsidRDefault="00FE04DB" w:rsidP="00033ED9">
            <w:pPr>
              <w:pStyle w:val="TableFigureFooter"/>
              <w:jc w:val="left"/>
              <w:rPr>
                <w:b/>
              </w:rPr>
            </w:pPr>
          </w:p>
        </w:tc>
        <w:tc>
          <w:tcPr>
            <w:tcW w:w="2552" w:type="dxa"/>
            <w:tcBorders>
              <w:top w:val="single" w:sz="4" w:space="0" w:color="auto"/>
              <w:left w:val="nil"/>
              <w:bottom w:val="single" w:sz="4" w:space="0" w:color="auto"/>
              <w:right w:val="single" w:sz="4" w:space="0" w:color="auto"/>
            </w:tcBorders>
            <w:shd w:val="clear" w:color="auto" w:fill="auto"/>
          </w:tcPr>
          <w:p w:rsidR="00FE04DB" w:rsidRPr="003A5AE5" w:rsidRDefault="00FE04DB" w:rsidP="00033ED9">
            <w:pPr>
              <w:pStyle w:val="TableFigureFooter"/>
              <w:jc w:val="left"/>
              <w:rPr>
                <w:bCs/>
              </w:rPr>
            </w:pPr>
          </w:p>
        </w:tc>
      </w:tr>
      <w:tr w:rsidR="00FE04DB" w:rsidRPr="003A5AE5" w:rsidTr="007621D6">
        <w:tc>
          <w:tcPr>
            <w:tcW w:w="2258" w:type="dxa"/>
            <w:tcBorders>
              <w:top w:val="single" w:sz="4" w:space="0" w:color="auto"/>
              <w:left w:val="single" w:sz="4" w:space="0" w:color="auto"/>
              <w:bottom w:val="single" w:sz="4" w:space="0" w:color="auto"/>
              <w:right w:val="single" w:sz="4" w:space="0" w:color="auto"/>
            </w:tcBorders>
            <w:shd w:val="clear" w:color="auto" w:fill="auto"/>
            <w:hideMark/>
          </w:tcPr>
          <w:p w:rsidR="00FE04DB" w:rsidRPr="003A5AE5" w:rsidRDefault="00FE04DB" w:rsidP="00033ED9">
            <w:pPr>
              <w:pStyle w:val="TableFigureFooter"/>
            </w:pPr>
            <w:r w:rsidRPr="003A5AE5">
              <w:t>Number of events</w:t>
            </w:r>
          </w:p>
        </w:tc>
        <w:tc>
          <w:tcPr>
            <w:tcW w:w="1990" w:type="dxa"/>
            <w:tcBorders>
              <w:top w:val="single" w:sz="4" w:space="0" w:color="auto"/>
              <w:left w:val="single" w:sz="4" w:space="0" w:color="auto"/>
              <w:bottom w:val="single" w:sz="4" w:space="0" w:color="auto"/>
              <w:right w:val="single" w:sz="4" w:space="0" w:color="auto"/>
            </w:tcBorders>
            <w:shd w:val="clear" w:color="auto" w:fill="auto"/>
            <w:hideMark/>
          </w:tcPr>
          <w:p w:rsidR="00FE04DB" w:rsidRPr="003A5AE5" w:rsidRDefault="00FE04DB" w:rsidP="00033ED9">
            <w:pPr>
              <w:pStyle w:val="TableFigureFooter"/>
              <w:jc w:val="left"/>
            </w:pPr>
            <w:r w:rsidRPr="003A5AE5">
              <w:rPr>
                <w:bCs/>
              </w:rPr>
              <w:t>187/282 (63.8)</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E04DB" w:rsidRPr="003A5AE5" w:rsidRDefault="00FE04DB" w:rsidP="00033ED9">
            <w:pPr>
              <w:pStyle w:val="TableFigureFooter"/>
              <w:jc w:val="left"/>
              <w:rPr>
                <w:bCs/>
              </w:rPr>
            </w:pPr>
            <w:r w:rsidRPr="003A5AE5">
              <w:rPr>
                <w:bCs/>
              </w:rPr>
              <w:t>91/141 (64.5)</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FE04DB" w:rsidRPr="003A5AE5" w:rsidRDefault="00FE04DB" w:rsidP="00033ED9">
            <w:pPr>
              <w:pStyle w:val="TableFigureFooter"/>
              <w:jc w:val="left"/>
              <w:rPr>
                <w:bCs/>
              </w:rPr>
            </w:pPr>
          </w:p>
        </w:tc>
      </w:tr>
      <w:tr w:rsidR="00FE04DB" w:rsidRPr="003A5AE5" w:rsidTr="007621D6">
        <w:tc>
          <w:tcPr>
            <w:tcW w:w="2258" w:type="dxa"/>
            <w:tcBorders>
              <w:top w:val="single" w:sz="4" w:space="0" w:color="auto"/>
              <w:left w:val="single" w:sz="4" w:space="0" w:color="auto"/>
              <w:bottom w:val="single" w:sz="4" w:space="0" w:color="auto"/>
              <w:right w:val="single" w:sz="4" w:space="0" w:color="auto"/>
            </w:tcBorders>
            <w:shd w:val="clear" w:color="auto" w:fill="auto"/>
            <w:hideMark/>
          </w:tcPr>
          <w:p w:rsidR="00FE04DB" w:rsidRPr="003A5AE5" w:rsidRDefault="00FE04DB" w:rsidP="00033ED9">
            <w:pPr>
              <w:pStyle w:val="TableFigureFooter"/>
            </w:pPr>
            <w:r w:rsidRPr="003A5AE5">
              <w:t>Median – months (95% CI)</w:t>
            </w:r>
          </w:p>
        </w:tc>
        <w:tc>
          <w:tcPr>
            <w:tcW w:w="1990" w:type="dxa"/>
            <w:tcBorders>
              <w:top w:val="single" w:sz="4" w:space="0" w:color="auto"/>
              <w:left w:val="single" w:sz="4" w:space="0" w:color="auto"/>
              <w:bottom w:val="single" w:sz="4" w:space="0" w:color="auto"/>
              <w:right w:val="single" w:sz="4" w:space="0" w:color="auto"/>
            </w:tcBorders>
            <w:shd w:val="clear" w:color="auto" w:fill="auto"/>
            <w:hideMark/>
          </w:tcPr>
          <w:p w:rsidR="00FE04DB" w:rsidRPr="003A5AE5" w:rsidRDefault="00FE04DB" w:rsidP="00033ED9">
            <w:pPr>
              <w:pStyle w:val="TableFigureFooter"/>
              <w:jc w:val="left"/>
            </w:pPr>
            <w:r w:rsidRPr="003A5AE5">
              <w:rPr>
                <w:bCs/>
              </w:rPr>
              <w:t>14.1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E04DB" w:rsidRPr="003A5AE5" w:rsidRDefault="00FE04DB" w:rsidP="00033ED9">
            <w:pPr>
              <w:pStyle w:val="TableFigureFooter"/>
              <w:jc w:val="left"/>
              <w:rPr>
                <w:bCs/>
              </w:rPr>
            </w:pPr>
            <w:r w:rsidRPr="003A5AE5">
              <w:rPr>
                <w:bCs/>
              </w:rPr>
              <w:t>13.6</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FE04DB" w:rsidRPr="003A5AE5" w:rsidRDefault="00FE04DB" w:rsidP="00033ED9">
            <w:pPr>
              <w:pStyle w:val="TableFigureFooter"/>
              <w:jc w:val="left"/>
              <w:rPr>
                <w:bCs/>
              </w:rPr>
            </w:pPr>
            <w:r w:rsidRPr="003A5AE5">
              <w:rPr>
                <w:bCs/>
              </w:rPr>
              <w:t>0.892 (0.694, 1.147)</w:t>
            </w:r>
          </w:p>
        </w:tc>
      </w:tr>
      <w:tr w:rsidR="00FE04DB" w:rsidRPr="003A5AE5" w:rsidTr="007621D6">
        <w:tc>
          <w:tcPr>
            <w:tcW w:w="2258" w:type="dxa"/>
            <w:tcBorders>
              <w:top w:val="single" w:sz="4" w:space="0" w:color="auto"/>
              <w:left w:val="single" w:sz="4" w:space="0" w:color="auto"/>
              <w:bottom w:val="single" w:sz="4" w:space="0" w:color="auto"/>
              <w:right w:val="nil"/>
            </w:tcBorders>
            <w:shd w:val="clear" w:color="auto" w:fill="auto"/>
            <w:hideMark/>
          </w:tcPr>
          <w:p w:rsidR="00FE04DB" w:rsidRPr="003A5AE5" w:rsidRDefault="00FE04DB" w:rsidP="00033ED9">
            <w:pPr>
              <w:pStyle w:val="TableFigureFooter"/>
              <w:rPr>
                <w:b/>
                <w:bCs/>
              </w:rPr>
            </w:pPr>
            <w:r w:rsidRPr="003A5AE5">
              <w:rPr>
                <w:b/>
                <w:bCs/>
              </w:rPr>
              <w:t>Liposarcoma</w:t>
            </w:r>
          </w:p>
        </w:tc>
        <w:tc>
          <w:tcPr>
            <w:tcW w:w="1990" w:type="dxa"/>
            <w:tcBorders>
              <w:top w:val="single" w:sz="4" w:space="0" w:color="auto"/>
              <w:left w:val="nil"/>
              <w:bottom w:val="single" w:sz="4" w:space="0" w:color="auto"/>
              <w:right w:val="nil"/>
            </w:tcBorders>
            <w:shd w:val="clear" w:color="auto" w:fill="auto"/>
          </w:tcPr>
          <w:p w:rsidR="00FE04DB" w:rsidRPr="003A5AE5" w:rsidRDefault="00FE04DB" w:rsidP="00033ED9">
            <w:pPr>
              <w:pStyle w:val="TableFigureFooter"/>
              <w:jc w:val="left"/>
              <w:rPr>
                <w:b/>
                <w:bCs/>
              </w:rPr>
            </w:pPr>
          </w:p>
        </w:tc>
        <w:tc>
          <w:tcPr>
            <w:tcW w:w="2126" w:type="dxa"/>
            <w:tcBorders>
              <w:top w:val="single" w:sz="4" w:space="0" w:color="auto"/>
              <w:left w:val="nil"/>
              <w:bottom w:val="single" w:sz="4" w:space="0" w:color="auto"/>
              <w:right w:val="nil"/>
            </w:tcBorders>
            <w:shd w:val="clear" w:color="auto" w:fill="auto"/>
          </w:tcPr>
          <w:p w:rsidR="00FE04DB" w:rsidRPr="003A5AE5" w:rsidRDefault="00FE04DB" w:rsidP="00033ED9">
            <w:pPr>
              <w:pStyle w:val="TableFigureFooter"/>
              <w:jc w:val="left"/>
              <w:rPr>
                <w:b/>
              </w:rPr>
            </w:pPr>
          </w:p>
        </w:tc>
        <w:tc>
          <w:tcPr>
            <w:tcW w:w="2552" w:type="dxa"/>
            <w:tcBorders>
              <w:top w:val="single" w:sz="4" w:space="0" w:color="auto"/>
              <w:left w:val="nil"/>
              <w:bottom w:val="single" w:sz="4" w:space="0" w:color="auto"/>
              <w:right w:val="single" w:sz="4" w:space="0" w:color="auto"/>
            </w:tcBorders>
            <w:shd w:val="clear" w:color="auto" w:fill="auto"/>
          </w:tcPr>
          <w:p w:rsidR="00FE04DB" w:rsidRPr="003A5AE5" w:rsidRDefault="00FE04DB" w:rsidP="00033ED9">
            <w:pPr>
              <w:pStyle w:val="TableFigureFooter"/>
              <w:jc w:val="left"/>
              <w:rPr>
                <w:bCs/>
              </w:rPr>
            </w:pPr>
          </w:p>
        </w:tc>
      </w:tr>
      <w:tr w:rsidR="00FE04DB" w:rsidRPr="003A5AE5" w:rsidTr="007621D6">
        <w:tc>
          <w:tcPr>
            <w:tcW w:w="2258" w:type="dxa"/>
            <w:tcBorders>
              <w:top w:val="single" w:sz="4" w:space="0" w:color="auto"/>
              <w:left w:val="single" w:sz="4" w:space="0" w:color="auto"/>
              <w:bottom w:val="single" w:sz="4" w:space="0" w:color="auto"/>
              <w:right w:val="single" w:sz="4" w:space="0" w:color="auto"/>
            </w:tcBorders>
            <w:shd w:val="clear" w:color="auto" w:fill="auto"/>
            <w:hideMark/>
          </w:tcPr>
          <w:p w:rsidR="00FE04DB" w:rsidRPr="003A5AE5" w:rsidRDefault="00FE04DB" w:rsidP="00033ED9">
            <w:pPr>
              <w:pStyle w:val="TableFigureFooter"/>
            </w:pPr>
            <w:r w:rsidRPr="003A5AE5">
              <w:t>Number of events</w:t>
            </w:r>
          </w:p>
        </w:tc>
        <w:tc>
          <w:tcPr>
            <w:tcW w:w="1990" w:type="dxa"/>
            <w:tcBorders>
              <w:top w:val="single" w:sz="4" w:space="0" w:color="auto"/>
              <w:left w:val="single" w:sz="4" w:space="0" w:color="auto"/>
              <w:bottom w:val="single" w:sz="4" w:space="0" w:color="auto"/>
              <w:right w:val="single" w:sz="4" w:space="0" w:color="auto"/>
            </w:tcBorders>
            <w:shd w:val="clear" w:color="auto" w:fill="auto"/>
            <w:hideMark/>
          </w:tcPr>
          <w:p w:rsidR="00FE04DB" w:rsidRPr="003A5AE5" w:rsidRDefault="00FE04DB" w:rsidP="00033ED9">
            <w:pPr>
              <w:pStyle w:val="TableFigureFooter"/>
              <w:jc w:val="left"/>
            </w:pPr>
            <w:r w:rsidRPr="003A5AE5">
              <w:rPr>
                <w:bCs/>
              </w:rPr>
              <w:t>71/102 (69.6%)</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E04DB" w:rsidRPr="003A5AE5" w:rsidRDefault="00FE04DB" w:rsidP="00033ED9">
            <w:pPr>
              <w:pStyle w:val="TableFigureFooter"/>
              <w:jc w:val="left"/>
              <w:rPr>
                <w:bCs/>
              </w:rPr>
            </w:pPr>
            <w:r w:rsidRPr="003A5AE5">
              <w:rPr>
                <w:bCs/>
              </w:rPr>
              <w:t>35/52 (67.3%)</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FE04DB" w:rsidRPr="003A5AE5" w:rsidRDefault="00FE04DB" w:rsidP="00033ED9">
            <w:pPr>
              <w:pStyle w:val="TableFigureFooter"/>
              <w:jc w:val="left"/>
              <w:rPr>
                <w:bCs/>
              </w:rPr>
            </w:pPr>
          </w:p>
        </w:tc>
      </w:tr>
      <w:tr w:rsidR="00FE04DB" w:rsidRPr="003A5AE5" w:rsidTr="007621D6">
        <w:tc>
          <w:tcPr>
            <w:tcW w:w="2258" w:type="dxa"/>
            <w:tcBorders>
              <w:top w:val="single" w:sz="4" w:space="0" w:color="auto"/>
              <w:left w:val="single" w:sz="4" w:space="0" w:color="auto"/>
              <w:bottom w:val="single" w:sz="4" w:space="0" w:color="auto"/>
              <w:right w:val="single" w:sz="4" w:space="0" w:color="auto"/>
            </w:tcBorders>
            <w:shd w:val="clear" w:color="auto" w:fill="auto"/>
            <w:hideMark/>
          </w:tcPr>
          <w:p w:rsidR="00FE04DB" w:rsidRPr="003A5AE5" w:rsidRDefault="00FE04DB" w:rsidP="00033ED9">
            <w:pPr>
              <w:pStyle w:val="TableFigureFooter"/>
            </w:pPr>
            <w:r w:rsidRPr="003A5AE5">
              <w:t>Median – months (95% CI)</w:t>
            </w:r>
          </w:p>
        </w:tc>
        <w:tc>
          <w:tcPr>
            <w:tcW w:w="1990" w:type="dxa"/>
            <w:tcBorders>
              <w:top w:val="single" w:sz="4" w:space="0" w:color="auto"/>
              <w:left w:val="single" w:sz="4" w:space="0" w:color="auto"/>
              <w:bottom w:val="single" w:sz="4" w:space="0" w:color="auto"/>
              <w:right w:val="single" w:sz="4" w:space="0" w:color="auto"/>
            </w:tcBorders>
            <w:shd w:val="clear" w:color="auto" w:fill="auto"/>
            <w:hideMark/>
          </w:tcPr>
          <w:p w:rsidR="00FE04DB" w:rsidRPr="003A5AE5" w:rsidRDefault="00FE04DB" w:rsidP="00033ED9">
            <w:pPr>
              <w:pStyle w:val="TableFigureFooter"/>
              <w:jc w:val="left"/>
            </w:pPr>
            <w:r w:rsidRPr="003A5AE5">
              <w:rPr>
                <w:bCs/>
              </w:rPr>
              <w:t>13.1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E04DB" w:rsidRPr="003A5AE5" w:rsidRDefault="00FE04DB" w:rsidP="00033ED9">
            <w:pPr>
              <w:pStyle w:val="TableFigureFooter"/>
              <w:jc w:val="left"/>
              <w:rPr>
                <w:bCs/>
              </w:rPr>
            </w:pPr>
            <w:r w:rsidRPr="003A5AE5">
              <w:rPr>
                <w:bCs/>
              </w:rPr>
              <w:t>12.6</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FE04DB" w:rsidRPr="003A5AE5" w:rsidRDefault="00FE04DB" w:rsidP="00033ED9">
            <w:pPr>
              <w:pStyle w:val="TableFigureFooter"/>
              <w:jc w:val="left"/>
              <w:rPr>
                <w:bCs/>
              </w:rPr>
            </w:pPr>
            <w:r w:rsidRPr="003A5AE5">
              <w:rPr>
                <w:bCs/>
              </w:rPr>
              <w:t>1.048 (0.687, 1.600)</w:t>
            </w:r>
          </w:p>
        </w:tc>
      </w:tr>
      <w:tr w:rsidR="00FE04DB" w:rsidRPr="003A5AE5" w:rsidTr="007621D6">
        <w:tc>
          <w:tcPr>
            <w:tcW w:w="8926" w:type="dxa"/>
            <w:gridSpan w:val="4"/>
            <w:tcBorders>
              <w:top w:val="single" w:sz="4" w:space="0" w:color="auto"/>
              <w:left w:val="single" w:sz="4" w:space="0" w:color="auto"/>
              <w:bottom w:val="single" w:sz="4" w:space="0" w:color="auto"/>
              <w:right w:val="single" w:sz="4" w:space="0" w:color="auto"/>
            </w:tcBorders>
            <w:shd w:val="clear" w:color="auto" w:fill="auto"/>
          </w:tcPr>
          <w:p w:rsidR="00FE04DB" w:rsidRPr="003A5AE5" w:rsidRDefault="00FE04DB" w:rsidP="00033ED9">
            <w:pPr>
              <w:pStyle w:val="TableFigureFooter"/>
              <w:rPr>
                <w:b/>
                <w:u w:val="single"/>
              </w:rPr>
            </w:pPr>
            <w:r w:rsidRPr="003A5AE5">
              <w:rPr>
                <w:b/>
                <w:u w:val="single"/>
              </w:rPr>
              <w:t>Progression-free Survival</w:t>
            </w:r>
          </w:p>
        </w:tc>
      </w:tr>
      <w:tr w:rsidR="00FE04DB" w:rsidRPr="003A5AE5" w:rsidTr="007621D6">
        <w:tc>
          <w:tcPr>
            <w:tcW w:w="8926" w:type="dxa"/>
            <w:gridSpan w:val="4"/>
            <w:tcBorders>
              <w:top w:val="single" w:sz="4" w:space="0" w:color="auto"/>
              <w:left w:val="single" w:sz="4" w:space="0" w:color="auto"/>
              <w:bottom w:val="single" w:sz="4" w:space="0" w:color="auto"/>
              <w:right w:val="single" w:sz="4" w:space="0" w:color="auto"/>
            </w:tcBorders>
            <w:shd w:val="clear" w:color="auto" w:fill="auto"/>
          </w:tcPr>
          <w:p w:rsidR="00FE04DB" w:rsidRPr="003A5AE5" w:rsidRDefault="00FE04DB" w:rsidP="00033ED9">
            <w:pPr>
              <w:pStyle w:val="TableFigureFooter"/>
              <w:rPr>
                <w:b/>
              </w:rPr>
            </w:pPr>
            <w:r w:rsidRPr="003A5AE5">
              <w:rPr>
                <w:b/>
              </w:rPr>
              <w:t>ITT</w:t>
            </w:r>
          </w:p>
        </w:tc>
      </w:tr>
      <w:tr w:rsidR="00FE04DB" w:rsidRPr="003A5AE5" w:rsidTr="007621D6">
        <w:tc>
          <w:tcPr>
            <w:tcW w:w="2258" w:type="dxa"/>
            <w:tcBorders>
              <w:top w:val="single" w:sz="4" w:space="0" w:color="auto"/>
              <w:left w:val="single" w:sz="4" w:space="0" w:color="auto"/>
              <w:bottom w:val="single" w:sz="4" w:space="0" w:color="auto"/>
              <w:right w:val="single" w:sz="4" w:space="0" w:color="auto"/>
            </w:tcBorders>
            <w:shd w:val="clear" w:color="auto" w:fill="auto"/>
          </w:tcPr>
          <w:p w:rsidR="00FE04DB" w:rsidRPr="003A5AE5" w:rsidRDefault="00FE04DB" w:rsidP="00033ED9">
            <w:pPr>
              <w:pStyle w:val="TableFigureFooter"/>
            </w:pPr>
            <w:r w:rsidRPr="003A5AE5">
              <w:t>Number of events</w:t>
            </w: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FE04DB" w:rsidRPr="003A5AE5" w:rsidRDefault="00FE04DB" w:rsidP="00033ED9">
            <w:pPr>
              <w:pStyle w:val="TableFigureFooter"/>
              <w:jc w:val="left"/>
              <w:rPr>
                <w:bCs/>
              </w:rPr>
            </w:pPr>
            <w:r w:rsidRPr="003A5AE5">
              <w:rPr>
                <w:bCs/>
                <w:iCs/>
              </w:rPr>
              <w:t>217/345 (62.9%)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E04DB" w:rsidRPr="003A5AE5" w:rsidRDefault="00FE04DB" w:rsidP="00033ED9">
            <w:pPr>
              <w:pStyle w:val="TableFigureFooter"/>
              <w:jc w:val="left"/>
              <w:rPr>
                <w:bCs/>
              </w:rPr>
            </w:pPr>
            <w:r w:rsidRPr="003A5AE5">
              <w:rPr>
                <w:bCs/>
                <w:iCs/>
              </w:rPr>
              <w:t>112/173 (64.7%)</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FE04DB" w:rsidRPr="003A5AE5" w:rsidRDefault="00FE04DB" w:rsidP="00033ED9">
            <w:pPr>
              <w:pStyle w:val="TableFigureFooter"/>
              <w:jc w:val="left"/>
              <w:rPr>
                <w:bCs/>
              </w:rPr>
            </w:pPr>
          </w:p>
        </w:tc>
      </w:tr>
      <w:tr w:rsidR="00FE04DB" w:rsidRPr="003A5AE5" w:rsidTr="007621D6">
        <w:tc>
          <w:tcPr>
            <w:tcW w:w="2258" w:type="dxa"/>
            <w:tcBorders>
              <w:top w:val="single" w:sz="4" w:space="0" w:color="auto"/>
              <w:left w:val="single" w:sz="4" w:space="0" w:color="auto"/>
              <w:bottom w:val="single" w:sz="4" w:space="0" w:color="auto"/>
              <w:right w:val="single" w:sz="4" w:space="0" w:color="auto"/>
            </w:tcBorders>
            <w:shd w:val="clear" w:color="auto" w:fill="auto"/>
          </w:tcPr>
          <w:p w:rsidR="00FE04DB" w:rsidRPr="003A5AE5" w:rsidRDefault="00FE04DB" w:rsidP="00033ED9">
            <w:pPr>
              <w:pStyle w:val="TableFigureFooter"/>
            </w:pPr>
            <w:r w:rsidRPr="003A5AE5">
              <w:t>Median – months (95% CI)</w:t>
            </w: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FE04DB" w:rsidRPr="003A5AE5" w:rsidRDefault="00FE04DB" w:rsidP="00033ED9">
            <w:pPr>
              <w:pStyle w:val="TableFigureFooter"/>
              <w:jc w:val="left"/>
              <w:rPr>
                <w:bCs/>
                <w:i/>
                <w:iCs/>
              </w:rPr>
            </w:pPr>
            <w:r w:rsidRPr="003A5AE5">
              <w:rPr>
                <w:bCs/>
              </w:rPr>
              <w:t>4.21 (2.99, 4.83)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E04DB" w:rsidRPr="003A5AE5" w:rsidRDefault="00FE04DB" w:rsidP="00033ED9">
            <w:pPr>
              <w:pStyle w:val="TableFigureFooter"/>
              <w:jc w:val="left"/>
              <w:rPr>
                <w:bCs/>
                <w:i/>
                <w:iCs/>
              </w:rPr>
            </w:pPr>
            <w:r w:rsidRPr="003A5AE5">
              <w:rPr>
                <w:bCs/>
              </w:rPr>
              <w:t>1.54 (1.48, 2.60)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FE04DB" w:rsidRPr="003A5AE5" w:rsidRDefault="00FE04DB" w:rsidP="00033ED9">
            <w:pPr>
              <w:pStyle w:val="TableFigureFooter"/>
              <w:jc w:val="left"/>
              <w:rPr>
                <w:bCs/>
                <w:i/>
                <w:iCs/>
              </w:rPr>
            </w:pPr>
            <w:r w:rsidRPr="003A5AE5">
              <w:rPr>
                <w:bCs/>
              </w:rPr>
              <w:t>0.550 (0.436, 0.696)</w:t>
            </w:r>
          </w:p>
        </w:tc>
      </w:tr>
      <w:tr w:rsidR="00FE04DB" w:rsidRPr="003A5AE5" w:rsidTr="007621D6">
        <w:tc>
          <w:tcPr>
            <w:tcW w:w="2258" w:type="dxa"/>
            <w:tcBorders>
              <w:top w:val="single" w:sz="4" w:space="0" w:color="auto"/>
              <w:left w:val="single" w:sz="4" w:space="0" w:color="auto"/>
              <w:bottom w:val="single" w:sz="4" w:space="0" w:color="auto"/>
              <w:right w:val="single" w:sz="4" w:space="0" w:color="auto"/>
            </w:tcBorders>
            <w:shd w:val="clear" w:color="auto" w:fill="auto"/>
          </w:tcPr>
          <w:p w:rsidR="00FE04DB" w:rsidRPr="003A5AE5" w:rsidRDefault="00FE04DB" w:rsidP="00033ED9">
            <w:pPr>
              <w:pStyle w:val="TableFigureFooter"/>
            </w:pPr>
            <w:r w:rsidRPr="003A5AE5">
              <w:rPr>
                <w:b/>
                <w:bCs/>
              </w:rPr>
              <w:t>Leiomyosarcoma</w:t>
            </w: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FE04DB" w:rsidRPr="003A5AE5" w:rsidRDefault="00FE04DB" w:rsidP="00033ED9">
            <w:pPr>
              <w:pStyle w:val="TableFigureFooter"/>
              <w:jc w:val="left"/>
              <w:rPr>
                <w:b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E04DB" w:rsidRPr="003A5AE5" w:rsidRDefault="00FE04DB" w:rsidP="00033ED9">
            <w:pPr>
              <w:pStyle w:val="TableFigureFooter"/>
              <w:jc w:val="left"/>
              <w:rPr>
                <w:bC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FE04DB" w:rsidRPr="003A5AE5" w:rsidRDefault="00FE04DB" w:rsidP="00033ED9">
            <w:pPr>
              <w:pStyle w:val="TableFigureFooter"/>
              <w:jc w:val="left"/>
              <w:rPr>
                <w:bCs/>
              </w:rPr>
            </w:pPr>
          </w:p>
        </w:tc>
      </w:tr>
      <w:tr w:rsidR="00FE04DB" w:rsidRPr="003A5AE5" w:rsidTr="007621D6">
        <w:tc>
          <w:tcPr>
            <w:tcW w:w="2258" w:type="dxa"/>
            <w:tcBorders>
              <w:top w:val="single" w:sz="4" w:space="0" w:color="auto"/>
              <w:left w:val="single" w:sz="4" w:space="0" w:color="auto"/>
              <w:bottom w:val="single" w:sz="4" w:space="0" w:color="auto"/>
              <w:right w:val="single" w:sz="4" w:space="0" w:color="auto"/>
            </w:tcBorders>
            <w:shd w:val="clear" w:color="auto" w:fill="auto"/>
          </w:tcPr>
          <w:p w:rsidR="00FE04DB" w:rsidRPr="003A5AE5" w:rsidRDefault="00FE04DB" w:rsidP="00033ED9">
            <w:pPr>
              <w:pStyle w:val="TableFigureFooter"/>
              <w:rPr>
                <w:b/>
                <w:bCs/>
              </w:rPr>
            </w:pPr>
            <w:r w:rsidRPr="003A5AE5">
              <w:t>Number of events</w:t>
            </w: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FE04DB" w:rsidRPr="003A5AE5" w:rsidRDefault="00FE04DB" w:rsidP="00033ED9">
            <w:pPr>
              <w:pStyle w:val="TableFigureFooter"/>
              <w:jc w:val="left"/>
              <w:rPr>
                <w:bCs/>
              </w:rPr>
            </w:pPr>
            <w:r w:rsidRPr="003A5AE5">
              <w:rPr>
                <w:bCs/>
              </w:rPr>
              <w:t>154/252 (61.1%)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E04DB" w:rsidRPr="003A5AE5" w:rsidRDefault="00FE04DB" w:rsidP="00033ED9">
            <w:pPr>
              <w:pStyle w:val="TableFigureFooter"/>
              <w:jc w:val="left"/>
              <w:rPr>
                <w:bCs/>
              </w:rPr>
            </w:pPr>
            <w:r w:rsidRPr="003A5AE5">
              <w:rPr>
                <w:bCs/>
              </w:rPr>
              <w:t>85/126 (67.5%)</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FE04DB" w:rsidRPr="003A5AE5" w:rsidRDefault="00FE04DB" w:rsidP="00033ED9">
            <w:pPr>
              <w:pStyle w:val="TableFigureFooter"/>
              <w:jc w:val="left"/>
              <w:rPr>
                <w:bCs/>
              </w:rPr>
            </w:pPr>
          </w:p>
        </w:tc>
      </w:tr>
      <w:tr w:rsidR="00FE04DB" w:rsidRPr="003A5AE5" w:rsidTr="007621D6">
        <w:tc>
          <w:tcPr>
            <w:tcW w:w="2258" w:type="dxa"/>
            <w:tcBorders>
              <w:top w:val="single" w:sz="4" w:space="0" w:color="auto"/>
              <w:left w:val="single" w:sz="4" w:space="0" w:color="auto"/>
              <w:bottom w:val="single" w:sz="4" w:space="0" w:color="auto"/>
              <w:right w:val="single" w:sz="4" w:space="0" w:color="auto"/>
            </w:tcBorders>
            <w:shd w:val="clear" w:color="auto" w:fill="auto"/>
          </w:tcPr>
          <w:p w:rsidR="00FE04DB" w:rsidRPr="003A5AE5" w:rsidRDefault="00FE04DB" w:rsidP="00033ED9">
            <w:pPr>
              <w:pStyle w:val="TableFigureFooter"/>
            </w:pPr>
            <w:r w:rsidRPr="003A5AE5">
              <w:t>Median – months (95% CI)</w:t>
            </w: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FE04DB" w:rsidRPr="003A5AE5" w:rsidRDefault="00FE04DB" w:rsidP="00033ED9">
            <w:pPr>
              <w:pStyle w:val="TableFigureFooter"/>
              <w:jc w:val="left"/>
              <w:rPr>
                <w:bCs/>
              </w:rPr>
            </w:pPr>
            <w:r w:rsidRPr="003A5AE5">
              <w:rPr>
                <w:bCs/>
              </w:rPr>
              <w:t>4.3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E04DB" w:rsidRPr="003A5AE5" w:rsidRDefault="00FE04DB" w:rsidP="00033ED9">
            <w:pPr>
              <w:pStyle w:val="TableFigureFooter"/>
              <w:jc w:val="left"/>
              <w:rPr>
                <w:bCs/>
              </w:rPr>
            </w:pPr>
            <w:r w:rsidRPr="003A5AE5">
              <w:rPr>
                <w:bCs/>
              </w:rPr>
              <w:t>1.6</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FE04DB" w:rsidRPr="003A5AE5" w:rsidRDefault="00FE04DB" w:rsidP="00033ED9">
            <w:pPr>
              <w:pStyle w:val="TableFigureFooter"/>
              <w:jc w:val="left"/>
              <w:rPr>
                <w:bCs/>
              </w:rPr>
            </w:pPr>
            <w:r w:rsidRPr="003A5AE5">
              <w:rPr>
                <w:bCs/>
              </w:rPr>
              <w:t>0.555 (0.423, 0.727)</w:t>
            </w:r>
          </w:p>
        </w:tc>
      </w:tr>
      <w:tr w:rsidR="00FE04DB" w:rsidRPr="003A5AE5" w:rsidTr="007621D6">
        <w:tc>
          <w:tcPr>
            <w:tcW w:w="2258" w:type="dxa"/>
            <w:tcBorders>
              <w:top w:val="single" w:sz="4" w:space="0" w:color="auto"/>
              <w:left w:val="single" w:sz="4" w:space="0" w:color="auto"/>
              <w:bottom w:val="single" w:sz="4" w:space="0" w:color="auto"/>
              <w:right w:val="single" w:sz="4" w:space="0" w:color="auto"/>
            </w:tcBorders>
            <w:shd w:val="clear" w:color="auto" w:fill="auto"/>
          </w:tcPr>
          <w:p w:rsidR="00FE04DB" w:rsidRPr="003A5AE5" w:rsidRDefault="00FE04DB" w:rsidP="00033ED9">
            <w:pPr>
              <w:pStyle w:val="TableFigureFooter"/>
            </w:pPr>
            <w:r w:rsidRPr="003A5AE5">
              <w:rPr>
                <w:b/>
                <w:bCs/>
              </w:rPr>
              <w:t>Liposarcoma</w:t>
            </w: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FE04DB" w:rsidRPr="003A5AE5" w:rsidRDefault="00FE04DB" w:rsidP="00033ED9">
            <w:pPr>
              <w:pStyle w:val="TableFigureFooter"/>
              <w:jc w:val="left"/>
              <w:rPr>
                <w:b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E04DB" w:rsidRPr="003A5AE5" w:rsidRDefault="00FE04DB" w:rsidP="00033ED9">
            <w:pPr>
              <w:pStyle w:val="TableFigureFooter"/>
              <w:jc w:val="left"/>
              <w:rPr>
                <w:bC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FE04DB" w:rsidRPr="003A5AE5" w:rsidRDefault="00FE04DB" w:rsidP="00033ED9">
            <w:pPr>
              <w:pStyle w:val="TableFigureFooter"/>
              <w:jc w:val="left"/>
              <w:rPr>
                <w:bCs/>
              </w:rPr>
            </w:pPr>
          </w:p>
        </w:tc>
      </w:tr>
      <w:tr w:rsidR="00FE04DB" w:rsidRPr="003A5AE5" w:rsidTr="007621D6">
        <w:tc>
          <w:tcPr>
            <w:tcW w:w="2258" w:type="dxa"/>
            <w:tcBorders>
              <w:top w:val="single" w:sz="4" w:space="0" w:color="auto"/>
              <w:left w:val="single" w:sz="4" w:space="0" w:color="auto"/>
              <w:bottom w:val="single" w:sz="4" w:space="0" w:color="auto"/>
              <w:right w:val="single" w:sz="4" w:space="0" w:color="auto"/>
            </w:tcBorders>
            <w:shd w:val="clear" w:color="auto" w:fill="auto"/>
          </w:tcPr>
          <w:p w:rsidR="00FE04DB" w:rsidRPr="003A5AE5" w:rsidRDefault="00FE04DB" w:rsidP="00033ED9">
            <w:pPr>
              <w:pStyle w:val="TableFigureFooter"/>
              <w:rPr>
                <w:b/>
                <w:bCs/>
              </w:rPr>
            </w:pPr>
            <w:r w:rsidRPr="003A5AE5">
              <w:t>Number of events</w:t>
            </w: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FE04DB" w:rsidRPr="003A5AE5" w:rsidRDefault="00FE04DB" w:rsidP="00033ED9">
            <w:pPr>
              <w:pStyle w:val="TableFigureFooter"/>
              <w:jc w:val="left"/>
              <w:rPr>
                <w:bCs/>
              </w:rPr>
            </w:pPr>
            <w:r w:rsidRPr="003A5AE5">
              <w:rPr>
                <w:bCs/>
              </w:rPr>
              <w:t>63/93 (67.7%)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E04DB" w:rsidRPr="003A5AE5" w:rsidRDefault="00FE04DB" w:rsidP="00033ED9">
            <w:pPr>
              <w:pStyle w:val="TableFigureFooter"/>
              <w:jc w:val="left"/>
              <w:rPr>
                <w:bCs/>
              </w:rPr>
            </w:pPr>
            <w:r w:rsidRPr="003A5AE5">
              <w:rPr>
                <w:bCs/>
              </w:rPr>
              <w:t>27/47(57.4%)</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FE04DB" w:rsidRPr="003A5AE5" w:rsidRDefault="00FE04DB" w:rsidP="00033ED9">
            <w:pPr>
              <w:pStyle w:val="TableFigureFooter"/>
              <w:jc w:val="left"/>
              <w:rPr>
                <w:bCs/>
              </w:rPr>
            </w:pPr>
          </w:p>
        </w:tc>
      </w:tr>
      <w:tr w:rsidR="00FE04DB" w:rsidRPr="003A5AE5" w:rsidTr="007621D6">
        <w:tc>
          <w:tcPr>
            <w:tcW w:w="2258" w:type="dxa"/>
            <w:tcBorders>
              <w:top w:val="single" w:sz="4" w:space="0" w:color="auto"/>
              <w:left w:val="single" w:sz="4" w:space="0" w:color="auto"/>
              <w:bottom w:val="single" w:sz="4" w:space="0" w:color="auto"/>
              <w:right w:val="single" w:sz="4" w:space="0" w:color="auto"/>
            </w:tcBorders>
            <w:shd w:val="clear" w:color="auto" w:fill="auto"/>
          </w:tcPr>
          <w:p w:rsidR="00FE04DB" w:rsidRPr="003A5AE5" w:rsidRDefault="00FE04DB" w:rsidP="00033ED9">
            <w:pPr>
              <w:pStyle w:val="TableFigureFooter"/>
            </w:pPr>
            <w:r w:rsidRPr="003A5AE5">
              <w:t>Median – months (95% CI)</w:t>
            </w: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FE04DB" w:rsidRPr="003A5AE5" w:rsidRDefault="00FE04DB" w:rsidP="00033ED9">
            <w:pPr>
              <w:pStyle w:val="TableFigureFooter"/>
              <w:jc w:val="left"/>
              <w:rPr>
                <w:bCs/>
              </w:rPr>
            </w:pPr>
            <w:r w:rsidRPr="003A5AE5">
              <w:rPr>
                <w:bCs/>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E04DB" w:rsidRPr="003A5AE5" w:rsidRDefault="00FE04DB" w:rsidP="00033ED9">
            <w:pPr>
              <w:pStyle w:val="TableFigureFooter"/>
              <w:jc w:val="left"/>
              <w:rPr>
                <w:bCs/>
              </w:rPr>
            </w:pPr>
            <w:r w:rsidRPr="003A5AE5">
              <w:rPr>
                <w:bCs/>
              </w:rPr>
              <w:t>1.5</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FE04DB" w:rsidRPr="003A5AE5" w:rsidRDefault="00FE04DB" w:rsidP="00033ED9">
            <w:pPr>
              <w:pStyle w:val="TableFigureFooter"/>
              <w:jc w:val="left"/>
              <w:rPr>
                <w:bCs/>
              </w:rPr>
            </w:pPr>
            <w:r w:rsidRPr="003A5AE5">
              <w:rPr>
                <w:bCs/>
              </w:rPr>
              <w:t>0.546 (0.341, 0.873)</w:t>
            </w:r>
          </w:p>
        </w:tc>
      </w:tr>
    </w:tbl>
    <w:p w:rsidR="002241BC" w:rsidRPr="003A5AE5" w:rsidRDefault="00FE04DB" w:rsidP="00033ED9">
      <w:pPr>
        <w:pStyle w:val="TableFigureFooter"/>
        <w:jc w:val="left"/>
      </w:pPr>
      <w:r w:rsidRPr="003A5AE5">
        <w:t>Source: Table 60, pp 139-140 and Table 63, p 141 of the submission.</w:t>
      </w:r>
      <w:r w:rsidRPr="003A5AE5">
        <w:br/>
        <w:t xml:space="preserve">CI = confidence interval; ITT = Intention-to-treat population; </w:t>
      </w:r>
      <w:r w:rsidRPr="003A5AE5">
        <w:rPr>
          <w:i/>
          <w:iCs/>
        </w:rPr>
        <w:t>n =</w:t>
      </w:r>
      <w:r w:rsidRPr="003A5AE5">
        <w:t xml:space="preserve"> number of participants with event; </w:t>
      </w:r>
      <w:r w:rsidRPr="003A5AE5">
        <w:rPr>
          <w:i/>
          <w:iCs/>
        </w:rPr>
        <w:t>N =</w:t>
      </w:r>
      <w:r w:rsidRPr="003A5AE5">
        <w:t xml:space="preserve"> total participants in group</w:t>
      </w:r>
    </w:p>
    <w:p w:rsidR="00F5082C" w:rsidRPr="003A5AE5" w:rsidRDefault="00BF656B" w:rsidP="00033ED9">
      <w:pPr>
        <w:pStyle w:val="3-BodyText"/>
      </w:pPr>
      <w:r w:rsidRPr="003A5AE5">
        <w:rPr>
          <w:snapToGrid/>
        </w:rPr>
        <w:t>In Study 3007, 252/384 (73%)</w:t>
      </w:r>
      <w:r w:rsidR="00B364C6" w:rsidRPr="003A5AE5">
        <w:rPr>
          <w:snapToGrid/>
        </w:rPr>
        <w:t xml:space="preserve"> patients in</w:t>
      </w:r>
      <w:r w:rsidRPr="003A5AE5">
        <w:rPr>
          <w:snapToGrid/>
        </w:rPr>
        <w:t xml:space="preserve"> the trabectedin arm had LMS, compared to 109/246 (44%) </w:t>
      </w:r>
      <w:r w:rsidR="00B364C6" w:rsidRPr="003A5AE5">
        <w:rPr>
          <w:snapToGrid/>
        </w:rPr>
        <w:t xml:space="preserve">patients </w:t>
      </w:r>
      <w:r w:rsidRPr="003A5AE5">
        <w:rPr>
          <w:snapToGrid/>
        </w:rPr>
        <w:t>in the pazopanib arm of PALETTE.</w:t>
      </w:r>
      <w:r w:rsidR="00513536" w:rsidRPr="003A5AE5">
        <w:rPr>
          <w:snapToGrid/>
        </w:rPr>
        <w:t xml:space="preserve"> The PFS and OS results for the LMS patients in Study 3007 and PALETTE are summarised below.</w:t>
      </w:r>
    </w:p>
    <w:p w:rsidR="00F5082C" w:rsidRPr="003A5AE5" w:rsidRDefault="00F5082C" w:rsidP="00033ED9">
      <w:pPr>
        <w:pStyle w:val="TableHeading0"/>
      </w:pPr>
      <w:r w:rsidRPr="003A5AE5">
        <w:t xml:space="preserve">Table </w:t>
      </w:r>
      <w:r w:rsidR="00C534E3" w:rsidRPr="003A5AE5">
        <w:t>5</w:t>
      </w:r>
      <w:r w:rsidRPr="003A5AE5">
        <w:t>: Summary of results of the indirect comparison for overall survival and progression free survival in LMS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738"/>
        <w:gridCol w:w="1738"/>
        <w:gridCol w:w="2733"/>
      </w:tblGrid>
      <w:tr w:rsidR="00F5082C" w:rsidRPr="003A5AE5" w:rsidTr="00F5082C">
        <w:trPr>
          <w:tblHeader/>
        </w:trPr>
        <w:tc>
          <w:tcPr>
            <w:tcW w:w="2808" w:type="dxa"/>
            <w:tcBorders>
              <w:top w:val="single" w:sz="4" w:space="0" w:color="auto"/>
              <w:left w:val="single" w:sz="4" w:space="0" w:color="auto"/>
              <w:bottom w:val="single" w:sz="4" w:space="0" w:color="auto"/>
              <w:right w:val="single" w:sz="4" w:space="0" w:color="auto"/>
            </w:tcBorders>
            <w:shd w:val="clear" w:color="auto" w:fill="auto"/>
            <w:hideMark/>
          </w:tcPr>
          <w:p w:rsidR="00F5082C" w:rsidRPr="003A5AE5" w:rsidRDefault="00F5082C" w:rsidP="00033ED9">
            <w:pPr>
              <w:pStyle w:val="TableHeading"/>
            </w:pPr>
            <w:r w:rsidRPr="003A5AE5">
              <w:t>Comparison [Trial ID]</w:t>
            </w:r>
          </w:p>
        </w:tc>
        <w:tc>
          <w:tcPr>
            <w:tcW w:w="1738" w:type="dxa"/>
            <w:tcBorders>
              <w:top w:val="single" w:sz="4" w:space="0" w:color="auto"/>
              <w:left w:val="single" w:sz="4" w:space="0" w:color="auto"/>
              <w:bottom w:val="single" w:sz="4" w:space="0" w:color="auto"/>
              <w:right w:val="single" w:sz="4" w:space="0" w:color="auto"/>
            </w:tcBorders>
            <w:shd w:val="clear" w:color="auto" w:fill="auto"/>
            <w:hideMark/>
          </w:tcPr>
          <w:p w:rsidR="00F5082C" w:rsidRPr="003A5AE5" w:rsidRDefault="00792062" w:rsidP="00033ED9">
            <w:pPr>
              <w:pStyle w:val="TableHeading"/>
              <w:jc w:val="center"/>
            </w:pPr>
            <w:r w:rsidRPr="003A5AE5">
              <w:t>Interventional</w:t>
            </w:r>
            <w:r w:rsidR="00F5082C" w:rsidRPr="003A5AE5">
              <w:br/>
              <w:t xml:space="preserve">Median – months </w:t>
            </w:r>
            <w:r w:rsidR="00F5082C" w:rsidRPr="003A5AE5">
              <w:br/>
              <w:t>(95% CI)</w:t>
            </w:r>
          </w:p>
        </w:tc>
        <w:tc>
          <w:tcPr>
            <w:tcW w:w="1738" w:type="dxa"/>
            <w:tcBorders>
              <w:top w:val="single" w:sz="4" w:space="0" w:color="auto"/>
              <w:left w:val="single" w:sz="4" w:space="0" w:color="auto"/>
              <w:bottom w:val="single" w:sz="4" w:space="0" w:color="auto"/>
              <w:right w:val="single" w:sz="4" w:space="0" w:color="auto"/>
            </w:tcBorders>
            <w:shd w:val="clear" w:color="auto" w:fill="auto"/>
            <w:hideMark/>
          </w:tcPr>
          <w:p w:rsidR="00F5082C" w:rsidRPr="003A5AE5" w:rsidRDefault="00792062" w:rsidP="00033ED9">
            <w:pPr>
              <w:pStyle w:val="TableHeading"/>
              <w:jc w:val="center"/>
            </w:pPr>
            <w:r w:rsidRPr="003A5AE5">
              <w:t>Comparator</w:t>
            </w:r>
            <w:r w:rsidR="00F5082C" w:rsidRPr="003A5AE5">
              <w:br/>
              <w:t xml:space="preserve">Median – months </w:t>
            </w:r>
            <w:r w:rsidR="00F5082C" w:rsidRPr="003A5AE5">
              <w:br/>
              <w:t>(95% CI)</w:t>
            </w:r>
          </w:p>
        </w:tc>
        <w:tc>
          <w:tcPr>
            <w:tcW w:w="2733" w:type="dxa"/>
            <w:tcBorders>
              <w:top w:val="single" w:sz="4" w:space="0" w:color="auto"/>
              <w:left w:val="single" w:sz="4" w:space="0" w:color="auto"/>
              <w:bottom w:val="single" w:sz="4" w:space="0" w:color="auto"/>
              <w:right w:val="single" w:sz="4" w:space="0" w:color="auto"/>
            </w:tcBorders>
            <w:shd w:val="clear" w:color="auto" w:fill="auto"/>
            <w:hideMark/>
          </w:tcPr>
          <w:p w:rsidR="00F5082C" w:rsidRPr="003A5AE5" w:rsidRDefault="00F5082C" w:rsidP="00033ED9">
            <w:pPr>
              <w:pStyle w:val="TableHeading"/>
              <w:jc w:val="center"/>
            </w:pPr>
            <w:r w:rsidRPr="003A5AE5">
              <w:t xml:space="preserve">Hazard ratio </w:t>
            </w:r>
            <w:r w:rsidRPr="003A5AE5">
              <w:br/>
            </w:r>
            <w:r w:rsidRPr="003A5AE5">
              <w:br/>
              <w:t>(95% CI)</w:t>
            </w:r>
          </w:p>
        </w:tc>
      </w:tr>
      <w:tr w:rsidR="00F5082C" w:rsidRPr="003A5AE5" w:rsidTr="00F5082C">
        <w:trPr>
          <w:tblHeader/>
        </w:trPr>
        <w:tc>
          <w:tcPr>
            <w:tcW w:w="9017" w:type="dxa"/>
            <w:gridSpan w:val="4"/>
            <w:tcBorders>
              <w:top w:val="single" w:sz="4" w:space="0" w:color="auto"/>
              <w:left w:val="single" w:sz="4" w:space="0" w:color="auto"/>
              <w:bottom w:val="single" w:sz="4" w:space="0" w:color="auto"/>
              <w:right w:val="single" w:sz="4" w:space="0" w:color="auto"/>
            </w:tcBorders>
            <w:shd w:val="clear" w:color="auto" w:fill="auto"/>
          </w:tcPr>
          <w:p w:rsidR="00F5082C" w:rsidRPr="003A5AE5" w:rsidRDefault="00F5082C" w:rsidP="00033ED9">
            <w:pPr>
              <w:pStyle w:val="TableHeading"/>
            </w:pPr>
            <w:r w:rsidRPr="003A5AE5">
              <w:t>Overall Survival</w:t>
            </w:r>
          </w:p>
        </w:tc>
      </w:tr>
      <w:tr w:rsidR="00F5082C" w:rsidRPr="003A5AE5" w:rsidTr="00F5082C">
        <w:tc>
          <w:tcPr>
            <w:tcW w:w="2808" w:type="dxa"/>
            <w:tcBorders>
              <w:top w:val="single" w:sz="4" w:space="0" w:color="auto"/>
              <w:left w:val="single" w:sz="4" w:space="0" w:color="auto"/>
              <w:bottom w:val="single" w:sz="4" w:space="0" w:color="auto"/>
              <w:right w:val="single" w:sz="4" w:space="0" w:color="auto"/>
            </w:tcBorders>
            <w:shd w:val="clear" w:color="auto" w:fill="auto"/>
            <w:hideMark/>
          </w:tcPr>
          <w:p w:rsidR="00F5082C" w:rsidRPr="003A5AE5" w:rsidRDefault="00F5082C" w:rsidP="00033ED9">
            <w:pPr>
              <w:pStyle w:val="TableText0"/>
              <w:rPr>
                <w:b/>
              </w:rPr>
            </w:pPr>
            <w:r w:rsidRPr="003A5AE5">
              <w:t>Trabectedin vs dacarbazine [3007]</w:t>
            </w:r>
          </w:p>
        </w:tc>
        <w:tc>
          <w:tcPr>
            <w:tcW w:w="1738" w:type="dxa"/>
            <w:tcBorders>
              <w:top w:val="single" w:sz="4" w:space="0" w:color="auto"/>
              <w:left w:val="single" w:sz="4" w:space="0" w:color="auto"/>
              <w:bottom w:val="single" w:sz="4" w:space="0" w:color="auto"/>
              <w:right w:val="single" w:sz="4" w:space="0" w:color="auto"/>
            </w:tcBorders>
            <w:shd w:val="clear" w:color="auto" w:fill="auto"/>
            <w:hideMark/>
          </w:tcPr>
          <w:p w:rsidR="00F5082C" w:rsidRPr="003A5AE5" w:rsidRDefault="00F5082C" w:rsidP="00033ED9">
            <w:pPr>
              <w:pStyle w:val="TableText0"/>
              <w:jc w:val="center"/>
              <w:rPr>
                <w:b/>
              </w:rPr>
            </w:pPr>
            <w:r w:rsidRPr="003A5AE5">
              <w:t>14.1</w:t>
            </w:r>
          </w:p>
        </w:tc>
        <w:tc>
          <w:tcPr>
            <w:tcW w:w="1738" w:type="dxa"/>
            <w:tcBorders>
              <w:top w:val="single" w:sz="4" w:space="0" w:color="auto"/>
              <w:left w:val="single" w:sz="4" w:space="0" w:color="auto"/>
              <w:bottom w:val="single" w:sz="4" w:space="0" w:color="auto"/>
              <w:right w:val="single" w:sz="4" w:space="0" w:color="auto"/>
            </w:tcBorders>
            <w:shd w:val="clear" w:color="auto" w:fill="auto"/>
            <w:hideMark/>
          </w:tcPr>
          <w:p w:rsidR="00F5082C" w:rsidRPr="003A5AE5" w:rsidRDefault="00F5082C" w:rsidP="00033ED9">
            <w:pPr>
              <w:pStyle w:val="TableText0"/>
              <w:jc w:val="center"/>
              <w:rPr>
                <w:b/>
              </w:rPr>
            </w:pPr>
            <w:r w:rsidRPr="003A5AE5">
              <w:t>13.6</w:t>
            </w:r>
          </w:p>
        </w:tc>
        <w:tc>
          <w:tcPr>
            <w:tcW w:w="2733" w:type="dxa"/>
            <w:tcBorders>
              <w:top w:val="single" w:sz="4" w:space="0" w:color="auto"/>
              <w:left w:val="single" w:sz="4" w:space="0" w:color="auto"/>
              <w:bottom w:val="single" w:sz="4" w:space="0" w:color="auto"/>
              <w:right w:val="single" w:sz="4" w:space="0" w:color="auto"/>
            </w:tcBorders>
            <w:shd w:val="clear" w:color="auto" w:fill="auto"/>
            <w:hideMark/>
          </w:tcPr>
          <w:p w:rsidR="00F5082C" w:rsidRPr="003A5AE5" w:rsidRDefault="00F5082C" w:rsidP="00033ED9">
            <w:pPr>
              <w:pStyle w:val="TableText0"/>
              <w:jc w:val="center"/>
              <w:rPr>
                <w:b/>
              </w:rPr>
            </w:pPr>
            <w:r w:rsidRPr="003A5AE5">
              <w:t>0.892 (0.694, 1.147)</w:t>
            </w:r>
          </w:p>
        </w:tc>
      </w:tr>
      <w:tr w:rsidR="00F5082C" w:rsidRPr="003A5AE5" w:rsidTr="00F5082C">
        <w:tc>
          <w:tcPr>
            <w:tcW w:w="2808" w:type="dxa"/>
            <w:tcBorders>
              <w:top w:val="single" w:sz="4" w:space="0" w:color="auto"/>
              <w:left w:val="single" w:sz="4" w:space="0" w:color="auto"/>
              <w:bottom w:val="single" w:sz="4" w:space="0" w:color="auto"/>
              <w:right w:val="single" w:sz="4" w:space="0" w:color="auto"/>
            </w:tcBorders>
            <w:shd w:val="clear" w:color="auto" w:fill="auto"/>
            <w:hideMark/>
          </w:tcPr>
          <w:p w:rsidR="00F5082C" w:rsidRPr="003A5AE5" w:rsidRDefault="00F5082C" w:rsidP="00033ED9">
            <w:pPr>
              <w:pStyle w:val="TableText0"/>
            </w:pPr>
            <w:r w:rsidRPr="003A5AE5">
              <w:t>Pazopanib vs placebo [PALETTE]</w:t>
            </w:r>
          </w:p>
        </w:tc>
        <w:tc>
          <w:tcPr>
            <w:tcW w:w="1738" w:type="dxa"/>
            <w:tcBorders>
              <w:top w:val="single" w:sz="4" w:space="0" w:color="auto"/>
              <w:left w:val="single" w:sz="4" w:space="0" w:color="auto"/>
              <w:bottom w:val="single" w:sz="4" w:space="0" w:color="auto"/>
              <w:right w:val="single" w:sz="4" w:space="0" w:color="auto"/>
            </w:tcBorders>
            <w:shd w:val="clear" w:color="auto" w:fill="auto"/>
            <w:hideMark/>
          </w:tcPr>
          <w:p w:rsidR="00F5082C" w:rsidRPr="003A5AE5" w:rsidRDefault="00F5082C" w:rsidP="00033ED9">
            <w:pPr>
              <w:pStyle w:val="TableText0"/>
              <w:jc w:val="center"/>
              <w:rPr>
                <w:b/>
              </w:rPr>
            </w:pPr>
            <w:r w:rsidRPr="003A5AE5">
              <w:t>16.7 (12.6, 19.0)</w:t>
            </w:r>
          </w:p>
        </w:tc>
        <w:tc>
          <w:tcPr>
            <w:tcW w:w="1738" w:type="dxa"/>
            <w:tcBorders>
              <w:top w:val="single" w:sz="4" w:space="0" w:color="auto"/>
              <w:left w:val="single" w:sz="4" w:space="0" w:color="auto"/>
              <w:bottom w:val="single" w:sz="4" w:space="0" w:color="auto"/>
              <w:right w:val="single" w:sz="4" w:space="0" w:color="auto"/>
            </w:tcBorders>
            <w:shd w:val="clear" w:color="auto" w:fill="auto"/>
            <w:hideMark/>
          </w:tcPr>
          <w:p w:rsidR="00F5082C" w:rsidRPr="003A5AE5" w:rsidRDefault="00F5082C" w:rsidP="00033ED9">
            <w:pPr>
              <w:pStyle w:val="TableText0"/>
              <w:jc w:val="center"/>
              <w:rPr>
                <w:b/>
              </w:rPr>
            </w:pPr>
            <w:r w:rsidRPr="003A5AE5">
              <w:t>14.1 (11.8, 18.5)</w:t>
            </w:r>
          </w:p>
        </w:tc>
        <w:tc>
          <w:tcPr>
            <w:tcW w:w="2733" w:type="dxa"/>
            <w:tcBorders>
              <w:top w:val="single" w:sz="4" w:space="0" w:color="auto"/>
              <w:left w:val="single" w:sz="4" w:space="0" w:color="auto"/>
              <w:bottom w:val="single" w:sz="4" w:space="0" w:color="auto"/>
              <w:right w:val="single" w:sz="4" w:space="0" w:color="auto"/>
            </w:tcBorders>
            <w:shd w:val="clear" w:color="auto" w:fill="auto"/>
            <w:hideMark/>
          </w:tcPr>
          <w:p w:rsidR="00F5082C" w:rsidRPr="003A5AE5" w:rsidRDefault="00F5082C" w:rsidP="00033ED9">
            <w:pPr>
              <w:pStyle w:val="TableText0"/>
              <w:jc w:val="center"/>
            </w:pPr>
            <w:r w:rsidRPr="003A5AE5">
              <w:t>0.84 (0.56, 1.26)</w:t>
            </w:r>
          </w:p>
        </w:tc>
      </w:tr>
      <w:tr w:rsidR="00F5082C" w:rsidRPr="003A5AE5" w:rsidTr="00F5082C">
        <w:trPr>
          <w:trHeight w:val="163"/>
        </w:trPr>
        <w:tc>
          <w:tcPr>
            <w:tcW w:w="9017" w:type="dxa"/>
            <w:gridSpan w:val="4"/>
            <w:tcBorders>
              <w:top w:val="single" w:sz="4" w:space="0" w:color="auto"/>
              <w:left w:val="single" w:sz="4" w:space="0" w:color="auto"/>
              <w:bottom w:val="single" w:sz="4" w:space="0" w:color="auto"/>
              <w:right w:val="single" w:sz="4" w:space="0" w:color="auto"/>
            </w:tcBorders>
            <w:shd w:val="clear" w:color="auto" w:fill="auto"/>
          </w:tcPr>
          <w:p w:rsidR="00F5082C" w:rsidRPr="003A5AE5" w:rsidRDefault="00F5082C" w:rsidP="00033ED9">
            <w:pPr>
              <w:pStyle w:val="TableText0"/>
              <w:rPr>
                <w:b/>
                <w:bCs w:val="0"/>
              </w:rPr>
            </w:pPr>
            <w:r w:rsidRPr="003A5AE5">
              <w:rPr>
                <w:b/>
                <w:bCs w:val="0"/>
              </w:rPr>
              <w:t>Progression-free Survival</w:t>
            </w:r>
          </w:p>
        </w:tc>
      </w:tr>
      <w:tr w:rsidR="00F5082C" w:rsidRPr="003A5AE5" w:rsidTr="00F5082C">
        <w:tc>
          <w:tcPr>
            <w:tcW w:w="2808" w:type="dxa"/>
            <w:tcBorders>
              <w:top w:val="single" w:sz="4" w:space="0" w:color="auto"/>
              <w:left w:val="single" w:sz="4" w:space="0" w:color="auto"/>
              <w:bottom w:val="single" w:sz="4" w:space="0" w:color="auto"/>
              <w:right w:val="single" w:sz="4" w:space="0" w:color="auto"/>
            </w:tcBorders>
            <w:shd w:val="clear" w:color="auto" w:fill="auto"/>
          </w:tcPr>
          <w:p w:rsidR="00F5082C" w:rsidRPr="003A5AE5" w:rsidRDefault="00F5082C" w:rsidP="00033ED9">
            <w:pPr>
              <w:pStyle w:val="TableText0"/>
            </w:pPr>
            <w:r w:rsidRPr="003A5AE5">
              <w:t>Trabectedin vs dacarbazine [3007]</w:t>
            </w:r>
          </w:p>
        </w:tc>
        <w:tc>
          <w:tcPr>
            <w:tcW w:w="1738" w:type="dxa"/>
            <w:tcBorders>
              <w:top w:val="single" w:sz="4" w:space="0" w:color="auto"/>
              <w:left w:val="single" w:sz="4" w:space="0" w:color="auto"/>
              <w:bottom w:val="single" w:sz="4" w:space="0" w:color="auto"/>
              <w:right w:val="single" w:sz="4" w:space="0" w:color="auto"/>
            </w:tcBorders>
            <w:shd w:val="clear" w:color="auto" w:fill="auto"/>
          </w:tcPr>
          <w:p w:rsidR="00F5082C" w:rsidRPr="003A5AE5" w:rsidRDefault="00F5082C" w:rsidP="00033ED9">
            <w:pPr>
              <w:pStyle w:val="TableText0"/>
              <w:jc w:val="center"/>
            </w:pPr>
            <w:r w:rsidRPr="003A5AE5">
              <w:t>4.3</w:t>
            </w:r>
          </w:p>
        </w:tc>
        <w:tc>
          <w:tcPr>
            <w:tcW w:w="1738" w:type="dxa"/>
            <w:tcBorders>
              <w:top w:val="single" w:sz="4" w:space="0" w:color="auto"/>
              <w:left w:val="single" w:sz="4" w:space="0" w:color="auto"/>
              <w:bottom w:val="single" w:sz="4" w:space="0" w:color="auto"/>
              <w:right w:val="single" w:sz="4" w:space="0" w:color="auto"/>
            </w:tcBorders>
            <w:shd w:val="clear" w:color="auto" w:fill="auto"/>
          </w:tcPr>
          <w:p w:rsidR="00F5082C" w:rsidRPr="003A5AE5" w:rsidRDefault="00F5082C" w:rsidP="00033ED9">
            <w:pPr>
              <w:pStyle w:val="TableText0"/>
              <w:jc w:val="center"/>
            </w:pPr>
            <w:r w:rsidRPr="003A5AE5">
              <w:t>1.6</w:t>
            </w:r>
          </w:p>
        </w:tc>
        <w:tc>
          <w:tcPr>
            <w:tcW w:w="2733" w:type="dxa"/>
            <w:tcBorders>
              <w:top w:val="single" w:sz="4" w:space="0" w:color="auto"/>
              <w:left w:val="single" w:sz="4" w:space="0" w:color="auto"/>
              <w:bottom w:val="single" w:sz="4" w:space="0" w:color="auto"/>
              <w:right w:val="single" w:sz="4" w:space="0" w:color="auto"/>
            </w:tcBorders>
            <w:shd w:val="clear" w:color="auto" w:fill="auto"/>
          </w:tcPr>
          <w:p w:rsidR="00F5082C" w:rsidRPr="003A5AE5" w:rsidRDefault="00F5082C" w:rsidP="00033ED9">
            <w:pPr>
              <w:pStyle w:val="TableText0"/>
              <w:jc w:val="center"/>
            </w:pPr>
            <w:r w:rsidRPr="003A5AE5">
              <w:t>0.555 (0.423, 0.727)</w:t>
            </w:r>
          </w:p>
        </w:tc>
      </w:tr>
      <w:tr w:rsidR="00F5082C" w:rsidRPr="003A5AE5" w:rsidTr="00F5082C">
        <w:tc>
          <w:tcPr>
            <w:tcW w:w="2808" w:type="dxa"/>
            <w:tcBorders>
              <w:top w:val="single" w:sz="4" w:space="0" w:color="auto"/>
              <w:left w:val="single" w:sz="4" w:space="0" w:color="auto"/>
              <w:bottom w:val="single" w:sz="4" w:space="0" w:color="auto"/>
              <w:right w:val="single" w:sz="4" w:space="0" w:color="auto"/>
            </w:tcBorders>
            <w:shd w:val="clear" w:color="auto" w:fill="auto"/>
          </w:tcPr>
          <w:p w:rsidR="00F5082C" w:rsidRPr="003A5AE5" w:rsidRDefault="00F5082C" w:rsidP="00033ED9">
            <w:pPr>
              <w:pStyle w:val="TableText0"/>
              <w:rPr>
                <w:vertAlign w:val="superscript"/>
              </w:rPr>
            </w:pPr>
            <w:r w:rsidRPr="003A5AE5">
              <w:t>Pazopanib vs placebo [PALETTE]</w:t>
            </w:r>
            <w:r w:rsidR="00D222A8" w:rsidRPr="003A5AE5">
              <w:rPr>
                <w:vertAlign w:val="superscript"/>
              </w:rPr>
              <w:t>a</w:t>
            </w:r>
          </w:p>
        </w:tc>
        <w:tc>
          <w:tcPr>
            <w:tcW w:w="1738" w:type="dxa"/>
            <w:tcBorders>
              <w:top w:val="single" w:sz="4" w:space="0" w:color="auto"/>
              <w:left w:val="single" w:sz="4" w:space="0" w:color="auto"/>
              <w:bottom w:val="single" w:sz="4" w:space="0" w:color="auto"/>
              <w:right w:val="single" w:sz="4" w:space="0" w:color="auto"/>
            </w:tcBorders>
            <w:shd w:val="clear" w:color="auto" w:fill="auto"/>
          </w:tcPr>
          <w:p w:rsidR="00F5082C" w:rsidRPr="003A5AE5" w:rsidRDefault="00F5082C" w:rsidP="00033ED9">
            <w:pPr>
              <w:pStyle w:val="TableText0"/>
              <w:jc w:val="center"/>
            </w:pPr>
            <w:r w:rsidRPr="003A5AE5">
              <w:t>4.6 (3.1, 5.3)</w:t>
            </w:r>
          </w:p>
        </w:tc>
        <w:tc>
          <w:tcPr>
            <w:tcW w:w="1738" w:type="dxa"/>
            <w:tcBorders>
              <w:top w:val="single" w:sz="4" w:space="0" w:color="auto"/>
              <w:left w:val="single" w:sz="4" w:space="0" w:color="auto"/>
              <w:bottom w:val="single" w:sz="4" w:space="0" w:color="auto"/>
              <w:right w:val="single" w:sz="4" w:space="0" w:color="auto"/>
            </w:tcBorders>
            <w:shd w:val="clear" w:color="auto" w:fill="auto"/>
          </w:tcPr>
          <w:p w:rsidR="00F5082C" w:rsidRPr="003A5AE5" w:rsidRDefault="00F5082C" w:rsidP="00033ED9">
            <w:pPr>
              <w:pStyle w:val="TableText0"/>
              <w:jc w:val="center"/>
            </w:pPr>
            <w:r w:rsidRPr="003A5AE5">
              <w:t>1.9 (1.8, 2.1)</w:t>
            </w:r>
          </w:p>
        </w:tc>
        <w:tc>
          <w:tcPr>
            <w:tcW w:w="2733" w:type="dxa"/>
            <w:tcBorders>
              <w:top w:val="single" w:sz="4" w:space="0" w:color="auto"/>
              <w:left w:val="single" w:sz="4" w:space="0" w:color="auto"/>
              <w:bottom w:val="single" w:sz="4" w:space="0" w:color="auto"/>
              <w:right w:val="single" w:sz="4" w:space="0" w:color="auto"/>
            </w:tcBorders>
            <w:shd w:val="clear" w:color="auto" w:fill="auto"/>
          </w:tcPr>
          <w:p w:rsidR="00F5082C" w:rsidRPr="003A5AE5" w:rsidRDefault="00F5082C" w:rsidP="00033ED9">
            <w:pPr>
              <w:pStyle w:val="TableText0"/>
              <w:jc w:val="center"/>
            </w:pPr>
            <w:r w:rsidRPr="003A5AE5">
              <w:t>0.37 (0.23</w:t>
            </w:r>
            <w:r w:rsidR="00DF37C4" w:rsidRPr="003A5AE5">
              <w:t xml:space="preserve">, </w:t>
            </w:r>
            <w:r w:rsidRPr="003A5AE5">
              <w:t>0.60)</w:t>
            </w:r>
          </w:p>
        </w:tc>
      </w:tr>
    </w:tbl>
    <w:p w:rsidR="00F5082C" w:rsidRPr="003A5AE5" w:rsidRDefault="00F5082C" w:rsidP="00033ED9">
      <w:pPr>
        <w:pStyle w:val="TableFigureFooter"/>
      </w:pPr>
      <w:r w:rsidRPr="003A5AE5">
        <w:t>Source: Table 72, p 149 and Table 73, p 150 of the submission.</w:t>
      </w:r>
    </w:p>
    <w:p w:rsidR="00EA0BFD" w:rsidRPr="003A5AE5" w:rsidRDefault="00EA0BFD" w:rsidP="00033ED9">
      <w:pPr>
        <w:pStyle w:val="TableFigureFooter"/>
      </w:pPr>
      <w:r w:rsidRPr="003A5AE5">
        <w:rPr>
          <w:vertAlign w:val="superscript"/>
        </w:rPr>
        <w:t>a</w:t>
      </w:r>
      <w:r w:rsidRPr="003A5AE5">
        <w:t xml:space="preserve"> Results reported in weeks and manually converted to months</w:t>
      </w:r>
    </w:p>
    <w:p w:rsidR="00F5082C" w:rsidRPr="003A5AE5" w:rsidRDefault="00F5082C" w:rsidP="00033ED9">
      <w:pPr>
        <w:pStyle w:val="TableFigureFooter"/>
      </w:pPr>
      <w:r w:rsidRPr="003A5AE5">
        <w:t>LMS = Leiomyosarcoma; CI = confidence interval.</w:t>
      </w:r>
    </w:p>
    <w:p w:rsidR="00F5082C" w:rsidRPr="003A5AE5" w:rsidRDefault="00F5082C" w:rsidP="00033ED9">
      <w:pPr>
        <w:pStyle w:val="3-BodyText"/>
      </w:pPr>
      <w:r w:rsidRPr="003A5AE5">
        <w:t>As noted above, the submission acknowledged considerable transitivity issues between Study 3007 and PALETTE and did not perform any statistical analysis between the two studies.</w:t>
      </w:r>
      <w:r w:rsidR="00EF0B41" w:rsidRPr="003A5AE5">
        <w:t xml:space="preserve"> </w:t>
      </w:r>
    </w:p>
    <w:p w:rsidR="00F5082C" w:rsidRPr="003A5AE5" w:rsidRDefault="00F5082C" w:rsidP="00033ED9">
      <w:pPr>
        <w:pStyle w:val="3-BodyText"/>
        <w:rPr>
          <w:color w:val="0066FF"/>
        </w:rPr>
      </w:pPr>
      <w:r w:rsidRPr="003A5AE5">
        <w:t>The submission further presented a published matching-adjusted indirect comparison performed by Jones et al. (2017)</w:t>
      </w:r>
      <w:r w:rsidR="004A4ED1" w:rsidRPr="003A5AE5">
        <w:rPr>
          <w:rStyle w:val="FootnoteReference"/>
        </w:rPr>
        <w:footnoteReference w:id="1"/>
      </w:r>
      <w:r w:rsidRPr="003A5AE5">
        <w:t>,which looked at the LMS subgroup</w:t>
      </w:r>
      <w:r w:rsidR="00C83AC8" w:rsidRPr="003A5AE5">
        <w:t>s</w:t>
      </w:r>
      <w:r w:rsidRPr="003A5AE5">
        <w:t xml:space="preserve"> of Study 3007 and PALETTE, and reported </w:t>
      </w:r>
      <w:r w:rsidRPr="003A5AE5">
        <w:rPr>
          <w:iCs/>
        </w:rPr>
        <w:t>no significant difference in terms of PFS (HR 0.82, 95%CI 0.63, 1.06) or OS (HR 0.86, 95%CI 0.64, 1.18) between trabectedin and pazopanib.</w:t>
      </w:r>
      <w:r w:rsidRPr="003A5AE5">
        <w:t xml:space="preserve"> </w:t>
      </w:r>
      <w:r w:rsidRPr="003A5AE5">
        <w:rPr>
          <w:iCs/>
        </w:rPr>
        <w:t xml:space="preserve">This publication was a half-page abstract, which lacked details on how the ITC was performed. </w:t>
      </w:r>
      <w:r w:rsidR="00F95B5F" w:rsidRPr="003A5AE5">
        <w:rPr>
          <w:iCs/>
        </w:rPr>
        <w:t xml:space="preserve">Therefore, the validity of the results from this matching-adjusted indirect comparison </w:t>
      </w:r>
      <w:r w:rsidR="007F106D" w:rsidRPr="003A5AE5">
        <w:rPr>
          <w:iCs/>
        </w:rPr>
        <w:t xml:space="preserve">could not </w:t>
      </w:r>
      <w:r w:rsidR="00F95B5F" w:rsidRPr="003A5AE5">
        <w:rPr>
          <w:iCs/>
        </w:rPr>
        <w:t>be assessed.</w:t>
      </w:r>
      <w:r w:rsidR="00C83AC8" w:rsidRPr="003A5AE5">
        <w:rPr>
          <w:iCs/>
        </w:rPr>
        <w:t xml:space="preserve"> The submission did not nominate a non-inferiority margin</w:t>
      </w:r>
      <w:r w:rsidR="00ED74EB" w:rsidRPr="003A5AE5">
        <w:rPr>
          <w:iCs/>
        </w:rPr>
        <w:t>. Further, t</w:t>
      </w:r>
      <w:r w:rsidR="00DF37C4" w:rsidRPr="003A5AE5">
        <w:rPr>
          <w:iCs/>
        </w:rPr>
        <w:t>he non-significant difference may be due to inadequate statistical power, given this is a subgroup analysis</w:t>
      </w:r>
      <w:r w:rsidR="00C83AC8" w:rsidRPr="003A5AE5">
        <w:rPr>
          <w:iCs/>
        </w:rPr>
        <w:t>.</w:t>
      </w:r>
      <w:r w:rsidR="00F95B5F" w:rsidRPr="003A5AE5">
        <w:rPr>
          <w:iCs/>
        </w:rPr>
        <w:t xml:space="preserve"> </w:t>
      </w:r>
      <w:r w:rsidRPr="003A5AE5">
        <w:rPr>
          <w:iCs/>
        </w:rPr>
        <w:t xml:space="preserve">The conduct of this ITC based on Study 3007 and PALETTE was in conflict with the submission’s claim that, </w:t>
      </w:r>
      <w:r w:rsidRPr="003A5AE5">
        <w:t xml:space="preserve">there were significant issues affecting the transitivity assumption of an indirect comparison between Study 3007 and PALETTE, which precluded </w:t>
      </w:r>
      <w:r w:rsidR="00A92205" w:rsidRPr="003A5AE5">
        <w:t>statistical analysis</w:t>
      </w:r>
      <w:r w:rsidRPr="003A5AE5">
        <w:t>.</w:t>
      </w:r>
      <w:r w:rsidR="00BC02FC" w:rsidRPr="003A5AE5">
        <w:t xml:space="preserve"> </w:t>
      </w:r>
      <w:r w:rsidR="00895B12" w:rsidRPr="003A5AE5">
        <w:t xml:space="preserve">The ESC considered that as only a conference abstract was available for the indirect </w:t>
      </w:r>
      <w:r w:rsidR="008100D6" w:rsidRPr="003A5AE5">
        <w:t>comparison;</w:t>
      </w:r>
      <w:r w:rsidR="00895B12" w:rsidRPr="003A5AE5">
        <w:t xml:space="preserve"> there was insufficient information to consider it reliable for decision-making. </w:t>
      </w:r>
    </w:p>
    <w:p w:rsidR="0058296A" w:rsidRPr="003A5AE5" w:rsidRDefault="00595DAC" w:rsidP="00033ED9">
      <w:pPr>
        <w:pStyle w:val="3-BodyText"/>
        <w:rPr>
          <w:color w:val="0066FF"/>
        </w:rPr>
      </w:pPr>
      <w:r w:rsidRPr="003A5AE5">
        <w:t>The submission claimed that the more sequential treatments available for advanced/metastatic LMS, the greater the OS. However, t</w:t>
      </w:r>
      <w:r w:rsidR="00F72EE7" w:rsidRPr="003A5AE5">
        <w:t>he submission did not present any</w:t>
      </w:r>
      <w:r w:rsidR="001C44C0" w:rsidRPr="003A5AE5">
        <w:t xml:space="preserve"> specific data</w:t>
      </w:r>
      <w:r w:rsidR="00F72EE7" w:rsidRPr="003A5AE5">
        <w:t xml:space="preserve"> for the effectiveness of sequential trabec</w:t>
      </w:r>
      <w:r w:rsidR="00643465" w:rsidRPr="003A5AE5">
        <w:t>tedin/</w:t>
      </w:r>
      <w:r w:rsidR="00F72EE7" w:rsidRPr="003A5AE5">
        <w:t>pazopanib</w:t>
      </w:r>
      <w:r w:rsidR="00643465" w:rsidRPr="003A5AE5">
        <w:t xml:space="preserve"> or pazopanib/trabectedin.</w:t>
      </w:r>
    </w:p>
    <w:p w:rsidR="00F5082C" w:rsidRPr="003A5AE5" w:rsidRDefault="00F5082C" w:rsidP="00033ED9">
      <w:pPr>
        <w:pStyle w:val="4-SubsectionHeading"/>
      </w:pPr>
      <w:bookmarkStart w:id="44" w:name="_Toc22897642"/>
      <w:bookmarkStart w:id="45" w:name="_Toc69165197"/>
      <w:bookmarkStart w:id="46" w:name="_Toc72160059"/>
      <w:bookmarkStart w:id="47" w:name="_Toc72205676"/>
      <w:bookmarkStart w:id="48" w:name="_Toc72315631"/>
      <w:r w:rsidRPr="003A5AE5">
        <w:t>Comparative harms</w:t>
      </w:r>
      <w:bookmarkEnd w:id="44"/>
      <w:bookmarkEnd w:id="45"/>
      <w:bookmarkEnd w:id="46"/>
      <w:bookmarkEnd w:id="47"/>
      <w:bookmarkEnd w:id="48"/>
    </w:p>
    <w:p w:rsidR="00F5082C" w:rsidRPr="003A5AE5" w:rsidRDefault="00F5082C" w:rsidP="00033ED9">
      <w:pPr>
        <w:pStyle w:val="3-BodyText"/>
      </w:pPr>
      <w:r w:rsidRPr="003A5AE5">
        <w:t xml:space="preserve">The key safety data from Study 3007 </w:t>
      </w:r>
      <w:r w:rsidR="00A320A7" w:rsidRPr="003A5AE5">
        <w:t xml:space="preserve">and the PALETTE trial </w:t>
      </w:r>
      <w:r w:rsidRPr="003A5AE5">
        <w:t>are presented below.</w:t>
      </w:r>
      <w:r w:rsidR="00FE04DB" w:rsidRPr="003A5AE5">
        <w:t xml:space="preserve"> </w:t>
      </w:r>
    </w:p>
    <w:p w:rsidR="008C278A" w:rsidRPr="003A5AE5" w:rsidRDefault="008C278A" w:rsidP="00033ED9">
      <w:pPr>
        <w:jc w:val="left"/>
        <w:rPr>
          <w:rFonts w:ascii="Arial Narrow" w:eastAsiaTheme="majorEastAsia" w:hAnsi="Arial Narrow" w:cstheme="majorBidi"/>
          <w:b/>
          <w:bCs/>
          <w:sz w:val="20"/>
        </w:rPr>
      </w:pPr>
      <w:r w:rsidRPr="003A5AE5">
        <w:br w:type="page"/>
      </w:r>
    </w:p>
    <w:p w:rsidR="00A320A7" w:rsidRPr="003A5AE5" w:rsidRDefault="009E65D0" w:rsidP="00033ED9">
      <w:pPr>
        <w:pStyle w:val="TableFigureHeading"/>
      </w:pPr>
      <w:r w:rsidRPr="003A5AE5">
        <w:t xml:space="preserve">Table </w:t>
      </w:r>
      <w:r w:rsidR="00C534E3" w:rsidRPr="003A5AE5">
        <w:t>6</w:t>
      </w:r>
      <w:r w:rsidRPr="003A5AE5">
        <w:t>:</w:t>
      </w:r>
      <w:r w:rsidR="00A320A7" w:rsidRPr="003A5AE5">
        <w:t xml:space="preserve"> Comparison of the Grade 3-4 adverse events reported for trabectedin in Study 3007 (in at least 5% of patients) and pazopanib in the PALETTE trial (common adverse events), at final analysis</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7"/>
        <w:gridCol w:w="1100"/>
        <w:gridCol w:w="1055"/>
        <w:gridCol w:w="968"/>
        <w:gridCol w:w="1010"/>
        <w:gridCol w:w="964"/>
        <w:gridCol w:w="964"/>
        <w:gridCol w:w="10"/>
      </w:tblGrid>
      <w:tr w:rsidR="00A320A7" w:rsidRPr="003A5AE5" w:rsidTr="00710058">
        <w:trPr>
          <w:cantSplit/>
          <w:tblHeader/>
        </w:trPr>
        <w:tc>
          <w:tcPr>
            <w:tcW w:w="3057" w:type="dxa"/>
          </w:tcPr>
          <w:p w:rsidR="00A320A7" w:rsidRPr="003A5AE5" w:rsidRDefault="00A320A7" w:rsidP="00033ED9">
            <w:pPr>
              <w:pStyle w:val="TableHeading"/>
              <w:keepNext w:val="0"/>
              <w:rPr>
                <w:b w:val="0"/>
                <w:bCs w:val="0"/>
                <w:szCs w:val="20"/>
              </w:rPr>
            </w:pPr>
            <w:r w:rsidRPr="003A5AE5">
              <w:rPr>
                <w:b w:val="0"/>
                <w:bCs w:val="0"/>
                <w:szCs w:val="20"/>
              </w:rPr>
              <w:t>System organ class</w:t>
            </w:r>
          </w:p>
          <w:p w:rsidR="00A320A7" w:rsidRPr="003A5AE5" w:rsidRDefault="00A320A7" w:rsidP="00033ED9">
            <w:pPr>
              <w:pStyle w:val="TableHeading"/>
              <w:rPr>
                <w:b w:val="0"/>
                <w:bCs w:val="0"/>
                <w:szCs w:val="20"/>
              </w:rPr>
            </w:pPr>
            <w:r w:rsidRPr="003A5AE5">
              <w:rPr>
                <w:b w:val="0"/>
                <w:bCs w:val="0"/>
                <w:szCs w:val="20"/>
              </w:rPr>
              <w:t>Preferred term</w:t>
            </w:r>
          </w:p>
        </w:tc>
        <w:tc>
          <w:tcPr>
            <w:tcW w:w="3123" w:type="dxa"/>
            <w:gridSpan w:val="3"/>
          </w:tcPr>
          <w:p w:rsidR="00A320A7" w:rsidRPr="003A5AE5" w:rsidRDefault="00A320A7" w:rsidP="00033ED9">
            <w:pPr>
              <w:pStyle w:val="TableHeading"/>
              <w:jc w:val="center"/>
              <w:rPr>
                <w:szCs w:val="20"/>
              </w:rPr>
            </w:pPr>
            <w:r w:rsidRPr="003A5AE5">
              <w:rPr>
                <w:szCs w:val="20"/>
              </w:rPr>
              <w:t>Trabectedin</w:t>
            </w:r>
            <w:r w:rsidRPr="003A5AE5">
              <w:rPr>
                <w:szCs w:val="20"/>
              </w:rPr>
              <w:br/>
              <w:t>N = 378</w:t>
            </w:r>
          </w:p>
          <w:p w:rsidR="00E06302" w:rsidRPr="003A5AE5" w:rsidRDefault="00E06302" w:rsidP="00033ED9">
            <w:pPr>
              <w:pStyle w:val="TableHeading"/>
              <w:jc w:val="center"/>
              <w:rPr>
                <w:szCs w:val="20"/>
              </w:rPr>
            </w:pPr>
            <w:r w:rsidRPr="003A5AE5">
              <w:rPr>
                <w:szCs w:val="20"/>
              </w:rPr>
              <w:t>n (%)</w:t>
            </w:r>
          </w:p>
        </w:tc>
        <w:tc>
          <w:tcPr>
            <w:tcW w:w="2948" w:type="dxa"/>
            <w:gridSpan w:val="4"/>
          </w:tcPr>
          <w:p w:rsidR="00A320A7" w:rsidRPr="003A5AE5" w:rsidRDefault="00A320A7" w:rsidP="00033ED9">
            <w:pPr>
              <w:pStyle w:val="TableHeading"/>
              <w:jc w:val="center"/>
              <w:rPr>
                <w:szCs w:val="20"/>
              </w:rPr>
            </w:pPr>
            <w:r w:rsidRPr="003A5AE5">
              <w:rPr>
                <w:szCs w:val="20"/>
              </w:rPr>
              <w:t>Pazopanib</w:t>
            </w:r>
          </w:p>
          <w:p w:rsidR="00A320A7" w:rsidRPr="003A5AE5" w:rsidRDefault="00A320A7" w:rsidP="00033ED9">
            <w:pPr>
              <w:pStyle w:val="TableHeading"/>
              <w:jc w:val="center"/>
              <w:rPr>
                <w:szCs w:val="20"/>
              </w:rPr>
            </w:pPr>
            <w:r w:rsidRPr="003A5AE5">
              <w:rPr>
                <w:szCs w:val="20"/>
              </w:rPr>
              <w:t>N = 239</w:t>
            </w:r>
          </w:p>
          <w:p w:rsidR="00E06302" w:rsidRPr="003A5AE5" w:rsidRDefault="00E06302" w:rsidP="00033ED9">
            <w:pPr>
              <w:pStyle w:val="TableHeading"/>
              <w:jc w:val="center"/>
              <w:rPr>
                <w:szCs w:val="20"/>
                <w:vertAlign w:val="superscript"/>
              </w:rPr>
            </w:pPr>
            <w:r w:rsidRPr="003A5AE5">
              <w:rPr>
                <w:szCs w:val="20"/>
              </w:rPr>
              <w:t>n</w:t>
            </w:r>
            <w:r w:rsidRPr="003A5AE5">
              <w:rPr>
                <w:szCs w:val="20"/>
                <w:vertAlign w:val="superscript"/>
              </w:rPr>
              <w:t>a</w:t>
            </w:r>
            <w:r w:rsidRPr="003A5AE5">
              <w:rPr>
                <w:szCs w:val="20"/>
              </w:rPr>
              <w:t xml:space="preserve"> (%)</w:t>
            </w:r>
          </w:p>
        </w:tc>
      </w:tr>
      <w:tr w:rsidR="00A320A7" w:rsidRPr="003A5AE5" w:rsidTr="00710058">
        <w:trPr>
          <w:gridAfter w:val="1"/>
          <w:wAfter w:w="10" w:type="dxa"/>
          <w:cantSplit/>
          <w:tblHeader/>
        </w:trPr>
        <w:tc>
          <w:tcPr>
            <w:tcW w:w="3057" w:type="dxa"/>
          </w:tcPr>
          <w:p w:rsidR="00A320A7" w:rsidRPr="003A5AE5" w:rsidRDefault="00A320A7" w:rsidP="00033ED9">
            <w:pPr>
              <w:pStyle w:val="TableHeading"/>
              <w:keepNext w:val="0"/>
              <w:rPr>
                <w:szCs w:val="20"/>
              </w:rPr>
            </w:pPr>
          </w:p>
        </w:tc>
        <w:tc>
          <w:tcPr>
            <w:tcW w:w="1100" w:type="dxa"/>
          </w:tcPr>
          <w:p w:rsidR="00A320A7" w:rsidRPr="003A5AE5" w:rsidRDefault="00A320A7" w:rsidP="00033ED9">
            <w:pPr>
              <w:pStyle w:val="TableText0"/>
              <w:jc w:val="center"/>
              <w:rPr>
                <w:b/>
                <w:bCs w:val="0"/>
                <w:szCs w:val="20"/>
              </w:rPr>
            </w:pPr>
            <w:r w:rsidRPr="003A5AE5">
              <w:rPr>
                <w:b/>
                <w:szCs w:val="20"/>
              </w:rPr>
              <w:t>Grade 3/4</w:t>
            </w:r>
          </w:p>
        </w:tc>
        <w:tc>
          <w:tcPr>
            <w:tcW w:w="1055" w:type="dxa"/>
          </w:tcPr>
          <w:p w:rsidR="00A320A7" w:rsidRPr="003A5AE5" w:rsidRDefault="00A320A7" w:rsidP="00033ED9">
            <w:pPr>
              <w:pStyle w:val="TableText0"/>
              <w:jc w:val="center"/>
              <w:rPr>
                <w:b/>
                <w:bCs w:val="0"/>
                <w:szCs w:val="20"/>
              </w:rPr>
            </w:pPr>
            <w:r w:rsidRPr="003A5AE5">
              <w:rPr>
                <w:b/>
                <w:szCs w:val="20"/>
              </w:rPr>
              <w:t>Grade 3</w:t>
            </w:r>
          </w:p>
        </w:tc>
        <w:tc>
          <w:tcPr>
            <w:tcW w:w="968" w:type="dxa"/>
          </w:tcPr>
          <w:p w:rsidR="00A320A7" w:rsidRPr="003A5AE5" w:rsidRDefault="00A320A7" w:rsidP="00033ED9">
            <w:pPr>
              <w:pStyle w:val="TableText0"/>
              <w:jc w:val="center"/>
              <w:rPr>
                <w:b/>
                <w:bCs w:val="0"/>
                <w:szCs w:val="20"/>
              </w:rPr>
            </w:pPr>
            <w:r w:rsidRPr="003A5AE5">
              <w:rPr>
                <w:b/>
                <w:szCs w:val="20"/>
              </w:rPr>
              <w:t>Grade 4</w:t>
            </w:r>
          </w:p>
        </w:tc>
        <w:tc>
          <w:tcPr>
            <w:tcW w:w="1010" w:type="dxa"/>
          </w:tcPr>
          <w:p w:rsidR="00A320A7" w:rsidRPr="003A5AE5" w:rsidRDefault="00A320A7" w:rsidP="00033ED9">
            <w:pPr>
              <w:pStyle w:val="TableText0"/>
              <w:jc w:val="center"/>
              <w:rPr>
                <w:b/>
                <w:bCs w:val="0"/>
                <w:szCs w:val="20"/>
              </w:rPr>
            </w:pPr>
            <w:r w:rsidRPr="003A5AE5">
              <w:rPr>
                <w:b/>
                <w:szCs w:val="20"/>
              </w:rPr>
              <w:t>Grade 3/4</w:t>
            </w:r>
          </w:p>
        </w:tc>
        <w:tc>
          <w:tcPr>
            <w:tcW w:w="964" w:type="dxa"/>
          </w:tcPr>
          <w:p w:rsidR="00A320A7" w:rsidRPr="003A5AE5" w:rsidRDefault="00A320A7" w:rsidP="00033ED9">
            <w:pPr>
              <w:pStyle w:val="TableText0"/>
              <w:jc w:val="center"/>
              <w:rPr>
                <w:b/>
                <w:bCs w:val="0"/>
                <w:szCs w:val="20"/>
              </w:rPr>
            </w:pPr>
            <w:r w:rsidRPr="003A5AE5">
              <w:rPr>
                <w:b/>
                <w:szCs w:val="20"/>
              </w:rPr>
              <w:t>Grade 3</w:t>
            </w:r>
          </w:p>
        </w:tc>
        <w:tc>
          <w:tcPr>
            <w:tcW w:w="964" w:type="dxa"/>
          </w:tcPr>
          <w:p w:rsidR="00A320A7" w:rsidRPr="003A5AE5" w:rsidRDefault="00A320A7" w:rsidP="00033ED9">
            <w:pPr>
              <w:pStyle w:val="TableText0"/>
              <w:jc w:val="center"/>
              <w:rPr>
                <w:b/>
                <w:bCs w:val="0"/>
                <w:szCs w:val="20"/>
              </w:rPr>
            </w:pPr>
            <w:r w:rsidRPr="003A5AE5">
              <w:rPr>
                <w:b/>
                <w:szCs w:val="20"/>
              </w:rPr>
              <w:t>Grade 4</w:t>
            </w:r>
          </w:p>
        </w:tc>
      </w:tr>
      <w:tr w:rsidR="00A320A7" w:rsidRPr="003A5AE5" w:rsidTr="00710058">
        <w:trPr>
          <w:gridAfter w:val="1"/>
          <w:wAfter w:w="10" w:type="dxa"/>
          <w:cantSplit/>
        </w:trPr>
        <w:tc>
          <w:tcPr>
            <w:tcW w:w="3057" w:type="dxa"/>
          </w:tcPr>
          <w:p w:rsidR="00A320A7" w:rsidRPr="003A5AE5" w:rsidRDefault="00A320A7" w:rsidP="00033ED9">
            <w:pPr>
              <w:pStyle w:val="TableHeading"/>
              <w:keepNext w:val="0"/>
              <w:rPr>
                <w:b w:val="0"/>
                <w:bCs w:val="0"/>
                <w:szCs w:val="20"/>
              </w:rPr>
            </w:pPr>
            <w:r w:rsidRPr="003A5AE5">
              <w:rPr>
                <w:b w:val="0"/>
                <w:bCs w:val="0"/>
                <w:szCs w:val="20"/>
              </w:rPr>
              <w:t xml:space="preserve">Total number of subjects with grade 3–4 treatment-emergent adverse events </w:t>
            </w:r>
          </w:p>
        </w:tc>
        <w:tc>
          <w:tcPr>
            <w:tcW w:w="1100" w:type="dxa"/>
          </w:tcPr>
          <w:p w:rsidR="00A320A7" w:rsidRPr="003A5AE5" w:rsidRDefault="00A320A7" w:rsidP="00033ED9">
            <w:pPr>
              <w:rPr>
                <w:rFonts w:ascii="Arial Narrow" w:hAnsi="Arial Narrow"/>
                <w:sz w:val="20"/>
                <w:szCs w:val="20"/>
              </w:rPr>
            </w:pPr>
            <w:r w:rsidRPr="003A5AE5">
              <w:rPr>
                <w:rFonts w:ascii="Arial Narrow" w:eastAsia="TimesNewRoman" w:hAnsi="Arial Narrow" w:cs="TimesNewRoman"/>
                <w:sz w:val="20"/>
                <w:szCs w:val="20"/>
              </w:rPr>
              <w:t xml:space="preserve">307 (81.2) </w:t>
            </w:r>
          </w:p>
        </w:tc>
        <w:tc>
          <w:tcPr>
            <w:tcW w:w="1055" w:type="dxa"/>
          </w:tcPr>
          <w:p w:rsidR="00A320A7" w:rsidRPr="003A5AE5" w:rsidRDefault="00A320A7" w:rsidP="00033ED9">
            <w:pPr>
              <w:pStyle w:val="TableText0"/>
              <w:jc w:val="center"/>
              <w:rPr>
                <w:szCs w:val="20"/>
              </w:rPr>
            </w:pPr>
            <w:r w:rsidRPr="003A5AE5">
              <w:rPr>
                <w:rFonts w:eastAsia="TimesNewRoman" w:cs="TimesNewRoman"/>
                <w:szCs w:val="20"/>
              </w:rPr>
              <w:t xml:space="preserve">196 (51.9) </w:t>
            </w:r>
          </w:p>
        </w:tc>
        <w:tc>
          <w:tcPr>
            <w:tcW w:w="968" w:type="dxa"/>
          </w:tcPr>
          <w:p w:rsidR="00A320A7" w:rsidRPr="003A5AE5" w:rsidRDefault="00A320A7" w:rsidP="00033ED9">
            <w:pPr>
              <w:pStyle w:val="TableText0"/>
              <w:jc w:val="center"/>
              <w:rPr>
                <w:szCs w:val="20"/>
              </w:rPr>
            </w:pPr>
            <w:r w:rsidRPr="003A5AE5">
              <w:rPr>
                <w:rFonts w:eastAsia="TimesNewRoman" w:cs="TimesNewRoman"/>
                <w:szCs w:val="20"/>
              </w:rPr>
              <w:t>111 (29.4)</w:t>
            </w:r>
          </w:p>
        </w:tc>
        <w:tc>
          <w:tcPr>
            <w:tcW w:w="1010" w:type="dxa"/>
          </w:tcPr>
          <w:p w:rsidR="00A320A7" w:rsidRPr="003A5AE5" w:rsidRDefault="00A320A7" w:rsidP="00033ED9">
            <w:pPr>
              <w:pStyle w:val="TableText0"/>
              <w:jc w:val="center"/>
              <w:rPr>
                <w:szCs w:val="20"/>
              </w:rPr>
            </w:pPr>
            <w:r w:rsidRPr="003A5AE5">
              <w:rPr>
                <w:szCs w:val="20"/>
              </w:rPr>
              <w:t>59%</w:t>
            </w:r>
          </w:p>
        </w:tc>
        <w:tc>
          <w:tcPr>
            <w:tcW w:w="964" w:type="dxa"/>
          </w:tcPr>
          <w:p w:rsidR="00A320A7" w:rsidRPr="003A5AE5" w:rsidRDefault="00A320A7" w:rsidP="00033ED9">
            <w:pPr>
              <w:pStyle w:val="TableText0"/>
              <w:jc w:val="center"/>
              <w:rPr>
                <w:szCs w:val="20"/>
              </w:rPr>
            </w:pPr>
            <w:r w:rsidRPr="003A5AE5">
              <w:rPr>
                <w:szCs w:val="20"/>
              </w:rPr>
              <w:t>49%</w:t>
            </w:r>
          </w:p>
        </w:tc>
        <w:tc>
          <w:tcPr>
            <w:tcW w:w="964" w:type="dxa"/>
          </w:tcPr>
          <w:p w:rsidR="00A320A7" w:rsidRPr="003A5AE5" w:rsidRDefault="00A320A7" w:rsidP="00033ED9">
            <w:pPr>
              <w:pStyle w:val="TableText0"/>
              <w:jc w:val="center"/>
              <w:rPr>
                <w:szCs w:val="20"/>
              </w:rPr>
            </w:pPr>
            <w:r w:rsidRPr="003A5AE5">
              <w:rPr>
                <w:szCs w:val="20"/>
              </w:rPr>
              <w:t>10%</w:t>
            </w:r>
          </w:p>
        </w:tc>
      </w:tr>
      <w:tr w:rsidR="00A320A7" w:rsidRPr="003A5AE5" w:rsidTr="00710058">
        <w:trPr>
          <w:gridAfter w:val="1"/>
          <w:wAfter w:w="10" w:type="dxa"/>
          <w:cantSplit/>
        </w:trPr>
        <w:tc>
          <w:tcPr>
            <w:tcW w:w="3057" w:type="dxa"/>
          </w:tcPr>
          <w:p w:rsidR="00A320A7" w:rsidRPr="003A5AE5" w:rsidRDefault="00A320A7" w:rsidP="00033ED9">
            <w:pPr>
              <w:pStyle w:val="TableHeading"/>
              <w:keepNext w:val="0"/>
              <w:rPr>
                <w:b w:val="0"/>
                <w:bCs w:val="0"/>
                <w:szCs w:val="20"/>
              </w:rPr>
            </w:pPr>
            <w:r w:rsidRPr="003A5AE5">
              <w:rPr>
                <w:b w:val="0"/>
                <w:bCs w:val="0"/>
                <w:szCs w:val="20"/>
              </w:rPr>
              <w:t xml:space="preserve">Investigations </w:t>
            </w:r>
          </w:p>
        </w:tc>
        <w:tc>
          <w:tcPr>
            <w:tcW w:w="1100" w:type="dxa"/>
          </w:tcPr>
          <w:p w:rsidR="00A320A7" w:rsidRPr="003A5AE5" w:rsidRDefault="00A320A7" w:rsidP="00033ED9">
            <w:pPr>
              <w:pStyle w:val="TableText0"/>
              <w:jc w:val="center"/>
              <w:rPr>
                <w:szCs w:val="20"/>
              </w:rPr>
            </w:pPr>
            <w:r w:rsidRPr="003A5AE5">
              <w:rPr>
                <w:rFonts w:eastAsia="TimesNewRoman" w:cs="TimesNewRoman"/>
                <w:szCs w:val="20"/>
              </w:rPr>
              <w:t>204 (54.0)</w:t>
            </w:r>
          </w:p>
        </w:tc>
        <w:tc>
          <w:tcPr>
            <w:tcW w:w="1055" w:type="dxa"/>
          </w:tcPr>
          <w:p w:rsidR="00A320A7" w:rsidRPr="003A5AE5" w:rsidRDefault="00A320A7" w:rsidP="00033ED9">
            <w:pPr>
              <w:pStyle w:val="TableText0"/>
              <w:jc w:val="center"/>
              <w:rPr>
                <w:szCs w:val="20"/>
              </w:rPr>
            </w:pPr>
            <w:r w:rsidRPr="003A5AE5">
              <w:rPr>
                <w:rFonts w:eastAsia="TimesNewRoman" w:cs="TimesNewRoman"/>
                <w:szCs w:val="20"/>
              </w:rPr>
              <w:t>145 (38.4)</w:t>
            </w:r>
          </w:p>
        </w:tc>
        <w:tc>
          <w:tcPr>
            <w:tcW w:w="968" w:type="dxa"/>
          </w:tcPr>
          <w:p w:rsidR="00A320A7" w:rsidRPr="003A5AE5" w:rsidRDefault="00A320A7" w:rsidP="00033ED9">
            <w:pPr>
              <w:pStyle w:val="TableText0"/>
              <w:jc w:val="center"/>
              <w:rPr>
                <w:szCs w:val="20"/>
              </w:rPr>
            </w:pPr>
            <w:r w:rsidRPr="003A5AE5">
              <w:rPr>
                <w:rFonts w:eastAsia="TimesNewRoman" w:cs="TimesNewRoman"/>
                <w:szCs w:val="20"/>
              </w:rPr>
              <w:t>59 (15.6)</w:t>
            </w:r>
          </w:p>
        </w:tc>
        <w:tc>
          <w:tcPr>
            <w:tcW w:w="1010" w:type="dxa"/>
          </w:tcPr>
          <w:p w:rsidR="00A320A7" w:rsidRPr="003A5AE5" w:rsidRDefault="00A320A7" w:rsidP="00033ED9">
            <w:pPr>
              <w:pStyle w:val="TableText0"/>
              <w:jc w:val="center"/>
              <w:rPr>
                <w:szCs w:val="20"/>
              </w:rPr>
            </w:pPr>
            <w:r w:rsidRPr="003A5AE5">
              <w:rPr>
                <w:szCs w:val="20"/>
              </w:rPr>
              <w:t>-</w:t>
            </w:r>
          </w:p>
        </w:tc>
        <w:tc>
          <w:tcPr>
            <w:tcW w:w="964" w:type="dxa"/>
          </w:tcPr>
          <w:p w:rsidR="00A320A7" w:rsidRPr="003A5AE5" w:rsidRDefault="00A320A7" w:rsidP="00033ED9">
            <w:pPr>
              <w:pStyle w:val="TableText0"/>
              <w:jc w:val="center"/>
              <w:rPr>
                <w:szCs w:val="20"/>
              </w:rPr>
            </w:pPr>
            <w:r w:rsidRPr="003A5AE5">
              <w:rPr>
                <w:szCs w:val="20"/>
              </w:rPr>
              <w:t>-</w:t>
            </w:r>
          </w:p>
        </w:tc>
        <w:tc>
          <w:tcPr>
            <w:tcW w:w="964" w:type="dxa"/>
          </w:tcPr>
          <w:p w:rsidR="00A320A7" w:rsidRPr="003A5AE5" w:rsidRDefault="00A320A7" w:rsidP="00033ED9">
            <w:pPr>
              <w:pStyle w:val="TableText0"/>
              <w:jc w:val="center"/>
              <w:rPr>
                <w:szCs w:val="20"/>
              </w:rPr>
            </w:pPr>
            <w:r w:rsidRPr="003A5AE5">
              <w:rPr>
                <w:szCs w:val="20"/>
              </w:rPr>
              <w:t>-</w:t>
            </w:r>
          </w:p>
        </w:tc>
      </w:tr>
      <w:tr w:rsidR="00A320A7" w:rsidRPr="003A5AE5" w:rsidTr="00710058">
        <w:trPr>
          <w:gridAfter w:val="1"/>
          <w:wAfter w:w="10" w:type="dxa"/>
          <w:cantSplit/>
        </w:trPr>
        <w:tc>
          <w:tcPr>
            <w:tcW w:w="3057" w:type="dxa"/>
          </w:tcPr>
          <w:p w:rsidR="00A320A7" w:rsidRPr="003A5AE5" w:rsidRDefault="00A320A7" w:rsidP="00033ED9">
            <w:pPr>
              <w:pStyle w:val="TableHeading"/>
              <w:keepNext w:val="0"/>
              <w:ind w:left="172"/>
              <w:rPr>
                <w:b w:val="0"/>
                <w:bCs w:val="0"/>
                <w:szCs w:val="20"/>
              </w:rPr>
            </w:pPr>
            <w:r w:rsidRPr="003A5AE5">
              <w:rPr>
                <w:b w:val="0"/>
                <w:bCs w:val="0"/>
                <w:szCs w:val="20"/>
              </w:rPr>
              <w:t xml:space="preserve">Alanine aminotransferase increased </w:t>
            </w:r>
          </w:p>
        </w:tc>
        <w:tc>
          <w:tcPr>
            <w:tcW w:w="1100" w:type="dxa"/>
          </w:tcPr>
          <w:p w:rsidR="00A320A7" w:rsidRPr="003A5AE5" w:rsidRDefault="00A320A7" w:rsidP="00033ED9">
            <w:pPr>
              <w:pStyle w:val="TableText0"/>
              <w:jc w:val="center"/>
              <w:rPr>
                <w:szCs w:val="20"/>
              </w:rPr>
            </w:pPr>
            <w:r w:rsidRPr="003A5AE5">
              <w:rPr>
                <w:rFonts w:eastAsia="TimesNewRoman" w:cs="TimesNewRoman"/>
                <w:szCs w:val="20"/>
              </w:rPr>
              <w:t>111 (29.4)</w:t>
            </w:r>
          </w:p>
        </w:tc>
        <w:tc>
          <w:tcPr>
            <w:tcW w:w="1055" w:type="dxa"/>
          </w:tcPr>
          <w:p w:rsidR="00A320A7" w:rsidRPr="003A5AE5" w:rsidRDefault="00A320A7" w:rsidP="00033ED9">
            <w:pPr>
              <w:pStyle w:val="TableText0"/>
              <w:jc w:val="center"/>
              <w:rPr>
                <w:szCs w:val="20"/>
              </w:rPr>
            </w:pPr>
            <w:r w:rsidRPr="003A5AE5">
              <w:rPr>
                <w:rFonts w:eastAsia="TimesNewRoman" w:cs="TimesNewRoman"/>
                <w:szCs w:val="20"/>
              </w:rPr>
              <w:t>106 (28.0)</w:t>
            </w:r>
          </w:p>
        </w:tc>
        <w:tc>
          <w:tcPr>
            <w:tcW w:w="968" w:type="dxa"/>
          </w:tcPr>
          <w:p w:rsidR="00A320A7" w:rsidRPr="003A5AE5" w:rsidRDefault="00A320A7" w:rsidP="00033ED9">
            <w:pPr>
              <w:pStyle w:val="TableText0"/>
              <w:jc w:val="center"/>
              <w:rPr>
                <w:szCs w:val="20"/>
              </w:rPr>
            </w:pPr>
            <w:r w:rsidRPr="003A5AE5">
              <w:rPr>
                <w:rFonts w:eastAsia="TimesNewRoman" w:cs="TimesNewRoman"/>
                <w:szCs w:val="20"/>
              </w:rPr>
              <w:t>5 (1.3)</w:t>
            </w:r>
          </w:p>
        </w:tc>
        <w:tc>
          <w:tcPr>
            <w:tcW w:w="1010" w:type="dxa"/>
          </w:tcPr>
          <w:p w:rsidR="00A320A7" w:rsidRPr="003A5AE5" w:rsidRDefault="00A320A7" w:rsidP="00033ED9">
            <w:pPr>
              <w:pStyle w:val="TableText0"/>
              <w:jc w:val="center"/>
              <w:rPr>
                <w:szCs w:val="20"/>
              </w:rPr>
            </w:pPr>
            <w:r w:rsidRPr="003A5AE5">
              <w:rPr>
                <w:szCs w:val="20"/>
              </w:rPr>
              <w:t>10%</w:t>
            </w:r>
          </w:p>
        </w:tc>
        <w:tc>
          <w:tcPr>
            <w:tcW w:w="964" w:type="dxa"/>
          </w:tcPr>
          <w:p w:rsidR="00A320A7" w:rsidRPr="003A5AE5" w:rsidRDefault="00A320A7" w:rsidP="00033ED9">
            <w:pPr>
              <w:pStyle w:val="TableText0"/>
              <w:jc w:val="center"/>
              <w:rPr>
                <w:szCs w:val="20"/>
              </w:rPr>
            </w:pPr>
            <w:r w:rsidRPr="003A5AE5">
              <w:rPr>
                <w:szCs w:val="20"/>
              </w:rPr>
              <w:t>8%</w:t>
            </w:r>
          </w:p>
        </w:tc>
        <w:tc>
          <w:tcPr>
            <w:tcW w:w="964" w:type="dxa"/>
          </w:tcPr>
          <w:p w:rsidR="00A320A7" w:rsidRPr="003A5AE5" w:rsidRDefault="00A320A7" w:rsidP="00033ED9">
            <w:pPr>
              <w:pStyle w:val="TableText0"/>
              <w:jc w:val="center"/>
              <w:rPr>
                <w:szCs w:val="20"/>
              </w:rPr>
            </w:pPr>
            <w:r w:rsidRPr="003A5AE5">
              <w:rPr>
                <w:szCs w:val="20"/>
              </w:rPr>
              <w:t>2%</w:t>
            </w:r>
          </w:p>
        </w:tc>
      </w:tr>
      <w:tr w:rsidR="00A320A7" w:rsidRPr="003A5AE5" w:rsidTr="00710058">
        <w:trPr>
          <w:gridAfter w:val="1"/>
          <w:wAfter w:w="10" w:type="dxa"/>
          <w:cantSplit/>
        </w:trPr>
        <w:tc>
          <w:tcPr>
            <w:tcW w:w="3057" w:type="dxa"/>
          </w:tcPr>
          <w:p w:rsidR="00A320A7" w:rsidRPr="003A5AE5" w:rsidRDefault="00A320A7" w:rsidP="00033ED9">
            <w:pPr>
              <w:pStyle w:val="TableHeading"/>
              <w:keepNext w:val="0"/>
              <w:ind w:left="172"/>
              <w:rPr>
                <w:b w:val="0"/>
                <w:bCs w:val="0"/>
                <w:szCs w:val="20"/>
              </w:rPr>
            </w:pPr>
            <w:r w:rsidRPr="003A5AE5">
              <w:rPr>
                <w:b w:val="0"/>
                <w:bCs w:val="0"/>
                <w:szCs w:val="20"/>
              </w:rPr>
              <w:t xml:space="preserve">White blood cell count decreased </w:t>
            </w:r>
          </w:p>
        </w:tc>
        <w:tc>
          <w:tcPr>
            <w:tcW w:w="1100" w:type="dxa"/>
          </w:tcPr>
          <w:p w:rsidR="00A320A7" w:rsidRPr="003A5AE5" w:rsidRDefault="00A320A7" w:rsidP="00033ED9">
            <w:pPr>
              <w:pStyle w:val="TableText0"/>
              <w:jc w:val="center"/>
              <w:rPr>
                <w:szCs w:val="20"/>
              </w:rPr>
            </w:pPr>
            <w:r w:rsidRPr="003A5AE5">
              <w:rPr>
                <w:rFonts w:eastAsia="TimesNewRoman" w:cs="TimesNewRoman"/>
                <w:szCs w:val="20"/>
              </w:rPr>
              <w:t xml:space="preserve">75 (19.8) </w:t>
            </w:r>
          </w:p>
        </w:tc>
        <w:tc>
          <w:tcPr>
            <w:tcW w:w="1055" w:type="dxa"/>
          </w:tcPr>
          <w:p w:rsidR="00A320A7" w:rsidRPr="003A5AE5" w:rsidRDefault="00A320A7" w:rsidP="00033ED9">
            <w:pPr>
              <w:pStyle w:val="TableText0"/>
              <w:jc w:val="center"/>
              <w:rPr>
                <w:szCs w:val="20"/>
              </w:rPr>
            </w:pPr>
            <w:r w:rsidRPr="003A5AE5">
              <w:rPr>
                <w:rFonts w:eastAsia="TimesNewRoman" w:cs="TimesNewRoman"/>
                <w:szCs w:val="20"/>
              </w:rPr>
              <w:t xml:space="preserve">58 (15.3) </w:t>
            </w:r>
          </w:p>
        </w:tc>
        <w:tc>
          <w:tcPr>
            <w:tcW w:w="968" w:type="dxa"/>
          </w:tcPr>
          <w:p w:rsidR="00A320A7" w:rsidRPr="003A5AE5" w:rsidRDefault="00A320A7" w:rsidP="00033ED9">
            <w:pPr>
              <w:pStyle w:val="TableText0"/>
              <w:jc w:val="center"/>
              <w:rPr>
                <w:szCs w:val="20"/>
              </w:rPr>
            </w:pPr>
            <w:r w:rsidRPr="003A5AE5">
              <w:rPr>
                <w:rFonts w:eastAsia="TimesNewRoman" w:cs="TimesNewRoman"/>
                <w:szCs w:val="20"/>
              </w:rPr>
              <w:t>17 (4.5)</w:t>
            </w:r>
          </w:p>
        </w:tc>
        <w:tc>
          <w:tcPr>
            <w:tcW w:w="1010" w:type="dxa"/>
          </w:tcPr>
          <w:p w:rsidR="00A320A7" w:rsidRPr="003A5AE5" w:rsidRDefault="00A320A7" w:rsidP="00033ED9">
            <w:pPr>
              <w:pStyle w:val="TableText0"/>
              <w:jc w:val="center"/>
              <w:rPr>
                <w:szCs w:val="20"/>
              </w:rPr>
            </w:pPr>
            <w:r w:rsidRPr="003A5AE5">
              <w:rPr>
                <w:szCs w:val="20"/>
              </w:rPr>
              <w:t>-</w:t>
            </w:r>
          </w:p>
        </w:tc>
        <w:tc>
          <w:tcPr>
            <w:tcW w:w="964" w:type="dxa"/>
          </w:tcPr>
          <w:p w:rsidR="00A320A7" w:rsidRPr="003A5AE5" w:rsidRDefault="00A320A7" w:rsidP="00033ED9">
            <w:pPr>
              <w:pStyle w:val="TableText0"/>
              <w:jc w:val="center"/>
              <w:rPr>
                <w:szCs w:val="20"/>
              </w:rPr>
            </w:pPr>
            <w:r w:rsidRPr="003A5AE5">
              <w:rPr>
                <w:szCs w:val="20"/>
              </w:rPr>
              <w:t>-</w:t>
            </w:r>
          </w:p>
        </w:tc>
        <w:tc>
          <w:tcPr>
            <w:tcW w:w="964" w:type="dxa"/>
          </w:tcPr>
          <w:p w:rsidR="00A320A7" w:rsidRPr="003A5AE5" w:rsidRDefault="00A320A7" w:rsidP="00033ED9">
            <w:pPr>
              <w:pStyle w:val="TableText0"/>
              <w:jc w:val="center"/>
              <w:rPr>
                <w:szCs w:val="20"/>
              </w:rPr>
            </w:pPr>
            <w:r w:rsidRPr="003A5AE5">
              <w:rPr>
                <w:szCs w:val="20"/>
              </w:rPr>
              <w:t>-</w:t>
            </w:r>
          </w:p>
        </w:tc>
      </w:tr>
      <w:tr w:rsidR="00A320A7" w:rsidRPr="003A5AE5" w:rsidTr="00710058">
        <w:trPr>
          <w:gridAfter w:val="1"/>
          <w:wAfter w:w="10" w:type="dxa"/>
          <w:cantSplit/>
        </w:trPr>
        <w:tc>
          <w:tcPr>
            <w:tcW w:w="3057" w:type="dxa"/>
          </w:tcPr>
          <w:p w:rsidR="00A320A7" w:rsidRPr="003A5AE5" w:rsidRDefault="00A320A7" w:rsidP="00033ED9">
            <w:pPr>
              <w:pStyle w:val="TableHeading"/>
              <w:keepNext w:val="0"/>
              <w:ind w:left="172"/>
              <w:rPr>
                <w:b w:val="0"/>
                <w:bCs w:val="0"/>
                <w:szCs w:val="20"/>
              </w:rPr>
            </w:pPr>
            <w:r w:rsidRPr="003A5AE5">
              <w:rPr>
                <w:b w:val="0"/>
                <w:bCs w:val="0"/>
                <w:szCs w:val="20"/>
              </w:rPr>
              <w:t xml:space="preserve">Neutrophil count decreased </w:t>
            </w:r>
          </w:p>
        </w:tc>
        <w:tc>
          <w:tcPr>
            <w:tcW w:w="1100" w:type="dxa"/>
          </w:tcPr>
          <w:p w:rsidR="00A320A7" w:rsidRPr="003A5AE5" w:rsidRDefault="00A320A7" w:rsidP="00033ED9">
            <w:pPr>
              <w:pStyle w:val="TableText0"/>
              <w:jc w:val="center"/>
              <w:rPr>
                <w:szCs w:val="20"/>
              </w:rPr>
            </w:pPr>
            <w:r w:rsidRPr="003A5AE5">
              <w:rPr>
                <w:rFonts w:eastAsia="TimesNewRoman" w:cs="TimesNewRoman"/>
                <w:szCs w:val="20"/>
              </w:rPr>
              <w:t xml:space="preserve">77 (20.4) </w:t>
            </w:r>
          </w:p>
        </w:tc>
        <w:tc>
          <w:tcPr>
            <w:tcW w:w="1055" w:type="dxa"/>
          </w:tcPr>
          <w:p w:rsidR="00A320A7" w:rsidRPr="003A5AE5" w:rsidRDefault="00A320A7" w:rsidP="00033ED9">
            <w:pPr>
              <w:pStyle w:val="TableText0"/>
              <w:jc w:val="center"/>
              <w:rPr>
                <w:szCs w:val="20"/>
              </w:rPr>
            </w:pPr>
            <w:r w:rsidRPr="003A5AE5">
              <w:rPr>
                <w:rFonts w:eastAsia="TimesNewRoman" w:cs="TimesNewRoman"/>
                <w:szCs w:val="20"/>
              </w:rPr>
              <w:t xml:space="preserve">45 (11.9) </w:t>
            </w:r>
          </w:p>
        </w:tc>
        <w:tc>
          <w:tcPr>
            <w:tcW w:w="968" w:type="dxa"/>
          </w:tcPr>
          <w:p w:rsidR="00A320A7" w:rsidRPr="003A5AE5" w:rsidRDefault="00A320A7" w:rsidP="00033ED9">
            <w:pPr>
              <w:pStyle w:val="TableText0"/>
              <w:jc w:val="center"/>
              <w:rPr>
                <w:szCs w:val="20"/>
              </w:rPr>
            </w:pPr>
            <w:r w:rsidRPr="003A5AE5">
              <w:rPr>
                <w:rFonts w:eastAsia="TimesNewRoman" w:cs="TimesNewRoman"/>
                <w:szCs w:val="20"/>
              </w:rPr>
              <w:t>32 (8.5)</w:t>
            </w:r>
          </w:p>
        </w:tc>
        <w:tc>
          <w:tcPr>
            <w:tcW w:w="1010" w:type="dxa"/>
          </w:tcPr>
          <w:p w:rsidR="00A320A7" w:rsidRPr="003A5AE5" w:rsidRDefault="00A320A7" w:rsidP="00033ED9">
            <w:pPr>
              <w:pStyle w:val="TableText0"/>
              <w:jc w:val="center"/>
              <w:rPr>
                <w:szCs w:val="20"/>
              </w:rPr>
            </w:pPr>
            <w:r w:rsidRPr="003A5AE5">
              <w:rPr>
                <w:szCs w:val="20"/>
              </w:rPr>
              <w:t>-</w:t>
            </w:r>
          </w:p>
        </w:tc>
        <w:tc>
          <w:tcPr>
            <w:tcW w:w="964" w:type="dxa"/>
          </w:tcPr>
          <w:p w:rsidR="00A320A7" w:rsidRPr="003A5AE5" w:rsidRDefault="00A320A7" w:rsidP="00033ED9">
            <w:pPr>
              <w:pStyle w:val="TableText0"/>
              <w:jc w:val="center"/>
              <w:rPr>
                <w:szCs w:val="20"/>
              </w:rPr>
            </w:pPr>
            <w:r w:rsidRPr="003A5AE5">
              <w:rPr>
                <w:szCs w:val="20"/>
              </w:rPr>
              <w:t>-</w:t>
            </w:r>
          </w:p>
        </w:tc>
        <w:tc>
          <w:tcPr>
            <w:tcW w:w="964" w:type="dxa"/>
          </w:tcPr>
          <w:p w:rsidR="00A320A7" w:rsidRPr="003A5AE5" w:rsidRDefault="00A320A7" w:rsidP="00033ED9">
            <w:pPr>
              <w:pStyle w:val="TableText0"/>
              <w:jc w:val="center"/>
              <w:rPr>
                <w:szCs w:val="20"/>
              </w:rPr>
            </w:pPr>
            <w:r w:rsidRPr="003A5AE5">
              <w:rPr>
                <w:szCs w:val="20"/>
              </w:rPr>
              <w:t>-</w:t>
            </w:r>
          </w:p>
        </w:tc>
      </w:tr>
      <w:tr w:rsidR="00A320A7" w:rsidRPr="003A5AE5" w:rsidTr="00710058">
        <w:trPr>
          <w:gridAfter w:val="1"/>
          <w:wAfter w:w="10" w:type="dxa"/>
          <w:cantSplit/>
        </w:trPr>
        <w:tc>
          <w:tcPr>
            <w:tcW w:w="3057" w:type="dxa"/>
          </w:tcPr>
          <w:p w:rsidR="00A320A7" w:rsidRPr="003A5AE5" w:rsidRDefault="00A320A7" w:rsidP="00033ED9">
            <w:pPr>
              <w:pStyle w:val="TableHeading"/>
              <w:keepNext w:val="0"/>
              <w:ind w:left="172"/>
              <w:rPr>
                <w:b w:val="0"/>
                <w:bCs w:val="0"/>
                <w:szCs w:val="20"/>
              </w:rPr>
            </w:pPr>
            <w:r w:rsidRPr="003A5AE5">
              <w:rPr>
                <w:b w:val="0"/>
                <w:bCs w:val="0"/>
                <w:szCs w:val="20"/>
              </w:rPr>
              <w:t xml:space="preserve">Aspartate aminotransferase increased </w:t>
            </w:r>
          </w:p>
        </w:tc>
        <w:tc>
          <w:tcPr>
            <w:tcW w:w="1100" w:type="dxa"/>
          </w:tcPr>
          <w:p w:rsidR="00A320A7" w:rsidRPr="003A5AE5" w:rsidRDefault="00A320A7" w:rsidP="00033ED9">
            <w:pPr>
              <w:pStyle w:val="TableText0"/>
              <w:jc w:val="center"/>
              <w:rPr>
                <w:szCs w:val="20"/>
              </w:rPr>
            </w:pPr>
            <w:r w:rsidRPr="003A5AE5">
              <w:rPr>
                <w:rFonts w:eastAsia="TimesNewRoman" w:cs="TimesNewRoman"/>
                <w:szCs w:val="20"/>
              </w:rPr>
              <w:t xml:space="preserve">57 (15.1) </w:t>
            </w:r>
          </w:p>
        </w:tc>
        <w:tc>
          <w:tcPr>
            <w:tcW w:w="1055" w:type="dxa"/>
          </w:tcPr>
          <w:p w:rsidR="00A320A7" w:rsidRPr="003A5AE5" w:rsidRDefault="00A320A7" w:rsidP="00033ED9">
            <w:pPr>
              <w:pStyle w:val="TableText0"/>
              <w:jc w:val="center"/>
              <w:rPr>
                <w:szCs w:val="20"/>
              </w:rPr>
            </w:pPr>
            <w:r w:rsidRPr="003A5AE5">
              <w:rPr>
                <w:rFonts w:eastAsia="TimesNewRoman" w:cs="TimesNewRoman"/>
                <w:szCs w:val="20"/>
              </w:rPr>
              <w:t xml:space="preserve">53 (14.0) </w:t>
            </w:r>
          </w:p>
        </w:tc>
        <w:tc>
          <w:tcPr>
            <w:tcW w:w="968" w:type="dxa"/>
          </w:tcPr>
          <w:p w:rsidR="00A320A7" w:rsidRPr="003A5AE5" w:rsidRDefault="00A320A7" w:rsidP="00033ED9">
            <w:pPr>
              <w:pStyle w:val="TableText0"/>
              <w:jc w:val="center"/>
              <w:rPr>
                <w:szCs w:val="20"/>
              </w:rPr>
            </w:pPr>
            <w:r w:rsidRPr="003A5AE5">
              <w:rPr>
                <w:rFonts w:eastAsia="TimesNewRoman" w:cs="TimesNewRoman"/>
                <w:szCs w:val="20"/>
              </w:rPr>
              <w:t>4 (1.1)</w:t>
            </w:r>
          </w:p>
        </w:tc>
        <w:tc>
          <w:tcPr>
            <w:tcW w:w="1010" w:type="dxa"/>
          </w:tcPr>
          <w:p w:rsidR="00A320A7" w:rsidRPr="003A5AE5" w:rsidRDefault="00A320A7" w:rsidP="00033ED9">
            <w:pPr>
              <w:pStyle w:val="TableText0"/>
              <w:jc w:val="center"/>
              <w:rPr>
                <w:szCs w:val="20"/>
              </w:rPr>
            </w:pPr>
            <w:r w:rsidRPr="003A5AE5">
              <w:rPr>
                <w:szCs w:val="20"/>
              </w:rPr>
              <w:t>8%</w:t>
            </w:r>
          </w:p>
        </w:tc>
        <w:tc>
          <w:tcPr>
            <w:tcW w:w="964" w:type="dxa"/>
          </w:tcPr>
          <w:p w:rsidR="00A320A7" w:rsidRPr="003A5AE5" w:rsidRDefault="00A320A7" w:rsidP="00033ED9">
            <w:pPr>
              <w:pStyle w:val="TableText0"/>
              <w:jc w:val="center"/>
              <w:rPr>
                <w:szCs w:val="20"/>
              </w:rPr>
            </w:pPr>
            <w:r w:rsidRPr="003A5AE5">
              <w:rPr>
                <w:szCs w:val="20"/>
              </w:rPr>
              <w:t>5%</w:t>
            </w:r>
          </w:p>
        </w:tc>
        <w:tc>
          <w:tcPr>
            <w:tcW w:w="964" w:type="dxa"/>
          </w:tcPr>
          <w:p w:rsidR="00A320A7" w:rsidRPr="003A5AE5" w:rsidRDefault="00A320A7" w:rsidP="00033ED9">
            <w:pPr>
              <w:pStyle w:val="TableText0"/>
              <w:jc w:val="center"/>
              <w:rPr>
                <w:szCs w:val="20"/>
              </w:rPr>
            </w:pPr>
            <w:r w:rsidRPr="003A5AE5">
              <w:rPr>
                <w:szCs w:val="20"/>
              </w:rPr>
              <w:t>3%</w:t>
            </w:r>
          </w:p>
        </w:tc>
      </w:tr>
      <w:tr w:rsidR="00A320A7" w:rsidRPr="003A5AE5" w:rsidTr="00710058">
        <w:trPr>
          <w:gridAfter w:val="1"/>
          <w:wAfter w:w="10" w:type="dxa"/>
          <w:cantSplit/>
        </w:trPr>
        <w:tc>
          <w:tcPr>
            <w:tcW w:w="3057" w:type="dxa"/>
          </w:tcPr>
          <w:p w:rsidR="00A320A7" w:rsidRPr="003A5AE5" w:rsidRDefault="00A320A7" w:rsidP="00033ED9">
            <w:pPr>
              <w:pStyle w:val="TableHeading"/>
              <w:keepNext w:val="0"/>
              <w:ind w:left="172"/>
              <w:rPr>
                <w:b w:val="0"/>
                <w:bCs w:val="0"/>
                <w:szCs w:val="20"/>
              </w:rPr>
            </w:pPr>
            <w:r w:rsidRPr="003A5AE5">
              <w:rPr>
                <w:b w:val="0"/>
                <w:bCs w:val="0"/>
                <w:szCs w:val="20"/>
              </w:rPr>
              <w:t xml:space="preserve">Platelet count decreased </w:t>
            </w:r>
          </w:p>
        </w:tc>
        <w:tc>
          <w:tcPr>
            <w:tcW w:w="1100" w:type="dxa"/>
          </w:tcPr>
          <w:p w:rsidR="00A320A7" w:rsidRPr="003A5AE5" w:rsidRDefault="00A320A7" w:rsidP="00033ED9">
            <w:pPr>
              <w:pStyle w:val="TableText0"/>
              <w:jc w:val="center"/>
              <w:rPr>
                <w:szCs w:val="20"/>
              </w:rPr>
            </w:pPr>
            <w:r w:rsidRPr="003A5AE5">
              <w:rPr>
                <w:rFonts w:eastAsia="TimesNewRoman" w:cs="TimesNewRoman"/>
                <w:szCs w:val="20"/>
              </w:rPr>
              <w:t xml:space="preserve">39 (10.3) </w:t>
            </w:r>
          </w:p>
        </w:tc>
        <w:tc>
          <w:tcPr>
            <w:tcW w:w="1055" w:type="dxa"/>
          </w:tcPr>
          <w:p w:rsidR="00A320A7" w:rsidRPr="003A5AE5" w:rsidRDefault="00A320A7" w:rsidP="00033ED9">
            <w:pPr>
              <w:pStyle w:val="TableText0"/>
              <w:jc w:val="center"/>
              <w:rPr>
                <w:szCs w:val="20"/>
              </w:rPr>
            </w:pPr>
            <w:r w:rsidRPr="003A5AE5">
              <w:rPr>
                <w:rFonts w:eastAsia="TimesNewRoman" w:cs="TimesNewRoman"/>
                <w:szCs w:val="20"/>
              </w:rPr>
              <w:t xml:space="preserve">22 (5.8) </w:t>
            </w:r>
          </w:p>
        </w:tc>
        <w:tc>
          <w:tcPr>
            <w:tcW w:w="968" w:type="dxa"/>
          </w:tcPr>
          <w:p w:rsidR="00A320A7" w:rsidRPr="003A5AE5" w:rsidRDefault="00A320A7" w:rsidP="00033ED9">
            <w:pPr>
              <w:pStyle w:val="TableText0"/>
              <w:jc w:val="center"/>
              <w:rPr>
                <w:szCs w:val="20"/>
              </w:rPr>
            </w:pPr>
            <w:r w:rsidRPr="003A5AE5">
              <w:rPr>
                <w:rFonts w:eastAsia="TimesNewRoman" w:cs="TimesNewRoman"/>
                <w:szCs w:val="20"/>
              </w:rPr>
              <w:t>17 (4.5)</w:t>
            </w:r>
          </w:p>
        </w:tc>
        <w:tc>
          <w:tcPr>
            <w:tcW w:w="1010" w:type="dxa"/>
          </w:tcPr>
          <w:p w:rsidR="00A320A7" w:rsidRPr="003A5AE5" w:rsidRDefault="00A320A7" w:rsidP="00033ED9">
            <w:pPr>
              <w:pStyle w:val="TableText0"/>
              <w:jc w:val="center"/>
              <w:rPr>
                <w:szCs w:val="20"/>
              </w:rPr>
            </w:pPr>
            <w:r w:rsidRPr="003A5AE5">
              <w:rPr>
                <w:szCs w:val="20"/>
              </w:rPr>
              <w:t>-</w:t>
            </w:r>
          </w:p>
        </w:tc>
        <w:tc>
          <w:tcPr>
            <w:tcW w:w="964" w:type="dxa"/>
          </w:tcPr>
          <w:p w:rsidR="00A320A7" w:rsidRPr="003A5AE5" w:rsidRDefault="00A320A7" w:rsidP="00033ED9">
            <w:pPr>
              <w:pStyle w:val="TableText0"/>
              <w:jc w:val="center"/>
              <w:rPr>
                <w:szCs w:val="20"/>
              </w:rPr>
            </w:pPr>
            <w:r w:rsidRPr="003A5AE5">
              <w:rPr>
                <w:szCs w:val="20"/>
              </w:rPr>
              <w:t>-</w:t>
            </w:r>
          </w:p>
        </w:tc>
        <w:tc>
          <w:tcPr>
            <w:tcW w:w="964" w:type="dxa"/>
          </w:tcPr>
          <w:p w:rsidR="00A320A7" w:rsidRPr="003A5AE5" w:rsidRDefault="00A320A7" w:rsidP="00033ED9">
            <w:pPr>
              <w:pStyle w:val="TableText0"/>
              <w:jc w:val="center"/>
              <w:rPr>
                <w:szCs w:val="20"/>
              </w:rPr>
            </w:pPr>
            <w:r w:rsidRPr="003A5AE5">
              <w:rPr>
                <w:szCs w:val="20"/>
              </w:rPr>
              <w:t>-</w:t>
            </w:r>
          </w:p>
        </w:tc>
      </w:tr>
      <w:tr w:rsidR="00A320A7" w:rsidRPr="003A5AE5" w:rsidTr="00710058">
        <w:trPr>
          <w:gridAfter w:val="1"/>
          <w:wAfter w:w="10" w:type="dxa"/>
          <w:cantSplit/>
        </w:trPr>
        <w:tc>
          <w:tcPr>
            <w:tcW w:w="3057" w:type="dxa"/>
          </w:tcPr>
          <w:p w:rsidR="00A320A7" w:rsidRPr="003A5AE5" w:rsidRDefault="00A320A7" w:rsidP="00033ED9">
            <w:pPr>
              <w:pStyle w:val="TableHeading"/>
              <w:keepNext w:val="0"/>
              <w:ind w:left="172"/>
              <w:rPr>
                <w:b w:val="0"/>
                <w:bCs w:val="0"/>
                <w:szCs w:val="20"/>
              </w:rPr>
            </w:pPr>
            <w:r w:rsidRPr="003A5AE5">
              <w:rPr>
                <w:b w:val="0"/>
                <w:bCs w:val="0"/>
                <w:szCs w:val="20"/>
              </w:rPr>
              <w:t>Blood creatin</w:t>
            </w:r>
            <w:r w:rsidR="00ED74EB" w:rsidRPr="003A5AE5">
              <w:rPr>
                <w:b w:val="0"/>
                <w:bCs w:val="0"/>
                <w:szCs w:val="20"/>
              </w:rPr>
              <w:t>in</w:t>
            </w:r>
            <w:r w:rsidRPr="003A5AE5">
              <w:rPr>
                <w:b w:val="0"/>
                <w:bCs w:val="0"/>
                <w:szCs w:val="20"/>
              </w:rPr>
              <w:t>e phosphokinase increased</w:t>
            </w:r>
          </w:p>
        </w:tc>
        <w:tc>
          <w:tcPr>
            <w:tcW w:w="1100" w:type="dxa"/>
          </w:tcPr>
          <w:p w:rsidR="00A320A7" w:rsidRPr="003A5AE5" w:rsidRDefault="00A320A7" w:rsidP="00033ED9">
            <w:pPr>
              <w:pStyle w:val="TableText0"/>
              <w:jc w:val="center"/>
              <w:rPr>
                <w:rFonts w:eastAsia="TimesNewRoman" w:cs="TimesNewRoman"/>
                <w:szCs w:val="20"/>
              </w:rPr>
            </w:pPr>
            <w:r w:rsidRPr="003A5AE5">
              <w:rPr>
                <w:rFonts w:eastAsia="TimesNewRoman" w:cs="TimesNewRoman"/>
                <w:szCs w:val="20"/>
              </w:rPr>
              <w:t xml:space="preserve">22 (5.8) </w:t>
            </w:r>
          </w:p>
        </w:tc>
        <w:tc>
          <w:tcPr>
            <w:tcW w:w="1055" w:type="dxa"/>
          </w:tcPr>
          <w:p w:rsidR="00A320A7" w:rsidRPr="003A5AE5" w:rsidRDefault="00A320A7" w:rsidP="00033ED9">
            <w:pPr>
              <w:pStyle w:val="TableText0"/>
              <w:jc w:val="center"/>
              <w:rPr>
                <w:rFonts w:eastAsia="TimesNewRoman" w:cs="TimesNewRoman"/>
                <w:szCs w:val="20"/>
              </w:rPr>
            </w:pPr>
            <w:r w:rsidRPr="003A5AE5">
              <w:rPr>
                <w:rFonts w:eastAsia="TimesNewRoman" w:cs="TimesNewRoman"/>
                <w:szCs w:val="20"/>
              </w:rPr>
              <w:t xml:space="preserve">10 (2.6) </w:t>
            </w:r>
          </w:p>
        </w:tc>
        <w:tc>
          <w:tcPr>
            <w:tcW w:w="968" w:type="dxa"/>
          </w:tcPr>
          <w:p w:rsidR="00A320A7" w:rsidRPr="003A5AE5" w:rsidRDefault="00A320A7" w:rsidP="00033ED9">
            <w:pPr>
              <w:pStyle w:val="TableText0"/>
              <w:jc w:val="center"/>
              <w:rPr>
                <w:rFonts w:eastAsia="TimesNewRoman" w:cs="TimesNewRoman"/>
                <w:szCs w:val="20"/>
              </w:rPr>
            </w:pPr>
            <w:r w:rsidRPr="003A5AE5">
              <w:rPr>
                <w:rFonts w:eastAsia="TimesNewRoman" w:cs="TimesNewRoman"/>
                <w:szCs w:val="20"/>
              </w:rPr>
              <w:t>12 (3.2)</w:t>
            </w:r>
          </w:p>
        </w:tc>
        <w:tc>
          <w:tcPr>
            <w:tcW w:w="1010" w:type="dxa"/>
          </w:tcPr>
          <w:p w:rsidR="00A320A7" w:rsidRPr="003A5AE5" w:rsidRDefault="00A320A7" w:rsidP="00033ED9">
            <w:pPr>
              <w:pStyle w:val="TableText0"/>
              <w:jc w:val="center"/>
              <w:rPr>
                <w:rFonts w:eastAsia="TimesNewRoman" w:cs="TimesNewRoman"/>
                <w:szCs w:val="20"/>
              </w:rPr>
            </w:pPr>
            <w:r w:rsidRPr="003A5AE5">
              <w:rPr>
                <w:rFonts w:eastAsia="TimesNewRoman" w:cs="TimesNewRoman"/>
                <w:szCs w:val="20"/>
              </w:rPr>
              <w:t>-</w:t>
            </w:r>
          </w:p>
        </w:tc>
        <w:tc>
          <w:tcPr>
            <w:tcW w:w="964" w:type="dxa"/>
          </w:tcPr>
          <w:p w:rsidR="00A320A7" w:rsidRPr="003A5AE5" w:rsidRDefault="00A320A7" w:rsidP="00033ED9">
            <w:pPr>
              <w:pStyle w:val="TableText0"/>
              <w:jc w:val="center"/>
              <w:rPr>
                <w:rFonts w:eastAsia="TimesNewRoman" w:cs="TimesNewRoman"/>
                <w:szCs w:val="20"/>
              </w:rPr>
            </w:pPr>
            <w:r w:rsidRPr="003A5AE5">
              <w:rPr>
                <w:rFonts w:eastAsia="TimesNewRoman" w:cs="TimesNewRoman"/>
                <w:szCs w:val="20"/>
              </w:rPr>
              <w:t>-</w:t>
            </w:r>
          </w:p>
        </w:tc>
        <w:tc>
          <w:tcPr>
            <w:tcW w:w="964" w:type="dxa"/>
          </w:tcPr>
          <w:p w:rsidR="00A320A7" w:rsidRPr="003A5AE5" w:rsidRDefault="00A320A7" w:rsidP="00033ED9">
            <w:pPr>
              <w:pStyle w:val="TableText0"/>
              <w:jc w:val="center"/>
              <w:rPr>
                <w:rFonts w:eastAsia="TimesNewRoman" w:cs="TimesNewRoman"/>
                <w:szCs w:val="20"/>
              </w:rPr>
            </w:pPr>
            <w:r w:rsidRPr="003A5AE5">
              <w:rPr>
                <w:rFonts w:eastAsia="TimesNewRoman" w:cs="TimesNewRoman"/>
                <w:szCs w:val="20"/>
              </w:rPr>
              <w:t>-</w:t>
            </w:r>
          </w:p>
        </w:tc>
      </w:tr>
      <w:tr w:rsidR="00A320A7" w:rsidRPr="003A5AE5" w:rsidTr="00710058">
        <w:trPr>
          <w:gridAfter w:val="1"/>
          <w:wAfter w:w="10" w:type="dxa"/>
          <w:cantSplit/>
        </w:trPr>
        <w:tc>
          <w:tcPr>
            <w:tcW w:w="3057" w:type="dxa"/>
          </w:tcPr>
          <w:p w:rsidR="00A320A7" w:rsidRPr="003A5AE5" w:rsidRDefault="00A320A7" w:rsidP="00033ED9">
            <w:pPr>
              <w:pStyle w:val="TableHeading"/>
              <w:keepNext w:val="0"/>
              <w:rPr>
                <w:b w:val="0"/>
                <w:bCs w:val="0"/>
                <w:szCs w:val="20"/>
              </w:rPr>
            </w:pPr>
            <w:r w:rsidRPr="003A5AE5">
              <w:rPr>
                <w:b w:val="0"/>
                <w:bCs w:val="0"/>
                <w:szCs w:val="20"/>
              </w:rPr>
              <w:t xml:space="preserve">Blood and lymphatic system disorders </w:t>
            </w:r>
          </w:p>
        </w:tc>
        <w:tc>
          <w:tcPr>
            <w:tcW w:w="1100" w:type="dxa"/>
          </w:tcPr>
          <w:p w:rsidR="00A320A7" w:rsidRPr="003A5AE5" w:rsidRDefault="00A320A7" w:rsidP="00033ED9">
            <w:pPr>
              <w:pStyle w:val="TableText0"/>
              <w:jc w:val="center"/>
              <w:rPr>
                <w:szCs w:val="20"/>
              </w:rPr>
            </w:pPr>
            <w:r w:rsidRPr="003A5AE5">
              <w:rPr>
                <w:rFonts w:eastAsia="TimesNewRoman" w:cs="TimesNewRoman"/>
                <w:szCs w:val="20"/>
              </w:rPr>
              <w:t xml:space="preserve">140 (37.0) </w:t>
            </w:r>
          </w:p>
        </w:tc>
        <w:tc>
          <w:tcPr>
            <w:tcW w:w="1055" w:type="dxa"/>
          </w:tcPr>
          <w:p w:rsidR="00A320A7" w:rsidRPr="003A5AE5" w:rsidRDefault="00A320A7" w:rsidP="00033ED9">
            <w:pPr>
              <w:pStyle w:val="TableText0"/>
              <w:jc w:val="center"/>
              <w:rPr>
                <w:szCs w:val="20"/>
              </w:rPr>
            </w:pPr>
            <w:r w:rsidRPr="003A5AE5">
              <w:rPr>
                <w:rFonts w:eastAsia="TimesNewRoman" w:cs="TimesNewRoman"/>
                <w:szCs w:val="20"/>
              </w:rPr>
              <w:t xml:space="preserve">85 (22.5) </w:t>
            </w:r>
          </w:p>
        </w:tc>
        <w:tc>
          <w:tcPr>
            <w:tcW w:w="968" w:type="dxa"/>
          </w:tcPr>
          <w:p w:rsidR="00A320A7" w:rsidRPr="003A5AE5" w:rsidRDefault="00A320A7" w:rsidP="00033ED9">
            <w:pPr>
              <w:pStyle w:val="TableText0"/>
              <w:jc w:val="center"/>
              <w:rPr>
                <w:szCs w:val="20"/>
              </w:rPr>
            </w:pPr>
            <w:r w:rsidRPr="003A5AE5">
              <w:rPr>
                <w:rFonts w:eastAsia="TimesNewRoman" w:cs="TimesNewRoman"/>
                <w:szCs w:val="20"/>
              </w:rPr>
              <w:t>55 (14.6)</w:t>
            </w:r>
          </w:p>
        </w:tc>
        <w:tc>
          <w:tcPr>
            <w:tcW w:w="1010" w:type="dxa"/>
          </w:tcPr>
          <w:p w:rsidR="00A320A7" w:rsidRPr="003A5AE5" w:rsidRDefault="00A320A7" w:rsidP="00033ED9">
            <w:pPr>
              <w:pStyle w:val="TableText0"/>
              <w:jc w:val="center"/>
              <w:rPr>
                <w:szCs w:val="20"/>
              </w:rPr>
            </w:pPr>
            <w:r w:rsidRPr="003A5AE5">
              <w:rPr>
                <w:szCs w:val="20"/>
              </w:rPr>
              <w:t>-</w:t>
            </w:r>
          </w:p>
        </w:tc>
        <w:tc>
          <w:tcPr>
            <w:tcW w:w="964" w:type="dxa"/>
          </w:tcPr>
          <w:p w:rsidR="00A320A7" w:rsidRPr="003A5AE5" w:rsidRDefault="00A320A7" w:rsidP="00033ED9">
            <w:pPr>
              <w:pStyle w:val="TableText0"/>
              <w:jc w:val="center"/>
              <w:rPr>
                <w:szCs w:val="20"/>
              </w:rPr>
            </w:pPr>
            <w:r w:rsidRPr="003A5AE5">
              <w:rPr>
                <w:szCs w:val="20"/>
              </w:rPr>
              <w:t>-</w:t>
            </w:r>
          </w:p>
        </w:tc>
        <w:tc>
          <w:tcPr>
            <w:tcW w:w="964" w:type="dxa"/>
          </w:tcPr>
          <w:p w:rsidR="00A320A7" w:rsidRPr="003A5AE5" w:rsidRDefault="00A320A7" w:rsidP="00033ED9">
            <w:pPr>
              <w:pStyle w:val="TableText0"/>
              <w:jc w:val="center"/>
              <w:rPr>
                <w:szCs w:val="20"/>
              </w:rPr>
            </w:pPr>
            <w:r w:rsidRPr="003A5AE5">
              <w:rPr>
                <w:szCs w:val="20"/>
              </w:rPr>
              <w:t>-</w:t>
            </w:r>
          </w:p>
        </w:tc>
      </w:tr>
      <w:tr w:rsidR="00A320A7" w:rsidRPr="003A5AE5" w:rsidTr="00710058">
        <w:trPr>
          <w:gridAfter w:val="1"/>
          <w:wAfter w:w="10" w:type="dxa"/>
          <w:cantSplit/>
        </w:trPr>
        <w:tc>
          <w:tcPr>
            <w:tcW w:w="3057" w:type="dxa"/>
          </w:tcPr>
          <w:p w:rsidR="00A320A7" w:rsidRPr="003A5AE5" w:rsidRDefault="00A320A7" w:rsidP="00033ED9">
            <w:pPr>
              <w:pStyle w:val="TableHeading"/>
              <w:keepNext w:val="0"/>
              <w:ind w:left="172"/>
              <w:rPr>
                <w:b w:val="0"/>
                <w:bCs w:val="0"/>
                <w:szCs w:val="20"/>
              </w:rPr>
            </w:pPr>
            <w:r w:rsidRPr="003A5AE5">
              <w:rPr>
                <w:b w:val="0"/>
                <w:bCs w:val="0"/>
                <w:szCs w:val="20"/>
              </w:rPr>
              <w:t xml:space="preserve">Neutropenia </w:t>
            </w:r>
          </w:p>
        </w:tc>
        <w:tc>
          <w:tcPr>
            <w:tcW w:w="1100" w:type="dxa"/>
          </w:tcPr>
          <w:p w:rsidR="00A320A7" w:rsidRPr="003A5AE5" w:rsidRDefault="00A320A7" w:rsidP="00033ED9">
            <w:pPr>
              <w:pStyle w:val="TableText0"/>
              <w:jc w:val="center"/>
              <w:rPr>
                <w:szCs w:val="20"/>
              </w:rPr>
            </w:pPr>
            <w:r w:rsidRPr="003A5AE5">
              <w:rPr>
                <w:rFonts w:eastAsia="TimesNewRoman" w:cs="TimesNewRoman"/>
                <w:szCs w:val="20"/>
              </w:rPr>
              <w:t xml:space="preserve">91 (24.1) </w:t>
            </w:r>
          </w:p>
        </w:tc>
        <w:tc>
          <w:tcPr>
            <w:tcW w:w="1055" w:type="dxa"/>
          </w:tcPr>
          <w:p w:rsidR="00A320A7" w:rsidRPr="003A5AE5" w:rsidRDefault="00A320A7" w:rsidP="00033ED9">
            <w:pPr>
              <w:pStyle w:val="TableText0"/>
              <w:jc w:val="center"/>
              <w:rPr>
                <w:szCs w:val="20"/>
              </w:rPr>
            </w:pPr>
            <w:r w:rsidRPr="003A5AE5">
              <w:rPr>
                <w:rFonts w:eastAsia="TimesNewRoman" w:cs="TimesNewRoman"/>
                <w:szCs w:val="20"/>
              </w:rPr>
              <w:t xml:space="preserve">49 (13.0) </w:t>
            </w:r>
          </w:p>
        </w:tc>
        <w:tc>
          <w:tcPr>
            <w:tcW w:w="968" w:type="dxa"/>
          </w:tcPr>
          <w:p w:rsidR="00A320A7" w:rsidRPr="003A5AE5" w:rsidRDefault="00A320A7" w:rsidP="00033ED9">
            <w:pPr>
              <w:pStyle w:val="TableText0"/>
              <w:jc w:val="center"/>
              <w:rPr>
                <w:szCs w:val="20"/>
              </w:rPr>
            </w:pPr>
            <w:r w:rsidRPr="003A5AE5">
              <w:rPr>
                <w:rFonts w:eastAsia="TimesNewRoman" w:cs="TimesNewRoman"/>
                <w:szCs w:val="20"/>
              </w:rPr>
              <w:t>42 (11.1)</w:t>
            </w:r>
          </w:p>
        </w:tc>
        <w:tc>
          <w:tcPr>
            <w:tcW w:w="1010" w:type="dxa"/>
          </w:tcPr>
          <w:p w:rsidR="00A320A7" w:rsidRPr="003A5AE5" w:rsidRDefault="00A320A7" w:rsidP="00033ED9">
            <w:pPr>
              <w:pStyle w:val="TableText0"/>
              <w:jc w:val="center"/>
              <w:rPr>
                <w:szCs w:val="20"/>
              </w:rPr>
            </w:pPr>
            <w:r w:rsidRPr="003A5AE5">
              <w:rPr>
                <w:szCs w:val="20"/>
              </w:rPr>
              <w:t>4%</w:t>
            </w:r>
          </w:p>
        </w:tc>
        <w:tc>
          <w:tcPr>
            <w:tcW w:w="964" w:type="dxa"/>
          </w:tcPr>
          <w:p w:rsidR="00A320A7" w:rsidRPr="003A5AE5" w:rsidRDefault="00A320A7" w:rsidP="00033ED9">
            <w:pPr>
              <w:pStyle w:val="TableText0"/>
              <w:jc w:val="center"/>
              <w:rPr>
                <w:szCs w:val="20"/>
              </w:rPr>
            </w:pPr>
            <w:r w:rsidRPr="003A5AE5">
              <w:rPr>
                <w:szCs w:val="20"/>
              </w:rPr>
              <w:t>4%</w:t>
            </w:r>
          </w:p>
        </w:tc>
        <w:tc>
          <w:tcPr>
            <w:tcW w:w="964" w:type="dxa"/>
          </w:tcPr>
          <w:p w:rsidR="00A320A7" w:rsidRPr="003A5AE5" w:rsidRDefault="00A320A7" w:rsidP="00033ED9">
            <w:pPr>
              <w:pStyle w:val="TableText0"/>
              <w:jc w:val="center"/>
              <w:rPr>
                <w:szCs w:val="20"/>
              </w:rPr>
            </w:pPr>
            <w:r w:rsidRPr="003A5AE5">
              <w:rPr>
                <w:szCs w:val="20"/>
              </w:rPr>
              <w:t>0</w:t>
            </w:r>
          </w:p>
        </w:tc>
      </w:tr>
      <w:tr w:rsidR="00A320A7" w:rsidRPr="003A5AE5" w:rsidTr="00710058">
        <w:trPr>
          <w:gridAfter w:val="1"/>
          <w:wAfter w:w="10" w:type="dxa"/>
          <w:cantSplit/>
        </w:trPr>
        <w:tc>
          <w:tcPr>
            <w:tcW w:w="3057" w:type="dxa"/>
          </w:tcPr>
          <w:p w:rsidR="00A320A7" w:rsidRPr="003A5AE5" w:rsidRDefault="00A320A7" w:rsidP="00033ED9">
            <w:pPr>
              <w:pStyle w:val="TableHeading"/>
              <w:keepNext w:val="0"/>
              <w:ind w:left="172"/>
              <w:rPr>
                <w:b w:val="0"/>
                <w:bCs w:val="0"/>
                <w:szCs w:val="20"/>
              </w:rPr>
            </w:pPr>
            <w:r w:rsidRPr="003A5AE5">
              <w:rPr>
                <w:b w:val="0"/>
                <w:bCs w:val="0"/>
                <w:szCs w:val="20"/>
              </w:rPr>
              <w:t xml:space="preserve">Anaemia </w:t>
            </w:r>
          </w:p>
        </w:tc>
        <w:tc>
          <w:tcPr>
            <w:tcW w:w="1100" w:type="dxa"/>
          </w:tcPr>
          <w:p w:rsidR="00A320A7" w:rsidRPr="003A5AE5" w:rsidRDefault="00A320A7" w:rsidP="00033ED9">
            <w:pPr>
              <w:pStyle w:val="TableText0"/>
              <w:jc w:val="center"/>
              <w:rPr>
                <w:szCs w:val="20"/>
              </w:rPr>
            </w:pPr>
            <w:r w:rsidRPr="003A5AE5">
              <w:rPr>
                <w:rFonts w:eastAsia="TimesNewRoman" w:cs="TimesNewRoman"/>
                <w:szCs w:val="20"/>
              </w:rPr>
              <w:t xml:space="preserve">67 (17.7) </w:t>
            </w:r>
          </w:p>
        </w:tc>
        <w:tc>
          <w:tcPr>
            <w:tcW w:w="1055" w:type="dxa"/>
          </w:tcPr>
          <w:p w:rsidR="00A320A7" w:rsidRPr="003A5AE5" w:rsidRDefault="00A320A7" w:rsidP="00033ED9">
            <w:pPr>
              <w:pStyle w:val="TableText0"/>
              <w:jc w:val="center"/>
              <w:rPr>
                <w:szCs w:val="20"/>
              </w:rPr>
            </w:pPr>
            <w:r w:rsidRPr="003A5AE5">
              <w:rPr>
                <w:rFonts w:eastAsia="TimesNewRoman" w:cs="TimesNewRoman"/>
                <w:szCs w:val="20"/>
              </w:rPr>
              <w:t xml:space="preserve">66 (17.5) </w:t>
            </w:r>
          </w:p>
        </w:tc>
        <w:tc>
          <w:tcPr>
            <w:tcW w:w="968" w:type="dxa"/>
          </w:tcPr>
          <w:p w:rsidR="00A320A7" w:rsidRPr="003A5AE5" w:rsidRDefault="00A320A7" w:rsidP="00033ED9">
            <w:pPr>
              <w:pStyle w:val="TableText0"/>
              <w:jc w:val="center"/>
              <w:rPr>
                <w:szCs w:val="20"/>
              </w:rPr>
            </w:pPr>
            <w:r w:rsidRPr="003A5AE5">
              <w:rPr>
                <w:rFonts w:eastAsia="TimesNewRoman" w:cs="TimesNewRoman"/>
                <w:szCs w:val="20"/>
              </w:rPr>
              <w:t>1 (0.3)</w:t>
            </w:r>
          </w:p>
        </w:tc>
        <w:tc>
          <w:tcPr>
            <w:tcW w:w="1010" w:type="dxa"/>
          </w:tcPr>
          <w:p w:rsidR="00A320A7" w:rsidRPr="003A5AE5" w:rsidRDefault="00A320A7" w:rsidP="00033ED9">
            <w:pPr>
              <w:pStyle w:val="TableText0"/>
              <w:jc w:val="center"/>
              <w:rPr>
                <w:szCs w:val="20"/>
              </w:rPr>
            </w:pPr>
            <w:r w:rsidRPr="003A5AE5">
              <w:rPr>
                <w:szCs w:val="20"/>
              </w:rPr>
              <w:t>-</w:t>
            </w:r>
          </w:p>
        </w:tc>
        <w:tc>
          <w:tcPr>
            <w:tcW w:w="964" w:type="dxa"/>
          </w:tcPr>
          <w:p w:rsidR="00A320A7" w:rsidRPr="003A5AE5" w:rsidRDefault="00A320A7" w:rsidP="00033ED9">
            <w:pPr>
              <w:pStyle w:val="TableText0"/>
              <w:jc w:val="center"/>
              <w:rPr>
                <w:szCs w:val="20"/>
              </w:rPr>
            </w:pPr>
            <w:r w:rsidRPr="003A5AE5">
              <w:rPr>
                <w:szCs w:val="20"/>
              </w:rPr>
              <w:t>-</w:t>
            </w:r>
          </w:p>
        </w:tc>
        <w:tc>
          <w:tcPr>
            <w:tcW w:w="964" w:type="dxa"/>
          </w:tcPr>
          <w:p w:rsidR="00A320A7" w:rsidRPr="003A5AE5" w:rsidRDefault="00A320A7" w:rsidP="00033ED9">
            <w:pPr>
              <w:pStyle w:val="TableText0"/>
              <w:jc w:val="center"/>
              <w:rPr>
                <w:szCs w:val="20"/>
              </w:rPr>
            </w:pPr>
            <w:r w:rsidRPr="003A5AE5">
              <w:rPr>
                <w:szCs w:val="20"/>
              </w:rPr>
              <w:t>-</w:t>
            </w:r>
          </w:p>
        </w:tc>
      </w:tr>
      <w:tr w:rsidR="00A320A7" w:rsidRPr="003A5AE5" w:rsidTr="00710058">
        <w:trPr>
          <w:gridAfter w:val="1"/>
          <w:wAfter w:w="10" w:type="dxa"/>
          <w:cantSplit/>
        </w:trPr>
        <w:tc>
          <w:tcPr>
            <w:tcW w:w="3057" w:type="dxa"/>
          </w:tcPr>
          <w:p w:rsidR="00A320A7" w:rsidRPr="003A5AE5" w:rsidRDefault="00A320A7" w:rsidP="00033ED9">
            <w:pPr>
              <w:pStyle w:val="TableHeading"/>
              <w:keepNext w:val="0"/>
              <w:ind w:left="172"/>
              <w:rPr>
                <w:b w:val="0"/>
                <w:bCs w:val="0"/>
                <w:szCs w:val="20"/>
              </w:rPr>
            </w:pPr>
            <w:r w:rsidRPr="003A5AE5">
              <w:rPr>
                <w:b w:val="0"/>
                <w:bCs w:val="0"/>
                <w:szCs w:val="20"/>
              </w:rPr>
              <w:t xml:space="preserve">Leukopenia </w:t>
            </w:r>
          </w:p>
        </w:tc>
        <w:tc>
          <w:tcPr>
            <w:tcW w:w="1100" w:type="dxa"/>
          </w:tcPr>
          <w:p w:rsidR="00A320A7" w:rsidRPr="003A5AE5" w:rsidRDefault="00A320A7" w:rsidP="00033ED9">
            <w:pPr>
              <w:pStyle w:val="TableText0"/>
              <w:jc w:val="center"/>
              <w:rPr>
                <w:szCs w:val="20"/>
              </w:rPr>
            </w:pPr>
            <w:r w:rsidRPr="003A5AE5">
              <w:rPr>
                <w:rFonts w:eastAsia="TimesNewRoman" w:cs="TimesNewRoman"/>
                <w:szCs w:val="20"/>
              </w:rPr>
              <w:t xml:space="preserve">37 (9.8) </w:t>
            </w:r>
          </w:p>
        </w:tc>
        <w:tc>
          <w:tcPr>
            <w:tcW w:w="1055" w:type="dxa"/>
          </w:tcPr>
          <w:p w:rsidR="00A320A7" w:rsidRPr="003A5AE5" w:rsidRDefault="00A320A7" w:rsidP="00033ED9">
            <w:pPr>
              <w:pStyle w:val="TableText0"/>
              <w:jc w:val="center"/>
              <w:rPr>
                <w:szCs w:val="20"/>
              </w:rPr>
            </w:pPr>
            <w:r w:rsidRPr="003A5AE5">
              <w:rPr>
                <w:rFonts w:eastAsia="TimesNewRoman" w:cs="TimesNewRoman"/>
                <w:szCs w:val="20"/>
              </w:rPr>
              <w:t xml:space="preserve">26 (6.9) </w:t>
            </w:r>
          </w:p>
        </w:tc>
        <w:tc>
          <w:tcPr>
            <w:tcW w:w="968" w:type="dxa"/>
          </w:tcPr>
          <w:p w:rsidR="00A320A7" w:rsidRPr="003A5AE5" w:rsidRDefault="00A320A7" w:rsidP="00033ED9">
            <w:pPr>
              <w:pStyle w:val="TableText0"/>
              <w:jc w:val="center"/>
              <w:rPr>
                <w:szCs w:val="20"/>
              </w:rPr>
            </w:pPr>
            <w:r w:rsidRPr="003A5AE5">
              <w:rPr>
                <w:rFonts w:eastAsia="TimesNewRoman" w:cs="TimesNewRoman"/>
                <w:szCs w:val="20"/>
              </w:rPr>
              <w:t>11 (2.9)</w:t>
            </w:r>
          </w:p>
        </w:tc>
        <w:tc>
          <w:tcPr>
            <w:tcW w:w="1010" w:type="dxa"/>
          </w:tcPr>
          <w:p w:rsidR="00A320A7" w:rsidRPr="003A5AE5" w:rsidRDefault="00A320A7" w:rsidP="00033ED9">
            <w:pPr>
              <w:pStyle w:val="TableText0"/>
              <w:jc w:val="center"/>
              <w:rPr>
                <w:szCs w:val="20"/>
              </w:rPr>
            </w:pPr>
            <w:r w:rsidRPr="003A5AE5">
              <w:rPr>
                <w:szCs w:val="20"/>
              </w:rPr>
              <w:t>1%</w:t>
            </w:r>
          </w:p>
        </w:tc>
        <w:tc>
          <w:tcPr>
            <w:tcW w:w="964" w:type="dxa"/>
          </w:tcPr>
          <w:p w:rsidR="00A320A7" w:rsidRPr="003A5AE5" w:rsidRDefault="00A320A7" w:rsidP="00033ED9">
            <w:pPr>
              <w:pStyle w:val="TableText0"/>
              <w:jc w:val="center"/>
              <w:rPr>
                <w:szCs w:val="20"/>
              </w:rPr>
            </w:pPr>
            <w:r w:rsidRPr="003A5AE5">
              <w:rPr>
                <w:szCs w:val="20"/>
              </w:rPr>
              <w:t>1%</w:t>
            </w:r>
          </w:p>
        </w:tc>
        <w:tc>
          <w:tcPr>
            <w:tcW w:w="964" w:type="dxa"/>
          </w:tcPr>
          <w:p w:rsidR="00A320A7" w:rsidRPr="003A5AE5" w:rsidRDefault="00A320A7" w:rsidP="00033ED9">
            <w:pPr>
              <w:pStyle w:val="TableText0"/>
              <w:jc w:val="center"/>
              <w:rPr>
                <w:szCs w:val="20"/>
              </w:rPr>
            </w:pPr>
            <w:r w:rsidRPr="003A5AE5">
              <w:rPr>
                <w:szCs w:val="20"/>
              </w:rPr>
              <w:t>0</w:t>
            </w:r>
          </w:p>
        </w:tc>
      </w:tr>
      <w:tr w:rsidR="00A320A7" w:rsidRPr="003A5AE5" w:rsidTr="00710058">
        <w:trPr>
          <w:gridAfter w:val="1"/>
          <w:wAfter w:w="10" w:type="dxa"/>
          <w:cantSplit/>
        </w:trPr>
        <w:tc>
          <w:tcPr>
            <w:tcW w:w="3057" w:type="dxa"/>
          </w:tcPr>
          <w:p w:rsidR="00A320A7" w:rsidRPr="003A5AE5" w:rsidRDefault="00A320A7" w:rsidP="00033ED9">
            <w:pPr>
              <w:pStyle w:val="TableHeading"/>
              <w:keepNext w:val="0"/>
              <w:ind w:left="172"/>
              <w:rPr>
                <w:b w:val="0"/>
                <w:bCs w:val="0"/>
                <w:szCs w:val="20"/>
              </w:rPr>
            </w:pPr>
            <w:r w:rsidRPr="003A5AE5">
              <w:rPr>
                <w:b w:val="0"/>
                <w:bCs w:val="0"/>
                <w:szCs w:val="20"/>
              </w:rPr>
              <w:t xml:space="preserve">Thrombocytopenia </w:t>
            </w:r>
          </w:p>
        </w:tc>
        <w:tc>
          <w:tcPr>
            <w:tcW w:w="1100" w:type="dxa"/>
          </w:tcPr>
          <w:p w:rsidR="00A320A7" w:rsidRPr="003A5AE5" w:rsidRDefault="00A320A7" w:rsidP="00033ED9">
            <w:pPr>
              <w:pStyle w:val="TableText0"/>
              <w:jc w:val="center"/>
              <w:rPr>
                <w:szCs w:val="20"/>
              </w:rPr>
            </w:pPr>
            <w:r w:rsidRPr="003A5AE5">
              <w:rPr>
                <w:rFonts w:eastAsia="TimesNewRoman" w:cs="TimesNewRoman"/>
                <w:szCs w:val="20"/>
              </w:rPr>
              <w:t xml:space="preserve">40 (10.6) </w:t>
            </w:r>
          </w:p>
        </w:tc>
        <w:tc>
          <w:tcPr>
            <w:tcW w:w="1055" w:type="dxa"/>
          </w:tcPr>
          <w:p w:rsidR="00A320A7" w:rsidRPr="003A5AE5" w:rsidRDefault="00A320A7" w:rsidP="00033ED9">
            <w:pPr>
              <w:pStyle w:val="TableText0"/>
              <w:jc w:val="center"/>
              <w:rPr>
                <w:szCs w:val="20"/>
              </w:rPr>
            </w:pPr>
            <w:r w:rsidRPr="003A5AE5">
              <w:rPr>
                <w:rFonts w:eastAsia="TimesNewRoman" w:cs="TimesNewRoman"/>
                <w:szCs w:val="20"/>
              </w:rPr>
              <w:t xml:space="preserve">15 (4.0) </w:t>
            </w:r>
          </w:p>
        </w:tc>
        <w:tc>
          <w:tcPr>
            <w:tcW w:w="968" w:type="dxa"/>
          </w:tcPr>
          <w:p w:rsidR="00A320A7" w:rsidRPr="003A5AE5" w:rsidRDefault="00A320A7" w:rsidP="00033ED9">
            <w:pPr>
              <w:pStyle w:val="TableText0"/>
              <w:jc w:val="center"/>
              <w:rPr>
                <w:szCs w:val="20"/>
              </w:rPr>
            </w:pPr>
            <w:r w:rsidRPr="003A5AE5">
              <w:rPr>
                <w:rFonts w:eastAsia="TimesNewRoman" w:cs="TimesNewRoman"/>
                <w:szCs w:val="20"/>
              </w:rPr>
              <w:t>25 (6.6)</w:t>
            </w:r>
          </w:p>
        </w:tc>
        <w:tc>
          <w:tcPr>
            <w:tcW w:w="1010" w:type="dxa"/>
          </w:tcPr>
          <w:p w:rsidR="00A320A7" w:rsidRPr="003A5AE5" w:rsidRDefault="00A320A7" w:rsidP="00033ED9">
            <w:pPr>
              <w:pStyle w:val="TableText0"/>
              <w:jc w:val="center"/>
              <w:rPr>
                <w:szCs w:val="20"/>
              </w:rPr>
            </w:pPr>
            <w:r w:rsidRPr="003A5AE5">
              <w:rPr>
                <w:szCs w:val="20"/>
              </w:rPr>
              <w:t>4%</w:t>
            </w:r>
          </w:p>
        </w:tc>
        <w:tc>
          <w:tcPr>
            <w:tcW w:w="964" w:type="dxa"/>
          </w:tcPr>
          <w:p w:rsidR="00A320A7" w:rsidRPr="003A5AE5" w:rsidRDefault="00A320A7" w:rsidP="00033ED9">
            <w:pPr>
              <w:pStyle w:val="TableText0"/>
              <w:jc w:val="center"/>
              <w:rPr>
                <w:szCs w:val="20"/>
              </w:rPr>
            </w:pPr>
            <w:r w:rsidRPr="003A5AE5">
              <w:rPr>
                <w:szCs w:val="20"/>
              </w:rPr>
              <w:t>3%</w:t>
            </w:r>
          </w:p>
        </w:tc>
        <w:tc>
          <w:tcPr>
            <w:tcW w:w="964" w:type="dxa"/>
          </w:tcPr>
          <w:p w:rsidR="00A320A7" w:rsidRPr="003A5AE5" w:rsidRDefault="00A320A7" w:rsidP="00033ED9">
            <w:pPr>
              <w:pStyle w:val="TableText0"/>
              <w:jc w:val="center"/>
              <w:rPr>
                <w:szCs w:val="20"/>
              </w:rPr>
            </w:pPr>
            <w:r w:rsidRPr="003A5AE5">
              <w:rPr>
                <w:szCs w:val="20"/>
              </w:rPr>
              <w:t>&lt;1%</w:t>
            </w:r>
          </w:p>
        </w:tc>
      </w:tr>
      <w:tr w:rsidR="00A320A7" w:rsidRPr="003A5AE5" w:rsidTr="00710058">
        <w:trPr>
          <w:gridAfter w:val="1"/>
          <w:wAfter w:w="10" w:type="dxa"/>
          <w:cantSplit/>
        </w:trPr>
        <w:tc>
          <w:tcPr>
            <w:tcW w:w="3057" w:type="dxa"/>
            <w:tcBorders>
              <w:bottom w:val="single" w:sz="4" w:space="0" w:color="auto"/>
            </w:tcBorders>
          </w:tcPr>
          <w:p w:rsidR="00A320A7" w:rsidRPr="003A5AE5" w:rsidRDefault="00A320A7" w:rsidP="00033ED9">
            <w:pPr>
              <w:pStyle w:val="TableHeading"/>
              <w:keepNext w:val="0"/>
              <w:rPr>
                <w:b w:val="0"/>
                <w:bCs w:val="0"/>
                <w:szCs w:val="20"/>
              </w:rPr>
            </w:pPr>
            <w:r w:rsidRPr="003A5AE5">
              <w:rPr>
                <w:b w:val="0"/>
                <w:bCs w:val="0"/>
                <w:szCs w:val="20"/>
              </w:rPr>
              <w:t xml:space="preserve">Gastrointestinal disorders </w:t>
            </w:r>
          </w:p>
        </w:tc>
        <w:tc>
          <w:tcPr>
            <w:tcW w:w="1100" w:type="dxa"/>
            <w:tcBorders>
              <w:bottom w:val="single" w:sz="4" w:space="0" w:color="auto"/>
            </w:tcBorders>
          </w:tcPr>
          <w:p w:rsidR="00A320A7" w:rsidRPr="003A5AE5" w:rsidRDefault="00A320A7" w:rsidP="00033ED9">
            <w:pPr>
              <w:pStyle w:val="TableText0"/>
              <w:jc w:val="center"/>
              <w:rPr>
                <w:rStyle w:val="Emphasis"/>
                <w:i w:val="0"/>
                <w:iCs w:val="0"/>
                <w:szCs w:val="20"/>
              </w:rPr>
            </w:pPr>
            <w:r w:rsidRPr="003A5AE5">
              <w:rPr>
                <w:rFonts w:eastAsia="TimesNewRoman" w:cs="TimesNewRoman"/>
                <w:szCs w:val="20"/>
              </w:rPr>
              <w:t xml:space="preserve">69 (18.3) </w:t>
            </w:r>
          </w:p>
        </w:tc>
        <w:tc>
          <w:tcPr>
            <w:tcW w:w="1055" w:type="dxa"/>
            <w:tcBorders>
              <w:bottom w:val="single" w:sz="4" w:space="0" w:color="auto"/>
            </w:tcBorders>
          </w:tcPr>
          <w:p w:rsidR="00A320A7" w:rsidRPr="003A5AE5" w:rsidRDefault="00A320A7" w:rsidP="00033ED9">
            <w:pPr>
              <w:pStyle w:val="TableText0"/>
              <w:jc w:val="center"/>
              <w:rPr>
                <w:szCs w:val="20"/>
              </w:rPr>
            </w:pPr>
            <w:r w:rsidRPr="003A5AE5">
              <w:rPr>
                <w:rFonts w:eastAsia="TimesNewRoman" w:cs="TimesNewRoman"/>
                <w:szCs w:val="20"/>
              </w:rPr>
              <w:t xml:space="preserve">68 (18.0) </w:t>
            </w:r>
          </w:p>
        </w:tc>
        <w:tc>
          <w:tcPr>
            <w:tcW w:w="968" w:type="dxa"/>
            <w:tcBorders>
              <w:bottom w:val="single" w:sz="4" w:space="0" w:color="auto"/>
            </w:tcBorders>
          </w:tcPr>
          <w:p w:rsidR="00A320A7" w:rsidRPr="003A5AE5" w:rsidRDefault="00A320A7" w:rsidP="00033ED9">
            <w:pPr>
              <w:pStyle w:val="TableText0"/>
              <w:jc w:val="center"/>
              <w:rPr>
                <w:szCs w:val="20"/>
              </w:rPr>
            </w:pPr>
            <w:r w:rsidRPr="003A5AE5">
              <w:rPr>
                <w:rFonts w:eastAsia="TimesNewRoman" w:cs="TimesNewRoman"/>
                <w:szCs w:val="20"/>
              </w:rPr>
              <w:t>1 (0.3)</w:t>
            </w:r>
          </w:p>
        </w:tc>
        <w:tc>
          <w:tcPr>
            <w:tcW w:w="1010" w:type="dxa"/>
            <w:tcBorders>
              <w:bottom w:val="single" w:sz="4" w:space="0" w:color="auto"/>
            </w:tcBorders>
          </w:tcPr>
          <w:p w:rsidR="00A320A7" w:rsidRPr="003A5AE5" w:rsidRDefault="00A320A7" w:rsidP="00033ED9">
            <w:pPr>
              <w:pStyle w:val="TableText0"/>
              <w:jc w:val="center"/>
              <w:rPr>
                <w:rStyle w:val="Emphasis"/>
                <w:i w:val="0"/>
                <w:iCs w:val="0"/>
                <w:szCs w:val="20"/>
              </w:rPr>
            </w:pPr>
            <w:r w:rsidRPr="003A5AE5">
              <w:rPr>
                <w:rStyle w:val="Emphasis"/>
                <w:i w:val="0"/>
                <w:iCs w:val="0"/>
                <w:szCs w:val="20"/>
              </w:rPr>
              <w:t>-</w:t>
            </w:r>
          </w:p>
        </w:tc>
        <w:tc>
          <w:tcPr>
            <w:tcW w:w="964" w:type="dxa"/>
            <w:tcBorders>
              <w:bottom w:val="single" w:sz="4" w:space="0" w:color="auto"/>
            </w:tcBorders>
          </w:tcPr>
          <w:p w:rsidR="00A320A7" w:rsidRPr="003A5AE5" w:rsidRDefault="00A320A7" w:rsidP="00033ED9">
            <w:pPr>
              <w:pStyle w:val="TableText0"/>
              <w:jc w:val="center"/>
              <w:rPr>
                <w:szCs w:val="20"/>
              </w:rPr>
            </w:pPr>
            <w:r w:rsidRPr="003A5AE5">
              <w:rPr>
                <w:szCs w:val="20"/>
              </w:rPr>
              <w:t>-</w:t>
            </w:r>
          </w:p>
        </w:tc>
        <w:tc>
          <w:tcPr>
            <w:tcW w:w="964" w:type="dxa"/>
            <w:tcBorders>
              <w:bottom w:val="single" w:sz="4" w:space="0" w:color="auto"/>
            </w:tcBorders>
          </w:tcPr>
          <w:p w:rsidR="00A320A7" w:rsidRPr="003A5AE5" w:rsidRDefault="00A320A7" w:rsidP="00033ED9">
            <w:pPr>
              <w:pStyle w:val="TableText0"/>
              <w:jc w:val="center"/>
              <w:rPr>
                <w:szCs w:val="20"/>
              </w:rPr>
            </w:pPr>
            <w:r w:rsidRPr="003A5AE5">
              <w:rPr>
                <w:szCs w:val="20"/>
              </w:rPr>
              <w:t>-</w:t>
            </w:r>
          </w:p>
        </w:tc>
      </w:tr>
      <w:tr w:rsidR="00A320A7" w:rsidRPr="003A5AE5" w:rsidTr="00710058">
        <w:trPr>
          <w:gridAfter w:val="1"/>
          <w:wAfter w:w="10" w:type="dxa"/>
          <w:cantSplit/>
        </w:trPr>
        <w:tc>
          <w:tcPr>
            <w:tcW w:w="3057" w:type="dxa"/>
          </w:tcPr>
          <w:p w:rsidR="00A320A7" w:rsidRPr="003A5AE5" w:rsidRDefault="00A320A7" w:rsidP="00033ED9">
            <w:pPr>
              <w:pStyle w:val="TableHeading"/>
              <w:keepNext w:val="0"/>
              <w:ind w:left="172"/>
              <w:rPr>
                <w:b w:val="0"/>
                <w:bCs w:val="0"/>
                <w:szCs w:val="20"/>
              </w:rPr>
            </w:pPr>
            <w:r w:rsidRPr="003A5AE5">
              <w:rPr>
                <w:b w:val="0"/>
                <w:bCs w:val="0"/>
                <w:szCs w:val="20"/>
              </w:rPr>
              <w:t xml:space="preserve">Nausea </w:t>
            </w:r>
          </w:p>
        </w:tc>
        <w:tc>
          <w:tcPr>
            <w:tcW w:w="1100" w:type="dxa"/>
          </w:tcPr>
          <w:p w:rsidR="00A320A7" w:rsidRPr="003A5AE5" w:rsidRDefault="00A320A7" w:rsidP="00033ED9">
            <w:pPr>
              <w:pStyle w:val="TableText0"/>
              <w:jc w:val="center"/>
              <w:rPr>
                <w:szCs w:val="20"/>
              </w:rPr>
            </w:pPr>
            <w:r w:rsidRPr="003A5AE5">
              <w:rPr>
                <w:rFonts w:eastAsia="TimesNewRoman" w:cs="TimesNewRoman"/>
                <w:szCs w:val="20"/>
              </w:rPr>
              <w:t xml:space="preserve">26 (6.9) </w:t>
            </w:r>
          </w:p>
        </w:tc>
        <w:tc>
          <w:tcPr>
            <w:tcW w:w="1055" w:type="dxa"/>
          </w:tcPr>
          <w:p w:rsidR="00A320A7" w:rsidRPr="003A5AE5" w:rsidRDefault="00A320A7" w:rsidP="00033ED9">
            <w:pPr>
              <w:pStyle w:val="TableText0"/>
              <w:jc w:val="center"/>
              <w:rPr>
                <w:szCs w:val="20"/>
              </w:rPr>
            </w:pPr>
            <w:r w:rsidRPr="003A5AE5">
              <w:rPr>
                <w:rFonts w:eastAsia="TimesNewRoman" w:cs="TimesNewRoman"/>
                <w:szCs w:val="20"/>
              </w:rPr>
              <w:t>26 (6.9)</w:t>
            </w:r>
          </w:p>
        </w:tc>
        <w:tc>
          <w:tcPr>
            <w:tcW w:w="968" w:type="dxa"/>
          </w:tcPr>
          <w:p w:rsidR="00A320A7" w:rsidRPr="003A5AE5" w:rsidRDefault="00A320A7" w:rsidP="00033ED9">
            <w:pPr>
              <w:pStyle w:val="TableText0"/>
              <w:jc w:val="center"/>
              <w:rPr>
                <w:szCs w:val="20"/>
              </w:rPr>
            </w:pPr>
            <w:r w:rsidRPr="003A5AE5">
              <w:rPr>
                <w:szCs w:val="20"/>
              </w:rPr>
              <w:t>0</w:t>
            </w:r>
          </w:p>
        </w:tc>
        <w:tc>
          <w:tcPr>
            <w:tcW w:w="1010" w:type="dxa"/>
            <w:vAlign w:val="center"/>
          </w:tcPr>
          <w:p w:rsidR="00A320A7" w:rsidRPr="003A5AE5" w:rsidRDefault="00A320A7" w:rsidP="00033ED9">
            <w:pPr>
              <w:pStyle w:val="TableText0"/>
              <w:jc w:val="center"/>
              <w:rPr>
                <w:szCs w:val="20"/>
              </w:rPr>
            </w:pPr>
            <w:r w:rsidRPr="003A5AE5">
              <w:rPr>
                <w:rFonts w:cs="Calibri"/>
                <w:color w:val="000000"/>
                <w:szCs w:val="20"/>
              </w:rPr>
              <w:t>8 (3.3)</w:t>
            </w:r>
          </w:p>
        </w:tc>
        <w:tc>
          <w:tcPr>
            <w:tcW w:w="964" w:type="dxa"/>
          </w:tcPr>
          <w:p w:rsidR="00A320A7" w:rsidRPr="003A5AE5" w:rsidRDefault="00A320A7" w:rsidP="00033ED9">
            <w:pPr>
              <w:pStyle w:val="TableText0"/>
              <w:jc w:val="center"/>
              <w:rPr>
                <w:szCs w:val="20"/>
              </w:rPr>
            </w:pPr>
            <w:r w:rsidRPr="003A5AE5">
              <w:rPr>
                <w:szCs w:val="20"/>
              </w:rPr>
              <w:t>8 (3)</w:t>
            </w:r>
          </w:p>
        </w:tc>
        <w:tc>
          <w:tcPr>
            <w:tcW w:w="964" w:type="dxa"/>
          </w:tcPr>
          <w:p w:rsidR="00A320A7" w:rsidRPr="003A5AE5" w:rsidRDefault="00A320A7" w:rsidP="00033ED9">
            <w:pPr>
              <w:pStyle w:val="TableText0"/>
              <w:jc w:val="center"/>
              <w:rPr>
                <w:szCs w:val="20"/>
              </w:rPr>
            </w:pPr>
            <w:r w:rsidRPr="003A5AE5">
              <w:rPr>
                <w:szCs w:val="20"/>
              </w:rPr>
              <w:t>0</w:t>
            </w:r>
          </w:p>
        </w:tc>
      </w:tr>
      <w:tr w:rsidR="00A320A7" w:rsidRPr="003A5AE5" w:rsidTr="00710058">
        <w:trPr>
          <w:gridAfter w:val="1"/>
          <w:wAfter w:w="10" w:type="dxa"/>
          <w:cantSplit/>
        </w:trPr>
        <w:tc>
          <w:tcPr>
            <w:tcW w:w="3057" w:type="dxa"/>
          </w:tcPr>
          <w:p w:rsidR="00A320A7" w:rsidRPr="003A5AE5" w:rsidRDefault="00A320A7" w:rsidP="00033ED9">
            <w:pPr>
              <w:pStyle w:val="TableHeading"/>
              <w:keepNext w:val="0"/>
              <w:ind w:left="172"/>
              <w:rPr>
                <w:b w:val="0"/>
                <w:bCs w:val="0"/>
                <w:szCs w:val="20"/>
              </w:rPr>
            </w:pPr>
            <w:r w:rsidRPr="003A5AE5">
              <w:rPr>
                <w:b w:val="0"/>
                <w:bCs w:val="0"/>
                <w:szCs w:val="20"/>
              </w:rPr>
              <w:t>Vomiting</w:t>
            </w:r>
          </w:p>
        </w:tc>
        <w:tc>
          <w:tcPr>
            <w:tcW w:w="1100" w:type="dxa"/>
          </w:tcPr>
          <w:p w:rsidR="00A320A7" w:rsidRPr="003A5AE5" w:rsidRDefault="00A320A7" w:rsidP="00033ED9">
            <w:pPr>
              <w:pStyle w:val="TableText0"/>
              <w:jc w:val="center"/>
              <w:rPr>
                <w:rFonts w:eastAsia="TimesNewRoman" w:cs="TimesNewRoman"/>
                <w:szCs w:val="20"/>
              </w:rPr>
            </w:pPr>
            <w:r w:rsidRPr="003A5AE5">
              <w:rPr>
                <w:rFonts w:eastAsia="TimesNewRoman" w:cs="TimesNewRoman"/>
                <w:szCs w:val="20"/>
              </w:rPr>
              <w:t>-</w:t>
            </w:r>
          </w:p>
        </w:tc>
        <w:tc>
          <w:tcPr>
            <w:tcW w:w="1055" w:type="dxa"/>
          </w:tcPr>
          <w:p w:rsidR="00A320A7" w:rsidRPr="003A5AE5" w:rsidRDefault="00A320A7" w:rsidP="00033ED9">
            <w:pPr>
              <w:pStyle w:val="TableText0"/>
              <w:jc w:val="center"/>
              <w:rPr>
                <w:rFonts w:eastAsia="TimesNewRoman" w:cs="TimesNewRoman"/>
                <w:szCs w:val="20"/>
              </w:rPr>
            </w:pPr>
            <w:r w:rsidRPr="003A5AE5">
              <w:rPr>
                <w:rFonts w:eastAsia="TimesNewRoman" w:cs="TimesNewRoman"/>
                <w:szCs w:val="20"/>
              </w:rPr>
              <w:t>-</w:t>
            </w:r>
          </w:p>
        </w:tc>
        <w:tc>
          <w:tcPr>
            <w:tcW w:w="968" w:type="dxa"/>
          </w:tcPr>
          <w:p w:rsidR="00A320A7" w:rsidRPr="003A5AE5" w:rsidRDefault="00A320A7" w:rsidP="00033ED9">
            <w:pPr>
              <w:pStyle w:val="TableText0"/>
              <w:jc w:val="center"/>
              <w:rPr>
                <w:szCs w:val="20"/>
              </w:rPr>
            </w:pPr>
            <w:r w:rsidRPr="003A5AE5">
              <w:rPr>
                <w:szCs w:val="20"/>
              </w:rPr>
              <w:t>-</w:t>
            </w:r>
          </w:p>
        </w:tc>
        <w:tc>
          <w:tcPr>
            <w:tcW w:w="1010" w:type="dxa"/>
            <w:vAlign w:val="center"/>
          </w:tcPr>
          <w:p w:rsidR="00A320A7" w:rsidRPr="003A5AE5" w:rsidRDefault="00A320A7" w:rsidP="00033ED9">
            <w:pPr>
              <w:pStyle w:val="TableText0"/>
              <w:jc w:val="center"/>
              <w:rPr>
                <w:rFonts w:cs="Calibri"/>
                <w:color w:val="000000"/>
                <w:szCs w:val="20"/>
              </w:rPr>
            </w:pPr>
            <w:r w:rsidRPr="003A5AE5">
              <w:rPr>
                <w:rFonts w:cs="Calibri"/>
                <w:color w:val="000000"/>
                <w:szCs w:val="20"/>
              </w:rPr>
              <w:t>8 (3.3)</w:t>
            </w:r>
          </w:p>
        </w:tc>
        <w:tc>
          <w:tcPr>
            <w:tcW w:w="964" w:type="dxa"/>
          </w:tcPr>
          <w:p w:rsidR="00A320A7" w:rsidRPr="003A5AE5" w:rsidRDefault="00A320A7" w:rsidP="00033ED9">
            <w:pPr>
              <w:pStyle w:val="TableText0"/>
              <w:jc w:val="center"/>
              <w:rPr>
                <w:szCs w:val="20"/>
              </w:rPr>
            </w:pPr>
            <w:r w:rsidRPr="003A5AE5">
              <w:rPr>
                <w:szCs w:val="20"/>
              </w:rPr>
              <w:t>8 (3)</w:t>
            </w:r>
          </w:p>
        </w:tc>
        <w:tc>
          <w:tcPr>
            <w:tcW w:w="964" w:type="dxa"/>
          </w:tcPr>
          <w:p w:rsidR="00A320A7" w:rsidRPr="003A5AE5" w:rsidRDefault="00A320A7" w:rsidP="00033ED9">
            <w:pPr>
              <w:pStyle w:val="TableText0"/>
              <w:jc w:val="center"/>
              <w:rPr>
                <w:szCs w:val="20"/>
              </w:rPr>
            </w:pPr>
            <w:r w:rsidRPr="003A5AE5">
              <w:rPr>
                <w:szCs w:val="20"/>
              </w:rPr>
              <w:t>0</w:t>
            </w:r>
          </w:p>
        </w:tc>
      </w:tr>
      <w:tr w:rsidR="00A320A7" w:rsidRPr="003A5AE5" w:rsidTr="00710058">
        <w:trPr>
          <w:gridAfter w:val="1"/>
          <w:wAfter w:w="10" w:type="dxa"/>
          <w:cantSplit/>
        </w:trPr>
        <w:tc>
          <w:tcPr>
            <w:tcW w:w="3057" w:type="dxa"/>
          </w:tcPr>
          <w:p w:rsidR="00A320A7" w:rsidRPr="003A5AE5" w:rsidRDefault="00A320A7" w:rsidP="00033ED9">
            <w:pPr>
              <w:pStyle w:val="TableHeading"/>
              <w:keepNext w:val="0"/>
              <w:ind w:left="172"/>
              <w:rPr>
                <w:b w:val="0"/>
                <w:bCs w:val="0"/>
                <w:szCs w:val="20"/>
              </w:rPr>
            </w:pPr>
            <w:r w:rsidRPr="003A5AE5">
              <w:rPr>
                <w:b w:val="0"/>
                <w:bCs w:val="0"/>
                <w:szCs w:val="20"/>
              </w:rPr>
              <w:t xml:space="preserve">Abdominal pain </w:t>
            </w:r>
          </w:p>
        </w:tc>
        <w:tc>
          <w:tcPr>
            <w:tcW w:w="1100" w:type="dxa"/>
          </w:tcPr>
          <w:p w:rsidR="00A320A7" w:rsidRPr="003A5AE5" w:rsidRDefault="00A320A7" w:rsidP="00033ED9">
            <w:pPr>
              <w:pStyle w:val="TableText0"/>
              <w:jc w:val="center"/>
              <w:rPr>
                <w:szCs w:val="20"/>
              </w:rPr>
            </w:pPr>
            <w:r w:rsidRPr="003A5AE5">
              <w:rPr>
                <w:rFonts w:eastAsia="TimesNewRoman" w:cs="TimesNewRoman"/>
                <w:szCs w:val="20"/>
              </w:rPr>
              <w:t>16 (4.2)</w:t>
            </w:r>
          </w:p>
        </w:tc>
        <w:tc>
          <w:tcPr>
            <w:tcW w:w="1055" w:type="dxa"/>
          </w:tcPr>
          <w:p w:rsidR="00A320A7" w:rsidRPr="003A5AE5" w:rsidRDefault="00A320A7" w:rsidP="00033ED9">
            <w:pPr>
              <w:pStyle w:val="TableText0"/>
              <w:jc w:val="center"/>
              <w:rPr>
                <w:szCs w:val="20"/>
              </w:rPr>
            </w:pPr>
            <w:r w:rsidRPr="003A5AE5">
              <w:rPr>
                <w:rFonts w:eastAsia="TimesNewRoman" w:cs="TimesNewRoman"/>
                <w:szCs w:val="20"/>
              </w:rPr>
              <w:t>16 (4.2)</w:t>
            </w:r>
          </w:p>
        </w:tc>
        <w:tc>
          <w:tcPr>
            <w:tcW w:w="968" w:type="dxa"/>
          </w:tcPr>
          <w:p w:rsidR="00A320A7" w:rsidRPr="003A5AE5" w:rsidRDefault="00A320A7" w:rsidP="00033ED9">
            <w:pPr>
              <w:pStyle w:val="TableText0"/>
              <w:jc w:val="center"/>
              <w:rPr>
                <w:szCs w:val="20"/>
              </w:rPr>
            </w:pPr>
            <w:r w:rsidRPr="003A5AE5">
              <w:rPr>
                <w:szCs w:val="20"/>
              </w:rPr>
              <w:t>0</w:t>
            </w:r>
          </w:p>
        </w:tc>
        <w:tc>
          <w:tcPr>
            <w:tcW w:w="1010" w:type="dxa"/>
          </w:tcPr>
          <w:p w:rsidR="00A320A7" w:rsidRPr="003A5AE5" w:rsidRDefault="00A320A7" w:rsidP="00033ED9">
            <w:pPr>
              <w:pStyle w:val="TableText0"/>
              <w:jc w:val="center"/>
              <w:rPr>
                <w:szCs w:val="20"/>
              </w:rPr>
            </w:pPr>
            <w:r w:rsidRPr="003A5AE5">
              <w:rPr>
                <w:szCs w:val="20"/>
              </w:rPr>
              <w:t>-</w:t>
            </w:r>
          </w:p>
        </w:tc>
        <w:tc>
          <w:tcPr>
            <w:tcW w:w="964" w:type="dxa"/>
          </w:tcPr>
          <w:p w:rsidR="00A320A7" w:rsidRPr="003A5AE5" w:rsidRDefault="00A320A7" w:rsidP="00033ED9">
            <w:pPr>
              <w:pStyle w:val="TableText0"/>
              <w:jc w:val="center"/>
              <w:rPr>
                <w:szCs w:val="20"/>
              </w:rPr>
            </w:pPr>
            <w:r w:rsidRPr="003A5AE5">
              <w:rPr>
                <w:szCs w:val="20"/>
              </w:rPr>
              <w:t>-</w:t>
            </w:r>
          </w:p>
        </w:tc>
        <w:tc>
          <w:tcPr>
            <w:tcW w:w="964" w:type="dxa"/>
          </w:tcPr>
          <w:p w:rsidR="00A320A7" w:rsidRPr="003A5AE5" w:rsidRDefault="00A320A7" w:rsidP="00033ED9">
            <w:pPr>
              <w:pStyle w:val="TableText0"/>
              <w:jc w:val="center"/>
              <w:rPr>
                <w:szCs w:val="20"/>
              </w:rPr>
            </w:pPr>
            <w:r w:rsidRPr="003A5AE5">
              <w:rPr>
                <w:szCs w:val="20"/>
              </w:rPr>
              <w:t>-</w:t>
            </w:r>
          </w:p>
        </w:tc>
      </w:tr>
      <w:tr w:rsidR="00A320A7" w:rsidRPr="003A5AE5" w:rsidTr="00710058">
        <w:trPr>
          <w:gridAfter w:val="1"/>
          <w:wAfter w:w="10" w:type="dxa"/>
          <w:cantSplit/>
        </w:trPr>
        <w:tc>
          <w:tcPr>
            <w:tcW w:w="3057" w:type="dxa"/>
          </w:tcPr>
          <w:p w:rsidR="00A320A7" w:rsidRPr="003A5AE5" w:rsidRDefault="00A320A7" w:rsidP="00033ED9">
            <w:pPr>
              <w:pStyle w:val="TableHeading"/>
              <w:keepNext w:val="0"/>
              <w:ind w:left="172"/>
              <w:rPr>
                <w:b w:val="0"/>
                <w:bCs w:val="0"/>
                <w:szCs w:val="20"/>
              </w:rPr>
            </w:pPr>
            <w:r w:rsidRPr="003A5AE5">
              <w:rPr>
                <w:b w:val="0"/>
                <w:bCs w:val="0"/>
                <w:szCs w:val="20"/>
              </w:rPr>
              <w:t>Diarrhoea</w:t>
            </w:r>
          </w:p>
        </w:tc>
        <w:tc>
          <w:tcPr>
            <w:tcW w:w="1100" w:type="dxa"/>
          </w:tcPr>
          <w:p w:rsidR="00A320A7" w:rsidRPr="003A5AE5" w:rsidRDefault="00A320A7" w:rsidP="00033ED9">
            <w:pPr>
              <w:pStyle w:val="TableText0"/>
              <w:jc w:val="center"/>
              <w:rPr>
                <w:rFonts w:eastAsia="TimesNewRoman" w:cs="TimesNewRoman"/>
                <w:szCs w:val="20"/>
              </w:rPr>
            </w:pPr>
            <w:r w:rsidRPr="003A5AE5">
              <w:rPr>
                <w:rFonts w:eastAsia="TimesNewRoman" w:cs="TimesNewRoman"/>
                <w:szCs w:val="20"/>
              </w:rPr>
              <w:t>-</w:t>
            </w:r>
          </w:p>
        </w:tc>
        <w:tc>
          <w:tcPr>
            <w:tcW w:w="1055" w:type="dxa"/>
          </w:tcPr>
          <w:p w:rsidR="00A320A7" w:rsidRPr="003A5AE5" w:rsidRDefault="00A320A7" w:rsidP="00033ED9">
            <w:pPr>
              <w:pStyle w:val="TableText0"/>
              <w:jc w:val="center"/>
              <w:rPr>
                <w:rFonts w:eastAsia="TimesNewRoman" w:cs="TimesNewRoman"/>
                <w:szCs w:val="20"/>
              </w:rPr>
            </w:pPr>
            <w:r w:rsidRPr="003A5AE5">
              <w:rPr>
                <w:rFonts w:eastAsia="TimesNewRoman" w:cs="TimesNewRoman"/>
                <w:szCs w:val="20"/>
              </w:rPr>
              <w:t>-</w:t>
            </w:r>
          </w:p>
        </w:tc>
        <w:tc>
          <w:tcPr>
            <w:tcW w:w="968" w:type="dxa"/>
          </w:tcPr>
          <w:p w:rsidR="00A320A7" w:rsidRPr="003A5AE5" w:rsidRDefault="00A320A7" w:rsidP="00033ED9">
            <w:pPr>
              <w:pStyle w:val="TableText0"/>
              <w:jc w:val="center"/>
              <w:rPr>
                <w:szCs w:val="20"/>
              </w:rPr>
            </w:pPr>
            <w:r w:rsidRPr="003A5AE5">
              <w:rPr>
                <w:szCs w:val="20"/>
              </w:rPr>
              <w:t>-</w:t>
            </w:r>
          </w:p>
        </w:tc>
        <w:tc>
          <w:tcPr>
            <w:tcW w:w="1010" w:type="dxa"/>
            <w:vAlign w:val="center"/>
          </w:tcPr>
          <w:p w:rsidR="00A320A7" w:rsidRPr="003A5AE5" w:rsidRDefault="00A320A7" w:rsidP="00033ED9">
            <w:pPr>
              <w:pStyle w:val="TableText0"/>
              <w:jc w:val="center"/>
              <w:rPr>
                <w:szCs w:val="20"/>
              </w:rPr>
            </w:pPr>
            <w:r w:rsidRPr="003A5AE5">
              <w:rPr>
                <w:rFonts w:cs="Calibri"/>
                <w:color w:val="000000"/>
                <w:szCs w:val="20"/>
              </w:rPr>
              <w:t>11 (4.6)</w:t>
            </w:r>
          </w:p>
        </w:tc>
        <w:tc>
          <w:tcPr>
            <w:tcW w:w="964" w:type="dxa"/>
          </w:tcPr>
          <w:p w:rsidR="00A320A7" w:rsidRPr="003A5AE5" w:rsidRDefault="00A320A7" w:rsidP="00033ED9">
            <w:pPr>
              <w:pStyle w:val="TableText0"/>
              <w:jc w:val="center"/>
              <w:rPr>
                <w:szCs w:val="20"/>
              </w:rPr>
            </w:pPr>
            <w:r w:rsidRPr="003A5AE5">
              <w:rPr>
                <w:szCs w:val="20"/>
              </w:rPr>
              <w:t>11 (5)</w:t>
            </w:r>
          </w:p>
        </w:tc>
        <w:tc>
          <w:tcPr>
            <w:tcW w:w="964" w:type="dxa"/>
          </w:tcPr>
          <w:p w:rsidR="00A320A7" w:rsidRPr="003A5AE5" w:rsidRDefault="00A320A7" w:rsidP="00033ED9">
            <w:pPr>
              <w:pStyle w:val="TableText0"/>
              <w:jc w:val="center"/>
              <w:rPr>
                <w:szCs w:val="20"/>
              </w:rPr>
            </w:pPr>
            <w:r w:rsidRPr="003A5AE5">
              <w:rPr>
                <w:szCs w:val="20"/>
              </w:rPr>
              <w:t>0</w:t>
            </w:r>
          </w:p>
        </w:tc>
      </w:tr>
      <w:tr w:rsidR="00A320A7" w:rsidRPr="003A5AE5" w:rsidTr="00710058">
        <w:trPr>
          <w:gridAfter w:val="1"/>
          <w:wAfter w:w="10" w:type="dxa"/>
          <w:cantSplit/>
        </w:trPr>
        <w:tc>
          <w:tcPr>
            <w:tcW w:w="3057" w:type="dxa"/>
          </w:tcPr>
          <w:p w:rsidR="00A320A7" w:rsidRPr="003A5AE5" w:rsidRDefault="00A320A7" w:rsidP="00033ED9">
            <w:pPr>
              <w:pStyle w:val="TableHeading"/>
              <w:keepNext w:val="0"/>
              <w:ind w:left="172"/>
              <w:rPr>
                <w:b w:val="0"/>
                <w:bCs w:val="0"/>
                <w:szCs w:val="20"/>
              </w:rPr>
            </w:pPr>
            <w:r w:rsidRPr="003A5AE5">
              <w:rPr>
                <w:b w:val="0"/>
                <w:bCs w:val="0"/>
                <w:szCs w:val="20"/>
              </w:rPr>
              <w:t>Anorexia</w:t>
            </w:r>
          </w:p>
        </w:tc>
        <w:tc>
          <w:tcPr>
            <w:tcW w:w="1100" w:type="dxa"/>
          </w:tcPr>
          <w:p w:rsidR="00A320A7" w:rsidRPr="003A5AE5" w:rsidRDefault="00A320A7" w:rsidP="00033ED9">
            <w:pPr>
              <w:pStyle w:val="TableText0"/>
              <w:jc w:val="center"/>
              <w:rPr>
                <w:rFonts w:eastAsia="TimesNewRoman" w:cs="TimesNewRoman"/>
                <w:szCs w:val="20"/>
              </w:rPr>
            </w:pPr>
            <w:r w:rsidRPr="003A5AE5">
              <w:rPr>
                <w:rFonts w:eastAsia="TimesNewRoman" w:cs="TimesNewRoman"/>
                <w:szCs w:val="20"/>
              </w:rPr>
              <w:t>-</w:t>
            </w:r>
          </w:p>
        </w:tc>
        <w:tc>
          <w:tcPr>
            <w:tcW w:w="1055" w:type="dxa"/>
          </w:tcPr>
          <w:p w:rsidR="00A320A7" w:rsidRPr="003A5AE5" w:rsidRDefault="00A320A7" w:rsidP="00033ED9">
            <w:pPr>
              <w:pStyle w:val="TableText0"/>
              <w:jc w:val="center"/>
              <w:rPr>
                <w:rFonts w:eastAsia="TimesNewRoman" w:cs="TimesNewRoman"/>
                <w:szCs w:val="20"/>
              </w:rPr>
            </w:pPr>
            <w:r w:rsidRPr="003A5AE5">
              <w:rPr>
                <w:rFonts w:eastAsia="TimesNewRoman" w:cs="TimesNewRoman"/>
                <w:szCs w:val="20"/>
              </w:rPr>
              <w:t>-</w:t>
            </w:r>
          </w:p>
        </w:tc>
        <w:tc>
          <w:tcPr>
            <w:tcW w:w="968" w:type="dxa"/>
          </w:tcPr>
          <w:p w:rsidR="00A320A7" w:rsidRPr="003A5AE5" w:rsidRDefault="00A320A7" w:rsidP="00033ED9">
            <w:pPr>
              <w:pStyle w:val="TableText0"/>
              <w:jc w:val="center"/>
              <w:rPr>
                <w:szCs w:val="20"/>
              </w:rPr>
            </w:pPr>
            <w:r w:rsidRPr="003A5AE5">
              <w:rPr>
                <w:szCs w:val="20"/>
              </w:rPr>
              <w:t>-</w:t>
            </w:r>
          </w:p>
        </w:tc>
        <w:tc>
          <w:tcPr>
            <w:tcW w:w="1010" w:type="dxa"/>
            <w:vAlign w:val="center"/>
          </w:tcPr>
          <w:p w:rsidR="00A320A7" w:rsidRPr="003A5AE5" w:rsidRDefault="00A320A7" w:rsidP="00033ED9">
            <w:pPr>
              <w:pStyle w:val="TableText0"/>
              <w:jc w:val="center"/>
              <w:rPr>
                <w:rFonts w:cs="Calibri"/>
                <w:color w:val="000000"/>
                <w:szCs w:val="20"/>
              </w:rPr>
            </w:pPr>
            <w:r w:rsidRPr="003A5AE5">
              <w:rPr>
                <w:rFonts w:cs="Calibri"/>
                <w:color w:val="000000"/>
                <w:szCs w:val="20"/>
              </w:rPr>
              <w:t>14 (5.9)</w:t>
            </w:r>
          </w:p>
        </w:tc>
        <w:tc>
          <w:tcPr>
            <w:tcW w:w="964" w:type="dxa"/>
          </w:tcPr>
          <w:p w:rsidR="00A320A7" w:rsidRPr="003A5AE5" w:rsidRDefault="00A320A7" w:rsidP="00033ED9">
            <w:pPr>
              <w:pStyle w:val="TableText0"/>
              <w:jc w:val="center"/>
              <w:rPr>
                <w:szCs w:val="20"/>
              </w:rPr>
            </w:pPr>
            <w:r w:rsidRPr="003A5AE5">
              <w:rPr>
                <w:szCs w:val="20"/>
              </w:rPr>
              <w:t>14 (6)</w:t>
            </w:r>
          </w:p>
        </w:tc>
        <w:tc>
          <w:tcPr>
            <w:tcW w:w="964" w:type="dxa"/>
          </w:tcPr>
          <w:p w:rsidR="00A320A7" w:rsidRPr="003A5AE5" w:rsidRDefault="00A320A7" w:rsidP="00033ED9">
            <w:pPr>
              <w:pStyle w:val="TableText0"/>
              <w:jc w:val="center"/>
              <w:rPr>
                <w:szCs w:val="20"/>
              </w:rPr>
            </w:pPr>
            <w:r w:rsidRPr="003A5AE5">
              <w:rPr>
                <w:szCs w:val="20"/>
              </w:rPr>
              <w:t>0</w:t>
            </w:r>
          </w:p>
        </w:tc>
      </w:tr>
      <w:tr w:rsidR="00A320A7" w:rsidRPr="003A5AE5" w:rsidTr="00710058">
        <w:trPr>
          <w:gridAfter w:val="1"/>
          <w:wAfter w:w="10" w:type="dxa"/>
          <w:cantSplit/>
        </w:trPr>
        <w:tc>
          <w:tcPr>
            <w:tcW w:w="3057" w:type="dxa"/>
          </w:tcPr>
          <w:p w:rsidR="00A320A7" w:rsidRPr="003A5AE5" w:rsidRDefault="00A320A7" w:rsidP="00033ED9">
            <w:pPr>
              <w:pStyle w:val="TableHeading"/>
              <w:keepNext w:val="0"/>
              <w:rPr>
                <w:b w:val="0"/>
                <w:bCs w:val="0"/>
                <w:szCs w:val="20"/>
              </w:rPr>
            </w:pPr>
            <w:r w:rsidRPr="003A5AE5">
              <w:rPr>
                <w:b w:val="0"/>
                <w:bCs w:val="0"/>
                <w:szCs w:val="20"/>
              </w:rPr>
              <w:t xml:space="preserve">General disorders and administration site conditions </w:t>
            </w:r>
          </w:p>
        </w:tc>
        <w:tc>
          <w:tcPr>
            <w:tcW w:w="1100" w:type="dxa"/>
          </w:tcPr>
          <w:p w:rsidR="00A320A7" w:rsidRPr="003A5AE5" w:rsidRDefault="00A320A7" w:rsidP="00033ED9">
            <w:pPr>
              <w:pStyle w:val="TableText0"/>
              <w:jc w:val="center"/>
              <w:rPr>
                <w:szCs w:val="20"/>
              </w:rPr>
            </w:pPr>
            <w:r w:rsidRPr="003A5AE5">
              <w:rPr>
                <w:rFonts w:eastAsia="TimesNewRoman" w:cs="TimesNewRoman"/>
                <w:szCs w:val="20"/>
              </w:rPr>
              <w:t xml:space="preserve">59 (15.6) </w:t>
            </w:r>
          </w:p>
        </w:tc>
        <w:tc>
          <w:tcPr>
            <w:tcW w:w="1055" w:type="dxa"/>
          </w:tcPr>
          <w:p w:rsidR="00A320A7" w:rsidRPr="003A5AE5" w:rsidRDefault="00A320A7" w:rsidP="00033ED9">
            <w:pPr>
              <w:pStyle w:val="TableText0"/>
              <w:jc w:val="center"/>
              <w:rPr>
                <w:szCs w:val="20"/>
              </w:rPr>
            </w:pPr>
            <w:r w:rsidRPr="003A5AE5">
              <w:rPr>
                <w:rFonts w:eastAsia="TimesNewRoman" w:cs="TimesNewRoman"/>
                <w:szCs w:val="20"/>
              </w:rPr>
              <w:t xml:space="preserve">58 (15.3) </w:t>
            </w:r>
          </w:p>
        </w:tc>
        <w:tc>
          <w:tcPr>
            <w:tcW w:w="968" w:type="dxa"/>
          </w:tcPr>
          <w:p w:rsidR="00A320A7" w:rsidRPr="003A5AE5" w:rsidRDefault="00A320A7" w:rsidP="00033ED9">
            <w:pPr>
              <w:pStyle w:val="TableText0"/>
              <w:jc w:val="center"/>
              <w:rPr>
                <w:szCs w:val="20"/>
              </w:rPr>
            </w:pPr>
            <w:r w:rsidRPr="003A5AE5">
              <w:rPr>
                <w:rFonts w:eastAsia="TimesNewRoman" w:cs="TimesNewRoman"/>
                <w:szCs w:val="20"/>
              </w:rPr>
              <w:t>1 (0.3)</w:t>
            </w:r>
          </w:p>
        </w:tc>
        <w:tc>
          <w:tcPr>
            <w:tcW w:w="1010" w:type="dxa"/>
          </w:tcPr>
          <w:p w:rsidR="00A320A7" w:rsidRPr="003A5AE5" w:rsidRDefault="00A320A7" w:rsidP="00033ED9">
            <w:pPr>
              <w:pStyle w:val="TableText0"/>
              <w:jc w:val="center"/>
              <w:rPr>
                <w:szCs w:val="20"/>
              </w:rPr>
            </w:pPr>
            <w:r w:rsidRPr="003A5AE5">
              <w:rPr>
                <w:szCs w:val="20"/>
              </w:rPr>
              <w:t>-</w:t>
            </w:r>
          </w:p>
        </w:tc>
        <w:tc>
          <w:tcPr>
            <w:tcW w:w="964" w:type="dxa"/>
          </w:tcPr>
          <w:p w:rsidR="00A320A7" w:rsidRPr="003A5AE5" w:rsidRDefault="00A320A7" w:rsidP="00033ED9">
            <w:pPr>
              <w:pStyle w:val="TableText0"/>
              <w:jc w:val="center"/>
              <w:rPr>
                <w:szCs w:val="20"/>
              </w:rPr>
            </w:pPr>
            <w:r w:rsidRPr="003A5AE5">
              <w:rPr>
                <w:szCs w:val="20"/>
              </w:rPr>
              <w:t>-</w:t>
            </w:r>
          </w:p>
        </w:tc>
        <w:tc>
          <w:tcPr>
            <w:tcW w:w="964" w:type="dxa"/>
          </w:tcPr>
          <w:p w:rsidR="00A320A7" w:rsidRPr="003A5AE5" w:rsidRDefault="00A320A7" w:rsidP="00033ED9">
            <w:pPr>
              <w:pStyle w:val="TableText0"/>
              <w:jc w:val="center"/>
              <w:rPr>
                <w:szCs w:val="20"/>
              </w:rPr>
            </w:pPr>
            <w:r w:rsidRPr="003A5AE5">
              <w:rPr>
                <w:szCs w:val="20"/>
              </w:rPr>
              <w:t>-</w:t>
            </w:r>
          </w:p>
        </w:tc>
      </w:tr>
      <w:tr w:rsidR="00A320A7" w:rsidRPr="003A5AE5" w:rsidTr="00710058">
        <w:trPr>
          <w:gridAfter w:val="1"/>
          <w:wAfter w:w="10" w:type="dxa"/>
          <w:cantSplit/>
        </w:trPr>
        <w:tc>
          <w:tcPr>
            <w:tcW w:w="3057" w:type="dxa"/>
          </w:tcPr>
          <w:p w:rsidR="00A320A7" w:rsidRPr="003A5AE5" w:rsidRDefault="00A320A7" w:rsidP="00033ED9">
            <w:pPr>
              <w:pStyle w:val="TableHeading"/>
              <w:keepNext w:val="0"/>
              <w:ind w:left="172"/>
              <w:rPr>
                <w:b w:val="0"/>
                <w:bCs w:val="0"/>
                <w:szCs w:val="20"/>
              </w:rPr>
            </w:pPr>
            <w:r w:rsidRPr="003A5AE5">
              <w:rPr>
                <w:b w:val="0"/>
                <w:bCs w:val="0"/>
                <w:szCs w:val="20"/>
              </w:rPr>
              <w:t xml:space="preserve">Fatigue </w:t>
            </w:r>
          </w:p>
        </w:tc>
        <w:tc>
          <w:tcPr>
            <w:tcW w:w="1100" w:type="dxa"/>
          </w:tcPr>
          <w:p w:rsidR="00A320A7" w:rsidRPr="003A5AE5" w:rsidRDefault="00A320A7" w:rsidP="00033ED9">
            <w:pPr>
              <w:pStyle w:val="TableText0"/>
              <w:jc w:val="center"/>
              <w:rPr>
                <w:szCs w:val="20"/>
              </w:rPr>
            </w:pPr>
            <w:r w:rsidRPr="003A5AE5">
              <w:rPr>
                <w:rFonts w:eastAsia="TimesNewRoman" w:cs="TimesNewRoman"/>
                <w:szCs w:val="20"/>
              </w:rPr>
              <w:t xml:space="preserve">32 (8.5) </w:t>
            </w:r>
          </w:p>
        </w:tc>
        <w:tc>
          <w:tcPr>
            <w:tcW w:w="1055" w:type="dxa"/>
          </w:tcPr>
          <w:p w:rsidR="00A320A7" w:rsidRPr="003A5AE5" w:rsidRDefault="00A320A7" w:rsidP="00033ED9">
            <w:pPr>
              <w:pStyle w:val="TableText0"/>
              <w:jc w:val="center"/>
              <w:rPr>
                <w:szCs w:val="20"/>
              </w:rPr>
            </w:pPr>
            <w:r w:rsidRPr="003A5AE5">
              <w:rPr>
                <w:rFonts w:eastAsia="TimesNewRoman" w:cs="TimesNewRoman"/>
                <w:szCs w:val="20"/>
              </w:rPr>
              <w:t>32 (8.5)</w:t>
            </w:r>
          </w:p>
        </w:tc>
        <w:tc>
          <w:tcPr>
            <w:tcW w:w="968" w:type="dxa"/>
          </w:tcPr>
          <w:p w:rsidR="00A320A7" w:rsidRPr="003A5AE5" w:rsidRDefault="00A320A7" w:rsidP="00033ED9">
            <w:pPr>
              <w:pStyle w:val="TableText0"/>
              <w:jc w:val="center"/>
              <w:rPr>
                <w:szCs w:val="20"/>
              </w:rPr>
            </w:pPr>
            <w:r w:rsidRPr="003A5AE5">
              <w:rPr>
                <w:szCs w:val="20"/>
              </w:rPr>
              <w:t>0</w:t>
            </w:r>
          </w:p>
        </w:tc>
        <w:tc>
          <w:tcPr>
            <w:tcW w:w="1010" w:type="dxa"/>
            <w:vAlign w:val="center"/>
          </w:tcPr>
          <w:p w:rsidR="00A320A7" w:rsidRPr="003A5AE5" w:rsidRDefault="00A320A7" w:rsidP="00033ED9">
            <w:pPr>
              <w:pStyle w:val="TableText0"/>
              <w:jc w:val="center"/>
              <w:rPr>
                <w:b/>
                <w:bCs w:val="0"/>
                <w:szCs w:val="20"/>
              </w:rPr>
            </w:pPr>
            <w:r w:rsidRPr="003A5AE5">
              <w:rPr>
                <w:rFonts w:cs="Calibri"/>
                <w:color w:val="000000"/>
                <w:szCs w:val="20"/>
              </w:rPr>
              <w:t>31 (13.0)</w:t>
            </w:r>
          </w:p>
        </w:tc>
        <w:tc>
          <w:tcPr>
            <w:tcW w:w="964" w:type="dxa"/>
          </w:tcPr>
          <w:p w:rsidR="00A320A7" w:rsidRPr="003A5AE5" w:rsidRDefault="00A320A7" w:rsidP="00033ED9">
            <w:pPr>
              <w:pStyle w:val="TableText0"/>
              <w:jc w:val="center"/>
              <w:rPr>
                <w:szCs w:val="20"/>
              </w:rPr>
            </w:pPr>
            <w:r w:rsidRPr="003A5AE5">
              <w:rPr>
                <w:szCs w:val="20"/>
              </w:rPr>
              <w:t>30 (13)</w:t>
            </w:r>
          </w:p>
        </w:tc>
        <w:tc>
          <w:tcPr>
            <w:tcW w:w="964" w:type="dxa"/>
          </w:tcPr>
          <w:p w:rsidR="00A320A7" w:rsidRPr="003A5AE5" w:rsidRDefault="00A320A7" w:rsidP="00033ED9">
            <w:pPr>
              <w:pStyle w:val="TableText0"/>
              <w:jc w:val="center"/>
              <w:rPr>
                <w:szCs w:val="20"/>
              </w:rPr>
            </w:pPr>
            <w:r w:rsidRPr="003A5AE5">
              <w:rPr>
                <w:szCs w:val="20"/>
              </w:rPr>
              <w:t>1 (&lt;1)</w:t>
            </w:r>
          </w:p>
        </w:tc>
      </w:tr>
      <w:tr w:rsidR="00A320A7" w:rsidRPr="003A5AE5" w:rsidTr="00710058">
        <w:trPr>
          <w:gridAfter w:val="1"/>
          <w:wAfter w:w="10" w:type="dxa"/>
          <w:cantSplit/>
        </w:trPr>
        <w:tc>
          <w:tcPr>
            <w:tcW w:w="3057" w:type="dxa"/>
          </w:tcPr>
          <w:p w:rsidR="00A320A7" w:rsidRPr="003A5AE5" w:rsidRDefault="00A320A7" w:rsidP="00033ED9">
            <w:pPr>
              <w:pStyle w:val="TableHeading"/>
              <w:keepNext w:val="0"/>
              <w:ind w:left="172"/>
              <w:rPr>
                <w:b w:val="0"/>
                <w:bCs w:val="0"/>
                <w:szCs w:val="20"/>
              </w:rPr>
            </w:pPr>
            <w:r w:rsidRPr="003A5AE5">
              <w:rPr>
                <w:b w:val="0"/>
                <w:bCs w:val="0"/>
                <w:szCs w:val="20"/>
              </w:rPr>
              <w:t>Hypertension</w:t>
            </w:r>
          </w:p>
        </w:tc>
        <w:tc>
          <w:tcPr>
            <w:tcW w:w="1100" w:type="dxa"/>
          </w:tcPr>
          <w:p w:rsidR="00A320A7" w:rsidRPr="003A5AE5" w:rsidRDefault="00A320A7" w:rsidP="00033ED9">
            <w:pPr>
              <w:pStyle w:val="TableText0"/>
              <w:jc w:val="center"/>
              <w:rPr>
                <w:rFonts w:eastAsia="TimesNewRoman" w:cs="TimesNewRoman"/>
                <w:szCs w:val="20"/>
              </w:rPr>
            </w:pPr>
            <w:r w:rsidRPr="003A5AE5">
              <w:rPr>
                <w:rFonts w:eastAsia="TimesNewRoman" w:cs="TimesNewRoman"/>
                <w:szCs w:val="20"/>
              </w:rPr>
              <w:t>-</w:t>
            </w:r>
          </w:p>
        </w:tc>
        <w:tc>
          <w:tcPr>
            <w:tcW w:w="1055" w:type="dxa"/>
          </w:tcPr>
          <w:p w:rsidR="00A320A7" w:rsidRPr="003A5AE5" w:rsidRDefault="00A320A7" w:rsidP="00033ED9">
            <w:pPr>
              <w:pStyle w:val="TableText0"/>
              <w:jc w:val="center"/>
              <w:rPr>
                <w:rFonts w:eastAsia="TimesNewRoman" w:cs="TimesNewRoman"/>
                <w:szCs w:val="20"/>
              </w:rPr>
            </w:pPr>
            <w:r w:rsidRPr="003A5AE5">
              <w:rPr>
                <w:rFonts w:eastAsia="TimesNewRoman" w:cs="TimesNewRoman"/>
                <w:szCs w:val="20"/>
              </w:rPr>
              <w:t>-</w:t>
            </w:r>
          </w:p>
        </w:tc>
        <w:tc>
          <w:tcPr>
            <w:tcW w:w="968" w:type="dxa"/>
          </w:tcPr>
          <w:p w:rsidR="00A320A7" w:rsidRPr="003A5AE5" w:rsidRDefault="00A320A7" w:rsidP="00033ED9">
            <w:pPr>
              <w:pStyle w:val="TableText0"/>
              <w:jc w:val="center"/>
              <w:rPr>
                <w:szCs w:val="20"/>
              </w:rPr>
            </w:pPr>
            <w:r w:rsidRPr="003A5AE5">
              <w:rPr>
                <w:szCs w:val="20"/>
              </w:rPr>
              <w:t>-</w:t>
            </w:r>
          </w:p>
        </w:tc>
        <w:tc>
          <w:tcPr>
            <w:tcW w:w="1010" w:type="dxa"/>
            <w:vAlign w:val="center"/>
          </w:tcPr>
          <w:p w:rsidR="00A320A7" w:rsidRPr="003A5AE5" w:rsidRDefault="00A320A7" w:rsidP="00033ED9">
            <w:pPr>
              <w:pStyle w:val="TableText0"/>
              <w:jc w:val="center"/>
              <w:rPr>
                <w:rFonts w:cs="Calibri"/>
                <w:color w:val="000000"/>
                <w:szCs w:val="20"/>
              </w:rPr>
            </w:pPr>
            <w:r w:rsidRPr="003A5AE5">
              <w:rPr>
                <w:rFonts w:cs="Calibri"/>
                <w:color w:val="000000"/>
                <w:szCs w:val="20"/>
              </w:rPr>
              <w:t>16 (6.7)</w:t>
            </w:r>
          </w:p>
        </w:tc>
        <w:tc>
          <w:tcPr>
            <w:tcW w:w="964" w:type="dxa"/>
          </w:tcPr>
          <w:p w:rsidR="00A320A7" w:rsidRPr="003A5AE5" w:rsidRDefault="00A320A7" w:rsidP="00033ED9">
            <w:pPr>
              <w:pStyle w:val="TableText0"/>
              <w:jc w:val="center"/>
              <w:rPr>
                <w:szCs w:val="20"/>
              </w:rPr>
            </w:pPr>
            <w:r w:rsidRPr="003A5AE5">
              <w:rPr>
                <w:szCs w:val="20"/>
              </w:rPr>
              <w:t>16 (7)</w:t>
            </w:r>
          </w:p>
        </w:tc>
        <w:tc>
          <w:tcPr>
            <w:tcW w:w="964" w:type="dxa"/>
          </w:tcPr>
          <w:p w:rsidR="00A320A7" w:rsidRPr="003A5AE5" w:rsidRDefault="00A320A7" w:rsidP="00033ED9">
            <w:pPr>
              <w:pStyle w:val="TableText0"/>
              <w:jc w:val="center"/>
              <w:rPr>
                <w:szCs w:val="20"/>
              </w:rPr>
            </w:pPr>
            <w:r w:rsidRPr="003A5AE5">
              <w:rPr>
                <w:szCs w:val="20"/>
              </w:rPr>
              <w:t>0</w:t>
            </w:r>
          </w:p>
        </w:tc>
      </w:tr>
      <w:tr w:rsidR="00A320A7" w:rsidRPr="003A5AE5" w:rsidTr="00710058">
        <w:trPr>
          <w:gridAfter w:val="1"/>
          <w:wAfter w:w="10" w:type="dxa"/>
          <w:cantSplit/>
        </w:trPr>
        <w:tc>
          <w:tcPr>
            <w:tcW w:w="3057" w:type="dxa"/>
          </w:tcPr>
          <w:p w:rsidR="00A320A7" w:rsidRPr="003A5AE5" w:rsidRDefault="00A320A7" w:rsidP="00033ED9">
            <w:pPr>
              <w:pStyle w:val="TableHeading"/>
              <w:keepNext w:val="0"/>
              <w:ind w:left="172"/>
              <w:rPr>
                <w:b w:val="0"/>
                <w:bCs w:val="0"/>
                <w:szCs w:val="20"/>
              </w:rPr>
            </w:pPr>
            <w:r w:rsidRPr="003A5AE5">
              <w:rPr>
                <w:b w:val="0"/>
                <w:bCs w:val="0"/>
                <w:szCs w:val="20"/>
              </w:rPr>
              <w:t>Rash or desquamation</w:t>
            </w:r>
          </w:p>
        </w:tc>
        <w:tc>
          <w:tcPr>
            <w:tcW w:w="1100" w:type="dxa"/>
          </w:tcPr>
          <w:p w:rsidR="00A320A7" w:rsidRPr="003A5AE5" w:rsidRDefault="00A320A7" w:rsidP="00033ED9">
            <w:pPr>
              <w:pStyle w:val="TableText0"/>
              <w:jc w:val="center"/>
              <w:rPr>
                <w:rFonts w:eastAsia="TimesNewRoman" w:cs="TimesNewRoman"/>
                <w:szCs w:val="20"/>
              </w:rPr>
            </w:pPr>
            <w:r w:rsidRPr="003A5AE5">
              <w:rPr>
                <w:rFonts w:eastAsia="TimesNewRoman" w:cs="TimesNewRoman"/>
                <w:szCs w:val="20"/>
              </w:rPr>
              <w:t>-</w:t>
            </w:r>
          </w:p>
        </w:tc>
        <w:tc>
          <w:tcPr>
            <w:tcW w:w="1055" w:type="dxa"/>
          </w:tcPr>
          <w:p w:rsidR="00A320A7" w:rsidRPr="003A5AE5" w:rsidRDefault="00A320A7" w:rsidP="00033ED9">
            <w:pPr>
              <w:pStyle w:val="TableText0"/>
              <w:jc w:val="center"/>
              <w:rPr>
                <w:rFonts w:eastAsia="TimesNewRoman" w:cs="TimesNewRoman"/>
                <w:szCs w:val="20"/>
              </w:rPr>
            </w:pPr>
            <w:r w:rsidRPr="003A5AE5">
              <w:rPr>
                <w:rFonts w:eastAsia="TimesNewRoman" w:cs="TimesNewRoman"/>
                <w:szCs w:val="20"/>
              </w:rPr>
              <w:t>-</w:t>
            </w:r>
          </w:p>
        </w:tc>
        <w:tc>
          <w:tcPr>
            <w:tcW w:w="968" w:type="dxa"/>
          </w:tcPr>
          <w:p w:rsidR="00A320A7" w:rsidRPr="003A5AE5" w:rsidRDefault="00A320A7" w:rsidP="00033ED9">
            <w:pPr>
              <w:pStyle w:val="TableText0"/>
              <w:jc w:val="center"/>
              <w:rPr>
                <w:szCs w:val="20"/>
              </w:rPr>
            </w:pPr>
            <w:r w:rsidRPr="003A5AE5">
              <w:rPr>
                <w:szCs w:val="20"/>
              </w:rPr>
              <w:t>-</w:t>
            </w:r>
          </w:p>
        </w:tc>
        <w:tc>
          <w:tcPr>
            <w:tcW w:w="1010" w:type="dxa"/>
            <w:vAlign w:val="center"/>
          </w:tcPr>
          <w:p w:rsidR="00A320A7" w:rsidRPr="003A5AE5" w:rsidRDefault="00A320A7" w:rsidP="00033ED9">
            <w:pPr>
              <w:pStyle w:val="TableText0"/>
              <w:jc w:val="center"/>
              <w:rPr>
                <w:rFonts w:cs="Calibri"/>
                <w:color w:val="000000"/>
                <w:szCs w:val="20"/>
              </w:rPr>
            </w:pPr>
            <w:r w:rsidRPr="003A5AE5">
              <w:rPr>
                <w:rFonts w:cs="Calibri"/>
                <w:color w:val="000000"/>
                <w:szCs w:val="20"/>
              </w:rPr>
              <w:t>1 (0.4)</w:t>
            </w:r>
          </w:p>
        </w:tc>
        <w:tc>
          <w:tcPr>
            <w:tcW w:w="964" w:type="dxa"/>
          </w:tcPr>
          <w:p w:rsidR="00A320A7" w:rsidRPr="003A5AE5" w:rsidRDefault="00A320A7" w:rsidP="00033ED9">
            <w:pPr>
              <w:pStyle w:val="TableText0"/>
              <w:jc w:val="center"/>
              <w:rPr>
                <w:szCs w:val="20"/>
              </w:rPr>
            </w:pPr>
            <w:r w:rsidRPr="003A5AE5">
              <w:rPr>
                <w:szCs w:val="20"/>
              </w:rPr>
              <w:t>1 (&lt;1)</w:t>
            </w:r>
          </w:p>
        </w:tc>
        <w:tc>
          <w:tcPr>
            <w:tcW w:w="964" w:type="dxa"/>
          </w:tcPr>
          <w:p w:rsidR="00A320A7" w:rsidRPr="003A5AE5" w:rsidRDefault="00A320A7" w:rsidP="00033ED9">
            <w:pPr>
              <w:pStyle w:val="TableText0"/>
              <w:jc w:val="center"/>
              <w:rPr>
                <w:szCs w:val="20"/>
              </w:rPr>
            </w:pPr>
            <w:r w:rsidRPr="003A5AE5">
              <w:rPr>
                <w:szCs w:val="20"/>
              </w:rPr>
              <w:t>0</w:t>
            </w:r>
          </w:p>
        </w:tc>
      </w:tr>
      <w:tr w:rsidR="00A320A7" w:rsidRPr="003A5AE5" w:rsidTr="00710058">
        <w:trPr>
          <w:gridAfter w:val="1"/>
          <w:wAfter w:w="10" w:type="dxa"/>
          <w:cantSplit/>
        </w:trPr>
        <w:tc>
          <w:tcPr>
            <w:tcW w:w="3057" w:type="dxa"/>
          </w:tcPr>
          <w:p w:rsidR="00A320A7" w:rsidRPr="003A5AE5" w:rsidRDefault="00A320A7" w:rsidP="00033ED9">
            <w:pPr>
              <w:pStyle w:val="TableHeading"/>
              <w:keepNext w:val="0"/>
              <w:ind w:left="172"/>
              <w:rPr>
                <w:b w:val="0"/>
                <w:bCs w:val="0"/>
                <w:szCs w:val="20"/>
              </w:rPr>
            </w:pPr>
            <w:r w:rsidRPr="003A5AE5">
              <w:rPr>
                <w:b w:val="0"/>
                <w:bCs w:val="0"/>
                <w:szCs w:val="20"/>
              </w:rPr>
              <w:t>Mucositis</w:t>
            </w:r>
          </w:p>
        </w:tc>
        <w:tc>
          <w:tcPr>
            <w:tcW w:w="1100" w:type="dxa"/>
          </w:tcPr>
          <w:p w:rsidR="00A320A7" w:rsidRPr="003A5AE5" w:rsidRDefault="00A320A7" w:rsidP="00033ED9">
            <w:pPr>
              <w:pStyle w:val="TableText0"/>
              <w:jc w:val="center"/>
              <w:rPr>
                <w:rFonts w:eastAsia="TimesNewRoman" w:cs="TimesNewRoman"/>
                <w:szCs w:val="20"/>
              </w:rPr>
            </w:pPr>
            <w:r w:rsidRPr="003A5AE5">
              <w:rPr>
                <w:rFonts w:eastAsia="TimesNewRoman" w:cs="TimesNewRoman"/>
                <w:szCs w:val="20"/>
              </w:rPr>
              <w:t>-</w:t>
            </w:r>
          </w:p>
        </w:tc>
        <w:tc>
          <w:tcPr>
            <w:tcW w:w="1055" w:type="dxa"/>
          </w:tcPr>
          <w:p w:rsidR="00A320A7" w:rsidRPr="003A5AE5" w:rsidRDefault="00A320A7" w:rsidP="00033ED9">
            <w:pPr>
              <w:pStyle w:val="TableText0"/>
              <w:jc w:val="center"/>
              <w:rPr>
                <w:rFonts w:eastAsia="TimesNewRoman" w:cs="TimesNewRoman"/>
                <w:szCs w:val="20"/>
              </w:rPr>
            </w:pPr>
            <w:r w:rsidRPr="003A5AE5">
              <w:rPr>
                <w:rFonts w:eastAsia="TimesNewRoman" w:cs="TimesNewRoman"/>
                <w:szCs w:val="20"/>
              </w:rPr>
              <w:t>-</w:t>
            </w:r>
          </w:p>
        </w:tc>
        <w:tc>
          <w:tcPr>
            <w:tcW w:w="968" w:type="dxa"/>
          </w:tcPr>
          <w:p w:rsidR="00A320A7" w:rsidRPr="003A5AE5" w:rsidRDefault="00A320A7" w:rsidP="00033ED9">
            <w:pPr>
              <w:pStyle w:val="TableText0"/>
              <w:jc w:val="center"/>
              <w:rPr>
                <w:szCs w:val="20"/>
              </w:rPr>
            </w:pPr>
            <w:r w:rsidRPr="003A5AE5">
              <w:rPr>
                <w:szCs w:val="20"/>
              </w:rPr>
              <w:t>-</w:t>
            </w:r>
          </w:p>
        </w:tc>
        <w:tc>
          <w:tcPr>
            <w:tcW w:w="1010" w:type="dxa"/>
            <w:vAlign w:val="center"/>
          </w:tcPr>
          <w:p w:rsidR="00A320A7" w:rsidRPr="003A5AE5" w:rsidRDefault="00A320A7" w:rsidP="00033ED9">
            <w:pPr>
              <w:pStyle w:val="TableText0"/>
              <w:jc w:val="center"/>
              <w:rPr>
                <w:rFonts w:cs="Calibri"/>
                <w:color w:val="000000"/>
                <w:szCs w:val="20"/>
              </w:rPr>
            </w:pPr>
            <w:r w:rsidRPr="003A5AE5">
              <w:rPr>
                <w:rFonts w:cs="Calibri"/>
                <w:color w:val="000000"/>
                <w:szCs w:val="20"/>
              </w:rPr>
              <w:t>3 (1.3)</w:t>
            </w:r>
          </w:p>
        </w:tc>
        <w:tc>
          <w:tcPr>
            <w:tcW w:w="964" w:type="dxa"/>
          </w:tcPr>
          <w:p w:rsidR="00A320A7" w:rsidRPr="003A5AE5" w:rsidRDefault="00A320A7" w:rsidP="00033ED9">
            <w:pPr>
              <w:pStyle w:val="TableText0"/>
              <w:jc w:val="center"/>
              <w:rPr>
                <w:szCs w:val="20"/>
              </w:rPr>
            </w:pPr>
            <w:r w:rsidRPr="003A5AE5">
              <w:rPr>
                <w:szCs w:val="20"/>
              </w:rPr>
              <w:t>3 (1)</w:t>
            </w:r>
          </w:p>
        </w:tc>
        <w:tc>
          <w:tcPr>
            <w:tcW w:w="964" w:type="dxa"/>
          </w:tcPr>
          <w:p w:rsidR="00A320A7" w:rsidRPr="003A5AE5" w:rsidRDefault="00A320A7" w:rsidP="00033ED9">
            <w:pPr>
              <w:pStyle w:val="TableText0"/>
              <w:jc w:val="center"/>
              <w:rPr>
                <w:szCs w:val="20"/>
              </w:rPr>
            </w:pPr>
            <w:r w:rsidRPr="003A5AE5">
              <w:rPr>
                <w:szCs w:val="20"/>
              </w:rPr>
              <w:t>0</w:t>
            </w:r>
          </w:p>
        </w:tc>
      </w:tr>
    </w:tbl>
    <w:p w:rsidR="00A320A7" w:rsidRPr="003A5AE5" w:rsidRDefault="00A320A7" w:rsidP="00033ED9">
      <w:pPr>
        <w:pStyle w:val="TableFigureFooter"/>
      </w:pPr>
      <w:r w:rsidRPr="003A5AE5">
        <w:t>Source:</w:t>
      </w:r>
      <w:r w:rsidR="00F95B5F" w:rsidRPr="003A5AE5">
        <w:t xml:space="preserve"> Table compiled during the evaluation, based on </w:t>
      </w:r>
      <w:r w:rsidRPr="003A5AE5">
        <w:t>Table 20, p 41 of the Study 3007 Final CSR and Table 3, p 1884 of Van der Graaf (2012)</w:t>
      </w:r>
      <w:r w:rsidR="009E65D0" w:rsidRPr="003A5AE5">
        <w:rPr>
          <w:rStyle w:val="FootnoteReference"/>
        </w:rPr>
        <w:footnoteReference w:id="2"/>
      </w:r>
      <w:r w:rsidRPr="003A5AE5">
        <w:t xml:space="preserve"> and Table 22, pp 30 – 33 of the pazopanib EPAR Assessment (2012).</w:t>
      </w:r>
    </w:p>
    <w:p w:rsidR="00A320A7" w:rsidRPr="003A5AE5" w:rsidRDefault="00C96EC4" w:rsidP="00033ED9">
      <w:pPr>
        <w:pStyle w:val="TableFigureFooter"/>
      </w:pPr>
      <w:r w:rsidRPr="003A5AE5">
        <w:rPr>
          <w:vertAlign w:val="superscript"/>
        </w:rPr>
        <w:t>a</w:t>
      </w:r>
      <w:r w:rsidRPr="003A5AE5">
        <w:t xml:space="preserve"> Some adverse events only had percentages provided.</w:t>
      </w:r>
      <w:r w:rsidR="008C278A" w:rsidRPr="003A5AE5">
        <w:t xml:space="preserve"> </w:t>
      </w:r>
      <w:r w:rsidR="00A320A7" w:rsidRPr="003A5AE5">
        <w:t>- = not common enough to be reported.</w:t>
      </w:r>
    </w:p>
    <w:p w:rsidR="00FE04DB" w:rsidRPr="003A5AE5" w:rsidRDefault="00C60850" w:rsidP="00033ED9">
      <w:pPr>
        <w:pStyle w:val="3-BodyText"/>
      </w:pPr>
      <w:r w:rsidRPr="003A5AE5">
        <w:t xml:space="preserve">A higher incidence of Grade 4 AEs was recorded for trabectedin than pazopanib (29.4% vs 10%). The Grade 4 AEs most commonly associated with trabectedin were neutropenia and thrombocytopenia, compared to </w:t>
      </w:r>
      <w:r w:rsidR="008100D6" w:rsidRPr="003A5AE5">
        <w:t>pazopanib that</w:t>
      </w:r>
      <w:r w:rsidRPr="003A5AE5">
        <w:t xml:space="preserve"> was associated with increased levels of alanine and aspartate aminotransferases. Trabectedin was also associated with higher rates of Grade 3 nausea compared to pazopanib (6.9% vs 3%). </w:t>
      </w:r>
      <w:r w:rsidR="00B42B83" w:rsidRPr="003A5AE5">
        <w:t>The submission considered the trials were</w:t>
      </w:r>
      <w:r w:rsidRPr="003A5AE5">
        <w:t xml:space="preserve"> too heterogeneous for a formal ITC</w:t>
      </w:r>
      <w:r w:rsidR="0027506D" w:rsidRPr="003A5AE5">
        <w:t>.</w:t>
      </w:r>
      <w:r w:rsidR="00B42B83" w:rsidRPr="003A5AE5">
        <w:t xml:space="preserve"> </w:t>
      </w:r>
      <w:r w:rsidR="0027506D" w:rsidRPr="003A5AE5">
        <w:t>The PSC</w:t>
      </w:r>
      <w:r w:rsidR="003D68B7">
        <w:t>R</w:t>
      </w:r>
      <w:r w:rsidR="0027506D" w:rsidRPr="003A5AE5">
        <w:t xml:space="preserve"> argued that the majority of </w:t>
      </w:r>
      <w:r w:rsidR="008100D6" w:rsidRPr="003A5AE5">
        <w:t>high-grade</w:t>
      </w:r>
      <w:r w:rsidR="0027506D" w:rsidRPr="003A5AE5">
        <w:t xml:space="preserve"> adverse events associated with trabectedin were laboratory abnormalities</w:t>
      </w:r>
      <w:r w:rsidR="003A5AE5" w:rsidRPr="003A5AE5">
        <w:t xml:space="preserve">. </w:t>
      </w:r>
      <w:r w:rsidR="00F146CD" w:rsidRPr="003A5AE5">
        <w:t xml:space="preserve">The ESC noted that 11.1% of patients in Study 3007 treated with trabectedin experienced Grade 4 neutropenia. </w:t>
      </w:r>
      <w:r w:rsidR="00F01300" w:rsidRPr="003A5AE5">
        <w:t>The ESC noted</w:t>
      </w:r>
      <w:r w:rsidR="00236AFC" w:rsidRPr="003A5AE5">
        <w:t xml:space="preserve"> the findings</w:t>
      </w:r>
      <w:r w:rsidR="00F01300" w:rsidRPr="003A5AE5">
        <w:t xml:space="preserve"> </w:t>
      </w:r>
      <w:r w:rsidR="00236AFC" w:rsidRPr="003A5AE5">
        <w:t xml:space="preserve">of a phase II study of two different trabectedin </w:t>
      </w:r>
      <w:r w:rsidR="00D262E3" w:rsidRPr="003A5AE5">
        <w:t>treatment regimens</w:t>
      </w:r>
      <w:r w:rsidR="00D262E3" w:rsidRPr="003A5AE5">
        <w:rPr>
          <w:rStyle w:val="FootnoteReference"/>
        </w:rPr>
        <w:footnoteReference w:id="3"/>
      </w:r>
      <w:r w:rsidR="00236AFC" w:rsidRPr="003A5AE5">
        <w:t xml:space="preserve"> in relation to AEs reported (Demetri 2009). The study found the incidence of </w:t>
      </w:r>
      <w:r w:rsidR="00F146CD" w:rsidRPr="003A5AE5">
        <w:t>Grade 4</w:t>
      </w:r>
      <w:r w:rsidR="00236AFC" w:rsidRPr="003A5AE5">
        <w:t xml:space="preserve"> neutropenia to be 21% for the 24 hour infusion regimen with </w:t>
      </w:r>
      <w:r w:rsidR="00A812B4" w:rsidRPr="003A5AE5">
        <w:t xml:space="preserve">a </w:t>
      </w:r>
      <w:r w:rsidR="00236AFC" w:rsidRPr="003A5AE5">
        <w:t>granulocyte colony-stimulating factor (G</w:t>
      </w:r>
      <w:r w:rsidR="00F146CD" w:rsidRPr="003A5AE5">
        <w:t>-C</w:t>
      </w:r>
      <w:r w:rsidR="00236AFC" w:rsidRPr="003A5AE5">
        <w:t xml:space="preserve">SF) administered in 28% of these patients. The ESC noted that </w:t>
      </w:r>
      <w:r w:rsidR="009C456F" w:rsidRPr="003A5AE5">
        <w:t xml:space="preserve">febrile neutropenia </w:t>
      </w:r>
      <w:r w:rsidR="00F146CD" w:rsidRPr="003A5AE5">
        <w:t xml:space="preserve">was </w:t>
      </w:r>
      <w:r w:rsidR="009C456F" w:rsidRPr="003A5AE5">
        <w:t>0.8</w:t>
      </w:r>
      <w:r w:rsidR="00236AFC" w:rsidRPr="003A5AE5">
        <w:t xml:space="preserve">% in each study arm, with no medically important sequelae </w:t>
      </w:r>
      <w:r w:rsidR="009C456F" w:rsidRPr="003A5AE5">
        <w:t>(Demetri 2009).</w:t>
      </w:r>
      <w:r w:rsidR="00F01300" w:rsidRPr="003A5AE5">
        <w:rPr>
          <w:i/>
        </w:rPr>
        <w:t xml:space="preserve"> </w:t>
      </w:r>
    </w:p>
    <w:p w:rsidR="00F5082C" w:rsidRPr="003A5AE5" w:rsidRDefault="00F5082C" w:rsidP="00033ED9">
      <w:pPr>
        <w:pStyle w:val="4-SubsectionHeading"/>
      </w:pPr>
      <w:bookmarkStart w:id="49" w:name="_Toc22897644"/>
      <w:bookmarkStart w:id="50" w:name="_Toc69165199"/>
      <w:bookmarkStart w:id="51" w:name="_Toc72160060"/>
      <w:bookmarkStart w:id="52" w:name="_Toc72205677"/>
      <w:bookmarkStart w:id="53" w:name="_Toc72315632"/>
      <w:r w:rsidRPr="003A5AE5">
        <w:t>Clinical claim</w:t>
      </w:r>
      <w:bookmarkEnd w:id="49"/>
      <w:bookmarkEnd w:id="50"/>
      <w:bookmarkEnd w:id="51"/>
      <w:bookmarkEnd w:id="52"/>
      <w:bookmarkEnd w:id="53"/>
    </w:p>
    <w:p w:rsidR="00F5082C" w:rsidRPr="003A5AE5" w:rsidRDefault="00F5082C" w:rsidP="00033ED9">
      <w:pPr>
        <w:pStyle w:val="3-BodyText"/>
        <w:rPr>
          <w:rFonts w:eastAsia="Calibri"/>
        </w:rPr>
      </w:pPr>
      <w:r w:rsidRPr="003A5AE5">
        <w:t xml:space="preserve">The submission described trabectedin as non-inferior in terms of effectiveness and safety compared to pazopanib in the treatment of </w:t>
      </w:r>
      <w:r w:rsidR="00C96EC4" w:rsidRPr="003A5AE5">
        <w:t>LMS</w:t>
      </w:r>
      <w:r w:rsidRPr="003A5AE5">
        <w:t xml:space="preserve">. </w:t>
      </w:r>
      <w:r w:rsidRPr="003A5AE5">
        <w:rPr>
          <w:iCs/>
        </w:rPr>
        <w:t xml:space="preserve">The </w:t>
      </w:r>
      <w:r w:rsidR="008100D6" w:rsidRPr="003A5AE5">
        <w:rPr>
          <w:iCs/>
        </w:rPr>
        <w:t>presented evidence did not adequately support the therapeutic conclusion presented in the submission</w:t>
      </w:r>
      <w:r w:rsidRPr="003A5AE5">
        <w:rPr>
          <w:iCs/>
        </w:rPr>
        <w:t xml:space="preserve">. The two relevant trials Study 3007 and </w:t>
      </w:r>
      <w:r w:rsidR="00067FA0" w:rsidRPr="003A5AE5">
        <w:rPr>
          <w:iCs/>
        </w:rPr>
        <w:t>PALETTE</w:t>
      </w:r>
      <w:r w:rsidRPr="003A5AE5">
        <w:rPr>
          <w:iCs/>
        </w:rPr>
        <w:t xml:space="preserve"> were determined to be too heterogeneous to perform an ITC, and </w:t>
      </w:r>
      <w:r w:rsidR="00BA3FA9" w:rsidRPr="003A5AE5">
        <w:rPr>
          <w:iCs/>
        </w:rPr>
        <w:t>the</w:t>
      </w:r>
      <w:r w:rsidR="00902AA8" w:rsidRPr="003A5AE5">
        <w:rPr>
          <w:iCs/>
        </w:rPr>
        <w:t xml:space="preserve"> matching-adjusted</w:t>
      </w:r>
      <w:r w:rsidR="00BA3FA9" w:rsidRPr="003A5AE5">
        <w:rPr>
          <w:iCs/>
        </w:rPr>
        <w:t xml:space="preserve"> ITC that was provided had insufficient detail to determine whether this heterogeneity had been satisfactorily addressed.</w:t>
      </w:r>
      <w:r w:rsidR="008F5B28" w:rsidRPr="003A5AE5">
        <w:rPr>
          <w:iCs/>
        </w:rPr>
        <w:t xml:space="preserve"> Therefore,</w:t>
      </w:r>
      <w:r w:rsidR="00AE3ACC" w:rsidRPr="003A5AE5">
        <w:rPr>
          <w:i/>
          <w:iCs/>
        </w:rPr>
        <w:t xml:space="preserve"> </w:t>
      </w:r>
      <w:r w:rsidR="00AE3ACC" w:rsidRPr="003A5AE5">
        <w:rPr>
          <w:iCs/>
        </w:rPr>
        <w:t>the evaluation considered</w:t>
      </w:r>
      <w:r w:rsidR="00BA3FA9" w:rsidRPr="003A5AE5">
        <w:rPr>
          <w:iCs/>
        </w:rPr>
        <w:t xml:space="preserve"> </w:t>
      </w:r>
      <w:r w:rsidR="008F5B28" w:rsidRPr="003A5AE5">
        <w:rPr>
          <w:iCs/>
        </w:rPr>
        <w:t>n</w:t>
      </w:r>
      <w:r w:rsidRPr="003A5AE5">
        <w:rPr>
          <w:iCs/>
        </w:rPr>
        <w:t xml:space="preserve">o conclusion </w:t>
      </w:r>
      <w:r w:rsidR="00BA3FA9" w:rsidRPr="003A5AE5">
        <w:rPr>
          <w:iCs/>
        </w:rPr>
        <w:t xml:space="preserve">regarding </w:t>
      </w:r>
      <w:r w:rsidRPr="003A5AE5">
        <w:rPr>
          <w:iCs/>
        </w:rPr>
        <w:t xml:space="preserve">the comparative effectiveness and safety of trabectedin and pazopanib can be drawn. </w:t>
      </w:r>
    </w:p>
    <w:p w:rsidR="00AE3ACC" w:rsidRPr="003A5AE5" w:rsidRDefault="00F5082C" w:rsidP="00033ED9">
      <w:pPr>
        <w:pStyle w:val="3-BodyText"/>
        <w:rPr>
          <w:rFonts w:eastAsia="Calibri"/>
        </w:rPr>
      </w:pPr>
      <w:r w:rsidRPr="003A5AE5">
        <w:rPr>
          <w:iCs/>
        </w:rPr>
        <w:t xml:space="preserve">Further, the fact that the ITC failed to demonstrate a statistically significant difference does not </w:t>
      </w:r>
      <w:r w:rsidRPr="003A5AE5">
        <w:t>necessarily</w:t>
      </w:r>
      <w:r w:rsidRPr="003A5AE5">
        <w:rPr>
          <w:iCs/>
        </w:rPr>
        <w:t xml:space="preserve"> mean that the two treatments are equivalent</w:t>
      </w:r>
      <w:r w:rsidR="008C4AED" w:rsidRPr="003A5AE5">
        <w:rPr>
          <w:iCs/>
        </w:rPr>
        <w:t xml:space="preserve">, particularly when it cannot be determined if </w:t>
      </w:r>
      <w:r w:rsidR="00BA3FA9" w:rsidRPr="003A5AE5">
        <w:rPr>
          <w:iCs/>
        </w:rPr>
        <w:t xml:space="preserve">the analysis </w:t>
      </w:r>
      <w:r w:rsidR="008C4AED" w:rsidRPr="003A5AE5">
        <w:rPr>
          <w:iCs/>
        </w:rPr>
        <w:t>was powered to detect a difference.</w:t>
      </w:r>
    </w:p>
    <w:p w:rsidR="00F5082C" w:rsidRPr="003A5AE5" w:rsidRDefault="00AE3ACC" w:rsidP="00033ED9">
      <w:pPr>
        <w:pStyle w:val="3-BodyText"/>
        <w:rPr>
          <w:rFonts w:eastAsia="Calibri"/>
        </w:rPr>
      </w:pPr>
      <w:r w:rsidRPr="003A5AE5">
        <w:t xml:space="preserve">The ESC </w:t>
      </w:r>
      <w:r w:rsidR="00EF0B41" w:rsidRPr="003A5AE5">
        <w:t>advised</w:t>
      </w:r>
      <w:r w:rsidRPr="003A5AE5">
        <w:t xml:space="preserve"> that future comparative data with pazopanib are unlikely to become available</w:t>
      </w:r>
      <w:r w:rsidR="003A5AE5" w:rsidRPr="003A5AE5">
        <w:t xml:space="preserve">. </w:t>
      </w:r>
      <w:r w:rsidR="00EF0B41" w:rsidRPr="003A5AE5">
        <w:t xml:space="preserve">The ESC considered the claim of non-inferior effectiveness was uncertain, but </w:t>
      </w:r>
      <w:r w:rsidR="00071B19" w:rsidRPr="003A5AE5">
        <w:t xml:space="preserve">possibly </w:t>
      </w:r>
      <w:r w:rsidR="00EF0B41" w:rsidRPr="003A5AE5">
        <w:t>reasonable in the context of advanced LMS being</w:t>
      </w:r>
      <w:r w:rsidRPr="003A5AE5">
        <w:t xml:space="preserve"> a rare cancer with a poor prognosis</w:t>
      </w:r>
      <w:r w:rsidR="003A5AE5" w:rsidRPr="003A5AE5">
        <w:t xml:space="preserve">. </w:t>
      </w:r>
    </w:p>
    <w:p w:rsidR="003A4895" w:rsidRPr="003A5AE5" w:rsidRDefault="00F5082C" w:rsidP="00033ED9">
      <w:pPr>
        <w:pStyle w:val="3-BodyText"/>
        <w:rPr>
          <w:rFonts w:eastAsia="Calibri"/>
        </w:rPr>
      </w:pPr>
      <w:r w:rsidRPr="003A5AE5">
        <w:rPr>
          <w:iCs/>
        </w:rPr>
        <w:t xml:space="preserve">The submission did not consider any comparison between Study 3007 and the PALETTE trial in terms of </w:t>
      </w:r>
      <w:r w:rsidR="003A4895" w:rsidRPr="003A5AE5">
        <w:rPr>
          <w:iCs/>
        </w:rPr>
        <w:t>AEs</w:t>
      </w:r>
      <w:r w:rsidR="00BA3FA9" w:rsidRPr="003A5AE5">
        <w:rPr>
          <w:iCs/>
        </w:rPr>
        <w:t xml:space="preserve"> </w:t>
      </w:r>
      <w:r w:rsidRPr="003A5AE5">
        <w:rPr>
          <w:iCs/>
        </w:rPr>
        <w:t>to support its claim of non-inferior</w:t>
      </w:r>
      <w:r w:rsidR="00BA3FA9" w:rsidRPr="003A5AE5">
        <w:rPr>
          <w:iCs/>
        </w:rPr>
        <w:t xml:space="preserve"> safety</w:t>
      </w:r>
      <w:r w:rsidRPr="003A5AE5">
        <w:rPr>
          <w:iCs/>
        </w:rPr>
        <w:t>.</w:t>
      </w:r>
      <w:r w:rsidR="004563F3" w:rsidRPr="003A5AE5">
        <w:rPr>
          <w:iCs/>
        </w:rPr>
        <w:t xml:space="preserve"> </w:t>
      </w:r>
    </w:p>
    <w:p w:rsidR="00ED36E9" w:rsidRPr="003A5AE5" w:rsidRDefault="004563F3" w:rsidP="00033ED9">
      <w:pPr>
        <w:pStyle w:val="3-BodyText"/>
        <w:rPr>
          <w:rFonts w:eastAsia="Calibri"/>
        </w:rPr>
      </w:pPr>
      <w:r w:rsidRPr="003A5AE5">
        <w:rPr>
          <w:iCs/>
        </w:rPr>
        <w:t xml:space="preserve">The ESC noted that laboratory anomalies were a major driver of </w:t>
      </w:r>
      <w:r w:rsidR="00EF0B41" w:rsidRPr="003A5AE5">
        <w:rPr>
          <w:iCs/>
        </w:rPr>
        <w:t xml:space="preserve">the </w:t>
      </w:r>
      <w:r w:rsidR="003A4895" w:rsidRPr="003A5AE5">
        <w:rPr>
          <w:iCs/>
        </w:rPr>
        <w:t xml:space="preserve">Grade 4 AEs </w:t>
      </w:r>
      <w:r w:rsidRPr="003A5AE5">
        <w:rPr>
          <w:iCs/>
        </w:rPr>
        <w:t>observed with trabectedin treatment</w:t>
      </w:r>
      <w:r w:rsidR="00EF0B41" w:rsidRPr="003A5AE5">
        <w:rPr>
          <w:iCs/>
        </w:rPr>
        <w:t>.</w:t>
      </w:r>
      <w:r w:rsidRPr="003A5AE5">
        <w:rPr>
          <w:iCs/>
        </w:rPr>
        <w:t xml:space="preserve"> </w:t>
      </w:r>
      <w:r w:rsidR="00D25DF8" w:rsidRPr="003A5AE5">
        <w:rPr>
          <w:iCs/>
        </w:rPr>
        <w:t xml:space="preserve">The </w:t>
      </w:r>
      <w:r w:rsidR="00651D08" w:rsidRPr="003A5AE5">
        <w:rPr>
          <w:iCs/>
        </w:rPr>
        <w:t xml:space="preserve">ESC considered that based on </w:t>
      </w:r>
      <w:r w:rsidR="00594155" w:rsidRPr="003A5AE5">
        <w:rPr>
          <w:iCs/>
        </w:rPr>
        <w:t xml:space="preserve">a naïve comparison of </w:t>
      </w:r>
      <w:r w:rsidR="00651D08" w:rsidRPr="003A5AE5">
        <w:rPr>
          <w:iCs/>
        </w:rPr>
        <w:t xml:space="preserve">the </w:t>
      </w:r>
      <w:r w:rsidR="003A4895" w:rsidRPr="003A5AE5">
        <w:rPr>
          <w:iCs/>
        </w:rPr>
        <w:t>AEs</w:t>
      </w:r>
      <w:r w:rsidR="00651D08" w:rsidRPr="003A5AE5">
        <w:rPr>
          <w:iCs/>
        </w:rPr>
        <w:t xml:space="preserve"> reported in </w:t>
      </w:r>
      <w:r w:rsidR="00D25DF8" w:rsidRPr="003A5AE5">
        <w:rPr>
          <w:iCs/>
        </w:rPr>
        <w:t xml:space="preserve">Study 3007 and PALETTE trabectedin appeared to have an inferior </w:t>
      </w:r>
      <w:r w:rsidR="00594155" w:rsidRPr="003A5AE5">
        <w:rPr>
          <w:iCs/>
        </w:rPr>
        <w:t xml:space="preserve">safety profile compared to </w:t>
      </w:r>
      <w:r w:rsidR="00D25DF8" w:rsidRPr="003A5AE5">
        <w:rPr>
          <w:iCs/>
        </w:rPr>
        <w:t xml:space="preserve">pazopanib. However, the ESC considered that a proportion of the laboratory anomalies </w:t>
      </w:r>
      <w:r w:rsidR="00594155" w:rsidRPr="003A5AE5">
        <w:rPr>
          <w:iCs/>
        </w:rPr>
        <w:t xml:space="preserve">may be </w:t>
      </w:r>
      <w:r w:rsidR="00D25DF8" w:rsidRPr="003A5AE5">
        <w:rPr>
          <w:iCs/>
        </w:rPr>
        <w:t>manageable in clinical practice</w:t>
      </w:r>
      <w:r w:rsidR="00594155" w:rsidRPr="003A5AE5">
        <w:rPr>
          <w:iCs/>
        </w:rPr>
        <w:t xml:space="preserve"> possibly improving the safety comparison</w:t>
      </w:r>
      <w:r w:rsidR="003A5AE5" w:rsidRPr="003A5AE5">
        <w:rPr>
          <w:iCs/>
        </w:rPr>
        <w:t xml:space="preserve">. </w:t>
      </w:r>
      <w:r w:rsidR="00D25DF8" w:rsidRPr="003A5AE5">
        <w:rPr>
          <w:iCs/>
        </w:rPr>
        <w:t xml:space="preserve"> </w:t>
      </w:r>
      <w:r w:rsidR="00651D08" w:rsidRPr="003A5AE5">
        <w:rPr>
          <w:iCs/>
        </w:rPr>
        <w:t xml:space="preserve"> </w:t>
      </w:r>
    </w:p>
    <w:p w:rsidR="00ED36E9" w:rsidRPr="003A5AE5" w:rsidRDefault="00B35033" w:rsidP="00033ED9">
      <w:pPr>
        <w:pStyle w:val="3-BodyText"/>
        <w:rPr>
          <w:iCs/>
        </w:rPr>
      </w:pPr>
      <w:r w:rsidRPr="003A5AE5">
        <w:rPr>
          <w:iCs/>
        </w:rPr>
        <w:t>W</w:t>
      </w:r>
      <w:r w:rsidR="008045C5" w:rsidRPr="003A5AE5">
        <w:rPr>
          <w:iCs/>
        </w:rPr>
        <w:t>hile there were uncertainties with the clinical comparison due to the lack of a common comparator and heterogeneity issues between the trabectedin and pazopanib trials</w:t>
      </w:r>
      <w:r w:rsidR="0053626E" w:rsidRPr="003A5AE5">
        <w:rPr>
          <w:iCs/>
        </w:rPr>
        <w:t xml:space="preserve">, </w:t>
      </w:r>
      <w:r w:rsidRPr="003A5AE5">
        <w:rPr>
          <w:iCs/>
        </w:rPr>
        <w:t xml:space="preserve">the PBAC considered the </w:t>
      </w:r>
      <w:r w:rsidR="0053626E" w:rsidRPr="003A5AE5">
        <w:rPr>
          <w:iCs/>
        </w:rPr>
        <w:t>claim of non-inferior comparative effectiveness to pazopanib</w:t>
      </w:r>
      <w:r w:rsidR="004679D4" w:rsidRPr="003A5AE5">
        <w:rPr>
          <w:iCs/>
        </w:rPr>
        <w:t xml:space="preserve"> for this rare cancer</w:t>
      </w:r>
      <w:r w:rsidRPr="003A5AE5">
        <w:rPr>
          <w:iCs/>
        </w:rPr>
        <w:t xml:space="preserve"> was reasonable</w:t>
      </w:r>
      <w:r w:rsidR="003A5AE5" w:rsidRPr="003A5AE5">
        <w:rPr>
          <w:iCs/>
        </w:rPr>
        <w:t xml:space="preserve">. </w:t>
      </w:r>
    </w:p>
    <w:p w:rsidR="00ED36E9" w:rsidRPr="003A5AE5" w:rsidRDefault="00ED36E9" w:rsidP="00033ED9">
      <w:pPr>
        <w:pStyle w:val="3-BodyText"/>
        <w:rPr>
          <w:rFonts w:eastAsia="Calibri"/>
        </w:rPr>
      </w:pPr>
      <w:r w:rsidRPr="003A5AE5">
        <w:rPr>
          <w:iCs/>
        </w:rPr>
        <w:t xml:space="preserve">The PBAC </w:t>
      </w:r>
      <w:r w:rsidR="0053626E" w:rsidRPr="003A5AE5">
        <w:rPr>
          <w:iCs/>
        </w:rPr>
        <w:t xml:space="preserve">considered that the </w:t>
      </w:r>
      <w:r w:rsidR="008100D6">
        <w:rPr>
          <w:iCs/>
        </w:rPr>
        <w:t xml:space="preserve">data was unlikely to support a </w:t>
      </w:r>
      <w:r w:rsidR="0053626E" w:rsidRPr="003A5AE5">
        <w:rPr>
          <w:iCs/>
        </w:rPr>
        <w:t xml:space="preserve">claim of non-inferior safety to pazopanib and a claim of inferior safety was more appropriate. </w:t>
      </w:r>
      <w:r w:rsidR="004679D4" w:rsidRPr="003A5AE5">
        <w:rPr>
          <w:iCs/>
        </w:rPr>
        <w:t xml:space="preserve">However, the PBAC agreed with the ESC that </w:t>
      </w:r>
      <w:r w:rsidR="004679D4" w:rsidRPr="003A5AE5">
        <w:rPr>
          <w:bCs/>
        </w:rPr>
        <w:t>many of the laboratory anomalies driving the differences in Grade 4 AEs observed may be manageable in clinical practice.</w:t>
      </w:r>
    </w:p>
    <w:p w:rsidR="00F5082C" w:rsidRPr="003A5AE5" w:rsidRDefault="00F5082C" w:rsidP="00033ED9">
      <w:pPr>
        <w:pStyle w:val="4-SubsectionHeading"/>
      </w:pPr>
      <w:bookmarkStart w:id="54" w:name="_Toc22897645"/>
      <w:bookmarkStart w:id="55" w:name="_Toc69165200"/>
      <w:bookmarkStart w:id="56" w:name="_Toc72160061"/>
      <w:bookmarkStart w:id="57" w:name="_Toc72205678"/>
      <w:bookmarkStart w:id="58" w:name="_Toc72315633"/>
      <w:r w:rsidRPr="003A5AE5">
        <w:t>Economic analysis</w:t>
      </w:r>
      <w:bookmarkEnd w:id="54"/>
      <w:bookmarkEnd w:id="55"/>
      <w:bookmarkEnd w:id="56"/>
      <w:bookmarkEnd w:id="57"/>
      <w:bookmarkEnd w:id="58"/>
      <w:r w:rsidRPr="003A5AE5">
        <w:t xml:space="preserve"> </w:t>
      </w:r>
    </w:p>
    <w:p w:rsidR="00F5082C" w:rsidRPr="003A5AE5" w:rsidRDefault="00F5082C" w:rsidP="00033ED9">
      <w:pPr>
        <w:pStyle w:val="3-BodyText"/>
        <w:rPr>
          <w:b/>
          <w:bCs/>
        </w:rPr>
      </w:pPr>
      <w:r w:rsidRPr="003A5AE5">
        <w:t>The submission presented a cost-minimi</w:t>
      </w:r>
      <w:r w:rsidR="009C553D" w:rsidRPr="003A5AE5">
        <w:t>sation analysis</w:t>
      </w:r>
      <w:r w:rsidRPr="003A5AE5">
        <w:t xml:space="preserve"> of trabectedin </w:t>
      </w:r>
      <w:r w:rsidR="009C553D" w:rsidRPr="003A5AE5">
        <w:t xml:space="preserve">compared with pazopanib. </w:t>
      </w:r>
      <w:r w:rsidRPr="003A5AE5">
        <w:rPr>
          <w:bCs/>
        </w:rPr>
        <w:t xml:space="preserve">The key components and assumptions of the </w:t>
      </w:r>
      <w:r w:rsidR="009C553D" w:rsidRPr="003A5AE5">
        <w:t>cost-minimisation analysis</w:t>
      </w:r>
      <w:r w:rsidRPr="003A5AE5">
        <w:rPr>
          <w:bCs/>
        </w:rPr>
        <w:t xml:space="preserve"> are </w:t>
      </w:r>
      <w:r w:rsidR="008C4AED" w:rsidRPr="003A5AE5">
        <w:rPr>
          <w:bCs/>
        </w:rPr>
        <w:t>summarised</w:t>
      </w:r>
      <w:r w:rsidRPr="003A5AE5">
        <w:rPr>
          <w:bCs/>
        </w:rPr>
        <w:t xml:space="preserve"> below.</w:t>
      </w:r>
    </w:p>
    <w:p w:rsidR="00F5082C" w:rsidRPr="003A5AE5" w:rsidRDefault="00F5082C" w:rsidP="00033ED9">
      <w:pPr>
        <w:pStyle w:val="TableHeading"/>
        <w:rPr>
          <w:rStyle w:val="CommentReference"/>
          <w:b/>
          <w:szCs w:val="24"/>
        </w:rPr>
      </w:pPr>
      <w:r w:rsidRPr="003A5AE5">
        <w:t xml:space="preserve">Table </w:t>
      </w:r>
      <w:r w:rsidR="00C534E3" w:rsidRPr="003A5AE5">
        <w:t>7</w:t>
      </w:r>
      <w:r w:rsidRPr="003A5AE5">
        <w:t xml:space="preserve">: </w:t>
      </w:r>
      <w:r w:rsidRPr="003A5AE5">
        <w:rPr>
          <w:rStyle w:val="CommentReference"/>
          <w:b/>
          <w:szCs w:val="24"/>
        </w:rPr>
        <w:t>Key components and assumptions of the cost-minimisation analysis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520"/>
      </w:tblGrid>
      <w:tr w:rsidR="00F5082C" w:rsidRPr="003A5AE5" w:rsidTr="00F5082C">
        <w:tc>
          <w:tcPr>
            <w:tcW w:w="2660" w:type="dxa"/>
            <w:vAlign w:val="center"/>
          </w:tcPr>
          <w:p w:rsidR="00F5082C" w:rsidRPr="003A5AE5" w:rsidRDefault="00F5082C" w:rsidP="00033ED9">
            <w:pPr>
              <w:pStyle w:val="In-tableHeading"/>
              <w:rPr>
                <w:lang w:val="en-AU"/>
              </w:rPr>
            </w:pPr>
            <w:r w:rsidRPr="003A5AE5">
              <w:rPr>
                <w:lang w:val="en-AU"/>
              </w:rPr>
              <w:t>Component</w:t>
            </w:r>
          </w:p>
        </w:tc>
        <w:tc>
          <w:tcPr>
            <w:tcW w:w="6520" w:type="dxa"/>
            <w:vAlign w:val="center"/>
          </w:tcPr>
          <w:p w:rsidR="00F5082C" w:rsidRPr="003A5AE5" w:rsidRDefault="00F5082C" w:rsidP="00033ED9">
            <w:pPr>
              <w:pStyle w:val="In-tableHeading"/>
              <w:rPr>
                <w:lang w:val="en-AU"/>
              </w:rPr>
            </w:pPr>
            <w:r w:rsidRPr="003A5AE5">
              <w:rPr>
                <w:lang w:val="en-AU"/>
              </w:rPr>
              <w:t>Claim or assumption</w:t>
            </w:r>
          </w:p>
        </w:tc>
      </w:tr>
      <w:tr w:rsidR="00F5082C" w:rsidRPr="003A5AE5" w:rsidTr="00F5082C">
        <w:tc>
          <w:tcPr>
            <w:tcW w:w="2660" w:type="dxa"/>
          </w:tcPr>
          <w:p w:rsidR="00F5082C" w:rsidRPr="003A5AE5" w:rsidRDefault="00F5082C" w:rsidP="00033ED9">
            <w:pPr>
              <w:pStyle w:val="TableText0"/>
            </w:pPr>
            <w:r w:rsidRPr="003A5AE5">
              <w:t>Therapeutic claim: effectiveness</w:t>
            </w:r>
          </w:p>
        </w:tc>
        <w:tc>
          <w:tcPr>
            <w:tcW w:w="6520" w:type="dxa"/>
          </w:tcPr>
          <w:p w:rsidR="00F5082C" w:rsidRPr="003A5AE5" w:rsidRDefault="00F5082C" w:rsidP="00033ED9">
            <w:pPr>
              <w:pStyle w:val="TableText0"/>
            </w:pPr>
            <w:r w:rsidRPr="003A5AE5">
              <w:t>Based on evidence presented, efficacy is assumed to be non</w:t>
            </w:r>
            <w:r w:rsidR="009178BE" w:rsidRPr="003A5AE5">
              <w:t>-</w:t>
            </w:r>
            <w:r w:rsidRPr="003A5AE5">
              <w:t>inferior to pazopanib.</w:t>
            </w:r>
          </w:p>
        </w:tc>
      </w:tr>
      <w:tr w:rsidR="00F5082C" w:rsidRPr="003A5AE5" w:rsidTr="00F5082C">
        <w:tc>
          <w:tcPr>
            <w:tcW w:w="2660" w:type="dxa"/>
          </w:tcPr>
          <w:p w:rsidR="00F5082C" w:rsidRPr="003A5AE5" w:rsidRDefault="00F5082C" w:rsidP="00033ED9">
            <w:pPr>
              <w:pStyle w:val="TableText0"/>
            </w:pPr>
            <w:r w:rsidRPr="003A5AE5">
              <w:t>Therapeutic claim: safety</w:t>
            </w:r>
          </w:p>
        </w:tc>
        <w:tc>
          <w:tcPr>
            <w:tcW w:w="6520" w:type="dxa"/>
          </w:tcPr>
          <w:p w:rsidR="00F5082C" w:rsidRPr="003A5AE5" w:rsidRDefault="00F5082C" w:rsidP="00033ED9">
            <w:pPr>
              <w:pStyle w:val="TableText0"/>
            </w:pPr>
            <w:r w:rsidRPr="003A5AE5">
              <w:t>Based on evidence presented, safety is assumed to be non</w:t>
            </w:r>
            <w:r w:rsidR="009178BE" w:rsidRPr="003A5AE5">
              <w:t>-</w:t>
            </w:r>
            <w:r w:rsidRPr="003A5AE5">
              <w:t>inferior to pazopanib.</w:t>
            </w:r>
          </w:p>
        </w:tc>
      </w:tr>
      <w:tr w:rsidR="00F5082C" w:rsidRPr="003A5AE5" w:rsidTr="00F5082C">
        <w:tc>
          <w:tcPr>
            <w:tcW w:w="2660" w:type="dxa"/>
          </w:tcPr>
          <w:p w:rsidR="00F5082C" w:rsidRPr="003A5AE5" w:rsidRDefault="00F5082C" w:rsidP="00033ED9">
            <w:pPr>
              <w:pStyle w:val="TableText0"/>
            </w:pPr>
            <w:r w:rsidRPr="003A5AE5">
              <w:t>Evidence base</w:t>
            </w:r>
          </w:p>
        </w:tc>
        <w:tc>
          <w:tcPr>
            <w:tcW w:w="6520" w:type="dxa"/>
          </w:tcPr>
          <w:p w:rsidR="00F5082C" w:rsidRPr="003A5AE5" w:rsidRDefault="00F5082C" w:rsidP="00033ED9">
            <w:pPr>
              <w:pStyle w:val="TableText0"/>
            </w:pPr>
            <w:r w:rsidRPr="003A5AE5">
              <w:t>Indirect comparison of randomised trials</w:t>
            </w:r>
          </w:p>
        </w:tc>
      </w:tr>
      <w:tr w:rsidR="00F5082C" w:rsidRPr="003A5AE5" w:rsidTr="00F5082C">
        <w:tc>
          <w:tcPr>
            <w:tcW w:w="2660" w:type="dxa"/>
          </w:tcPr>
          <w:p w:rsidR="00F5082C" w:rsidRPr="003A5AE5" w:rsidRDefault="00F5082C" w:rsidP="00033ED9">
            <w:pPr>
              <w:pStyle w:val="TableText0"/>
            </w:pPr>
            <w:r w:rsidRPr="003A5AE5">
              <w:t>Equi-effective doses based on Study 3007 and PALETTE</w:t>
            </w:r>
          </w:p>
        </w:tc>
        <w:tc>
          <w:tcPr>
            <w:tcW w:w="6520" w:type="dxa"/>
          </w:tcPr>
          <w:p w:rsidR="00F5082C" w:rsidRPr="003A5AE5" w:rsidRDefault="00F5082C" w:rsidP="00033ED9">
            <w:pPr>
              <w:pStyle w:val="TableText0"/>
              <w:keepNext w:val="0"/>
              <w:numPr>
                <w:ilvl w:val="0"/>
                <w:numId w:val="11"/>
              </w:numPr>
              <w:spacing w:before="40" w:after="40"/>
              <w:ind w:left="346" w:hanging="284"/>
            </w:pPr>
            <w:r w:rsidRPr="003A5AE5">
              <w:t>Trabectedin 2.93 mg* via a central venous catheter as a 24-hour infusion on Day 1 of each 21-day treatment cycle for 12 weeks.</w:t>
            </w:r>
          </w:p>
          <w:p w:rsidR="00F5082C" w:rsidRPr="003A5AE5" w:rsidRDefault="00F5082C" w:rsidP="00033ED9">
            <w:pPr>
              <w:pStyle w:val="TableText0"/>
              <w:keepNext w:val="0"/>
              <w:numPr>
                <w:ilvl w:val="0"/>
                <w:numId w:val="11"/>
              </w:numPr>
              <w:spacing w:before="40" w:after="40"/>
              <w:ind w:left="346" w:hanging="284"/>
            </w:pPr>
            <w:r w:rsidRPr="003A5AE5">
              <w:t>Pazopanib 700.35** mg once daily orally for 19.36 weeks</w:t>
            </w:r>
          </w:p>
        </w:tc>
      </w:tr>
      <w:tr w:rsidR="00F5082C" w:rsidRPr="003A5AE5" w:rsidTr="00F5082C">
        <w:tc>
          <w:tcPr>
            <w:tcW w:w="2660" w:type="dxa"/>
          </w:tcPr>
          <w:p w:rsidR="00F5082C" w:rsidRPr="003A5AE5" w:rsidRDefault="00F5082C" w:rsidP="00033ED9">
            <w:pPr>
              <w:pStyle w:val="TableText0"/>
            </w:pPr>
            <w:r w:rsidRPr="003A5AE5">
              <w:t>Direct medicine costs</w:t>
            </w:r>
          </w:p>
        </w:tc>
        <w:tc>
          <w:tcPr>
            <w:tcW w:w="6520" w:type="dxa"/>
          </w:tcPr>
          <w:p w:rsidR="00F5082C" w:rsidRPr="003A5AE5" w:rsidRDefault="00F5082C" w:rsidP="00033ED9">
            <w:pPr>
              <w:pStyle w:val="TableText0"/>
            </w:pPr>
            <w:r w:rsidRPr="003A5AE5">
              <w:t>The drug cost per course for trabectedin is lower than that for pazopanib ($</w:t>
            </w:r>
            <w:r w:rsidR="00885AF3">
              <w:rPr>
                <w:noProof/>
                <w:color w:val="000000"/>
                <w:highlight w:val="black"/>
              </w:rPr>
              <w:t>''''''''''''''''''''''</w:t>
            </w:r>
            <w:r w:rsidRPr="003A5AE5">
              <w:t xml:space="preserve"> </w:t>
            </w:r>
            <w:r w:rsidRPr="003A5AE5">
              <w:rPr>
                <w:i/>
              </w:rPr>
              <w:t xml:space="preserve">vs. </w:t>
            </w:r>
            <w:r w:rsidRPr="003A5AE5">
              <w:t>$17,000.10).</w:t>
            </w:r>
          </w:p>
        </w:tc>
      </w:tr>
      <w:tr w:rsidR="00F5082C" w:rsidRPr="003A5AE5" w:rsidTr="00F5082C">
        <w:tc>
          <w:tcPr>
            <w:tcW w:w="2660" w:type="dxa"/>
          </w:tcPr>
          <w:p w:rsidR="00F5082C" w:rsidRPr="003A5AE5" w:rsidRDefault="00F5082C" w:rsidP="00033ED9">
            <w:pPr>
              <w:pStyle w:val="TableText0"/>
            </w:pPr>
            <w:r w:rsidRPr="003A5AE5">
              <w:t>Other costs or cost offsets</w:t>
            </w:r>
          </w:p>
        </w:tc>
        <w:tc>
          <w:tcPr>
            <w:tcW w:w="6520" w:type="dxa"/>
          </w:tcPr>
          <w:p w:rsidR="00F5082C" w:rsidRPr="003A5AE5" w:rsidRDefault="00F5082C" w:rsidP="00033ED9">
            <w:pPr>
              <w:pStyle w:val="TableText0"/>
            </w:pPr>
            <w:r w:rsidRPr="003A5AE5">
              <w:t>Yes. Premedication cost, cost for management of adverse effect, and administration cost.</w:t>
            </w:r>
          </w:p>
        </w:tc>
      </w:tr>
    </w:tbl>
    <w:p w:rsidR="00F5082C" w:rsidRPr="003A5AE5" w:rsidRDefault="00F5082C" w:rsidP="00033ED9">
      <w:pPr>
        <w:pStyle w:val="TableFigureFooter"/>
      </w:pPr>
      <w:r w:rsidRPr="003A5AE5">
        <w:t>Source: Table 83of the submission.</w:t>
      </w:r>
    </w:p>
    <w:p w:rsidR="00F5082C" w:rsidRPr="003A5AE5" w:rsidRDefault="00F5082C" w:rsidP="00033ED9">
      <w:pPr>
        <w:pStyle w:val="TableFigureFooter"/>
      </w:pPr>
      <w:r w:rsidRPr="003A5AE5">
        <w:t>*recommended dose of 1.5 mg/m</w:t>
      </w:r>
      <w:r w:rsidRPr="003A5AE5">
        <w:rPr>
          <w:vertAlign w:val="superscript"/>
        </w:rPr>
        <w:t>2</w:t>
      </w:r>
      <w:r w:rsidRPr="003A5AE5">
        <w:t>, with an average body surface area of 2.14 m</w:t>
      </w:r>
      <w:r w:rsidRPr="003A5AE5">
        <w:rPr>
          <w:vertAlign w:val="superscript"/>
        </w:rPr>
        <w:t>2</w:t>
      </w:r>
      <w:r w:rsidRPr="003A5AE5">
        <w:t>, and dose intensity of 0.91, as observed from Study 3007</w:t>
      </w:r>
    </w:p>
    <w:p w:rsidR="00F5082C" w:rsidRPr="003A5AE5" w:rsidRDefault="00F5082C" w:rsidP="00033ED9">
      <w:pPr>
        <w:pStyle w:val="TableFigureFooter"/>
        <w:rPr>
          <w:sz w:val="20"/>
        </w:rPr>
      </w:pPr>
      <w:r w:rsidRPr="003A5AE5">
        <w:t xml:space="preserve">**Mean dose of pazopanib in </w:t>
      </w:r>
      <w:r w:rsidR="00067FA0" w:rsidRPr="003A5AE5">
        <w:t>PALETTE</w:t>
      </w:r>
      <w:r w:rsidRPr="003A5AE5">
        <w:t>.</w:t>
      </w:r>
    </w:p>
    <w:p w:rsidR="00F5082C" w:rsidRPr="003A5AE5" w:rsidRDefault="00F5082C" w:rsidP="00033ED9"/>
    <w:p w:rsidR="00F5082C" w:rsidRPr="003A5AE5" w:rsidRDefault="00F5082C" w:rsidP="00033ED9">
      <w:pPr>
        <w:pStyle w:val="3-BodyText"/>
        <w:rPr>
          <w:i/>
        </w:rPr>
      </w:pPr>
      <w:r w:rsidRPr="003A5AE5">
        <w:t xml:space="preserve">The submission used </w:t>
      </w:r>
      <w:r w:rsidR="00F62023" w:rsidRPr="003A5AE5">
        <w:t xml:space="preserve">trial-based </w:t>
      </w:r>
      <w:r w:rsidRPr="003A5AE5">
        <w:t>median treatment duration</w:t>
      </w:r>
      <w:r w:rsidR="008C4AED" w:rsidRPr="003A5AE5">
        <w:t>s</w:t>
      </w:r>
      <w:r w:rsidRPr="003A5AE5">
        <w:t xml:space="preserve"> of 12 weeks for trabectedin and 19.36 weeks for pazopanib. This </w:t>
      </w:r>
      <w:r w:rsidR="003D7C13" w:rsidRPr="003A5AE5">
        <w:t>wa</w:t>
      </w:r>
      <w:r w:rsidRPr="003A5AE5">
        <w:t xml:space="preserve">s not appropriate. Mean treatment duration should have been used in estimating the cost of treatment per course. </w:t>
      </w:r>
      <w:r w:rsidRPr="003A5AE5">
        <w:rPr>
          <w:iCs/>
        </w:rPr>
        <w:t xml:space="preserve">At the final data cut-off, the mean </w:t>
      </w:r>
      <w:r w:rsidR="00BA22E2" w:rsidRPr="003A5AE5">
        <w:rPr>
          <w:iCs/>
        </w:rPr>
        <w:t xml:space="preserve">treatment </w:t>
      </w:r>
      <w:r w:rsidRPr="003A5AE5">
        <w:rPr>
          <w:iCs/>
        </w:rPr>
        <w:t xml:space="preserve">duration </w:t>
      </w:r>
      <w:r w:rsidR="00BA22E2" w:rsidRPr="003A5AE5">
        <w:rPr>
          <w:iCs/>
        </w:rPr>
        <w:t xml:space="preserve">of trabectedin in Study 3007 </w:t>
      </w:r>
      <w:r w:rsidRPr="003A5AE5">
        <w:rPr>
          <w:iCs/>
        </w:rPr>
        <w:t>was reported as 21.80 weeks</w:t>
      </w:r>
      <w:r w:rsidR="003A5AE5" w:rsidRPr="003A5AE5">
        <w:rPr>
          <w:iCs/>
        </w:rPr>
        <w:t xml:space="preserve">. </w:t>
      </w:r>
      <w:r w:rsidR="009E1985" w:rsidRPr="003A5AE5">
        <w:rPr>
          <w:iCs/>
        </w:rPr>
        <w:t>The mean treatment duration of pazopanib in PALETTE was 19.6 weeks.</w:t>
      </w:r>
      <w:r w:rsidR="00B42B83" w:rsidRPr="003A5AE5">
        <w:rPr>
          <w:iCs/>
        </w:rPr>
        <w:t xml:space="preserve"> </w:t>
      </w:r>
      <w:r w:rsidR="006A4607" w:rsidRPr="003A5AE5">
        <w:t xml:space="preserve">The PSCR argued the treatment durations applied in the </w:t>
      </w:r>
      <w:r w:rsidR="0082597B" w:rsidRPr="003A5AE5">
        <w:t>cost</w:t>
      </w:r>
      <w:r w:rsidR="0082597B">
        <w:t>-</w:t>
      </w:r>
      <w:r w:rsidR="006A4607" w:rsidRPr="003A5AE5">
        <w:t>minimisation analysis were reflective of the durations of therapy included in the two trials. The ESC agreed with the evaluation that the mean</w:t>
      </w:r>
      <w:r w:rsidR="00F3375C">
        <w:t xml:space="preserve"> rather than the median</w:t>
      </w:r>
      <w:r w:rsidR="006A4607" w:rsidRPr="003A5AE5">
        <w:t xml:space="preserve"> treatment duration should be used and noted this was </w:t>
      </w:r>
      <w:r w:rsidR="00184C7E" w:rsidRPr="003A5AE5">
        <w:t>longer in</w:t>
      </w:r>
      <w:r w:rsidR="006A4607" w:rsidRPr="003A5AE5">
        <w:t xml:space="preserve"> Study 3007 and PALETTE (21.8 and 19.6 weeks respectively).</w:t>
      </w:r>
      <w:r w:rsidR="006A4607" w:rsidRPr="003A5AE5">
        <w:rPr>
          <w:i/>
        </w:rPr>
        <w:t xml:space="preserve"> </w:t>
      </w:r>
    </w:p>
    <w:p w:rsidR="00F5082C" w:rsidRPr="003A5AE5" w:rsidRDefault="00F5082C" w:rsidP="00033ED9">
      <w:pPr>
        <w:pStyle w:val="3-BodyText"/>
      </w:pPr>
      <w:r w:rsidRPr="003A5AE5">
        <w:t xml:space="preserve">The clinical claim underpinning the </w:t>
      </w:r>
      <w:r w:rsidR="009C553D" w:rsidRPr="003A5AE5">
        <w:t>cost-minimisation analysis</w:t>
      </w:r>
      <w:r w:rsidRPr="003A5AE5">
        <w:t xml:space="preserve"> </w:t>
      </w:r>
      <w:r w:rsidR="003D7C13" w:rsidRPr="003A5AE5">
        <w:t>wa</w:t>
      </w:r>
      <w:r w:rsidRPr="003A5AE5">
        <w:t xml:space="preserve">s that trabectedin </w:t>
      </w:r>
      <w:r w:rsidR="003D7C13" w:rsidRPr="003A5AE5">
        <w:t>wa</w:t>
      </w:r>
      <w:r w:rsidRPr="003A5AE5">
        <w:t xml:space="preserve">s non-inferior to pazopanib in terms of effectiveness (e.g. PFS) and safety, and </w:t>
      </w:r>
      <w:r w:rsidR="008C4AED" w:rsidRPr="003A5AE5">
        <w:t xml:space="preserve">as </w:t>
      </w:r>
      <w:r w:rsidRPr="003A5AE5">
        <w:t xml:space="preserve">both treatments continue until disease progression or unacceptable toxicity, </w:t>
      </w:r>
      <w:r w:rsidR="006A4607" w:rsidRPr="003A5AE5">
        <w:t xml:space="preserve">the ESC considered </w:t>
      </w:r>
      <w:r w:rsidRPr="003A5AE5">
        <w:t xml:space="preserve">the duration of </w:t>
      </w:r>
      <w:r w:rsidR="00F62023" w:rsidRPr="003A5AE5">
        <w:t xml:space="preserve">these two medicines </w:t>
      </w:r>
      <w:r w:rsidRPr="003A5AE5">
        <w:t xml:space="preserve">should be approximately similar. </w:t>
      </w:r>
      <w:r w:rsidR="006A4607" w:rsidRPr="003A5AE5">
        <w:t>The ESC noted</w:t>
      </w:r>
      <w:r w:rsidR="006A4607" w:rsidRPr="003A5AE5">
        <w:rPr>
          <w:i/>
        </w:rPr>
        <w:t xml:space="preserve"> </w:t>
      </w:r>
      <w:r w:rsidR="006A4607" w:rsidRPr="003A5AE5">
        <w:t>a</w:t>
      </w:r>
      <w:r w:rsidRPr="003A5AE5">
        <w:t xml:space="preserve"> sensitivity analysis was performed during the evaluation by assuming an identical treatment duration of </w:t>
      </w:r>
      <w:r w:rsidR="007807DC" w:rsidRPr="003A5AE5">
        <w:t>21.80</w:t>
      </w:r>
      <w:r w:rsidRPr="003A5AE5">
        <w:t xml:space="preserve"> weeks for both trabectedin and pazopanib.</w:t>
      </w:r>
      <w:r w:rsidR="00184C7E" w:rsidRPr="003A5AE5">
        <w:t xml:space="preserve"> The ESC noted an alternative approach would be to use the reported mean treatment durations of 21.80 weeks for trabectedin and 19.6 weeks for pazopanib.</w:t>
      </w:r>
      <w:r w:rsidR="00C12BB8" w:rsidRPr="003A5AE5">
        <w:t xml:space="preserve"> </w:t>
      </w:r>
    </w:p>
    <w:p w:rsidR="00F5082C" w:rsidRPr="003A5AE5" w:rsidRDefault="00F5082C" w:rsidP="00033ED9">
      <w:pPr>
        <w:pStyle w:val="3-BodyText"/>
      </w:pPr>
      <w:r w:rsidRPr="003A5AE5">
        <w:t>Trabectedin is administered via a central venous catheter as a 24-hour infusion. In Study 3007, of the 378 patients who were treated with trabectedin, 100 (27%) and 277 (73%) first received trabectedin in the inpatient and outpatient setting, respectively. The submission assumed 100% of patients would be treated as outpatients in clinical practice, based on consultations with pharmacists and nursing unit managers. The cost per patient per course of trabectedin included an administration cost of $111.40 (MBS Item 13950) per infusion.</w:t>
      </w:r>
      <w:r w:rsidR="00184C7E" w:rsidRPr="003A5AE5">
        <w:t xml:space="preserve"> The ESC </w:t>
      </w:r>
      <w:r w:rsidR="00C77FFB" w:rsidRPr="003A5AE5">
        <w:t>disagreed with the PSCRs assertion that patients in this line of the</w:t>
      </w:r>
      <w:r w:rsidR="00383A56" w:rsidRPr="003A5AE5">
        <w:t xml:space="preserve">rapy usually have a central line already in place. </w:t>
      </w:r>
      <w:r w:rsidR="00FB4735" w:rsidRPr="003A5AE5">
        <w:t>Th</w:t>
      </w:r>
      <w:r w:rsidR="00383A56" w:rsidRPr="003A5AE5">
        <w:t xml:space="preserve">e ESC noted that a cost for insertion of a central venous device </w:t>
      </w:r>
      <w:r w:rsidR="00FB4735" w:rsidRPr="003A5AE5">
        <w:t>ha</w:t>
      </w:r>
      <w:r w:rsidR="00CA2042">
        <w:t>d</w:t>
      </w:r>
      <w:r w:rsidR="00FB4735" w:rsidRPr="003A5AE5">
        <w:t xml:space="preserve"> not been accounted for in the </w:t>
      </w:r>
      <w:r w:rsidR="009C553D" w:rsidRPr="003A5AE5">
        <w:t>cost-minimisation analysis</w:t>
      </w:r>
      <w:r w:rsidR="00FB4735" w:rsidRPr="003A5AE5">
        <w:t>.</w:t>
      </w:r>
      <w:r w:rsidR="004823A5" w:rsidRPr="003A5AE5">
        <w:t xml:space="preserve"> The Pre-PBAC Response argued that it was reasonable to assume most patients would have a central venous device prior to commencing treatment with trabectedin on the basis that most patients in Study 3007 had received prior therapy with </w:t>
      </w:r>
      <w:r w:rsidR="008045C5" w:rsidRPr="003A5AE5">
        <w:t xml:space="preserve">doxorubicin or another chemotherapy </w:t>
      </w:r>
      <w:r w:rsidR="0082597B" w:rsidRPr="003A5AE5">
        <w:t>agent that</w:t>
      </w:r>
      <w:r w:rsidR="008045C5" w:rsidRPr="003A5AE5">
        <w:t xml:space="preserve"> required a central line.</w:t>
      </w:r>
    </w:p>
    <w:p w:rsidR="00266793" w:rsidRPr="003A5AE5" w:rsidRDefault="00F5082C" w:rsidP="00033ED9">
      <w:pPr>
        <w:pStyle w:val="3-BodyText"/>
      </w:pPr>
      <w:r w:rsidRPr="003A5AE5">
        <w:t xml:space="preserve">The submission considered the cost of treating Grade 3-4 adverse events (AEs) that occurred in at least 10% of subjects in the Study 3007 and PALETTE. The rationale for selecting the 10% occurrence was not </w:t>
      </w:r>
      <w:r w:rsidR="00C60850" w:rsidRPr="003A5AE5">
        <w:t>well justified, as data on the incidence of AEs using a lower threshold of 5% was available for Study 3007 and PALETTE</w:t>
      </w:r>
      <w:r w:rsidRPr="003A5AE5">
        <w:t xml:space="preserve">. </w:t>
      </w:r>
      <w:r w:rsidRPr="003A5AE5">
        <w:rPr>
          <w:iCs/>
        </w:rPr>
        <w:t>Using a lower threshold of 5% AE incidence captures a more comprehensive toxicity profile of trabectedin and pazopanib.</w:t>
      </w:r>
      <w:r w:rsidR="00FB4735" w:rsidRPr="003A5AE5">
        <w:rPr>
          <w:iCs/>
        </w:rPr>
        <w:t xml:space="preserve"> The ESC considered a sensitivity analysis for the </w:t>
      </w:r>
      <w:r w:rsidR="00383A56" w:rsidRPr="003A5AE5">
        <w:rPr>
          <w:iCs/>
        </w:rPr>
        <w:t>CMA</w:t>
      </w:r>
      <w:r w:rsidR="00FB4735" w:rsidRPr="003A5AE5">
        <w:rPr>
          <w:iCs/>
        </w:rPr>
        <w:t xml:space="preserve"> using a 5% threshold for selection of AEs would be informative.</w:t>
      </w:r>
      <w:r w:rsidR="00F47944" w:rsidRPr="003A5AE5">
        <w:rPr>
          <w:iCs/>
        </w:rPr>
        <w:t xml:space="preserve"> </w:t>
      </w:r>
      <w:r w:rsidR="00266793" w:rsidRPr="003A5AE5">
        <w:rPr>
          <w:iCs/>
        </w:rPr>
        <w:t xml:space="preserve">The Pre-PBAC Response presented a sensitivity analysis </w:t>
      </w:r>
      <w:r w:rsidR="00C534E3" w:rsidRPr="003A5AE5">
        <w:rPr>
          <w:iCs/>
        </w:rPr>
        <w:t>based on a 5% AE incidence threshold</w:t>
      </w:r>
      <w:r w:rsidR="00F47944" w:rsidRPr="003A5AE5">
        <w:rPr>
          <w:iCs/>
        </w:rPr>
        <w:t xml:space="preserve"> (see paragraph </w:t>
      </w:r>
      <w:r w:rsidR="006A5888" w:rsidRPr="001D3A1B">
        <w:rPr>
          <w:iCs/>
        </w:rPr>
        <w:t>6.40</w:t>
      </w:r>
      <w:r w:rsidR="00F47944" w:rsidRPr="003A5AE5">
        <w:rPr>
          <w:iCs/>
        </w:rPr>
        <w:t>)</w:t>
      </w:r>
      <w:r w:rsidR="00C534E3" w:rsidRPr="003A5AE5">
        <w:rPr>
          <w:iCs/>
        </w:rPr>
        <w:t>.</w:t>
      </w:r>
      <w:r w:rsidR="00F87709" w:rsidRPr="003A5AE5">
        <w:rPr>
          <w:iCs/>
        </w:rPr>
        <w:t xml:space="preserve"> </w:t>
      </w:r>
    </w:p>
    <w:p w:rsidR="00F5082C" w:rsidRPr="003A5AE5" w:rsidRDefault="00F5082C" w:rsidP="00033ED9">
      <w:pPr>
        <w:pStyle w:val="3-BodyText"/>
      </w:pPr>
      <w:r w:rsidRPr="003A5AE5">
        <w:rPr>
          <w:iCs/>
        </w:rPr>
        <w:t>The submission used the difference in the incidence of Grade 3-4 AEs between the two treatment arms in each trial (Study 3007 and PALETTE) in estimating the cost of AEs</w:t>
      </w:r>
      <w:r w:rsidRPr="003A5AE5">
        <w:rPr>
          <w:i/>
          <w:iCs/>
        </w:rPr>
        <w:t xml:space="preserve"> </w:t>
      </w:r>
      <w:r w:rsidRPr="003A5AE5">
        <w:rPr>
          <w:iCs/>
        </w:rPr>
        <w:t xml:space="preserve">associated with trabectedin and pazopanib. This </w:t>
      </w:r>
      <w:r w:rsidR="003D7C13" w:rsidRPr="003A5AE5">
        <w:rPr>
          <w:iCs/>
        </w:rPr>
        <w:t>wa</w:t>
      </w:r>
      <w:r w:rsidRPr="003A5AE5">
        <w:rPr>
          <w:iCs/>
        </w:rPr>
        <w:t xml:space="preserve">s not appropriate. Only considering the incremental incidence of AEs from trabectedin compared with dacarbazine observed in Study 3007 underestimated </w:t>
      </w:r>
      <w:r w:rsidR="00AF1356" w:rsidRPr="003A5AE5">
        <w:rPr>
          <w:iCs/>
        </w:rPr>
        <w:t xml:space="preserve">and distorted </w:t>
      </w:r>
      <w:r w:rsidRPr="003A5AE5">
        <w:rPr>
          <w:iCs/>
        </w:rPr>
        <w:t xml:space="preserve">the </w:t>
      </w:r>
      <w:r w:rsidR="00AF1356" w:rsidRPr="003A5AE5">
        <w:rPr>
          <w:iCs/>
        </w:rPr>
        <w:t>AE profile</w:t>
      </w:r>
      <w:r w:rsidRPr="003A5AE5">
        <w:rPr>
          <w:iCs/>
        </w:rPr>
        <w:t xml:space="preserve"> associated with trabectedin</w:t>
      </w:r>
      <w:r w:rsidR="00AF1356" w:rsidRPr="003A5AE5">
        <w:rPr>
          <w:iCs/>
        </w:rPr>
        <w:t>. As dacarbazine is not</w:t>
      </w:r>
      <w:r w:rsidR="0084633C" w:rsidRPr="003A5AE5">
        <w:rPr>
          <w:rFonts w:ascii="Calibri" w:hAnsi="Calibri"/>
          <w:iCs/>
          <w:snapToGrid/>
        </w:rPr>
        <w:t xml:space="preserve"> </w:t>
      </w:r>
      <w:r w:rsidR="0084633C" w:rsidRPr="003A5AE5">
        <w:rPr>
          <w:iCs/>
        </w:rPr>
        <w:t>PBS-listed for LMS, nor included in</w:t>
      </w:r>
      <w:r w:rsidR="00AF1356" w:rsidRPr="003A5AE5">
        <w:rPr>
          <w:iCs/>
        </w:rPr>
        <w:t xml:space="preserve"> </w:t>
      </w:r>
      <w:r w:rsidR="00534714" w:rsidRPr="003A5AE5">
        <w:rPr>
          <w:iCs/>
        </w:rPr>
        <w:t>the eviQ guideline</w:t>
      </w:r>
      <w:r w:rsidR="00534714" w:rsidRPr="003A5AE5">
        <w:rPr>
          <w:rStyle w:val="FootnoteReference"/>
          <w:iCs/>
        </w:rPr>
        <w:footnoteReference w:id="4"/>
      </w:r>
      <w:r w:rsidR="00D53025" w:rsidRPr="003A5AE5">
        <w:rPr>
          <w:iCs/>
        </w:rPr>
        <w:t xml:space="preserve">, </w:t>
      </w:r>
      <w:r w:rsidR="00AF1356" w:rsidRPr="003A5AE5">
        <w:rPr>
          <w:iCs/>
        </w:rPr>
        <w:t xml:space="preserve">its AE profile </w:t>
      </w:r>
      <w:r w:rsidR="00D53025" w:rsidRPr="003A5AE5">
        <w:rPr>
          <w:iCs/>
        </w:rPr>
        <w:t>has limited relevance</w:t>
      </w:r>
      <w:r w:rsidR="00AF1356" w:rsidRPr="003A5AE5">
        <w:rPr>
          <w:iCs/>
        </w:rPr>
        <w:t xml:space="preserve"> to the requested listing. </w:t>
      </w:r>
      <w:r w:rsidR="00D53025" w:rsidRPr="003A5AE5">
        <w:rPr>
          <w:iCs/>
        </w:rPr>
        <w:t>In addition, pazopanib was compared to placebo, which caused fewer AEs than dacarbazine; this means that using the incremental difference in AEs recorded in the two treatment arms of each trial likely favoured trabectedin.</w:t>
      </w:r>
      <w:r w:rsidR="00BB57CF" w:rsidRPr="003A5AE5">
        <w:rPr>
          <w:iCs/>
        </w:rPr>
        <w:t xml:space="preserve"> </w:t>
      </w:r>
      <w:r w:rsidR="00BB57CF" w:rsidRPr="003A5AE5">
        <w:t xml:space="preserve">The ESC considered a sensitivity analysis for the </w:t>
      </w:r>
      <w:r w:rsidR="009C553D" w:rsidRPr="003A5AE5">
        <w:t xml:space="preserve">cost-minimisation analysis </w:t>
      </w:r>
      <w:r w:rsidR="00BB57CF" w:rsidRPr="003A5AE5">
        <w:t>using the incidence of AEs reported for trabectedin, rather than the additional AEs reported for trabectedin over those reported for dacarbazine, would be</w:t>
      </w:r>
      <w:r w:rsidR="0081323A" w:rsidRPr="003A5AE5">
        <w:t xml:space="preserve"> more</w:t>
      </w:r>
      <w:r w:rsidR="00BB57CF" w:rsidRPr="003A5AE5">
        <w:t xml:space="preserve"> informative</w:t>
      </w:r>
      <w:r w:rsidR="0081323A" w:rsidRPr="003A5AE5">
        <w:t xml:space="preserve"> than the current analysis</w:t>
      </w:r>
      <w:r w:rsidR="00BB57CF" w:rsidRPr="003A5AE5">
        <w:t>.</w:t>
      </w:r>
      <w:r w:rsidR="00570BCC" w:rsidRPr="003A5AE5">
        <w:t xml:space="preserve"> The Pre-PBAC Response presented a </w:t>
      </w:r>
      <w:r w:rsidR="009C553D" w:rsidRPr="003A5AE5">
        <w:t>sensitivity analysis for the cost-minimisation analysis</w:t>
      </w:r>
      <w:r w:rsidR="00570BCC" w:rsidRPr="003A5AE5">
        <w:t xml:space="preserve"> using the incidence of adverse events reported for trabectedin</w:t>
      </w:r>
      <w:r w:rsidR="00F47944" w:rsidRPr="003A5AE5">
        <w:t xml:space="preserve"> (see paragraph </w:t>
      </w:r>
      <w:r w:rsidR="006A5888" w:rsidRPr="001D3A1B">
        <w:t>6.40</w:t>
      </w:r>
      <w:r w:rsidR="00F47944" w:rsidRPr="003A5AE5">
        <w:t>).</w:t>
      </w:r>
      <w:r w:rsidR="00570BCC" w:rsidRPr="003A5AE5">
        <w:t xml:space="preserve"> </w:t>
      </w:r>
    </w:p>
    <w:p w:rsidR="00093D53" w:rsidRPr="003A5AE5" w:rsidRDefault="00F5082C" w:rsidP="00033ED9">
      <w:pPr>
        <w:pStyle w:val="3-BodyText"/>
      </w:pPr>
      <w:r w:rsidRPr="003A5AE5">
        <w:rPr>
          <w:iCs/>
        </w:rPr>
        <w:t xml:space="preserve">Furthermore, the submission combined Grade 3 and Grade 4 AEs </w:t>
      </w:r>
      <w:r w:rsidR="003D7C13" w:rsidRPr="003A5AE5">
        <w:rPr>
          <w:iCs/>
        </w:rPr>
        <w:t>when</w:t>
      </w:r>
      <w:r w:rsidRPr="003A5AE5">
        <w:rPr>
          <w:iCs/>
        </w:rPr>
        <w:t xml:space="preserve"> estimating the costs of AE treatments, which </w:t>
      </w:r>
      <w:r w:rsidR="0081323A" w:rsidRPr="003A5AE5">
        <w:rPr>
          <w:iCs/>
        </w:rPr>
        <w:t xml:space="preserve">is likely to </w:t>
      </w:r>
      <w:r w:rsidRPr="003A5AE5">
        <w:rPr>
          <w:iCs/>
        </w:rPr>
        <w:t>have favoured trabectedin. Whilst</w:t>
      </w:r>
      <w:r w:rsidR="008C4AED" w:rsidRPr="003A5AE5">
        <w:rPr>
          <w:iCs/>
        </w:rPr>
        <w:t xml:space="preserve"> the incidence</w:t>
      </w:r>
      <w:r w:rsidRPr="003A5AE5">
        <w:rPr>
          <w:iCs/>
        </w:rPr>
        <w:t xml:space="preserve"> </w:t>
      </w:r>
      <w:r w:rsidR="003D7C13" w:rsidRPr="003A5AE5">
        <w:rPr>
          <w:iCs/>
        </w:rPr>
        <w:t xml:space="preserve">of </w:t>
      </w:r>
      <w:r w:rsidRPr="003A5AE5">
        <w:rPr>
          <w:iCs/>
        </w:rPr>
        <w:t>Grade 3 AEs were similar between trabectedin and pazopanib in Study 3007 and PALETTE (51.9% and 49% respectively), trabectedin treatment was associated with approximately three times as many Grade 4 AEs as pazopanib (29.4% vs 10% respectively).</w:t>
      </w:r>
      <w:r w:rsidR="00093D53" w:rsidRPr="003A5AE5">
        <w:rPr>
          <w:iCs/>
        </w:rPr>
        <w:t xml:space="preserve"> The submission assumed all AEs would be managed in the outpatient setting. Given the higher incidence of Grade 4 AEs in patients treated with trabectedin, compared with pazopanib treatment, the exclusion of hospitalisation costs associated with management of AEs favoured trabectedin</w:t>
      </w:r>
      <w:r w:rsidR="003A5AE5" w:rsidRPr="003A5AE5">
        <w:rPr>
          <w:iCs/>
        </w:rPr>
        <w:t xml:space="preserve">. </w:t>
      </w:r>
      <w:r w:rsidR="00093D53" w:rsidRPr="003A5AE5">
        <w:rPr>
          <w:iCs/>
        </w:rPr>
        <w:t>The ESC noted the cost of treating a Grade 3 versus a Grade 4 AE may be substantially different, and may include hospitalisation</w:t>
      </w:r>
      <w:r w:rsidR="0081323A" w:rsidRPr="003A5AE5">
        <w:rPr>
          <w:iCs/>
        </w:rPr>
        <w:t>, not just outpatient,</w:t>
      </w:r>
      <w:r w:rsidR="00093D53" w:rsidRPr="003A5AE5">
        <w:rPr>
          <w:iCs/>
        </w:rPr>
        <w:t xml:space="preserve"> costs</w:t>
      </w:r>
      <w:r w:rsidR="003A5AE5" w:rsidRPr="003A5AE5">
        <w:rPr>
          <w:iCs/>
        </w:rPr>
        <w:t xml:space="preserve">. </w:t>
      </w:r>
      <w:r w:rsidR="0081323A" w:rsidRPr="003A5AE5">
        <w:rPr>
          <w:iCs/>
        </w:rPr>
        <w:t xml:space="preserve">The </w:t>
      </w:r>
      <w:r w:rsidR="00040FCC" w:rsidRPr="003A5AE5">
        <w:rPr>
          <w:iCs/>
        </w:rPr>
        <w:t>ESC therefore</w:t>
      </w:r>
      <w:r w:rsidR="00093D53" w:rsidRPr="003A5AE5">
        <w:rPr>
          <w:iCs/>
        </w:rPr>
        <w:t xml:space="preserve"> considered </w:t>
      </w:r>
      <w:r w:rsidR="0081323A" w:rsidRPr="003A5AE5">
        <w:rPr>
          <w:iCs/>
        </w:rPr>
        <w:t xml:space="preserve">Grade 3 and grade 4 AEs </w:t>
      </w:r>
      <w:r w:rsidR="00093D53" w:rsidRPr="003A5AE5">
        <w:rPr>
          <w:iCs/>
        </w:rPr>
        <w:t xml:space="preserve">should be costed separately in the </w:t>
      </w:r>
      <w:r w:rsidR="009C553D" w:rsidRPr="003A5AE5">
        <w:t>cost-minimisation analysis</w:t>
      </w:r>
      <w:r w:rsidR="00093D53" w:rsidRPr="003A5AE5">
        <w:rPr>
          <w:iCs/>
        </w:rPr>
        <w:t>.</w:t>
      </w:r>
      <w:r w:rsidR="00093D53" w:rsidRPr="003A5AE5">
        <w:rPr>
          <w:i/>
          <w:iCs/>
        </w:rPr>
        <w:t xml:space="preserve"> </w:t>
      </w:r>
    </w:p>
    <w:p w:rsidR="00F5082C" w:rsidRPr="003A5AE5" w:rsidRDefault="00F9076C" w:rsidP="00033ED9">
      <w:pPr>
        <w:pStyle w:val="3-BodyText"/>
      </w:pPr>
      <w:r w:rsidRPr="003A5AE5">
        <w:t xml:space="preserve">The ESC </w:t>
      </w:r>
      <w:r w:rsidR="0081323A" w:rsidRPr="003A5AE5">
        <w:t xml:space="preserve">also </w:t>
      </w:r>
      <w:r w:rsidRPr="003A5AE5">
        <w:t xml:space="preserve">noted that </w:t>
      </w:r>
      <w:r w:rsidR="00F146CD" w:rsidRPr="003A5AE5">
        <w:t xml:space="preserve">in </w:t>
      </w:r>
      <w:r w:rsidR="00880059" w:rsidRPr="003A5AE5">
        <w:t xml:space="preserve">the </w:t>
      </w:r>
      <w:r w:rsidR="00F146CD" w:rsidRPr="003A5AE5">
        <w:t xml:space="preserve">Demetri 2009 study, 28% of patients </w:t>
      </w:r>
      <w:r w:rsidR="00EA4A25" w:rsidRPr="003A5AE5">
        <w:t>in the 24-hour infusion group</w:t>
      </w:r>
      <w:r w:rsidR="00F146CD" w:rsidRPr="003A5AE5">
        <w:t xml:space="preserve"> received G-CSF</w:t>
      </w:r>
      <w:r w:rsidR="00EA4A25" w:rsidRPr="003A5AE5">
        <w:t xml:space="preserve"> as secondary prophylaxis, and in Study 3007 3.17% (n=12/378) of patients had febrile neutropenia</w:t>
      </w:r>
      <w:r w:rsidR="005556A5" w:rsidRPr="003A5AE5">
        <w:t>.</w:t>
      </w:r>
      <w:r w:rsidR="00BB57CF" w:rsidRPr="003A5AE5">
        <w:t xml:space="preserve"> </w:t>
      </w:r>
    </w:p>
    <w:p w:rsidR="00F5082C" w:rsidRPr="003A5AE5" w:rsidRDefault="00F5082C" w:rsidP="00033ED9">
      <w:pPr>
        <w:pStyle w:val="3-BodyText"/>
      </w:pPr>
      <w:r w:rsidRPr="003A5AE5">
        <w:t xml:space="preserve">The submission also included the cost of methylprednisolone as a premedication in the administration of trabectedin. </w:t>
      </w:r>
    </w:p>
    <w:p w:rsidR="00F5082C" w:rsidRPr="003A5AE5" w:rsidRDefault="009C553D" w:rsidP="00033ED9">
      <w:pPr>
        <w:pStyle w:val="3-BodyText"/>
      </w:pPr>
      <w:r w:rsidRPr="003A5AE5">
        <w:t>The results of the cost-minimisation analysis</w:t>
      </w:r>
      <w:r w:rsidR="000B7CB6" w:rsidRPr="003A5AE5">
        <w:t>, based on the published price of pazopanib,</w:t>
      </w:r>
      <w:r w:rsidR="00F5082C" w:rsidRPr="003A5AE5">
        <w:t xml:space="preserve"> are presented below</w:t>
      </w:r>
      <w:r w:rsidR="00535976" w:rsidRPr="003A5AE5">
        <w:t>.</w:t>
      </w:r>
      <w:r w:rsidR="00D53025" w:rsidRPr="003A5AE5">
        <w:t xml:space="preserve"> </w:t>
      </w:r>
    </w:p>
    <w:p w:rsidR="00F5082C" w:rsidRPr="003A5AE5" w:rsidRDefault="00F5082C" w:rsidP="00033ED9">
      <w:pPr>
        <w:pStyle w:val="TableHeading0"/>
      </w:pPr>
      <w:bookmarkStart w:id="59" w:name="_Ref70513889"/>
      <w:r w:rsidRPr="003A5AE5">
        <w:t xml:space="preserve">Table </w:t>
      </w:r>
      <w:bookmarkEnd w:id="59"/>
      <w:r w:rsidR="000B7CB6" w:rsidRPr="003A5AE5">
        <w:t>8</w:t>
      </w:r>
      <w:r w:rsidRPr="003A5AE5">
        <w:t xml:space="preserve">: Results of the cost-minimisation analysis: trabectedin versus pazopanib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68"/>
        <w:gridCol w:w="2126"/>
        <w:gridCol w:w="2551"/>
      </w:tblGrid>
      <w:tr w:rsidR="00F5082C" w:rsidRPr="003A5AE5" w:rsidTr="00F5082C">
        <w:trPr>
          <w:trHeight w:val="300"/>
          <w:tblHeader/>
        </w:trPr>
        <w:tc>
          <w:tcPr>
            <w:tcW w:w="2405" w:type="dxa"/>
            <w:tcBorders>
              <w:bottom w:val="single" w:sz="4" w:space="0" w:color="auto"/>
            </w:tcBorders>
            <w:shd w:val="clear" w:color="auto" w:fill="auto"/>
            <w:noWrap/>
            <w:vAlign w:val="bottom"/>
          </w:tcPr>
          <w:p w:rsidR="00F5082C" w:rsidRPr="003A5AE5" w:rsidRDefault="00F5082C" w:rsidP="00033ED9">
            <w:pPr>
              <w:pStyle w:val="TableText0"/>
            </w:pPr>
          </w:p>
        </w:tc>
        <w:tc>
          <w:tcPr>
            <w:tcW w:w="2268" w:type="dxa"/>
            <w:tcBorders>
              <w:bottom w:val="single" w:sz="4" w:space="0" w:color="auto"/>
            </w:tcBorders>
            <w:shd w:val="clear" w:color="auto" w:fill="auto"/>
            <w:noWrap/>
          </w:tcPr>
          <w:p w:rsidR="00F5082C" w:rsidRPr="003A5AE5" w:rsidRDefault="00F5082C" w:rsidP="00033ED9">
            <w:pPr>
              <w:pStyle w:val="TableText0"/>
              <w:jc w:val="center"/>
              <w:rPr>
                <w:b/>
              </w:rPr>
            </w:pPr>
            <w:r w:rsidRPr="003A5AE5">
              <w:rPr>
                <w:b/>
              </w:rPr>
              <w:t>Trabectedin</w:t>
            </w:r>
          </w:p>
        </w:tc>
        <w:tc>
          <w:tcPr>
            <w:tcW w:w="2126" w:type="dxa"/>
            <w:tcBorders>
              <w:bottom w:val="single" w:sz="4" w:space="0" w:color="auto"/>
            </w:tcBorders>
            <w:shd w:val="clear" w:color="auto" w:fill="auto"/>
            <w:noWrap/>
          </w:tcPr>
          <w:p w:rsidR="00F5082C" w:rsidRPr="003A5AE5" w:rsidRDefault="00F5082C" w:rsidP="00033ED9">
            <w:pPr>
              <w:pStyle w:val="TableText0"/>
              <w:jc w:val="center"/>
              <w:rPr>
                <w:b/>
              </w:rPr>
            </w:pPr>
            <w:r w:rsidRPr="003A5AE5">
              <w:rPr>
                <w:b/>
              </w:rPr>
              <w:t>Pazopanib</w:t>
            </w:r>
          </w:p>
        </w:tc>
        <w:tc>
          <w:tcPr>
            <w:tcW w:w="2551" w:type="dxa"/>
            <w:tcBorders>
              <w:bottom w:val="single" w:sz="4" w:space="0" w:color="auto"/>
            </w:tcBorders>
          </w:tcPr>
          <w:p w:rsidR="00F5082C" w:rsidRPr="003A5AE5" w:rsidRDefault="00F5082C" w:rsidP="00033ED9">
            <w:pPr>
              <w:pStyle w:val="TableText0"/>
              <w:jc w:val="center"/>
              <w:rPr>
                <w:b/>
              </w:rPr>
            </w:pPr>
            <w:r w:rsidRPr="003A5AE5">
              <w:rPr>
                <w:b/>
              </w:rPr>
              <w:t xml:space="preserve">Data source / explanation </w:t>
            </w:r>
          </w:p>
        </w:tc>
      </w:tr>
      <w:tr w:rsidR="00F5082C" w:rsidRPr="003A5AE5" w:rsidTr="00F5082C">
        <w:trPr>
          <w:trHeight w:val="285"/>
        </w:trPr>
        <w:tc>
          <w:tcPr>
            <w:tcW w:w="2405" w:type="dxa"/>
            <w:shd w:val="clear" w:color="auto" w:fill="auto"/>
            <w:noWrap/>
          </w:tcPr>
          <w:p w:rsidR="00F5082C" w:rsidRPr="003A5AE5" w:rsidRDefault="00F5082C" w:rsidP="00033ED9">
            <w:pPr>
              <w:pStyle w:val="TableText0"/>
              <w:numPr>
                <w:ilvl w:val="0"/>
                <w:numId w:val="12"/>
              </w:numPr>
              <w:ind w:left="308" w:hanging="284"/>
            </w:pPr>
            <w:r w:rsidRPr="003A5AE5">
              <w:t>Unit cost</w:t>
            </w:r>
          </w:p>
        </w:tc>
        <w:tc>
          <w:tcPr>
            <w:tcW w:w="2268" w:type="dxa"/>
            <w:shd w:val="clear" w:color="auto" w:fill="auto"/>
            <w:noWrap/>
            <w:vAlign w:val="center"/>
          </w:tcPr>
          <w:p w:rsidR="00F5082C" w:rsidRPr="003A5AE5" w:rsidRDefault="00F5082C" w:rsidP="00033ED9">
            <w:pPr>
              <w:pStyle w:val="TableText0"/>
              <w:jc w:val="center"/>
            </w:pPr>
            <w:r w:rsidRPr="003A5AE5">
              <w:t>$</w:t>
            </w:r>
            <w:r w:rsidR="00885AF3">
              <w:rPr>
                <w:noProof/>
                <w:color w:val="000000"/>
                <w:highlight w:val="black"/>
              </w:rPr>
              <w:t>''''''''''''''''''''</w:t>
            </w:r>
            <w:r w:rsidRPr="003A5AE5">
              <w:t xml:space="preserve"> per 1 mg vial</w:t>
            </w:r>
          </w:p>
        </w:tc>
        <w:tc>
          <w:tcPr>
            <w:tcW w:w="2126" w:type="dxa"/>
            <w:shd w:val="clear" w:color="auto" w:fill="auto"/>
            <w:noWrap/>
            <w:vAlign w:val="center"/>
          </w:tcPr>
          <w:p w:rsidR="00F5082C" w:rsidRPr="003A5AE5" w:rsidRDefault="00F5082C" w:rsidP="00033ED9">
            <w:pPr>
              <w:pStyle w:val="TableText0"/>
              <w:jc w:val="center"/>
              <w:rPr>
                <w:vertAlign w:val="superscript"/>
              </w:rPr>
            </w:pPr>
            <w:r w:rsidRPr="003A5AE5">
              <w:t>$71.68 per 400 mg tablet</w:t>
            </w:r>
            <w:r w:rsidRPr="003A5AE5">
              <w:rPr>
                <w:vertAlign w:val="superscript"/>
              </w:rPr>
              <w:t>a</w:t>
            </w:r>
          </w:p>
        </w:tc>
        <w:tc>
          <w:tcPr>
            <w:tcW w:w="2551" w:type="dxa"/>
          </w:tcPr>
          <w:p w:rsidR="00F5082C" w:rsidRPr="003A5AE5" w:rsidRDefault="00F5082C" w:rsidP="00033ED9">
            <w:pPr>
              <w:pStyle w:val="TableText0"/>
            </w:pPr>
            <w:r w:rsidRPr="003A5AE5">
              <w:t>Ex-manufacturer price</w:t>
            </w:r>
          </w:p>
        </w:tc>
      </w:tr>
      <w:tr w:rsidR="00F5082C" w:rsidRPr="003A5AE5" w:rsidTr="00F5082C">
        <w:trPr>
          <w:trHeight w:val="285"/>
        </w:trPr>
        <w:tc>
          <w:tcPr>
            <w:tcW w:w="2405" w:type="dxa"/>
            <w:shd w:val="clear" w:color="auto" w:fill="auto"/>
            <w:noWrap/>
          </w:tcPr>
          <w:p w:rsidR="00F5082C" w:rsidRPr="003A5AE5" w:rsidRDefault="00F5082C" w:rsidP="00033ED9">
            <w:pPr>
              <w:pStyle w:val="TableText0"/>
              <w:numPr>
                <w:ilvl w:val="0"/>
                <w:numId w:val="12"/>
              </w:numPr>
              <w:ind w:left="308" w:hanging="284"/>
            </w:pPr>
            <w:r w:rsidRPr="003A5AE5">
              <w:t>Dose</w:t>
            </w:r>
          </w:p>
        </w:tc>
        <w:tc>
          <w:tcPr>
            <w:tcW w:w="2268" w:type="dxa"/>
            <w:shd w:val="clear" w:color="auto" w:fill="auto"/>
            <w:noWrap/>
            <w:vAlign w:val="center"/>
          </w:tcPr>
          <w:p w:rsidR="00F5082C" w:rsidRPr="003A5AE5" w:rsidRDefault="00F5082C" w:rsidP="00033ED9">
            <w:pPr>
              <w:pStyle w:val="TableText0"/>
              <w:jc w:val="center"/>
            </w:pPr>
            <w:r w:rsidRPr="003A5AE5">
              <w:t>2.93 mg</w:t>
            </w:r>
            <w:r w:rsidRPr="003A5AE5">
              <w:rPr>
                <w:vertAlign w:val="superscript"/>
              </w:rPr>
              <w:t>b</w:t>
            </w:r>
          </w:p>
        </w:tc>
        <w:tc>
          <w:tcPr>
            <w:tcW w:w="2126" w:type="dxa"/>
            <w:shd w:val="clear" w:color="auto" w:fill="auto"/>
            <w:noWrap/>
            <w:vAlign w:val="center"/>
          </w:tcPr>
          <w:p w:rsidR="00F5082C" w:rsidRPr="003A5AE5" w:rsidRDefault="00F5082C" w:rsidP="00033ED9">
            <w:pPr>
              <w:pStyle w:val="TableText0"/>
              <w:jc w:val="center"/>
            </w:pPr>
            <w:r w:rsidRPr="003A5AE5">
              <w:t>700.35 mg</w:t>
            </w:r>
          </w:p>
        </w:tc>
        <w:tc>
          <w:tcPr>
            <w:tcW w:w="2551" w:type="dxa"/>
          </w:tcPr>
          <w:p w:rsidR="00F5082C" w:rsidRPr="003A5AE5" w:rsidRDefault="00F5082C" w:rsidP="00033ED9">
            <w:pPr>
              <w:pStyle w:val="TableText0"/>
              <w:rPr>
                <w:vertAlign w:val="superscript"/>
              </w:rPr>
            </w:pPr>
            <w:r w:rsidRPr="003A5AE5">
              <w:t>Trial based mean dose</w:t>
            </w:r>
          </w:p>
        </w:tc>
      </w:tr>
      <w:tr w:rsidR="00F5082C" w:rsidRPr="003A5AE5" w:rsidTr="00F5082C">
        <w:trPr>
          <w:trHeight w:val="285"/>
        </w:trPr>
        <w:tc>
          <w:tcPr>
            <w:tcW w:w="2405" w:type="dxa"/>
            <w:shd w:val="clear" w:color="auto" w:fill="auto"/>
            <w:noWrap/>
          </w:tcPr>
          <w:p w:rsidR="00F5082C" w:rsidRPr="003A5AE5" w:rsidRDefault="00F5082C" w:rsidP="00033ED9">
            <w:pPr>
              <w:pStyle w:val="TableText0"/>
              <w:numPr>
                <w:ilvl w:val="0"/>
                <w:numId w:val="12"/>
              </w:numPr>
              <w:ind w:left="308" w:hanging="284"/>
            </w:pPr>
            <w:r w:rsidRPr="003A5AE5">
              <w:t>Units required per dose</w:t>
            </w:r>
          </w:p>
        </w:tc>
        <w:tc>
          <w:tcPr>
            <w:tcW w:w="2268" w:type="dxa"/>
            <w:shd w:val="clear" w:color="auto" w:fill="auto"/>
            <w:noWrap/>
            <w:vAlign w:val="center"/>
          </w:tcPr>
          <w:p w:rsidR="00F5082C" w:rsidRPr="003A5AE5" w:rsidRDefault="00F5082C" w:rsidP="00033ED9">
            <w:pPr>
              <w:pStyle w:val="TableText0"/>
              <w:jc w:val="center"/>
            </w:pPr>
            <w:r w:rsidRPr="003A5AE5">
              <w:t>3 (1 mg vials)</w:t>
            </w:r>
          </w:p>
        </w:tc>
        <w:tc>
          <w:tcPr>
            <w:tcW w:w="2126" w:type="dxa"/>
            <w:shd w:val="clear" w:color="auto" w:fill="auto"/>
            <w:noWrap/>
            <w:vAlign w:val="center"/>
          </w:tcPr>
          <w:p w:rsidR="00F5082C" w:rsidRPr="003A5AE5" w:rsidRDefault="00F5082C" w:rsidP="00033ED9">
            <w:pPr>
              <w:pStyle w:val="TableText0"/>
              <w:jc w:val="center"/>
            </w:pPr>
            <w:r w:rsidRPr="003A5AE5">
              <w:t>1.75 (400 mg tablets)</w:t>
            </w:r>
          </w:p>
        </w:tc>
        <w:tc>
          <w:tcPr>
            <w:tcW w:w="2551" w:type="dxa"/>
          </w:tcPr>
          <w:p w:rsidR="00F5082C" w:rsidRPr="003A5AE5" w:rsidRDefault="00F5082C" w:rsidP="00033ED9">
            <w:pPr>
              <w:pStyle w:val="TableText0"/>
            </w:pPr>
            <w:r w:rsidRPr="003A5AE5">
              <w:t>As above</w:t>
            </w:r>
          </w:p>
        </w:tc>
      </w:tr>
      <w:tr w:rsidR="00F5082C" w:rsidRPr="003A5AE5" w:rsidTr="00F5082C">
        <w:trPr>
          <w:trHeight w:val="285"/>
        </w:trPr>
        <w:tc>
          <w:tcPr>
            <w:tcW w:w="2405" w:type="dxa"/>
            <w:shd w:val="clear" w:color="auto" w:fill="auto"/>
            <w:noWrap/>
          </w:tcPr>
          <w:p w:rsidR="00F5082C" w:rsidRPr="003A5AE5" w:rsidRDefault="00F5082C" w:rsidP="00033ED9">
            <w:pPr>
              <w:pStyle w:val="TableText0"/>
              <w:numPr>
                <w:ilvl w:val="0"/>
                <w:numId w:val="12"/>
              </w:numPr>
              <w:ind w:left="308" w:hanging="284"/>
            </w:pPr>
            <w:r w:rsidRPr="003A5AE5">
              <w:t>Cost per dose</w:t>
            </w:r>
          </w:p>
        </w:tc>
        <w:tc>
          <w:tcPr>
            <w:tcW w:w="2268" w:type="dxa"/>
            <w:shd w:val="clear" w:color="auto" w:fill="auto"/>
            <w:noWrap/>
            <w:vAlign w:val="center"/>
          </w:tcPr>
          <w:p w:rsidR="00F5082C" w:rsidRPr="003A5AE5" w:rsidRDefault="00F5082C" w:rsidP="00033ED9">
            <w:pPr>
              <w:pStyle w:val="TableText0"/>
              <w:jc w:val="center"/>
            </w:pPr>
            <w:r w:rsidRPr="003A5AE5">
              <w:t>$</w:t>
            </w:r>
            <w:r w:rsidR="00885AF3">
              <w:rPr>
                <w:noProof/>
                <w:color w:val="000000"/>
                <w:highlight w:val="black"/>
              </w:rPr>
              <w:t>''''''''''''''''''''</w:t>
            </w:r>
          </w:p>
        </w:tc>
        <w:tc>
          <w:tcPr>
            <w:tcW w:w="2126" w:type="dxa"/>
            <w:shd w:val="clear" w:color="auto" w:fill="auto"/>
            <w:noWrap/>
            <w:vAlign w:val="center"/>
          </w:tcPr>
          <w:p w:rsidR="00F5082C" w:rsidRPr="003A5AE5" w:rsidRDefault="00F5082C" w:rsidP="00033ED9">
            <w:pPr>
              <w:pStyle w:val="TableText0"/>
              <w:jc w:val="center"/>
            </w:pPr>
            <w:r w:rsidRPr="003A5AE5">
              <w:t>$125.44</w:t>
            </w:r>
          </w:p>
        </w:tc>
        <w:tc>
          <w:tcPr>
            <w:tcW w:w="2551" w:type="dxa"/>
          </w:tcPr>
          <w:p w:rsidR="00F5082C" w:rsidRPr="003A5AE5" w:rsidRDefault="00F5082C" w:rsidP="00033ED9">
            <w:pPr>
              <w:pStyle w:val="TableText0"/>
            </w:pPr>
            <w:r w:rsidRPr="003A5AE5">
              <w:t>= A x C</w:t>
            </w:r>
          </w:p>
        </w:tc>
      </w:tr>
      <w:tr w:rsidR="00F5082C" w:rsidRPr="003A5AE5" w:rsidTr="00F5082C">
        <w:trPr>
          <w:trHeight w:val="285"/>
        </w:trPr>
        <w:tc>
          <w:tcPr>
            <w:tcW w:w="2405" w:type="dxa"/>
            <w:shd w:val="clear" w:color="auto" w:fill="auto"/>
            <w:noWrap/>
          </w:tcPr>
          <w:p w:rsidR="00F5082C" w:rsidRPr="003A5AE5" w:rsidRDefault="00F5082C" w:rsidP="00033ED9">
            <w:pPr>
              <w:pStyle w:val="TableText0"/>
              <w:numPr>
                <w:ilvl w:val="0"/>
                <w:numId w:val="12"/>
              </w:numPr>
              <w:ind w:left="308" w:hanging="284"/>
            </w:pPr>
            <w:r w:rsidRPr="003A5AE5">
              <w:t>Dose per week</w:t>
            </w:r>
          </w:p>
        </w:tc>
        <w:tc>
          <w:tcPr>
            <w:tcW w:w="2268" w:type="dxa"/>
            <w:shd w:val="clear" w:color="auto" w:fill="auto"/>
            <w:noWrap/>
            <w:vAlign w:val="center"/>
          </w:tcPr>
          <w:p w:rsidR="00F5082C" w:rsidRPr="003A5AE5" w:rsidRDefault="00F5082C" w:rsidP="00033ED9">
            <w:pPr>
              <w:pStyle w:val="TableText0"/>
              <w:jc w:val="center"/>
            </w:pPr>
            <w:r w:rsidRPr="003A5AE5">
              <w:t>0.33</w:t>
            </w:r>
          </w:p>
        </w:tc>
        <w:tc>
          <w:tcPr>
            <w:tcW w:w="2126" w:type="dxa"/>
            <w:shd w:val="clear" w:color="auto" w:fill="auto"/>
            <w:noWrap/>
            <w:vAlign w:val="center"/>
          </w:tcPr>
          <w:p w:rsidR="00F5082C" w:rsidRPr="003A5AE5" w:rsidRDefault="00F5082C" w:rsidP="00033ED9">
            <w:pPr>
              <w:pStyle w:val="TableText0"/>
              <w:jc w:val="center"/>
            </w:pPr>
            <w:r w:rsidRPr="003A5AE5">
              <w:t xml:space="preserve">7 </w:t>
            </w:r>
          </w:p>
        </w:tc>
        <w:tc>
          <w:tcPr>
            <w:tcW w:w="2551" w:type="dxa"/>
          </w:tcPr>
          <w:p w:rsidR="00F5082C" w:rsidRPr="003A5AE5" w:rsidRDefault="00F5082C" w:rsidP="00033ED9">
            <w:pPr>
              <w:pStyle w:val="TableText0"/>
            </w:pPr>
            <w:r w:rsidRPr="003A5AE5">
              <w:t xml:space="preserve">Dose frequency: trabectedin Q3W </w:t>
            </w:r>
            <w:r w:rsidRPr="003A5AE5">
              <w:rPr>
                <w:i/>
              </w:rPr>
              <w:t>vs</w:t>
            </w:r>
            <w:r w:rsidRPr="003A5AE5">
              <w:t>. pazopanib QD</w:t>
            </w:r>
          </w:p>
        </w:tc>
      </w:tr>
      <w:tr w:rsidR="00F5082C" w:rsidRPr="003A5AE5" w:rsidTr="00F5082C">
        <w:trPr>
          <w:trHeight w:val="285"/>
        </w:trPr>
        <w:tc>
          <w:tcPr>
            <w:tcW w:w="2405" w:type="dxa"/>
            <w:shd w:val="clear" w:color="auto" w:fill="auto"/>
            <w:noWrap/>
          </w:tcPr>
          <w:p w:rsidR="00F5082C" w:rsidRPr="003A5AE5" w:rsidRDefault="00F5082C" w:rsidP="00033ED9">
            <w:pPr>
              <w:pStyle w:val="TableText0"/>
              <w:numPr>
                <w:ilvl w:val="0"/>
                <w:numId w:val="12"/>
              </w:numPr>
              <w:ind w:left="308" w:hanging="284"/>
            </w:pPr>
            <w:r w:rsidRPr="003A5AE5">
              <w:t>Treatment duration in weeks</w:t>
            </w:r>
          </w:p>
        </w:tc>
        <w:tc>
          <w:tcPr>
            <w:tcW w:w="2268" w:type="dxa"/>
            <w:shd w:val="clear" w:color="auto" w:fill="auto"/>
            <w:noWrap/>
            <w:vAlign w:val="center"/>
          </w:tcPr>
          <w:p w:rsidR="00F5082C" w:rsidRPr="003A5AE5" w:rsidRDefault="00F5082C" w:rsidP="00033ED9">
            <w:pPr>
              <w:pStyle w:val="TableText0"/>
              <w:jc w:val="center"/>
            </w:pPr>
            <w:r w:rsidRPr="003A5AE5">
              <w:t>12</w:t>
            </w:r>
          </w:p>
        </w:tc>
        <w:tc>
          <w:tcPr>
            <w:tcW w:w="2126" w:type="dxa"/>
            <w:shd w:val="clear" w:color="auto" w:fill="auto"/>
            <w:noWrap/>
            <w:vAlign w:val="center"/>
          </w:tcPr>
          <w:p w:rsidR="00F5082C" w:rsidRPr="003A5AE5" w:rsidRDefault="00F5082C" w:rsidP="00033ED9">
            <w:pPr>
              <w:pStyle w:val="TableText0"/>
              <w:jc w:val="center"/>
            </w:pPr>
            <w:r w:rsidRPr="003A5AE5">
              <w:t>19.36</w:t>
            </w:r>
          </w:p>
        </w:tc>
        <w:tc>
          <w:tcPr>
            <w:tcW w:w="2551" w:type="dxa"/>
          </w:tcPr>
          <w:p w:rsidR="00F5082C" w:rsidRPr="003A5AE5" w:rsidRDefault="00F5082C" w:rsidP="00033ED9">
            <w:pPr>
              <w:pStyle w:val="TableText0"/>
            </w:pPr>
            <w:r w:rsidRPr="003A5AE5">
              <w:t>Median treatment duration from the clinical trials</w:t>
            </w:r>
          </w:p>
        </w:tc>
      </w:tr>
      <w:tr w:rsidR="00F5082C" w:rsidRPr="003A5AE5" w:rsidTr="00F5082C">
        <w:trPr>
          <w:trHeight w:val="285"/>
        </w:trPr>
        <w:tc>
          <w:tcPr>
            <w:tcW w:w="2405" w:type="dxa"/>
            <w:shd w:val="clear" w:color="auto" w:fill="auto"/>
            <w:noWrap/>
          </w:tcPr>
          <w:p w:rsidR="00F5082C" w:rsidRPr="003A5AE5" w:rsidRDefault="00F5082C" w:rsidP="00033ED9">
            <w:pPr>
              <w:pStyle w:val="TableText0"/>
              <w:numPr>
                <w:ilvl w:val="0"/>
                <w:numId w:val="12"/>
              </w:numPr>
              <w:ind w:left="308" w:hanging="284"/>
            </w:pPr>
            <w:r w:rsidRPr="003A5AE5">
              <w:t xml:space="preserve">Total drug costs </w:t>
            </w:r>
          </w:p>
        </w:tc>
        <w:tc>
          <w:tcPr>
            <w:tcW w:w="2268" w:type="dxa"/>
            <w:shd w:val="clear" w:color="auto" w:fill="auto"/>
            <w:noWrap/>
            <w:vAlign w:val="center"/>
          </w:tcPr>
          <w:p w:rsidR="00F5082C" w:rsidRPr="003A5AE5" w:rsidRDefault="00F5082C" w:rsidP="00033ED9">
            <w:pPr>
              <w:pStyle w:val="TableText0"/>
              <w:jc w:val="center"/>
            </w:pPr>
            <w:r w:rsidRPr="003A5AE5">
              <w:t>$</w:t>
            </w:r>
            <w:r w:rsidR="00885AF3">
              <w:rPr>
                <w:noProof/>
                <w:color w:val="000000"/>
                <w:highlight w:val="black"/>
              </w:rPr>
              <w:t>''''''''''''''''''''''</w:t>
            </w:r>
          </w:p>
        </w:tc>
        <w:tc>
          <w:tcPr>
            <w:tcW w:w="2126" w:type="dxa"/>
            <w:shd w:val="clear" w:color="auto" w:fill="auto"/>
            <w:noWrap/>
            <w:vAlign w:val="center"/>
          </w:tcPr>
          <w:p w:rsidR="00F5082C" w:rsidRPr="003A5AE5" w:rsidRDefault="00F5082C" w:rsidP="00033ED9">
            <w:pPr>
              <w:pStyle w:val="TableText0"/>
              <w:jc w:val="center"/>
            </w:pPr>
            <w:r w:rsidRPr="003A5AE5">
              <w:t>$17,000.10</w:t>
            </w:r>
          </w:p>
        </w:tc>
        <w:tc>
          <w:tcPr>
            <w:tcW w:w="2551" w:type="dxa"/>
          </w:tcPr>
          <w:p w:rsidR="00F5082C" w:rsidRPr="003A5AE5" w:rsidRDefault="00F5082C" w:rsidP="00033ED9">
            <w:pPr>
              <w:pStyle w:val="TableText0"/>
            </w:pPr>
            <w:r w:rsidRPr="003A5AE5">
              <w:t>= D x E x F</w:t>
            </w:r>
          </w:p>
        </w:tc>
      </w:tr>
      <w:tr w:rsidR="00F5082C" w:rsidRPr="003A5AE5" w:rsidTr="00F5082C">
        <w:trPr>
          <w:trHeight w:val="285"/>
        </w:trPr>
        <w:tc>
          <w:tcPr>
            <w:tcW w:w="2405" w:type="dxa"/>
            <w:shd w:val="clear" w:color="auto" w:fill="auto"/>
            <w:noWrap/>
            <w:vAlign w:val="center"/>
          </w:tcPr>
          <w:p w:rsidR="00F5082C" w:rsidRPr="003A5AE5" w:rsidRDefault="00F5082C" w:rsidP="00033ED9">
            <w:pPr>
              <w:pStyle w:val="TableText0"/>
              <w:numPr>
                <w:ilvl w:val="0"/>
                <w:numId w:val="12"/>
              </w:numPr>
              <w:ind w:left="308" w:hanging="284"/>
            </w:pPr>
            <w:r w:rsidRPr="003A5AE5">
              <w:t>Methylprednisolone</w:t>
            </w:r>
          </w:p>
        </w:tc>
        <w:tc>
          <w:tcPr>
            <w:tcW w:w="2268" w:type="dxa"/>
            <w:shd w:val="clear" w:color="auto" w:fill="auto"/>
            <w:noWrap/>
            <w:vAlign w:val="center"/>
          </w:tcPr>
          <w:p w:rsidR="00F5082C" w:rsidRPr="003A5AE5" w:rsidRDefault="00F5082C" w:rsidP="00033ED9">
            <w:pPr>
              <w:pStyle w:val="TableText0"/>
              <w:jc w:val="center"/>
            </w:pPr>
            <w:r w:rsidRPr="003A5AE5">
              <w:t>$120.92</w:t>
            </w:r>
          </w:p>
        </w:tc>
        <w:tc>
          <w:tcPr>
            <w:tcW w:w="2126" w:type="dxa"/>
            <w:shd w:val="clear" w:color="auto" w:fill="auto"/>
            <w:noWrap/>
            <w:vAlign w:val="center"/>
          </w:tcPr>
          <w:p w:rsidR="00F5082C" w:rsidRPr="003A5AE5" w:rsidRDefault="00F5082C" w:rsidP="00033ED9">
            <w:pPr>
              <w:pStyle w:val="TableText0"/>
              <w:jc w:val="center"/>
            </w:pPr>
            <w:r w:rsidRPr="003A5AE5">
              <w:t>–</w:t>
            </w:r>
          </w:p>
        </w:tc>
        <w:tc>
          <w:tcPr>
            <w:tcW w:w="2551" w:type="dxa"/>
          </w:tcPr>
          <w:p w:rsidR="00F5082C" w:rsidRPr="003A5AE5" w:rsidRDefault="00F5082C" w:rsidP="00033ED9">
            <w:pPr>
              <w:pStyle w:val="TableText0"/>
            </w:pPr>
            <w:r w:rsidRPr="003A5AE5">
              <w:t>= $30.23 (ex-manufacturer price) x E x F</w:t>
            </w:r>
          </w:p>
        </w:tc>
      </w:tr>
      <w:tr w:rsidR="00F5082C" w:rsidRPr="003A5AE5" w:rsidTr="00F5082C">
        <w:trPr>
          <w:trHeight w:val="285"/>
        </w:trPr>
        <w:tc>
          <w:tcPr>
            <w:tcW w:w="2405" w:type="dxa"/>
            <w:tcBorders>
              <w:bottom w:val="single" w:sz="4" w:space="0" w:color="auto"/>
            </w:tcBorders>
            <w:shd w:val="clear" w:color="auto" w:fill="auto"/>
            <w:noWrap/>
            <w:vAlign w:val="center"/>
          </w:tcPr>
          <w:p w:rsidR="00F5082C" w:rsidRPr="003A5AE5" w:rsidRDefault="00F5082C" w:rsidP="00033ED9">
            <w:pPr>
              <w:pStyle w:val="TableText0"/>
              <w:numPr>
                <w:ilvl w:val="0"/>
                <w:numId w:val="12"/>
              </w:numPr>
              <w:ind w:left="308" w:hanging="284"/>
            </w:pPr>
            <w:r w:rsidRPr="003A5AE5">
              <w:t>Parenteral administration of antineoplastic agents</w:t>
            </w:r>
          </w:p>
        </w:tc>
        <w:tc>
          <w:tcPr>
            <w:tcW w:w="2268" w:type="dxa"/>
            <w:tcBorders>
              <w:bottom w:val="single" w:sz="4" w:space="0" w:color="auto"/>
            </w:tcBorders>
            <w:shd w:val="clear" w:color="auto" w:fill="auto"/>
            <w:noWrap/>
            <w:vAlign w:val="center"/>
          </w:tcPr>
          <w:p w:rsidR="00F5082C" w:rsidRPr="003A5AE5" w:rsidRDefault="00F5082C" w:rsidP="00033ED9">
            <w:pPr>
              <w:pStyle w:val="TableText0"/>
              <w:jc w:val="center"/>
            </w:pPr>
            <w:r w:rsidRPr="003A5AE5">
              <w:t>$445.60</w:t>
            </w:r>
          </w:p>
        </w:tc>
        <w:tc>
          <w:tcPr>
            <w:tcW w:w="2126" w:type="dxa"/>
            <w:tcBorders>
              <w:bottom w:val="single" w:sz="4" w:space="0" w:color="auto"/>
            </w:tcBorders>
            <w:shd w:val="clear" w:color="auto" w:fill="auto"/>
            <w:noWrap/>
            <w:vAlign w:val="center"/>
          </w:tcPr>
          <w:p w:rsidR="00F5082C" w:rsidRPr="003A5AE5" w:rsidRDefault="00F5082C" w:rsidP="00033ED9">
            <w:pPr>
              <w:pStyle w:val="TableText0"/>
              <w:jc w:val="center"/>
            </w:pPr>
            <w:r w:rsidRPr="003A5AE5">
              <w:t>–</w:t>
            </w:r>
          </w:p>
        </w:tc>
        <w:tc>
          <w:tcPr>
            <w:tcW w:w="2551" w:type="dxa"/>
            <w:tcBorders>
              <w:bottom w:val="single" w:sz="4" w:space="0" w:color="auto"/>
            </w:tcBorders>
          </w:tcPr>
          <w:p w:rsidR="00F5082C" w:rsidRPr="003A5AE5" w:rsidRDefault="00F5082C" w:rsidP="00033ED9">
            <w:pPr>
              <w:pStyle w:val="TableText0"/>
            </w:pPr>
            <w:r w:rsidRPr="003A5AE5">
              <w:t>= $111.40 (MBS item 13950) x E x F</w:t>
            </w:r>
          </w:p>
        </w:tc>
      </w:tr>
      <w:tr w:rsidR="00F5082C" w:rsidRPr="003A5AE5" w:rsidTr="00F5082C">
        <w:trPr>
          <w:trHeight w:val="285"/>
        </w:trPr>
        <w:tc>
          <w:tcPr>
            <w:tcW w:w="2405" w:type="dxa"/>
            <w:tcBorders>
              <w:top w:val="single" w:sz="4" w:space="0" w:color="auto"/>
            </w:tcBorders>
            <w:shd w:val="clear" w:color="auto" w:fill="auto"/>
            <w:noWrap/>
            <w:vAlign w:val="center"/>
          </w:tcPr>
          <w:p w:rsidR="00F5082C" w:rsidRPr="003A5AE5" w:rsidRDefault="00F5082C" w:rsidP="00033ED9">
            <w:pPr>
              <w:pStyle w:val="TableText0"/>
              <w:numPr>
                <w:ilvl w:val="0"/>
                <w:numId w:val="12"/>
              </w:numPr>
              <w:ind w:left="308" w:hanging="284"/>
            </w:pPr>
            <w:r w:rsidRPr="003A5AE5">
              <w:t>Management of AEs</w:t>
            </w:r>
          </w:p>
        </w:tc>
        <w:tc>
          <w:tcPr>
            <w:tcW w:w="2268" w:type="dxa"/>
            <w:tcBorders>
              <w:top w:val="single" w:sz="4" w:space="0" w:color="auto"/>
            </w:tcBorders>
            <w:shd w:val="clear" w:color="auto" w:fill="auto"/>
            <w:noWrap/>
            <w:vAlign w:val="center"/>
          </w:tcPr>
          <w:p w:rsidR="00F5082C" w:rsidRPr="003A5AE5" w:rsidRDefault="00F5082C" w:rsidP="00033ED9">
            <w:pPr>
              <w:pStyle w:val="TableText0"/>
              <w:jc w:val="center"/>
            </w:pPr>
            <w:r w:rsidRPr="003A5AE5">
              <w:t>$49.90</w:t>
            </w:r>
          </w:p>
        </w:tc>
        <w:tc>
          <w:tcPr>
            <w:tcW w:w="2126" w:type="dxa"/>
            <w:tcBorders>
              <w:top w:val="single" w:sz="4" w:space="0" w:color="auto"/>
            </w:tcBorders>
            <w:shd w:val="clear" w:color="auto" w:fill="auto"/>
            <w:noWrap/>
            <w:vAlign w:val="center"/>
          </w:tcPr>
          <w:p w:rsidR="00F5082C" w:rsidRPr="003A5AE5" w:rsidRDefault="00F5082C" w:rsidP="00033ED9">
            <w:pPr>
              <w:pStyle w:val="TableText0"/>
              <w:jc w:val="center"/>
              <w:rPr>
                <w:rFonts w:ascii="Arial" w:hAnsi="Arial"/>
                <w:color w:val="000000"/>
                <w:szCs w:val="20"/>
              </w:rPr>
            </w:pPr>
            <w:r w:rsidRPr="003A5AE5">
              <w:t>$3.29</w:t>
            </w:r>
          </w:p>
        </w:tc>
        <w:tc>
          <w:tcPr>
            <w:tcW w:w="2551" w:type="dxa"/>
            <w:tcBorders>
              <w:top w:val="single" w:sz="4" w:space="0" w:color="auto"/>
            </w:tcBorders>
          </w:tcPr>
          <w:p w:rsidR="00F5082C" w:rsidRPr="003A5AE5" w:rsidRDefault="00F5082C" w:rsidP="00033ED9">
            <w:pPr>
              <w:pStyle w:val="TableText0"/>
            </w:pPr>
            <w:r w:rsidRPr="003A5AE5">
              <w:t>Trial-based incidence of AEs, relevant MBS items</w:t>
            </w:r>
          </w:p>
        </w:tc>
      </w:tr>
      <w:tr w:rsidR="00F5082C" w:rsidRPr="003A5AE5" w:rsidTr="00F5082C">
        <w:trPr>
          <w:trHeight w:val="285"/>
        </w:trPr>
        <w:tc>
          <w:tcPr>
            <w:tcW w:w="2405" w:type="dxa"/>
            <w:shd w:val="clear" w:color="auto" w:fill="auto"/>
            <w:noWrap/>
            <w:vAlign w:val="center"/>
          </w:tcPr>
          <w:p w:rsidR="00F5082C" w:rsidRPr="003A5AE5" w:rsidRDefault="00F5082C" w:rsidP="00033ED9">
            <w:pPr>
              <w:pStyle w:val="TableText0"/>
              <w:numPr>
                <w:ilvl w:val="0"/>
                <w:numId w:val="12"/>
              </w:numPr>
              <w:ind w:left="308" w:hanging="284"/>
              <w:rPr>
                <w:b/>
                <w:bCs w:val="0"/>
              </w:rPr>
            </w:pPr>
            <w:r w:rsidRPr="003A5AE5">
              <w:rPr>
                <w:b/>
              </w:rPr>
              <w:t>Total cost of Therapy</w:t>
            </w:r>
          </w:p>
        </w:tc>
        <w:tc>
          <w:tcPr>
            <w:tcW w:w="2268" w:type="dxa"/>
            <w:shd w:val="clear" w:color="auto" w:fill="auto"/>
            <w:noWrap/>
            <w:vAlign w:val="center"/>
          </w:tcPr>
          <w:p w:rsidR="00F5082C" w:rsidRPr="003A5AE5" w:rsidRDefault="00F5082C" w:rsidP="00033ED9">
            <w:pPr>
              <w:pStyle w:val="TableText0"/>
              <w:jc w:val="center"/>
              <w:rPr>
                <w:b/>
                <w:bCs w:val="0"/>
              </w:rPr>
            </w:pPr>
            <w:r w:rsidRPr="003A5AE5">
              <w:rPr>
                <w:b/>
              </w:rPr>
              <w:t>$</w:t>
            </w:r>
            <w:r w:rsidR="00885AF3">
              <w:rPr>
                <w:b/>
                <w:noProof/>
                <w:color w:val="000000"/>
                <w:highlight w:val="black"/>
              </w:rPr>
              <w:t>''''''''''''''''''</w:t>
            </w:r>
          </w:p>
        </w:tc>
        <w:tc>
          <w:tcPr>
            <w:tcW w:w="2126" w:type="dxa"/>
            <w:shd w:val="clear" w:color="auto" w:fill="auto"/>
            <w:noWrap/>
            <w:vAlign w:val="center"/>
          </w:tcPr>
          <w:p w:rsidR="00F5082C" w:rsidRPr="003A5AE5" w:rsidRDefault="00F5082C" w:rsidP="00033ED9">
            <w:pPr>
              <w:pStyle w:val="TableText0"/>
              <w:jc w:val="center"/>
              <w:rPr>
                <w:b/>
                <w:bCs w:val="0"/>
              </w:rPr>
            </w:pPr>
            <w:r w:rsidRPr="003A5AE5">
              <w:rPr>
                <w:b/>
              </w:rPr>
              <w:t>$17,003.39</w:t>
            </w:r>
          </w:p>
        </w:tc>
        <w:tc>
          <w:tcPr>
            <w:tcW w:w="2551" w:type="dxa"/>
          </w:tcPr>
          <w:p w:rsidR="00F5082C" w:rsidRPr="003A5AE5" w:rsidRDefault="00F5082C" w:rsidP="00033ED9">
            <w:pPr>
              <w:pStyle w:val="TableText0"/>
              <w:rPr>
                <w:b/>
              </w:rPr>
            </w:pPr>
            <w:r w:rsidRPr="003A5AE5">
              <w:rPr>
                <w:b/>
              </w:rPr>
              <w:t>=G + H + I + J</w:t>
            </w:r>
          </w:p>
        </w:tc>
      </w:tr>
    </w:tbl>
    <w:p w:rsidR="00F5082C" w:rsidRPr="003A5AE5" w:rsidRDefault="00F5082C" w:rsidP="00033ED9">
      <w:pPr>
        <w:pStyle w:val="TableFigureFooter"/>
      </w:pPr>
      <w:r w:rsidRPr="003A5AE5">
        <w:t>Source: Table 86</w:t>
      </w:r>
      <w:r w:rsidR="007A5D8B">
        <w:t xml:space="preserve"> </w:t>
      </w:r>
      <w:r w:rsidRPr="003A5AE5">
        <w:t>of the submission; ‘Cost-Min’ spreadsheet, “Yondelis_utilisation-and-cost-minimisation_March2021” Excel workbook</w:t>
      </w:r>
    </w:p>
    <w:p w:rsidR="00F5082C" w:rsidRPr="003A5AE5" w:rsidRDefault="00F5082C" w:rsidP="00033ED9">
      <w:pPr>
        <w:pStyle w:val="TableFigureFooter"/>
      </w:pPr>
      <w:r w:rsidRPr="003A5AE5">
        <w:t>AEs = adverse events; Q3W = every 3 weeks; QD = once daily</w:t>
      </w:r>
    </w:p>
    <w:p w:rsidR="00F5082C" w:rsidRPr="003A5AE5" w:rsidRDefault="00F5082C" w:rsidP="00033ED9">
      <w:pPr>
        <w:pStyle w:val="TableFigureFooter"/>
      </w:pPr>
      <w:r w:rsidRPr="003A5AE5">
        <w:rPr>
          <w:vertAlign w:val="superscript"/>
        </w:rPr>
        <w:t xml:space="preserve">a </w:t>
      </w:r>
      <w:r w:rsidRPr="003A5AE5">
        <w:t>Ex-manufacturer price for pazopanib is $4,300.92 for 400 mg x 60 tablets pack. This equals to $71.68 per 400 mg tablet</w:t>
      </w:r>
    </w:p>
    <w:p w:rsidR="00F5082C" w:rsidRPr="003A5AE5" w:rsidRDefault="00F5082C" w:rsidP="00033ED9">
      <w:pPr>
        <w:pStyle w:val="TableFigureFooter"/>
      </w:pPr>
      <w:r w:rsidRPr="003A5AE5">
        <w:rPr>
          <w:vertAlign w:val="superscript"/>
        </w:rPr>
        <w:t xml:space="preserve">b </w:t>
      </w:r>
      <w:r w:rsidRPr="003A5AE5">
        <w:t>The dose of trabectedin was calculated as dose regimen (1.5 mg/m</w:t>
      </w:r>
      <w:r w:rsidRPr="003A5AE5">
        <w:rPr>
          <w:vertAlign w:val="superscript"/>
        </w:rPr>
        <w:t>2</w:t>
      </w:r>
      <w:r w:rsidRPr="003A5AE5">
        <w:t>), multiplied by average body surface area (2.14 m</w:t>
      </w:r>
      <w:r w:rsidRPr="003A5AE5">
        <w:rPr>
          <w:vertAlign w:val="superscript"/>
        </w:rPr>
        <w:t>2</w:t>
      </w:r>
      <w:r w:rsidRPr="003A5AE5">
        <w:t>), multiplied by dose intensity in Study 3007 (0.91)</w:t>
      </w:r>
    </w:p>
    <w:p w:rsidR="00F5082C" w:rsidRPr="003A5AE5" w:rsidRDefault="00F5082C" w:rsidP="00033ED9">
      <w:pPr>
        <w:pStyle w:val="TableHeading0"/>
      </w:pPr>
    </w:p>
    <w:p w:rsidR="00F5082C" w:rsidRPr="003A5AE5" w:rsidRDefault="009C553D" w:rsidP="00033ED9">
      <w:pPr>
        <w:pStyle w:val="3-BodyText"/>
      </w:pPr>
      <w:r w:rsidRPr="003A5AE5">
        <w:t>The cost-minimisation analysis</w:t>
      </w:r>
      <w:r w:rsidR="00F5082C" w:rsidRPr="003A5AE5">
        <w:t xml:space="preserve"> overestimat</w:t>
      </w:r>
      <w:r w:rsidR="00985BCD" w:rsidRPr="003A5AE5">
        <w:t>ed</w:t>
      </w:r>
      <w:r w:rsidR="00F5082C" w:rsidRPr="003A5AE5">
        <w:t xml:space="preserve"> the requested drug price for trabectedin because:</w:t>
      </w:r>
    </w:p>
    <w:p w:rsidR="00F5082C" w:rsidRPr="003A5AE5" w:rsidRDefault="00357822" w:rsidP="00033ED9">
      <w:pPr>
        <w:pStyle w:val="3-BodyText"/>
        <w:numPr>
          <w:ilvl w:val="0"/>
          <w:numId w:val="14"/>
        </w:numPr>
      </w:pPr>
      <w:r w:rsidRPr="003A5AE5">
        <w:t xml:space="preserve">It assumed a shorter treatment duration of trabectedin than that of pazopanib (12 weeks vs. 19.36 weeks). If the treatment duration for both treatments </w:t>
      </w:r>
      <w:r w:rsidR="00985BCD" w:rsidRPr="003A5AE5">
        <w:t>wa</w:t>
      </w:r>
      <w:r w:rsidRPr="003A5AE5">
        <w:t>s standardised to 21.80 weeks (the mean treatment duration in the final analysis of Study 3007), then the requested ex-manufacture</w:t>
      </w:r>
      <w:r w:rsidR="00985BCD" w:rsidRPr="003A5AE5">
        <w:t>r</w:t>
      </w:r>
      <w:r w:rsidRPr="003A5AE5">
        <w:t xml:space="preserve"> price for trabectedin would decrease to $</w:t>
      </w:r>
      <w:r w:rsidR="00885AF3">
        <w:rPr>
          <w:noProof/>
          <w:color w:val="000000"/>
          <w:highlight w:val="black"/>
        </w:rPr>
        <w:t>''''''''''''</w:t>
      </w:r>
      <w:r w:rsidRPr="003A5AE5">
        <w:t xml:space="preserve"> per 1 mg vial, compared with $</w:t>
      </w:r>
      <w:r w:rsidR="00885AF3">
        <w:rPr>
          <w:noProof/>
          <w:color w:val="000000"/>
          <w:highlight w:val="black"/>
        </w:rPr>
        <w:t>''''''''''''''''</w:t>
      </w:r>
      <w:r w:rsidRPr="003A5AE5">
        <w:t xml:space="preserve"> proposed in the submission </w:t>
      </w:r>
      <w:r w:rsidR="00F5082C" w:rsidRPr="003A5AE5">
        <w:t>(</w:t>
      </w:r>
      <w:r w:rsidRPr="003A5AE5">
        <w:t>s</w:t>
      </w:r>
      <w:r w:rsidR="00F5082C" w:rsidRPr="003A5AE5">
        <w:t xml:space="preserve">ee </w:t>
      </w:r>
      <w:r w:rsidR="00541903" w:rsidRPr="003A5AE5">
        <w:t>Table 9</w:t>
      </w:r>
      <w:r w:rsidR="00F5082C" w:rsidRPr="003A5AE5">
        <w:t xml:space="preserve"> below).</w:t>
      </w:r>
      <w:r w:rsidR="009E2DAB" w:rsidRPr="003A5AE5">
        <w:rPr>
          <w:i/>
        </w:rPr>
        <w:t xml:space="preserve"> </w:t>
      </w:r>
      <w:r w:rsidR="00393D21" w:rsidRPr="003A5AE5">
        <w:rPr>
          <w:iCs/>
        </w:rPr>
        <w:t>The ESC noted if the reported mean treatment durations of 21.80 weeks for trabectedin and 19.6 weeks for pazopanib were used the price of trabectedin will reduce further.</w:t>
      </w:r>
      <w:r w:rsidR="000B7CB6" w:rsidRPr="003A5AE5">
        <w:rPr>
          <w:iCs/>
        </w:rPr>
        <w:t xml:space="preserve"> </w:t>
      </w:r>
    </w:p>
    <w:p w:rsidR="00F5082C" w:rsidRPr="003A5AE5" w:rsidRDefault="00F5082C" w:rsidP="00033ED9">
      <w:pPr>
        <w:pStyle w:val="3-BodyText"/>
        <w:numPr>
          <w:ilvl w:val="0"/>
          <w:numId w:val="14"/>
        </w:numPr>
      </w:pPr>
      <w:r w:rsidRPr="003A5AE5">
        <w:t xml:space="preserve">The incidence of adverse events associated with trabectedin was underestimated, as the incremental differences in incidence between trabectedin and dacarbazine (comparator) arms of Study 3007 were used </w:t>
      </w:r>
      <w:r w:rsidR="00985BCD" w:rsidRPr="003A5AE5">
        <w:t xml:space="preserve">to estimate </w:t>
      </w:r>
      <w:r w:rsidRPr="003A5AE5">
        <w:t>the incidence of AEs from trabectedin, which was inappropriate. Further, the Grade 3 and 4 AEs were combined, which obscured the number of immediately life-threatening AEs experienced in the trabectedin arm of Study 3007</w:t>
      </w:r>
      <w:r w:rsidR="00985BCD" w:rsidRPr="003A5AE5">
        <w:t xml:space="preserve"> and the consequent resource use</w:t>
      </w:r>
      <w:r w:rsidRPr="003A5AE5">
        <w:t>.</w:t>
      </w:r>
      <w:r w:rsidR="00393D21" w:rsidRPr="003A5AE5">
        <w:t xml:space="preserve"> The ESC considered this should be corrected for in the </w:t>
      </w:r>
      <w:r w:rsidR="009C553D" w:rsidRPr="003A5AE5">
        <w:t>cost-minimisation analysis</w:t>
      </w:r>
      <w:r w:rsidR="00393D21" w:rsidRPr="003A5AE5">
        <w:t xml:space="preserve"> </w:t>
      </w:r>
      <w:r w:rsidR="00513330" w:rsidRPr="003A5AE5">
        <w:t xml:space="preserve">and the costs associated with managing AEs reviewed to ensure all appropriate </w:t>
      </w:r>
      <w:r w:rsidR="0081323A" w:rsidRPr="003A5AE5">
        <w:t xml:space="preserve">costs are included </w:t>
      </w:r>
      <w:r w:rsidR="00972E82" w:rsidRPr="003A5AE5">
        <w:t xml:space="preserve">(see paragraph </w:t>
      </w:r>
      <w:r w:rsidR="00972E82" w:rsidRPr="001D3A1B">
        <w:t>6.</w:t>
      </w:r>
      <w:r w:rsidR="000B7CB6" w:rsidRPr="001D3A1B">
        <w:t>35</w:t>
      </w:r>
      <w:r w:rsidR="00972E82" w:rsidRPr="001D3A1B">
        <w:t>)</w:t>
      </w:r>
      <w:r w:rsidR="00393D21" w:rsidRPr="001D3A1B">
        <w:t>.</w:t>
      </w:r>
    </w:p>
    <w:p w:rsidR="00F5082C" w:rsidRPr="003A5AE5" w:rsidRDefault="00F5082C" w:rsidP="00033ED9">
      <w:pPr>
        <w:pStyle w:val="3-BodyText"/>
        <w:numPr>
          <w:ilvl w:val="0"/>
          <w:numId w:val="14"/>
        </w:numPr>
      </w:pPr>
      <w:r w:rsidRPr="003A5AE5">
        <w:t>The cost of adverse events was limited to outpatient management. Hospitalisations due to treatment-related AEs are likely to occur more frequently in patients taking trabectedin than pazopanib.</w:t>
      </w:r>
      <w:r w:rsidR="00393D21" w:rsidRPr="003A5AE5">
        <w:t xml:space="preserve"> The ESC considered hospitalisations should be accounted for in the cost-minimisation analysis.</w:t>
      </w:r>
    </w:p>
    <w:p w:rsidR="00F5082C" w:rsidRPr="003A5AE5" w:rsidRDefault="00F5082C" w:rsidP="00033ED9">
      <w:pPr>
        <w:pStyle w:val="3-BodyText"/>
      </w:pPr>
      <w:r w:rsidRPr="003A5AE5">
        <w:t xml:space="preserve">The results </w:t>
      </w:r>
      <w:r w:rsidR="00B6605C" w:rsidRPr="003A5AE5">
        <w:t xml:space="preserve">of </w:t>
      </w:r>
      <w:r w:rsidRPr="003A5AE5">
        <w:t>sensitivity analys</w:t>
      </w:r>
      <w:r w:rsidR="00C310E9" w:rsidRPr="003A5AE5">
        <w:t>e</w:t>
      </w:r>
      <w:r w:rsidRPr="003A5AE5">
        <w:t xml:space="preserve">s assuming </w:t>
      </w:r>
      <w:r w:rsidR="00985BCD" w:rsidRPr="003A5AE5">
        <w:t xml:space="preserve">the </w:t>
      </w:r>
      <w:r w:rsidRPr="003A5AE5">
        <w:t>same treatment duration for trabectedin and pazopanib</w:t>
      </w:r>
      <w:r w:rsidR="00C310E9" w:rsidRPr="003A5AE5">
        <w:t xml:space="preserve"> </w:t>
      </w:r>
      <w:r w:rsidRPr="003A5AE5">
        <w:t xml:space="preserve">are presented below. </w:t>
      </w:r>
    </w:p>
    <w:p w:rsidR="00F5082C" w:rsidRPr="003A5AE5" w:rsidRDefault="00F5082C" w:rsidP="00033ED9">
      <w:pPr>
        <w:pStyle w:val="TableHeading0"/>
      </w:pPr>
      <w:bookmarkStart w:id="60" w:name="_Ref70512229"/>
      <w:r w:rsidRPr="003A5AE5">
        <w:t>Table</w:t>
      </w:r>
      <w:r w:rsidR="000B7CB6" w:rsidRPr="003A5AE5">
        <w:t xml:space="preserve"> 9</w:t>
      </w:r>
      <w:bookmarkEnd w:id="60"/>
      <w:r w:rsidRPr="003A5AE5">
        <w:t xml:space="preserve">: Results of the </w:t>
      </w:r>
      <w:r w:rsidR="009C553D" w:rsidRPr="003A5AE5">
        <w:t>cost-minimisation analysis</w:t>
      </w:r>
      <w:r w:rsidRPr="003A5AE5">
        <w:t xml:space="preserve"> – sensitivity analysis, assuming similar treatment duration for trabectedin and pazopanib</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68"/>
        <w:gridCol w:w="2126"/>
        <w:gridCol w:w="2268"/>
      </w:tblGrid>
      <w:tr w:rsidR="00F5082C" w:rsidRPr="003A5AE5" w:rsidTr="00F5082C">
        <w:trPr>
          <w:trHeight w:val="300"/>
          <w:tblHeader/>
        </w:trPr>
        <w:tc>
          <w:tcPr>
            <w:tcW w:w="2405" w:type="dxa"/>
            <w:tcBorders>
              <w:bottom w:val="single" w:sz="4" w:space="0" w:color="auto"/>
            </w:tcBorders>
            <w:shd w:val="clear" w:color="auto" w:fill="auto"/>
            <w:noWrap/>
            <w:vAlign w:val="bottom"/>
          </w:tcPr>
          <w:p w:rsidR="00F5082C" w:rsidRPr="003A5AE5" w:rsidRDefault="00F5082C" w:rsidP="00033ED9">
            <w:pPr>
              <w:pStyle w:val="TableText0"/>
              <w:keepNext w:val="0"/>
            </w:pPr>
          </w:p>
        </w:tc>
        <w:tc>
          <w:tcPr>
            <w:tcW w:w="2268" w:type="dxa"/>
            <w:tcBorders>
              <w:bottom w:val="single" w:sz="4" w:space="0" w:color="auto"/>
            </w:tcBorders>
            <w:shd w:val="clear" w:color="auto" w:fill="auto"/>
            <w:noWrap/>
          </w:tcPr>
          <w:p w:rsidR="00F5082C" w:rsidRPr="003A5AE5" w:rsidRDefault="00F5082C" w:rsidP="00033ED9">
            <w:pPr>
              <w:pStyle w:val="TableText0"/>
              <w:keepNext w:val="0"/>
              <w:jc w:val="center"/>
              <w:rPr>
                <w:b/>
              </w:rPr>
            </w:pPr>
            <w:r w:rsidRPr="003A5AE5">
              <w:rPr>
                <w:b/>
              </w:rPr>
              <w:t>Trabectedin</w:t>
            </w:r>
          </w:p>
        </w:tc>
        <w:tc>
          <w:tcPr>
            <w:tcW w:w="2126" w:type="dxa"/>
            <w:tcBorders>
              <w:bottom w:val="single" w:sz="4" w:space="0" w:color="auto"/>
            </w:tcBorders>
            <w:shd w:val="clear" w:color="auto" w:fill="auto"/>
            <w:noWrap/>
          </w:tcPr>
          <w:p w:rsidR="00F5082C" w:rsidRPr="003A5AE5" w:rsidRDefault="00F5082C" w:rsidP="00033ED9">
            <w:pPr>
              <w:pStyle w:val="TableText0"/>
              <w:keepNext w:val="0"/>
              <w:jc w:val="center"/>
              <w:rPr>
                <w:b/>
              </w:rPr>
            </w:pPr>
            <w:r w:rsidRPr="003A5AE5">
              <w:rPr>
                <w:b/>
              </w:rPr>
              <w:t>Pazopanib</w:t>
            </w:r>
          </w:p>
        </w:tc>
        <w:tc>
          <w:tcPr>
            <w:tcW w:w="2268" w:type="dxa"/>
            <w:tcBorders>
              <w:bottom w:val="single" w:sz="4" w:space="0" w:color="auto"/>
            </w:tcBorders>
          </w:tcPr>
          <w:p w:rsidR="00F5082C" w:rsidRPr="003A5AE5" w:rsidRDefault="00F5082C" w:rsidP="00033ED9">
            <w:pPr>
              <w:pStyle w:val="TableText0"/>
              <w:keepNext w:val="0"/>
              <w:jc w:val="center"/>
              <w:rPr>
                <w:b/>
              </w:rPr>
            </w:pPr>
            <w:r w:rsidRPr="003A5AE5">
              <w:rPr>
                <w:b/>
              </w:rPr>
              <w:t xml:space="preserve">Data source / explanation </w:t>
            </w:r>
          </w:p>
        </w:tc>
      </w:tr>
      <w:tr w:rsidR="00082196" w:rsidRPr="003A5AE5" w:rsidTr="00F5082C">
        <w:trPr>
          <w:trHeight w:val="285"/>
        </w:trPr>
        <w:tc>
          <w:tcPr>
            <w:tcW w:w="2405" w:type="dxa"/>
            <w:shd w:val="clear" w:color="auto" w:fill="auto"/>
            <w:noWrap/>
          </w:tcPr>
          <w:p w:rsidR="00082196" w:rsidRPr="003A5AE5" w:rsidRDefault="00082196" w:rsidP="00033ED9">
            <w:pPr>
              <w:pStyle w:val="TableText0"/>
              <w:keepNext w:val="0"/>
              <w:numPr>
                <w:ilvl w:val="0"/>
                <w:numId w:val="13"/>
              </w:numPr>
              <w:ind w:left="308" w:hanging="284"/>
            </w:pPr>
            <w:r w:rsidRPr="003A5AE5">
              <w:t>Unit cost</w:t>
            </w:r>
          </w:p>
        </w:tc>
        <w:tc>
          <w:tcPr>
            <w:tcW w:w="2268" w:type="dxa"/>
            <w:shd w:val="clear" w:color="auto" w:fill="auto"/>
            <w:noWrap/>
            <w:vAlign w:val="center"/>
          </w:tcPr>
          <w:p w:rsidR="00082196" w:rsidRPr="003A5AE5" w:rsidRDefault="00082196" w:rsidP="00033ED9">
            <w:pPr>
              <w:pStyle w:val="TableText0"/>
              <w:keepNext w:val="0"/>
              <w:jc w:val="center"/>
              <w:rPr>
                <w:b/>
              </w:rPr>
            </w:pPr>
            <w:r w:rsidRPr="003A5AE5">
              <w:rPr>
                <w:b/>
                <w:bCs w:val="0"/>
              </w:rPr>
              <w:t>$</w:t>
            </w:r>
            <w:r w:rsidR="00885AF3">
              <w:rPr>
                <w:b/>
                <w:bCs w:val="0"/>
                <w:noProof/>
                <w:color w:val="000000"/>
                <w:highlight w:val="black"/>
              </w:rPr>
              <w:t>'''''''''''''</w:t>
            </w:r>
            <w:r w:rsidRPr="003A5AE5">
              <w:rPr>
                <w:b/>
                <w:bCs w:val="0"/>
              </w:rPr>
              <w:t xml:space="preserve"> per 1 mg vial</w:t>
            </w:r>
          </w:p>
        </w:tc>
        <w:tc>
          <w:tcPr>
            <w:tcW w:w="2126" w:type="dxa"/>
            <w:shd w:val="clear" w:color="auto" w:fill="auto"/>
            <w:noWrap/>
            <w:vAlign w:val="center"/>
          </w:tcPr>
          <w:p w:rsidR="00082196" w:rsidRPr="003A5AE5" w:rsidRDefault="00082196" w:rsidP="00033ED9">
            <w:pPr>
              <w:pStyle w:val="TableText0"/>
              <w:keepNext w:val="0"/>
              <w:jc w:val="center"/>
              <w:rPr>
                <w:vertAlign w:val="superscript"/>
              </w:rPr>
            </w:pPr>
            <w:r w:rsidRPr="003A5AE5">
              <w:rPr>
                <w:bCs w:val="0"/>
              </w:rPr>
              <w:t>$71.68 per 400 mg tablet</w:t>
            </w:r>
            <w:r w:rsidRPr="003A5AE5">
              <w:rPr>
                <w:bCs w:val="0"/>
                <w:vertAlign w:val="superscript"/>
              </w:rPr>
              <w:t>a</w:t>
            </w:r>
          </w:p>
        </w:tc>
        <w:tc>
          <w:tcPr>
            <w:tcW w:w="2268" w:type="dxa"/>
          </w:tcPr>
          <w:p w:rsidR="00082196" w:rsidRPr="003A5AE5" w:rsidRDefault="00082196" w:rsidP="00033ED9">
            <w:pPr>
              <w:pStyle w:val="TableText0"/>
              <w:keepNext w:val="0"/>
            </w:pPr>
            <w:r w:rsidRPr="003A5AE5">
              <w:t>Ex-manufacturer price</w:t>
            </w:r>
          </w:p>
        </w:tc>
      </w:tr>
      <w:tr w:rsidR="00082196" w:rsidRPr="003A5AE5" w:rsidTr="00F5082C">
        <w:trPr>
          <w:trHeight w:val="285"/>
        </w:trPr>
        <w:tc>
          <w:tcPr>
            <w:tcW w:w="2405" w:type="dxa"/>
            <w:shd w:val="clear" w:color="auto" w:fill="auto"/>
            <w:noWrap/>
          </w:tcPr>
          <w:p w:rsidR="00082196" w:rsidRPr="003A5AE5" w:rsidRDefault="00082196" w:rsidP="00033ED9">
            <w:pPr>
              <w:pStyle w:val="TableText0"/>
              <w:keepNext w:val="0"/>
              <w:numPr>
                <w:ilvl w:val="0"/>
                <w:numId w:val="13"/>
              </w:numPr>
              <w:ind w:left="308" w:hanging="284"/>
            </w:pPr>
            <w:r w:rsidRPr="003A5AE5">
              <w:t>Dose</w:t>
            </w:r>
          </w:p>
        </w:tc>
        <w:tc>
          <w:tcPr>
            <w:tcW w:w="2268" w:type="dxa"/>
            <w:shd w:val="clear" w:color="auto" w:fill="auto"/>
            <w:noWrap/>
            <w:vAlign w:val="center"/>
          </w:tcPr>
          <w:p w:rsidR="00082196" w:rsidRPr="003A5AE5" w:rsidRDefault="00082196" w:rsidP="00033ED9">
            <w:pPr>
              <w:pStyle w:val="TableText0"/>
              <w:keepNext w:val="0"/>
              <w:jc w:val="center"/>
            </w:pPr>
            <w:r w:rsidRPr="003A5AE5">
              <w:rPr>
                <w:bCs w:val="0"/>
              </w:rPr>
              <w:t>2.93 mg</w:t>
            </w:r>
            <w:r w:rsidRPr="003A5AE5">
              <w:rPr>
                <w:bCs w:val="0"/>
                <w:vertAlign w:val="superscript"/>
              </w:rPr>
              <w:t>b</w:t>
            </w:r>
          </w:p>
        </w:tc>
        <w:tc>
          <w:tcPr>
            <w:tcW w:w="2126" w:type="dxa"/>
            <w:shd w:val="clear" w:color="auto" w:fill="auto"/>
            <w:noWrap/>
            <w:vAlign w:val="center"/>
          </w:tcPr>
          <w:p w:rsidR="00082196" w:rsidRPr="003A5AE5" w:rsidRDefault="00082196" w:rsidP="00033ED9">
            <w:pPr>
              <w:pStyle w:val="TableText0"/>
              <w:keepNext w:val="0"/>
              <w:jc w:val="center"/>
            </w:pPr>
            <w:r w:rsidRPr="003A5AE5">
              <w:rPr>
                <w:bCs w:val="0"/>
              </w:rPr>
              <w:t>700.35 mg</w:t>
            </w:r>
          </w:p>
        </w:tc>
        <w:tc>
          <w:tcPr>
            <w:tcW w:w="2268" w:type="dxa"/>
          </w:tcPr>
          <w:p w:rsidR="00082196" w:rsidRPr="003A5AE5" w:rsidRDefault="00082196" w:rsidP="00033ED9">
            <w:pPr>
              <w:pStyle w:val="TableText0"/>
              <w:keepNext w:val="0"/>
              <w:rPr>
                <w:vertAlign w:val="superscript"/>
              </w:rPr>
            </w:pPr>
            <w:r w:rsidRPr="003A5AE5">
              <w:t>Trial based mean dose</w:t>
            </w:r>
          </w:p>
        </w:tc>
      </w:tr>
      <w:tr w:rsidR="00082196" w:rsidRPr="003A5AE5" w:rsidTr="00F5082C">
        <w:trPr>
          <w:trHeight w:val="285"/>
        </w:trPr>
        <w:tc>
          <w:tcPr>
            <w:tcW w:w="2405" w:type="dxa"/>
            <w:shd w:val="clear" w:color="auto" w:fill="auto"/>
            <w:noWrap/>
          </w:tcPr>
          <w:p w:rsidR="00082196" w:rsidRPr="003A5AE5" w:rsidRDefault="00082196" w:rsidP="00033ED9">
            <w:pPr>
              <w:pStyle w:val="TableText0"/>
              <w:keepNext w:val="0"/>
              <w:numPr>
                <w:ilvl w:val="0"/>
                <w:numId w:val="13"/>
              </w:numPr>
              <w:ind w:left="308" w:hanging="284"/>
            </w:pPr>
            <w:r w:rsidRPr="003A5AE5">
              <w:t>Units required per dose</w:t>
            </w:r>
          </w:p>
        </w:tc>
        <w:tc>
          <w:tcPr>
            <w:tcW w:w="2268" w:type="dxa"/>
            <w:shd w:val="clear" w:color="auto" w:fill="auto"/>
            <w:noWrap/>
            <w:vAlign w:val="center"/>
          </w:tcPr>
          <w:p w:rsidR="00082196" w:rsidRPr="003A5AE5" w:rsidRDefault="00082196" w:rsidP="00033ED9">
            <w:pPr>
              <w:pStyle w:val="TableText0"/>
              <w:keepNext w:val="0"/>
              <w:jc w:val="center"/>
            </w:pPr>
            <w:r w:rsidRPr="003A5AE5">
              <w:rPr>
                <w:bCs w:val="0"/>
              </w:rPr>
              <w:t>3 (1 mg vials)</w:t>
            </w:r>
          </w:p>
        </w:tc>
        <w:tc>
          <w:tcPr>
            <w:tcW w:w="2126" w:type="dxa"/>
            <w:shd w:val="clear" w:color="auto" w:fill="auto"/>
            <w:noWrap/>
            <w:vAlign w:val="center"/>
          </w:tcPr>
          <w:p w:rsidR="00082196" w:rsidRPr="003A5AE5" w:rsidRDefault="00082196" w:rsidP="00033ED9">
            <w:pPr>
              <w:pStyle w:val="TableText0"/>
              <w:keepNext w:val="0"/>
              <w:jc w:val="center"/>
            </w:pPr>
            <w:r w:rsidRPr="003A5AE5">
              <w:rPr>
                <w:bCs w:val="0"/>
              </w:rPr>
              <w:t>1.75 (400 mg tablets)</w:t>
            </w:r>
          </w:p>
        </w:tc>
        <w:tc>
          <w:tcPr>
            <w:tcW w:w="2268" w:type="dxa"/>
          </w:tcPr>
          <w:p w:rsidR="00082196" w:rsidRPr="003A5AE5" w:rsidRDefault="00082196" w:rsidP="00033ED9">
            <w:pPr>
              <w:pStyle w:val="TableText0"/>
              <w:keepNext w:val="0"/>
            </w:pPr>
            <w:r w:rsidRPr="003A5AE5">
              <w:t>As above</w:t>
            </w:r>
          </w:p>
        </w:tc>
      </w:tr>
      <w:tr w:rsidR="00082196" w:rsidRPr="003A5AE5" w:rsidTr="00F5082C">
        <w:trPr>
          <w:trHeight w:val="285"/>
        </w:trPr>
        <w:tc>
          <w:tcPr>
            <w:tcW w:w="2405" w:type="dxa"/>
            <w:shd w:val="clear" w:color="auto" w:fill="auto"/>
            <w:noWrap/>
          </w:tcPr>
          <w:p w:rsidR="00082196" w:rsidRPr="003A5AE5" w:rsidRDefault="00082196" w:rsidP="00033ED9">
            <w:pPr>
              <w:pStyle w:val="TableText0"/>
              <w:keepNext w:val="0"/>
              <w:numPr>
                <w:ilvl w:val="0"/>
                <w:numId w:val="13"/>
              </w:numPr>
              <w:ind w:left="308" w:hanging="284"/>
            </w:pPr>
            <w:r w:rsidRPr="003A5AE5">
              <w:t>Cost per dose</w:t>
            </w:r>
          </w:p>
        </w:tc>
        <w:tc>
          <w:tcPr>
            <w:tcW w:w="2268" w:type="dxa"/>
            <w:shd w:val="clear" w:color="auto" w:fill="auto"/>
            <w:noWrap/>
            <w:vAlign w:val="center"/>
          </w:tcPr>
          <w:p w:rsidR="00082196" w:rsidRPr="003A5AE5" w:rsidRDefault="00082196" w:rsidP="00033ED9">
            <w:pPr>
              <w:pStyle w:val="TableText0"/>
              <w:keepNext w:val="0"/>
              <w:jc w:val="center"/>
            </w:pPr>
            <w:r w:rsidRPr="003A5AE5">
              <w:rPr>
                <w:bCs w:val="0"/>
              </w:rPr>
              <w:t>$</w:t>
            </w:r>
            <w:r w:rsidR="00885AF3">
              <w:rPr>
                <w:bCs w:val="0"/>
                <w:noProof/>
                <w:color w:val="000000"/>
                <w:highlight w:val="black"/>
              </w:rPr>
              <w:t>''''''''''''''''''''</w:t>
            </w:r>
          </w:p>
        </w:tc>
        <w:tc>
          <w:tcPr>
            <w:tcW w:w="2126" w:type="dxa"/>
            <w:shd w:val="clear" w:color="auto" w:fill="auto"/>
            <w:noWrap/>
            <w:vAlign w:val="center"/>
          </w:tcPr>
          <w:p w:rsidR="00082196" w:rsidRPr="003A5AE5" w:rsidRDefault="00082196" w:rsidP="00033ED9">
            <w:pPr>
              <w:pStyle w:val="TableText0"/>
              <w:keepNext w:val="0"/>
              <w:jc w:val="center"/>
            </w:pPr>
            <w:r w:rsidRPr="003A5AE5">
              <w:rPr>
                <w:bCs w:val="0"/>
              </w:rPr>
              <w:t>$125.44</w:t>
            </w:r>
          </w:p>
        </w:tc>
        <w:tc>
          <w:tcPr>
            <w:tcW w:w="2268" w:type="dxa"/>
          </w:tcPr>
          <w:p w:rsidR="00082196" w:rsidRPr="003A5AE5" w:rsidRDefault="00082196" w:rsidP="00033ED9">
            <w:pPr>
              <w:pStyle w:val="TableText0"/>
              <w:keepNext w:val="0"/>
            </w:pPr>
            <w:r w:rsidRPr="003A5AE5">
              <w:t>= A x C</w:t>
            </w:r>
          </w:p>
        </w:tc>
      </w:tr>
      <w:tr w:rsidR="00082196" w:rsidRPr="003A5AE5" w:rsidTr="00F5082C">
        <w:trPr>
          <w:trHeight w:val="285"/>
        </w:trPr>
        <w:tc>
          <w:tcPr>
            <w:tcW w:w="2405" w:type="dxa"/>
            <w:shd w:val="clear" w:color="auto" w:fill="auto"/>
            <w:noWrap/>
          </w:tcPr>
          <w:p w:rsidR="00082196" w:rsidRPr="003A5AE5" w:rsidRDefault="00082196" w:rsidP="00033ED9">
            <w:pPr>
              <w:pStyle w:val="TableText0"/>
              <w:keepNext w:val="0"/>
              <w:numPr>
                <w:ilvl w:val="0"/>
                <w:numId w:val="13"/>
              </w:numPr>
              <w:ind w:left="308" w:hanging="284"/>
            </w:pPr>
            <w:r w:rsidRPr="003A5AE5">
              <w:t>Dose per week</w:t>
            </w:r>
          </w:p>
        </w:tc>
        <w:tc>
          <w:tcPr>
            <w:tcW w:w="2268" w:type="dxa"/>
            <w:shd w:val="clear" w:color="auto" w:fill="auto"/>
            <w:noWrap/>
            <w:vAlign w:val="center"/>
          </w:tcPr>
          <w:p w:rsidR="00082196" w:rsidRPr="003A5AE5" w:rsidRDefault="00082196" w:rsidP="00033ED9">
            <w:pPr>
              <w:pStyle w:val="TableText0"/>
              <w:keepNext w:val="0"/>
              <w:jc w:val="center"/>
            </w:pPr>
            <w:r w:rsidRPr="003A5AE5">
              <w:rPr>
                <w:bCs w:val="0"/>
              </w:rPr>
              <w:t>0.33</w:t>
            </w:r>
          </w:p>
        </w:tc>
        <w:tc>
          <w:tcPr>
            <w:tcW w:w="2126" w:type="dxa"/>
            <w:shd w:val="clear" w:color="auto" w:fill="auto"/>
            <w:noWrap/>
            <w:vAlign w:val="center"/>
          </w:tcPr>
          <w:p w:rsidR="00082196" w:rsidRPr="003A5AE5" w:rsidRDefault="00082196" w:rsidP="00033ED9">
            <w:pPr>
              <w:pStyle w:val="TableText0"/>
              <w:keepNext w:val="0"/>
              <w:jc w:val="center"/>
            </w:pPr>
            <w:r w:rsidRPr="003A5AE5">
              <w:rPr>
                <w:bCs w:val="0"/>
              </w:rPr>
              <w:t xml:space="preserve">7 </w:t>
            </w:r>
          </w:p>
        </w:tc>
        <w:tc>
          <w:tcPr>
            <w:tcW w:w="2268" w:type="dxa"/>
          </w:tcPr>
          <w:p w:rsidR="00082196" w:rsidRPr="003A5AE5" w:rsidRDefault="00082196" w:rsidP="00033ED9">
            <w:pPr>
              <w:pStyle w:val="TableText0"/>
              <w:keepNext w:val="0"/>
            </w:pPr>
            <w:r w:rsidRPr="003A5AE5">
              <w:t>Dose frequency: trabectedin Q3W vs. pazopanib QD</w:t>
            </w:r>
          </w:p>
        </w:tc>
      </w:tr>
      <w:tr w:rsidR="00082196" w:rsidRPr="003A5AE5" w:rsidTr="00F5082C">
        <w:trPr>
          <w:trHeight w:val="285"/>
        </w:trPr>
        <w:tc>
          <w:tcPr>
            <w:tcW w:w="2405" w:type="dxa"/>
            <w:shd w:val="clear" w:color="auto" w:fill="auto"/>
            <w:noWrap/>
          </w:tcPr>
          <w:p w:rsidR="00082196" w:rsidRPr="003A5AE5" w:rsidRDefault="00082196" w:rsidP="00033ED9">
            <w:pPr>
              <w:pStyle w:val="TableText0"/>
              <w:keepNext w:val="0"/>
              <w:numPr>
                <w:ilvl w:val="0"/>
                <w:numId w:val="13"/>
              </w:numPr>
              <w:ind w:left="308" w:hanging="284"/>
            </w:pPr>
            <w:r w:rsidRPr="003A5AE5">
              <w:t>Treatment duration in weeks</w:t>
            </w:r>
          </w:p>
        </w:tc>
        <w:tc>
          <w:tcPr>
            <w:tcW w:w="2268" w:type="dxa"/>
            <w:shd w:val="clear" w:color="auto" w:fill="auto"/>
            <w:noWrap/>
            <w:vAlign w:val="center"/>
          </w:tcPr>
          <w:p w:rsidR="00082196" w:rsidRPr="003A5AE5" w:rsidRDefault="00082196" w:rsidP="00033ED9">
            <w:pPr>
              <w:pStyle w:val="TableText0"/>
              <w:keepNext w:val="0"/>
              <w:jc w:val="center"/>
            </w:pPr>
            <w:r w:rsidRPr="003A5AE5">
              <w:rPr>
                <w:bCs w:val="0"/>
              </w:rPr>
              <w:t>21.80</w:t>
            </w:r>
          </w:p>
        </w:tc>
        <w:tc>
          <w:tcPr>
            <w:tcW w:w="2126" w:type="dxa"/>
            <w:shd w:val="clear" w:color="auto" w:fill="auto"/>
            <w:noWrap/>
            <w:vAlign w:val="center"/>
          </w:tcPr>
          <w:p w:rsidR="00082196" w:rsidRPr="003A5AE5" w:rsidRDefault="00082196" w:rsidP="00033ED9">
            <w:pPr>
              <w:pStyle w:val="TableText0"/>
              <w:keepNext w:val="0"/>
              <w:jc w:val="center"/>
            </w:pPr>
            <w:r w:rsidRPr="003A5AE5">
              <w:rPr>
                <w:bCs w:val="0"/>
              </w:rPr>
              <w:t>21.80</w:t>
            </w:r>
          </w:p>
        </w:tc>
        <w:tc>
          <w:tcPr>
            <w:tcW w:w="2268" w:type="dxa"/>
          </w:tcPr>
          <w:p w:rsidR="00082196" w:rsidRPr="003A5AE5" w:rsidRDefault="00082196" w:rsidP="00033ED9">
            <w:pPr>
              <w:pStyle w:val="TableText0"/>
              <w:keepNext w:val="0"/>
            </w:pPr>
            <w:r w:rsidRPr="003A5AE5">
              <w:t>Same treatment</w:t>
            </w:r>
            <w:r w:rsidR="00ED756D" w:rsidRPr="003A5AE5">
              <w:t xml:space="preserve"> duration of the two therapies</w:t>
            </w:r>
          </w:p>
        </w:tc>
      </w:tr>
      <w:tr w:rsidR="00082196" w:rsidRPr="003A5AE5" w:rsidTr="00F5082C">
        <w:trPr>
          <w:trHeight w:val="285"/>
        </w:trPr>
        <w:tc>
          <w:tcPr>
            <w:tcW w:w="2405" w:type="dxa"/>
            <w:shd w:val="clear" w:color="auto" w:fill="auto"/>
            <w:noWrap/>
          </w:tcPr>
          <w:p w:rsidR="00082196" w:rsidRPr="003A5AE5" w:rsidRDefault="00082196" w:rsidP="00033ED9">
            <w:pPr>
              <w:pStyle w:val="TableText0"/>
              <w:keepNext w:val="0"/>
              <w:numPr>
                <w:ilvl w:val="0"/>
                <w:numId w:val="13"/>
              </w:numPr>
              <w:ind w:left="308" w:hanging="284"/>
            </w:pPr>
            <w:r w:rsidRPr="003A5AE5">
              <w:t xml:space="preserve">Total drug costs </w:t>
            </w:r>
          </w:p>
        </w:tc>
        <w:tc>
          <w:tcPr>
            <w:tcW w:w="2268" w:type="dxa"/>
            <w:shd w:val="clear" w:color="auto" w:fill="auto"/>
            <w:noWrap/>
            <w:vAlign w:val="center"/>
          </w:tcPr>
          <w:p w:rsidR="00082196" w:rsidRPr="003A5AE5" w:rsidRDefault="00082196" w:rsidP="00033ED9">
            <w:pPr>
              <w:pStyle w:val="TableText0"/>
              <w:keepNext w:val="0"/>
              <w:jc w:val="center"/>
            </w:pPr>
            <w:r w:rsidRPr="003A5AE5">
              <w:rPr>
                <w:bCs w:val="0"/>
              </w:rPr>
              <w:t>$</w:t>
            </w:r>
            <w:r w:rsidR="00885AF3">
              <w:rPr>
                <w:bCs w:val="0"/>
                <w:noProof/>
                <w:color w:val="000000"/>
                <w:highlight w:val="black"/>
              </w:rPr>
              <w:t>'''''''''''''''''''''''</w:t>
            </w:r>
          </w:p>
        </w:tc>
        <w:tc>
          <w:tcPr>
            <w:tcW w:w="2126" w:type="dxa"/>
            <w:shd w:val="clear" w:color="auto" w:fill="auto"/>
            <w:noWrap/>
            <w:vAlign w:val="center"/>
          </w:tcPr>
          <w:p w:rsidR="00082196" w:rsidRPr="003A5AE5" w:rsidRDefault="00082196" w:rsidP="00033ED9">
            <w:pPr>
              <w:pStyle w:val="TableText0"/>
              <w:keepNext w:val="0"/>
              <w:jc w:val="center"/>
            </w:pPr>
            <w:r w:rsidRPr="003A5AE5">
              <w:rPr>
                <w:bCs w:val="0"/>
              </w:rPr>
              <w:t>$19,142.68</w:t>
            </w:r>
          </w:p>
        </w:tc>
        <w:tc>
          <w:tcPr>
            <w:tcW w:w="2268" w:type="dxa"/>
          </w:tcPr>
          <w:p w:rsidR="00082196" w:rsidRPr="003A5AE5" w:rsidRDefault="00082196" w:rsidP="00033ED9">
            <w:pPr>
              <w:pStyle w:val="TableText0"/>
              <w:keepNext w:val="0"/>
            </w:pPr>
            <w:r w:rsidRPr="003A5AE5">
              <w:t>= D x E x F</w:t>
            </w:r>
          </w:p>
        </w:tc>
      </w:tr>
      <w:tr w:rsidR="00082196" w:rsidRPr="003A5AE5" w:rsidTr="00F5082C">
        <w:trPr>
          <w:trHeight w:val="285"/>
        </w:trPr>
        <w:tc>
          <w:tcPr>
            <w:tcW w:w="2405" w:type="dxa"/>
            <w:shd w:val="clear" w:color="auto" w:fill="auto"/>
            <w:noWrap/>
            <w:vAlign w:val="center"/>
          </w:tcPr>
          <w:p w:rsidR="00082196" w:rsidRPr="003A5AE5" w:rsidRDefault="00082196" w:rsidP="00033ED9">
            <w:pPr>
              <w:pStyle w:val="TableText0"/>
              <w:keepNext w:val="0"/>
              <w:numPr>
                <w:ilvl w:val="0"/>
                <w:numId w:val="13"/>
              </w:numPr>
              <w:ind w:left="308" w:hanging="284"/>
            </w:pPr>
            <w:r w:rsidRPr="003A5AE5">
              <w:t>Methylprednisolone</w:t>
            </w:r>
          </w:p>
        </w:tc>
        <w:tc>
          <w:tcPr>
            <w:tcW w:w="2268" w:type="dxa"/>
            <w:shd w:val="clear" w:color="auto" w:fill="auto"/>
            <w:noWrap/>
            <w:vAlign w:val="center"/>
          </w:tcPr>
          <w:p w:rsidR="00082196" w:rsidRPr="003A5AE5" w:rsidRDefault="00082196" w:rsidP="00033ED9">
            <w:pPr>
              <w:pStyle w:val="TableText0"/>
              <w:keepNext w:val="0"/>
              <w:jc w:val="center"/>
            </w:pPr>
            <w:r w:rsidRPr="003A5AE5">
              <w:rPr>
                <w:bCs w:val="0"/>
              </w:rPr>
              <w:t>$219.67</w:t>
            </w:r>
          </w:p>
        </w:tc>
        <w:tc>
          <w:tcPr>
            <w:tcW w:w="2126" w:type="dxa"/>
            <w:shd w:val="clear" w:color="auto" w:fill="auto"/>
            <w:noWrap/>
            <w:vAlign w:val="center"/>
          </w:tcPr>
          <w:p w:rsidR="00082196" w:rsidRPr="003A5AE5" w:rsidRDefault="00082196" w:rsidP="00033ED9">
            <w:pPr>
              <w:pStyle w:val="TableText0"/>
              <w:keepNext w:val="0"/>
              <w:jc w:val="center"/>
            </w:pPr>
            <w:r w:rsidRPr="003A5AE5">
              <w:rPr>
                <w:bCs w:val="0"/>
              </w:rPr>
              <w:t>–</w:t>
            </w:r>
          </w:p>
        </w:tc>
        <w:tc>
          <w:tcPr>
            <w:tcW w:w="2268" w:type="dxa"/>
          </w:tcPr>
          <w:p w:rsidR="00082196" w:rsidRPr="003A5AE5" w:rsidRDefault="00082196" w:rsidP="00033ED9">
            <w:pPr>
              <w:pStyle w:val="TableText0"/>
              <w:keepNext w:val="0"/>
            </w:pPr>
            <w:r w:rsidRPr="003A5AE5">
              <w:t>= $30.23 (ex-manufacturer price) x E x F</w:t>
            </w:r>
          </w:p>
        </w:tc>
      </w:tr>
      <w:tr w:rsidR="00082196" w:rsidRPr="003A5AE5" w:rsidTr="00F5082C">
        <w:trPr>
          <w:trHeight w:val="285"/>
        </w:trPr>
        <w:tc>
          <w:tcPr>
            <w:tcW w:w="2405" w:type="dxa"/>
            <w:tcBorders>
              <w:bottom w:val="single" w:sz="4" w:space="0" w:color="auto"/>
            </w:tcBorders>
            <w:shd w:val="clear" w:color="auto" w:fill="auto"/>
            <w:noWrap/>
            <w:vAlign w:val="center"/>
          </w:tcPr>
          <w:p w:rsidR="00082196" w:rsidRPr="003A5AE5" w:rsidRDefault="00082196" w:rsidP="00033ED9">
            <w:pPr>
              <w:pStyle w:val="TableText0"/>
              <w:keepNext w:val="0"/>
              <w:numPr>
                <w:ilvl w:val="0"/>
                <w:numId w:val="13"/>
              </w:numPr>
              <w:ind w:left="308" w:hanging="284"/>
            </w:pPr>
            <w:r w:rsidRPr="003A5AE5">
              <w:t>Parenteral administration of antineoplastic agents</w:t>
            </w:r>
          </w:p>
        </w:tc>
        <w:tc>
          <w:tcPr>
            <w:tcW w:w="2268" w:type="dxa"/>
            <w:tcBorders>
              <w:bottom w:val="single" w:sz="4" w:space="0" w:color="auto"/>
            </w:tcBorders>
            <w:shd w:val="clear" w:color="auto" w:fill="auto"/>
            <w:noWrap/>
            <w:vAlign w:val="center"/>
          </w:tcPr>
          <w:p w:rsidR="00082196" w:rsidRPr="003A5AE5" w:rsidRDefault="00082196" w:rsidP="00033ED9">
            <w:pPr>
              <w:pStyle w:val="TableText0"/>
              <w:keepNext w:val="0"/>
              <w:jc w:val="center"/>
            </w:pPr>
            <w:r w:rsidRPr="003A5AE5">
              <w:rPr>
                <w:bCs w:val="0"/>
              </w:rPr>
              <w:t>$809.51</w:t>
            </w:r>
          </w:p>
        </w:tc>
        <w:tc>
          <w:tcPr>
            <w:tcW w:w="2126" w:type="dxa"/>
            <w:tcBorders>
              <w:bottom w:val="single" w:sz="4" w:space="0" w:color="auto"/>
            </w:tcBorders>
            <w:shd w:val="clear" w:color="auto" w:fill="auto"/>
            <w:noWrap/>
            <w:vAlign w:val="center"/>
          </w:tcPr>
          <w:p w:rsidR="00082196" w:rsidRPr="003A5AE5" w:rsidRDefault="00082196" w:rsidP="00033ED9">
            <w:pPr>
              <w:pStyle w:val="TableText0"/>
              <w:keepNext w:val="0"/>
              <w:jc w:val="center"/>
            </w:pPr>
            <w:r w:rsidRPr="003A5AE5">
              <w:rPr>
                <w:bCs w:val="0"/>
              </w:rPr>
              <w:t>–</w:t>
            </w:r>
          </w:p>
        </w:tc>
        <w:tc>
          <w:tcPr>
            <w:tcW w:w="2268" w:type="dxa"/>
            <w:tcBorders>
              <w:bottom w:val="single" w:sz="4" w:space="0" w:color="auto"/>
            </w:tcBorders>
          </w:tcPr>
          <w:p w:rsidR="00082196" w:rsidRPr="003A5AE5" w:rsidRDefault="00082196" w:rsidP="00033ED9">
            <w:pPr>
              <w:pStyle w:val="TableText0"/>
              <w:keepNext w:val="0"/>
            </w:pPr>
            <w:r w:rsidRPr="003A5AE5">
              <w:t>= $111.40 (MBS item 13950) x E x F</w:t>
            </w:r>
          </w:p>
        </w:tc>
      </w:tr>
      <w:tr w:rsidR="00082196" w:rsidRPr="003A5AE5" w:rsidTr="00F5082C">
        <w:trPr>
          <w:trHeight w:val="285"/>
        </w:trPr>
        <w:tc>
          <w:tcPr>
            <w:tcW w:w="2405" w:type="dxa"/>
            <w:tcBorders>
              <w:top w:val="single" w:sz="4" w:space="0" w:color="auto"/>
            </w:tcBorders>
            <w:shd w:val="clear" w:color="auto" w:fill="auto"/>
            <w:noWrap/>
            <w:vAlign w:val="center"/>
          </w:tcPr>
          <w:p w:rsidR="00082196" w:rsidRPr="003A5AE5" w:rsidRDefault="00082196" w:rsidP="00033ED9">
            <w:pPr>
              <w:pStyle w:val="TableText0"/>
              <w:keepNext w:val="0"/>
              <w:numPr>
                <w:ilvl w:val="0"/>
                <w:numId w:val="13"/>
              </w:numPr>
              <w:ind w:left="308" w:hanging="284"/>
            </w:pPr>
            <w:r w:rsidRPr="003A5AE5">
              <w:t>Management of AEs</w:t>
            </w:r>
          </w:p>
        </w:tc>
        <w:tc>
          <w:tcPr>
            <w:tcW w:w="2268" w:type="dxa"/>
            <w:tcBorders>
              <w:top w:val="single" w:sz="4" w:space="0" w:color="auto"/>
            </w:tcBorders>
            <w:shd w:val="clear" w:color="auto" w:fill="auto"/>
            <w:noWrap/>
            <w:vAlign w:val="center"/>
          </w:tcPr>
          <w:p w:rsidR="00082196" w:rsidRPr="003A5AE5" w:rsidRDefault="00082196" w:rsidP="00033ED9">
            <w:pPr>
              <w:pStyle w:val="TableText0"/>
              <w:keepNext w:val="0"/>
              <w:jc w:val="center"/>
            </w:pPr>
            <w:r w:rsidRPr="003A5AE5">
              <w:rPr>
                <w:bCs w:val="0"/>
              </w:rPr>
              <w:t>$49.90</w:t>
            </w:r>
          </w:p>
        </w:tc>
        <w:tc>
          <w:tcPr>
            <w:tcW w:w="2126" w:type="dxa"/>
            <w:tcBorders>
              <w:top w:val="single" w:sz="4" w:space="0" w:color="auto"/>
            </w:tcBorders>
            <w:shd w:val="clear" w:color="auto" w:fill="auto"/>
            <w:noWrap/>
            <w:vAlign w:val="center"/>
          </w:tcPr>
          <w:p w:rsidR="00082196" w:rsidRPr="003A5AE5" w:rsidRDefault="00082196" w:rsidP="00033ED9">
            <w:pPr>
              <w:pStyle w:val="TableText0"/>
              <w:keepNext w:val="0"/>
              <w:jc w:val="center"/>
              <w:rPr>
                <w:rFonts w:ascii="Arial" w:hAnsi="Arial"/>
                <w:color w:val="000000"/>
                <w:szCs w:val="20"/>
              </w:rPr>
            </w:pPr>
            <w:r w:rsidRPr="003A5AE5">
              <w:rPr>
                <w:bCs w:val="0"/>
              </w:rPr>
              <w:t>$3.29</w:t>
            </w:r>
          </w:p>
        </w:tc>
        <w:tc>
          <w:tcPr>
            <w:tcW w:w="2268" w:type="dxa"/>
            <w:tcBorders>
              <w:top w:val="single" w:sz="4" w:space="0" w:color="auto"/>
            </w:tcBorders>
          </w:tcPr>
          <w:p w:rsidR="00082196" w:rsidRPr="003A5AE5" w:rsidRDefault="00082196" w:rsidP="00033ED9">
            <w:pPr>
              <w:pStyle w:val="TableText0"/>
              <w:keepNext w:val="0"/>
            </w:pPr>
            <w:r w:rsidRPr="003A5AE5">
              <w:t>Trial-based incidence of AEs, relevant MBS items</w:t>
            </w:r>
          </w:p>
        </w:tc>
      </w:tr>
      <w:tr w:rsidR="00082196" w:rsidRPr="003A5AE5" w:rsidTr="00F5082C">
        <w:trPr>
          <w:trHeight w:val="285"/>
        </w:trPr>
        <w:tc>
          <w:tcPr>
            <w:tcW w:w="2405" w:type="dxa"/>
            <w:shd w:val="clear" w:color="auto" w:fill="auto"/>
            <w:noWrap/>
            <w:vAlign w:val="center"/>
          </w:tcPr>
          <w:p w:rsidR="00082196" w:rsidRPr="003A5AE5" w:rsidRDefault="00082196" w:rsidP="00033ED9">
            <w:pPr>
              <w:pStyle w:val="TableText0"/>
              <w:keepNext w:val="0"/>
              <w:numPr>
                <w:ilvl w:val="0"/>
                <w:numId w:val="13"/>
              </w:numPr>
              <w:ind w:left="308" w:hanging="284"/>
              <w:rPr>
                <w:b/>
                <w:bCs w:val="0"/>
              </w:rPr>
            </w:pPr>
            <w:r w:rsidRPr="003A5AE5">
              <w:rPr>
                <w:b/>
              </w:rPr>
              <w:t>Total cost of Therapy</w:t>
            </w:r>
          </w:p>
        </w:tc>
        <w:tc>
          <w:tcPr>
            <w:tcW w:w="2268" w:type="dxa"/>
            <w:shd w:val="clear" w:color="auto" w:fill="auto"/>
            <w:noWrap/>
            <w:vAlign w:val="center"/>
          </w:tcPr>
          <w:p w:rsidR="00082196" w:rsidRPr="003A5AE5" w:rsidRDefault="00082196" w:rsidP="00033ED9">
            <w:pPr>
              <w:pStyle w:val="TableText0"/>
              <w:keepNext w:val="0"/>
              <w:jc w:val="center"/>
              <w:rPr>
                <w:b/>
                <w:bCs w:val="0"/>
              </w:rPr>
            </w:pPr>
            <w:r w:rsidRPr="003A5AE5">
              <w:rPr>
                <w:b/>
                <w:bCs w:val="0"/>
              </w:rPr>
              <w:t>$</w:t>
            </w:r>
            <w:r w:rsidR="00885AF3">
              <w:rPr>
                <w:b/>
                <w:bCs w:val="0"/>
                <w:noProof/>
                <w:color w:val="000000"/>
                <w:highlight w:val="black"/>
              </w:rPr>
              <w:t>''''''''''''''''''</w:t>
            </w:r>
          </w:p>
        </w:tc>
        <w:tc>
          <w:tcPr>
            <w:tcW w:w="2126" w:type="dxa"/>
            <w:shd w:val="clear" w:color="auto" w:fill="auto"/>
            <w:noWrap/>
            <w:vAlign w:val="center"/>
          </w:tcPr>
          <w:p w:rsidR="00082196" w:rsidRPr="003A5AE5" w:rsidRDefault="00082196" w:rsidP="00033ED9">
            <w:pPr>
              <w:pStyle w:val="TableText0"/>
              <w:keepNext w:val="0"/>
              <w:jc w:val="center"/>
              <w:rPr>
                <w:b/>
                <w:bCs w:val="0"/>
              </w:rPr>
            </w:pPr>
            <w:r w:rsidRPr="003A5AE5">
              <w:rPr>
                <w:b/>
                <w:bCs w:val="0"/>
              </w:rPr>
              <w:t>$19,145.96</w:t>
            </w:r>
          </w:p>
        </w:tc>
        <w:tc>
          <w:tcPr>
            <w:tcW w:w="2268" w:type="dxa"/>
          </w:tcPr>
          <w:p w:rsidR="00082196" w:rsidRPr="003A5AE5" w:rsidRDefault="00082196" w:rsidP="00033ED9">
            <w:pPr>
              <w:pStyle w:val="TableText0"/>
              <w:keepNext w:val="0"/>
              <w:rPr>
                <w:b/>
              </w:rPr>
            </w:pPr>
            <w:r w:rsidRPr="003A5AE5">
              <w:rPr>
                <w:b/>
              </w:rPr>
              <w:t>=G + H + I + J</w:t>
            </w:r>
          </w:p>
        </w:tc>
      </w:tr>
    </w:tbl>
    <w:p w:rsidR="00F5082C" w:rsidRPr="003A5AE5" w:rsidRDefault="00F5082C" w:rsidP="00033ED9">
      <w:pPr>
        <w:pStyle w:val="TableFigureFooter"/>
      </w:pPr>
      <w:r w:rsidRPr="003A5AE5">
        <w:t xml:space="preserve">Source: </w:t>
      </w:r>
      <w:r w:rsidR="00AE3AA5" w:rsidRPr="003A5AE5">
        <w:t>Sensitivity analysis performed during the evaluation</w:t>
      </w:r>
    </w:p>
    <w:p w:rsidR="00F5082C" w:rsidRPr="003A5AE5" w:rsidRDefault="00F5082C" w:rsidP="00033ED9">
      <w:pPr>
        <w:pStyle w:val="TableFigureFooter"/>
      </w:pPr>
      <w:r w:rsidRPr="003A5AE5">
        <w:t>AEs = adverse events; Q3W = every 3 weeks; QD = once daily</w:t>
      </w:r>
    </w:p>
    <w:p w:rsidR="00F5082C" w:rsidRPr="003A5AE5" w:rsidRDefault="00F5082C" w:rsidP="00033ED9">
      <w:pPr>
        <w:pStyle w:val="TableFigureFooter"/>
      </w:pPr>
      <w:r w:rsidRPr="003A5AE5">
        <w:rPr>
          <w:vertAlign w:val="superscript"/>
        </w:rPr>
        <w:t xml:space="preserve">a </w:t>
      </w:r>
      <w:r w:rsidRPr="003A5AE5">
        <w:t>Ex-manufacturer price for pazopanib is $4,300.92 for 400 mg x 60 tablets pack. This equals to $71.68 per 400 mg tablet</w:t>
      </w:r>
    </w:p>
    <w:p w:rsidR="00F5082C" w:rsidRPr="003A5AE5" w:rsidRDefault="00F5082C" w:rsidP="00033ED9">
      <w:pPr>
        <w:pStyle w:val="TableFigureFooter"/>
      </w:pPr>
      <w:r w:rsidRPr="003A5AE5">
        <w:rPr>
          <w:vertAlign w:val="superscript"/>
        </w:rPr>
        <w:t xml:space="preserve">b </w:t>
      </w:r>
      <w:r w:rsidRPr="003A5AE5">
        <w:t>The dose of trabectedin was calculated as dose regimen (1.5 mg/m</w:t>
      </w:r>
      <w:r w:rsidRPr="003A5AE5">
        <w:rPr>
          <w:vertAlign w:val="superscript"/>
        </w:rPr>
        <w:t>2</w:t>
      </w:r>
      <w:r w:rsidRPr="003A5AE5">
        <w:t>), multiplied by average body surface area (2.14 m</w:t>
      </w:r>
      <w:r w:rsidRPr="003A5AE5">
        <w:rPr>
          <w:vertAlign w:val="superscript"/>
        </w:rPr>
        <w:t>2</w:t>
      </w:r>
      <w:r w:rsidRPr="003A5AE5">
        <w:t>), multiplied by dose intensity in Study 3007 (0.91).</w:t>
      </w:r>
    </w:p>
    <w:p w:rsidR="007807DC" w:rsidRPr="003A5AE5" w:rsidRDefault="007807DC" w:rsidP="00033ED9">
      <w:pPr>
        <w:pStyle w:val="TableFigureFooter"/>
      </w:pPr>
      <w:r w:rsidRPr="003A5AE5">
        <w:t>Note: Due to rounding, calculation of total cost of therapy varies slightly when only two decimal places are used.</w:t>
      </w:r>
    </w:p>
    <w:p w:rsidR="00C310E9" w:rsidRPr="003A5AE5" w:rsidRDefault="00C310E9" w:rsidP="00033ED9">
      <w:pPr>
        <w:pStyle w:val="TableFigureFooter"/>
        <w:rPr>
          <w:i/>
        </w:rPr>
      </w:pPr>
    </w:p>
    <w:p w:rsidR="009B3E14" w:rsidRPr="003A5AE5" w:rsidRDefault="0090610B" w:rsidP="00033ED9">
      <w:pPr>
        <w:pStyle w:val="3-BodyText"/>
      </w:pPr>
      <w:r w:rsidRPr="003A5AE5">
        <w:t>The p</w:t>
      </w:r>
      <w:r w:rsidR="00F47944" w:rsidRPr="003A5AE5">
        <w:t xml:space="preserve">re-PBAC Response presented a sensitivity analysis for the </w:t>
      </w:r>
      <w:r w:rsidR="009C553D" w:rsidRPr="003A5AE5">
        <w:t>cost-minimisation analysis</w:t>
      </w:r>
      <w:r w:rsidR="00F47944" w:rsidRPr="003A5AE5">
        <w:t xml:space="preserve"> </w:t>
      </w:r>
      <w:r w:rsidR="009B3E14" w:rsidRPr="003A5AE5">
        <w:t xml:space="preserve">based on the 5% AE incidence threshold (see paragraph </w:t>
      </w:r>
      <w:r w:rsidR="009B3E14" w:rsidRPr="001D3A1B">
        <w:t>6.32</w:t>
      </w:r>
      <w:r w:rsidR="009B3E14" w:rsidRPr="003A5AE5">
        <w:t xml:space="preserve">) and </w:t>
      </w:r>
      <w:r w:rsidR="00F47944" w:rsidRPr="003A5AE5">
        <w:t>using the incidence of adverse events reported for trabectedin</w:t>
      </w:r>
      <w:r w:rsidR="009B3E14" w:rsidRPr="003A5AE5">
        <w:t xml:space="preserve"> rather than the incremental difference</w:t>
      </w:r>
      <w:r w:rsidR="00F47944" w:rsidRPr="003A5AE5">
        <w:t xml:space="preserve"> (see paragraph </w:t>
      </w:r>
      <w:r w:rsidR="009B3E14" w:rsidRPr="001D3A1B">
        <w:t>6.33</w:t>
      </w:r>
      <w:r w:rsidR="00F47944" w:rsidRPr="003A5AE5">
        <w:t xml:space="preserve">). </w:t>
      </w:r>
      <w:r w:rsidR="009B3E14" w:rsidRPr="003A5AE5">
        <w:t xml:space="preserve">The resulting vial cost for trabectedin </w:t>
      </w:r>
      <w:r w:rsidR="00F87709" w:rsidRPr="003A5AE5">
        <w:t>increased from $</w:t>
      </w:r>
      <w:r w:rsidR="00885AF3">
        <w:rPr>
          <w:noProof/>
          <w:color w:val="000000"/>
          <w:highlight w:val="black"/>
        </w:rPr>
        <w:t>''''''''''''''''</w:t>
      </w:r>
      <w:r w:rsidR="00F87709" w:rsidRPr="003A5AE5">
        <w:t xml:space="preserve"> pe</w:t>
      </w:r>
      <w:r w:rsidR="009C553D" w:rsidRPr="003A5AE5">
        <w:t>r 1 mg vial in the base case</w:t>
      </w:r>
      <w:r w:rsidR="00F87709" w:rsidRPr="003A5AE5">
        <w:t xml:space="preserve"> to $</w:t>
      </w:r>
      <w:r w:rsidR="00885AF3">
        <w:rPr>
          <w:noProof/>
          <w:color w:val="000000"/>
          <w:highlight w:val="black"/>
        </w:rPr>
        <w:t>''''''''''''''''</w:t>
      </w:r>
      <w:r w:rsidR="00F87709" w:rsidRPr="003A5AE5">
        <w:t xml:space="preserve"> per 1 mg vial in the pre-PBAC response sensitivity analysis</w:t>
      </w:r>
      <w:r w:rsidR="003A5AE5" w:rsidRPr="003A5AE5">
        <w:t xml:space="preserve">. </w:t>
      </w:r>
    </w:p>
    <w:p w:rsidR="000D2E38" w:rsidRPr="003A5AE5" w:rsidRDefault="00F47944" w:rsidP="00033ED9">
      <w:pPr>
        <w:pStyle w:val="3-BodyText"/>
      </w:pPr>
      <w:r w:rsidRPr="003A5AE5">
        <w:t xml:space="preserve">The </w:t>
      </w:r>
      <w:r w:rsidR="00F87709" w:rsidRPr="003A5AE5">
        <w:t xml:space="preserve">PBAC noted the </w:t>
      </w:r>
      <w:r w:rsidR="009C553D" w:rsidRPr="003A5AE5">
        <w:t>cost-minimisation analysis</w:t>
      </w:r>
      <w:r w:rsidRPr="003A5AE5">
        <w:t xml:space="preserve"> </w:t>
      </w:r>
      <w:r w:rsidR="00F87709" w:rsidRPr="003A5AE5">
        <w:t xml:space="preserve">presented in the pre-PBAC response </w:t>
      </w:r>
      <w:r w:rsidRPr="003A5AE5">
        <w:t>was not independently evaluated</w:t>
      </w:r>
      <w:r w:rsidR="00F87709" w:rsidRPr="003A5AE5">
        <w:t>. H</w:t>
      </w:r>
      <w:r w:rsidRPr="003A5AE5">
        <w:t>owever</w:t>
      </w:r>
      <w:r w:rsidR="00F87709" w:rsidRPr="003A5AE5">
        <w:t xml:space="preserve">, the PBAC noted the </w:t>
      </w:r>
      <w:r w:rsidR="00CF6773" w:rsidRPr="003A5AE5">
        <w:t xml:space="preserve">5% AE incidence threshold data for trabectedin used in the revised CMA </w:t>
      </w:r>
      <w:r w:rsidR="00BE737D" w:rsidRPr="003A5AE5">
        <w:t>was</w:t>
      </w:r>
      <w:r w:rsidR="00483C5C" w:rsidRPr="003A5AE5">
        <w:t xml:space="preserve"> based on an</w:t>
      </w:r>
      <w:r w:rsidR="00CF6773" w:rsidRPr="003A5AE5">
        <w:t xml:space="preserve"> interim analysis rather than the final Clinical Study Report. In </w:t>
      </w:r>
      <w:r w:rsidR="009C553D" w:rsidRPr="003A5AE5">
        <w:t>addition, the PBAC noted the cost-minimisation analysis</w:t>
      </w:r>
      <w:r w:rsidR="00CF6773" w:rsidRPr="003A5AE5">
        <w:t xml:space="preserve"> provided in the pre-PBAC response </w:t>
      </w:r>
      <w:r w:rsidRPr="003A5AE5">
        <w:t>appeared to incorrectly attribute blood transfusion as a treatment for neutrop</w:t>
      </w:r>
      <w:r w:rsidR="00243F31" w:rsidRPr="003A5AE5">
        <w:t>enia events</w:t>
      </w:r>
      <w:r w:rsidR="00483C5C" w:rsidRPr="003A5AE5">
        <w:t xml:space="preserve"> and</w:t>
      </w:r>
      <w:r w:rsidR="00CF6773" w:rsidRPr="003A5AE5">
        <w:t xml:space="preserve"> used the incorrect hospital code for febrile neutropenia</w:t>
      </w:r>
      <w:r w:rsidR="00483C5C" w:rsidRPr="003A5AE5">
        <w:t>.</w:t>
      </w:r>
      <w:r w:rsidRPr="003A5AE5">
        <w:t xml:space="preserve"> </w:t>
      </w:r>
      <w:r w:rsidR="00F87709" w:rsidRPr="003A5AE5">
        <w:t xml:space="preserve">The PBAC </w:t>
      </w:r>
      <w:r w:rsidR="00483C5C" w:rsidRPr="003A5AE5">
        <w:t xml:space="preserve">also </w:t>
      </w:r>
      <w:r w:rsidR="00F87709" w:rsidRPr="003A5AE5">
        <w:t>noted the treatment duration in the pre-PBAC response sensitivity analysis remained 12 weeks for trabectedin and 19.36 weeks for pazopanib.</w:t>
      </w:r>
      <w:r w:rsidR="00483C5C" w:rsidRPr="003A5AE5">
        <w:t xml:space="preserve"> </w:t>
      </w:r>
      <w:r w:rsidR="00117799" w:rsidRPr="003A5AE5">
        <w:t>As such, the PBAC cons</w:t>
      </w:r>
      <w:r w:rsidR="009C553D" w:rsidRPr="003A5AE5">
        <w:t>idered the pre-PBAC response cost-minimisation analysis</w:t>
      </w:r>
      <w:r w:rsidR="00117799" w:rsidRPr="003A5AE5">
        <w:t xml:space="preserve"> was not informative.</w:t>
      </w:r>
    </w:p>
    <w:p w:rsidR="00F5082C" w:rsidRPr="003A5AE5" w:rsidRDefault="00F5082C" w:rsidP="00033ED9">
      <w:pPr>
        <w:pStyle w:val="4-SubsectionHeading"/>
      </w:pPr>
      <w:bookmarkStart w:id="61" w:name="_Toc22897646"/>
      <w:bookmarkStart w:id="62" w:name="_Toc69165201"/>
      <w:bookmarkStart w:id="63" w:name="_Toc72160062"/>
      <w:bookmarkStart w:id="64" w:name="_Toc72205679"/>
      <w:bookmarkStart w:id="65" w:name="_Toc72315634"/>
      <w:r w:rsidRPr="003A5AE5">
        <w:t>Drug cost/patient/course</w:t>
      </w:r>
      <w:bookmarkEnd w:id="61"/>
      <w:bookmarkEnd w:id="62"/>
      <w:bookmarkEnd w:id="63"/>
      <w:bookmarkEnd w:id="64"/>
      <w:bookmarkEnd w:id="65"/>
    </w:p>
    <w:p w:rsidR="002966E5" w:rsidRPr="003A5AE5" w:rsidRDefault="004A34B5" w:rsidP="00033ED9">
      <w:pPr>
        <w:pStyle w:val="3-BodyText"/>
        <w:rPr>
          <w:snapToGrid/>
        </w:rPr>
      </w:pPr>
      <w:r w:rsidRPr="003A5AE5">
        <w:t>T</w:t>
      </w:r>
      <w:r w:rsidR="00F5082C" w:rsidRPr="003A5AE5">
        <w:t xml:space="preserve">he cost of trabectedin </w:t>
      </w:r>
      <w:r w:rsidR="00985BCD" w:rsidRPr="003A5AE5">
        <w:t>wa</w:t>
      </w:r>
      <w:r w:rsidR="00F5082C" w:rsidRPr="003A5AE5">
        <w:t>s $</w:t>
      </w:r>
      <w:r w:rsidR="00885AF3">
        <w:rPr>
          <w:noProof/>
          <w:color w:val="000000"/>
          <w:highlight w:val="black"/>
        </w:rPr>
        <w:t>''''''''''''''</w:t>
      </w:r>
      <w:r w:rsidR="00F5082C" w:rsidRPr="003A5AE5">
        <w:t xml:space="preserve"> for a 12-week treatment course</w:t>
      </w:r>
      <w:r w:rsidR="00C45634" w:rsidRPr="003A5AE5">
        <w:t xml:space="preserve"> (as in the base case CMA</w:t>
      </w:r>
      <w:r w:rsidR="00CF72A2" w:rsidRPr="003A5AE5">
        <w:t xml:space="preserve"> presented in the submission</w:t>
      </w:r>
      <w:r w:rsidR="00C45634" w:rsidRPr="003A5AE5">
        <w:t>)</w:t>
      </w:r>
      <w:r w:rsidR="00CB1633" w:rsidRPr="003A5AE5">
        <w:t xml:space="preserve">, using </w:t>
      </w:r>
      <w:r w:rsidR="009E6E6B" w:rsidRPr="003A5AE5">
        <w:t>an</w:t>
      </w:r>
      <w:r w:rsidR="00CB1633" w:rsidRPr="003A5AE5">
        <w:t xml:space="preserve"> average dose of 2.93 mg per administration and the effective dispensed price for trabectedin (public hospital vs. private </w:t>
      </w:r>
      <w:r w:rsidR="00532EE9" w:rsidRPr="003A5AE5">
        <w:t>hospital</w:t>
      </w:r>
      <w:r w:rsidR="00CB1633" w:rsidRPr="003A5AE5">
        <w:t>: 34.02% vs. 65.98%)</w:t>
      </w:r>
      <w:r w:rsidR="00F5082C" w:rsidRPr="003A5AE5">
        <w:t xml:space="preserve">. </w:t>
      </w:r>
      <w:r w:rsidR="002966E5" w:rsidRPr="003A5AE5">
        <w:t xml:space="preserve">The cost of </w:t>
      </w:r>
      <w:r w:rsidR="00C2104E" w:rsidRPr="003A5AE5">
        <w:t xml:space="preserve">comparator </w:t>
      </w:r>
      <w:r w:rsidR="002966E5" w:rsidRPr="003A5AE5">
        <w:t xml:space="preserve">pazopanib was $17,637, </w:t>
      </w:r>
      <w:r w:rsidR="00747914" w:rsidRPr="003A5AE5">
        <w:t>based on</w:t>
      </w:r>
      <w:r w:rsidR="002966E5" w:rsidRPr="003A5AE5">
        <w:t xml:space="preserve"> a treatment duration of 19.36 weeks (as in the base case CMA)</w:t>
      </w:r>
      <w:r w:rsidR="002966E5" w:rsidRPr="003A5AE5">
        <w:rPr>
          <w:snapToGrid/>
        </w:rPr>
        <w:t xml:space="preserve">, an average </w:t>
      </w:r>
      <w:r w:rsidR="003761F3" w:rsidRPr="003A5AE5">
        <w:rPr>
          <w:snapToGrid/>
        </w:rPr>
        <w:t xml:space="preserve">dose of </w:t>
      </w:r>
      <w:r w:rsidR="002966E5" w:rsidRPr="003A5AE5">
        <w:rPr>
          <w:snapToGrid/>
        </w:rPr>
        <w:t>700.35 mg per day and the published dispensed price for pazopanib</w:t>
      </w:r>
      <w:r w:rsidR="00C2104E" w:rsidRPr="003A5AE5">
        <w:rPr>
          <w:snapToGrid/>
        </w:rPr>
        <w:t>.</w:t>
      </w:r>
    </w:p>
    <w:p w:rsidR="00513330" w:rsidRPr="003A5AE5" w:rsidRDefault="00A72138" w:rsidP="00033ED9">
      <w:pPr>
        <w:pStyle w:val="3-BodyText"/>
        <w:rPr>
          <w:snapToGrid/>
        </w:rPr>
      </w:pPr>
      <w:r w:rsidRPr="003A5AE5">
        <w:t>If the</w:t>
      </w:r>
      <w:r w:rsidR="00682D9B" w:rsidRPr="003A5AE5">
        <w:t xml:space="preserve"> </w:t>
      </w:r>
      <w:r w:rsidR="00F5082C" w:rsidRPr="003A5AE5">
        <w:t xml:space="preserve">treatment duration </w:t>
      </w:r>
      <w:r w:rsidRPr="003A5AE5">
        <w:t xml:space="preserve">of both </w:t>
      </w:r>
      <w:r w:rsidR="00C2104E" w:rsidRPr="003A5AE5">
        <w:t xml:space="preserve">trabectedin </w:t>
      </w:r>
      <w:r w:rsidR="00682D9B" w:rsidRPr="003A5AE5">
        <w:t>and pazopanib were assumed to be</w:t>
      </w:r>
      <w:r w:rsidR="00F5082C" w:rsidRPr="003A5AE5">
        <w:t xml:space="preserve"> </w:t>
      </w:r>
      <w:r w:rsidR="007807DC" w:rsidRPr="003A5AE5">
        <w:t>21.80</w:t>
      </w:r>
      <w:r w:rsidR="00F5082C" w:rsidRPr="003A5AE5">
        <w:t xml:space="preserve"> weeks</w:t>
      </w:r>
      <w:r w:rsidR="00C45634" w:rsidRPr="003A5AE5">
        <w:t xml:space="preserve"> (as in the CMA sensitivity analysis</w:t>
      </w:r>
      <w:r w:rsidR="00CF72A2" w:rsidRPr="003A5AE5">
        <w:t xml:space="preserve"> performed during the evaluation</w:t>
      </w:r>
      <w:r w:rsidR="00C45634" w:rsidRPr="003A5AE5">
        <w:t>)</w:t>
      </w:r>
      <w:r w:rsidR="00F5082C" w:rsidRPr="003A5AE5">
        <w:t>, the cost of trabectedin would be $</w:t>
      </w:r>
      <w:r w:rsidR="00885AF3">
        <w:rPr>
          <w:noProof/>
          <w:color w:val="000000"/>
          <w:highlight w:val="black"/>
        </w:rPr>
        <w:t>'''''''''''''</w:t>
      </w:r>
      <w:r w:rsidR="00416F8B" w:rsidRPr="003A5AE5">
        <w:t xml:space="preserve"> </w:t>
      </w:r>
      <w:r w:rsidR="00532EE9" w:rsidRPr="003A5AE5">
        <w:t xml:space="preserve">based on </w:t>
      </w:r>
      <w:r w:rsidR="00F5082C" w:rsidRPr="003A5AE5">
        <w:t xml:space="preserve">the </w:t>
      </w:r>
      <w:r w:rsidR="00532EE9" w:rsidRPr="003A5AE5">
        <w:t xml:space="preserve">trabectedin </w:t>
      </w:r>
      <w:r w:rsidR="00914A7E" w:rsidRPr="003A5AE5">
        <w:t xml:space="preserve">dispensed </w:t>
      </w:r>
      <w:r w:rsidR="00532EE9" w:rsidRPr="003A5AE5">
        <w:t xml:space="preserve">price calculated from an </w:t>
      </w:r>
      <w:r w:rsidR="00685BEA">
        <w:t>AEMP</w:t>
      </w:r>
      <w:r w:rsidR="00F5082C" w:rsidRPr="003A5AE5">
        <w:t xml:space="preserve"> of $</w:t>
      </w:r>
      <w:r w:rsidR="00885AF3">
        <w:rPr>
          <w:noProof/>
          <w:color w:val="000000"/>
          <w:highlight w:val="black"/>
        </w:rPr>
        <w:t>''''''''''''''</w:t>
      </w:r>
      <w:r w:rsidR="00082196" w:rsidRPr="003A5AE5">
        <w:t xml:space="preserve"> </w:t>
      </w:r>
      <w:r w:rsidR="00F5082C" w:rsidRPr="003A5AE5">
        <w:t>per 1mg vial</w:t>
      </w:r>
      <w:r w:rsidR="00532EE9" w:rsidRPr="003A5AE5">
        <w:t xml:space="preserve"> (</w:t>
      </w:r>
      <w:r w:rsidR="00541903" w:rsidRPr="003A5AE5">
        <w:t>Table 9</w:t>
      </w:r>
      <w:r w:rsidR="00532EE9" w:rsidRPr="003A5AE5">
        <w:t>)</w:t>
      </w:r>
      <w:r w:rsidR="00F5082C" w:rsidRPr="003A5AE5">
        <w:t xml:space="preserve">. </w:t>
      </w:r>
      <w:r w:rsidR="002966E5" w:rsidRPr="003A5AE5">
        <w:t xml:space="preserve">The cost of pazopanib would be </w:t>
      </w:r>
      <w:r w:rsidR="00F5082C" w:rsidRPr="003A5AE5">
        <w:t>$1</w:t>
      </w:r>
      <w:r w:rsidR="00352266" w:rsidRPr="003A5AE5">
        <w:t>9</w:t>
      </w:r>
      <w:r w:rsidR="00F5082C" w:rsidRPr="003A5AE5">
        <w:t>,</w:t>
      </w:r>
      <w:r w:rsidR="009E6E6B" w:rsidRPr="003A5AE5">
        <w:t>860</w:t>
      </w:r>
      <w:r w:rsidR="00F5082C" w:rsidRPr="003A5AE5">
        <w:rPr>
          <w:snapToGrid/>
        </w:rPr>
        <w:t>.</w:t>
      </w:r>
    </w:p>
    <w:p w:rsidR="00F5082C" w:rsidRPr="003A5AE5" w:rsidRDefault="00F5082C" w:rsidP="00033ED9">
      <w:pPr>
        <w:pStyle w:val="4-SubsectionHeading"/>
      </w:pPr>
      <w:bookmarkStart w:id="66" w:name="_Toc22897647"/>
      <w:bookmarkStart w:id="67" w:name="_Toc69165202"/>
      <w:bookmarkStart w:id="68" w:name="_Toc72160063"/>
      <w:bookmarkStart w:id="69" w:name="_Toc72205680"/>
      <w:bookmarkStart w:id="70" w:name="_Toc72315635"/>
      <w:r w:rsidRPr="003A5AE5">
        <w:t>Estimated PBS usage &amp; financial implications</w:t>
      </w:r>
      <w:bookmarkEnd w:id="66"/>
      <w:bookmarkEnd w:id="67"/>
      <w:bookmarkEnd w:id="68"/>
      <w:bookmarkEnd w:id="69"/>
      <w:bookmarkEnd w:id="70"/>
    </w:p>
    <w:p w:rsidR="00F5082C" w:rsidRPr="003A5AE5" w:rsidRDefault="00685BEA" w:rsidP="00033ED9">
      <w:pPr>
        <w:pStyle w:val="3-BodyText"/>
        <w:rPr>
          <w:rFonts w:ascii="Arial Narrow" w:hAnsi="Arial Narrow"/>
          <w:sz w:val="20"/>
        </w:rPr>
      </w:pPr>
      <w:r>
        <w:t>DUSC did not consider t</w:t>
      </w:r>
      <w:r w:rsidRPr="003A5AE5">
        <w:t xml:space="preserve">his </w:t>
      </w:r>
      <w:r w:rsidR="00F5082C" w:rsidRPr="003A5AE5">
        <w:t>submission</w:t>
      </w:r>
      <w:r w:rsidR="00F5082C" w:rsidRPr="003A5AE5">
        <w:rPr>
          <w:color w:val="0070C0"/>
        </w:rPr>
        <w:t xml:space="preserve">. </w:t>
      </w:r>
      <w:r w:rsidR="00F5082C" w:rsidRPr="003A5AE5">
        <w:t xml:space="preserve">The submission employed a market share approach to estimating the expected patient population for trabectedin in the treatment of LMS. </w:t>
      </w:r>
      <w:r>
        <w:t>Summarised below are t</w:t>
      </w:r>
      <w:r w:rsidRPr="003A5AE5">
        <w:t xml:space="preserve">he </w:t>
      </w:r>
      <w:r w:rsidR="00F5082C" w:rsidRPr="003A5AE5">
        <w:t xml:space="preserve">key inputs for </w:t>
      </w:r>
      <w:r w:rsidR="00985BCD" w:rsidRPr="003A5AE5">
        <w:t xml:space="preserve">the </w:t>
      </w:r>
      <w:r w:rsidR="00F5082C" w:rsidRPr="003A5AE5">
        <w:t>financial estimates.</w:t>
      </w:r>
    </w:p>
    <w:p w:rsidR="00F5082C" w:rsidRPr="003A5AE5" w:rsidRDefault="00F5082C" w:rsidP="00033ED9">
      <w:pPr>
        <w:pStyle w:val="TableHeading"/>
        <w:rPr>
          <w:rStyle w:val="CommentReference"/>
          <w:b/>
          <w:szCs w:val="24"/>
        </w:rPr>
      </w:pPr>
      <w:r w:rsidRPr="003A5AE5">
        <w:t xml:space="preserve">Table </w:t>
      </w:r>
      <w:r w:rsidR="00DC58DD" w:rsidRPr="003A5AE5">
        <w:t>10:</w:t>
      </w:r>
      <w:r w:rsidRPr="003A5AE5">
        <w:rPr>
          <w:rStyle w:val="CommentReference"/>
          <w:b/>
          <w:szCs w:val="24"/>
        </w:rPr>
        <w:t xml:space="preserve"> Key inputs for financial estimates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260"/>
      </w:tblGrid>
      <w:tr w:rsidR="00F5082C" w:rsidRPr="003A5AE5" w:rsidTr="00F5082C">
        <w:trPr>
          <w:tblHeader/>
        </w:trPr>
        <w:tc>
          <w:tcPr>
            <w:tcW w:w="2263" w:type="dxa"/>
            <w:vAlign w:val="center"/>
          </w:tcPr>
          <w:p w:rsidR="00F5082C" w:rsidRPr="003A5AE5" w:rsidRDefault="00F5082C" w:rsidP="00033ED9">
            <w:pPr>
              <w:pStyle w:val="In-tableHeading"/>
              <w:keepNext w:val="0"/>
              <w:jc w:val="center"/>
              <w:rPr>
                <w:lang w:val="en-AU"/>
              </w:rPr>
            </w:pPr>
            <w:r w:rsidRPr="003A5AE5">
              <w:rPr>
                <w:lang w:val="en-AU"/>
              </w:rPr>
              <w:t>Data</w:t>
            </w:r>
          </w:p>
        </w:tc>
        <w:tc>
          <w:tcPr>
            <w:tcW w:w="3544" w:type="dxa"/>
            <w:vAlign w:val="center"/>
          </w:tcPr>
          <w:p w:rsidR="00F5082C" w:rsidRPr="003A5AE5" w:rsidRDefault="00F5082C" w:rsidP="00033ED9">
            <w:pPr>
              <w:pStyle w:val="In-tableHeading"/>
              <w:keepNext w:val="0"/>
              <w:jc w:val="center"/>
              <w:rPr>
                <w:lang w:val="en-AU"/>
              </w:rPr>
            </w:pPr>
            <w:r w:rsidRPr="003A5AE5">
              <w:rPr>
                <w:lang w:val="en-AU"/>
              </w:rPr>
              <w:t>Value and source</w:t>
            </w:r>
          </w:p>
        </w:tc>
        <w:tc>
          <w:tcPr>
            <w:tcW w:w="3260" w:type="dxa"/>
            <w:vAlign w:val="center"/>
          </w:tcPr>
          <w:p w:rsidR="00F5082C" w:rsidRPr="003A5AE5" w:rsidRDefault="00F5082C" w:rsidP="00033ED9">
            <w:pPr>
              <w:pStyle w:val="In-tableHeading"/>
              <w:keepNext w:val="0"/>
              <w:jc w:val="center"/>
              <w:rPr>
                <w:lang w:val="en-AU"/>
              </w:rPr>
            </w:pPr>
            <w:r w:rsidRPr="003A5AE5">
              <w:rPr>
                <w:lang w:val="en-AU"/>
              </w:rPr>
              <w:t>Comment</w:t>
            </w:r>
          </w:p>
        </w:tc>
      </w:tr>
      <w:tr w:rsidR="00F5082C" w:rsidRPr="003A5AE5" w:rsidTr="00F5082C">
        <w:tc>
          <w:tcPr>
            <w:tcW w:w="9067" w:type="dxa"/>
            <w:gridSpan w:val="3"/>
            <w:vAlign w:val="center"/>
          </w:tcPr>
          <w:p w:rsidR="00F5082C" w:rsidRPr="003A5AE5" w:rsidRDefault="00F5082C" w:rsidP="00033ED9">
            <w:pPr>
              <w:pStyle w:val="In-tableHeading"/>
              <w:keepNext w:val="0"/>
              <w:rPr>
                <w:rFonts w:eastAsia="SimSun"/>
                <w:lang w:val="en-AU" w:eastAsia="zh-CN"/>
              </w:rPr>
            </w:pPr>
            <w:r w:rsidRPr="003A5AE5">
              <w:rPr>
                <w:rFonts w:eastAsia="SimSun"/>
                <w:lang w:val="en-AU" w:eastAsia="zh-CN"/>
              </w:rPr>
              <w:t>Market share</w:t>
            </w:r>
          </w:p>
        </w:tc>
      </w:tr>
      <w:tr w:rsidR="009D09C0" w:rsidRPr="003A5AE5" w:rsidTr="00F5082C">
        <w:tc>
          <w:tcPr>
            <w:tcW w:w="2263" w:type="dxa"/>
            <w:vAlign w:val="center"/>
          </w:tcPr>
          <w:p w:rsidR="009D09C0" w:rsidRPr="003A5AE5" w:rsidRDefault="009D09C0" w:rsidP="00033ED9">
            <w:pPr>
              <w:pStyle w:val="TableText0"/>
              <w:keepNext w:val="0"/>
              <w:rPr>
                <w:rFonts w:eastAsia="SimSun"/>
                <w:lang w:eastAsia="zh-CN"/>
              </w:rPr>
            </w:pPr>
            <w:r w:rsidRPr="003A5AE5">
              <w:rPr>
                <w:rFonts w:eastAsia="SimSun"/>
                <w:lang w:eastAsia="zh-CN"/>
              </w:rPr>
              <w:t>Number of pazopanib scripts</w:t>
            </w:r>
          </w:p>
        </w:tc>
        <w:tc>
          <w:tcPr>
            <w:tcW w:w="3544" w:type="dxa"/>
            <w:vAlign w:val="center"/>
          </w:tcPr>
          <w:p w:rsidR="009D09C0" w:rsidRPr="003A5AE5" w:rsidRDefault="009D09C0" w:rsidP="00033ED9">
            <w:pPr>
              <w:pStyle w:val="TableText0"/>
              <w:keepNext w:val="0"/>
            </w:pPr>
            <w:r w:rsidRPr="003A5AE5">
              <w:t>1,335 in Year 1, to 1,759 in Year 6</w:t>
            </w:r>
          </w:p>
          <w:p w:rsidR="009D09C0" w:rsidRPr="003A5AE5" w:rsidRDefault="009D09C0" w:rsidP="00033ED9">
            <w:pPr>
              <w:pStyle w:val="TableText0"/>
              <w:keepNext w:val="0"/>
            </w:pPr>
            <w:r w:rsidRPr="003A5AE5">
              <w:t xml:space="preserve">PBS item statistics 2017-2020, assuming a linear projection </w:t>
            </w:r>
          </w:p>
        </w:tc>
        <w:tc>
          <w:tcPr>
            <w:tcW w:w="3260" w:type="dxa"/>
            <w:vAlign w:val="center"/>
          </w:tcPr>
          <w:p w:rsidR="009D09C0" w:rsidRPr="003A5AE5" w:rsidRDefault="009D09C0" w:rsidP="00033ED9">
            <w:pPr>
              <w:pStyle w:val="TableText0"/>
              <w:keepNext w:val="0"/>
            </w:pPr>
            <w:r w:rsidRPr="003A5AE5">
              <w:t>Appropriate</w:t>
            </w:r>
          </w:p>
        </w:tc>
      </w:tr>
      <w:tr w:rsidR="009D09C0" w:rsidRPr="003A5AE5" w:rsidTr="00F5082C">
        <w:tc>
          <w:tcPr>
            <w:tcW w:w="2263" w:type="dxa"/>
            <w:vAlign w:val="center"/>
          </w:tcPr>
          <w:p w:rsidR="009D09C0" w:rsidRPr="003A5AE5" w:rsidRDefault="009D09C0" w:rsidP="00033ED9">
            <w:pPr>
              <w:pStyle w:val="TableText0"/>
              <w:keepNext w:val="0"/>
            </w:pPr>
            <w:r w:rsidRPr="003A5AE5">
              <w:t xml:space="preserve">Proportion of pazopanib scripts for treatment of leiomyosarcoma </w:t>
            </w:r>
          </w:p>
        </w:tc>
        <w:tc>
          <w:tcPr>
            <w:tcW w:w="3544" w:type="dxa"/>
            <w:vAlign w:val="center"/>
          </w:tcPr>
          <w:p w:rsidR="009D09C0" w:rsidRPr="003A5AE5" w:rsidRDefault="009D09C0" w:rsidP="00033ED9">
            <w:pPr>
              <w:pStyle w:val="TableText0"/>
              <w:keepNext w:val="0"/>
            </w:pPr>
            <w:r w:rsidRPr="003A5AE5">
              <w:t>25.37%, Bessen et al 2016</w:t>
            </w:r>
          </w:p>
        </w:tc>
        <w:tc>
          <w:tcPr>
            <w:tcW w:w="3260" w:type="dxa"/>
            <w:vAlign w:val="center"/>
          </w:tcPr>
          <w:p w:rsidR="009D09C0" w:rsidRPr="003A5AE5" w:rsidRDefault="009D09C0" w:rsidP="00033ED9">
            <w:pPr>
              <w:pStyle w:val="TableText0"/>
              <w:keepNext w:val="0"/>
            </w:pPr>
            <w:r w:rsidRPr="003A5AE5">
              <w:t>This estimate was reasonable only if the uptake of pazopanib was the same amongst all soft tissue sarcoma types.</w:t>
            </w:r>
          </w:p>
        </w:tc>
      </w:tr>
      <w:tr w:rsidR="009D09C0" w:rsidRPr="003A5AE5" w:rsidTr="00F5082C">
        <w:tc>
          <w:tcPr>
            <w:tcW w:w="2263" w:type="dxa"/>
            <w:vAlign w:val="center"/>
          </w:tcPr>
          <w:p w:rsidR="009D09C0" w:rsidRPr="003A5AE5" w:rsidRDefault="009D09C0" w:rsidP="00033ED9">
            <w:pPr>
              <w:pStyle w:val="TableText0"/>
              <w:keepNext w:val="0"/>
            </w:pPr>
            <w:r w:rsidRPr="003A5AE5">
              <w:t>Uptake rate, initial treatment</w:t>
            </w:r>
          </w:p>
        </w:tc>
        <w:tc>
          <w:tcPr>
            <w:tcW w:w="3544" w:type="dxa"/>
            <w:vAlign w:val="center"/>
          </w:tcPr>
          <w:p w:rsidR="009D09C0" w:rsidRPr="003A5AE5" w:rsidRDefault="009D09C0" w:rsidP="00033ED9">
            <w:pPr>
              <w:pStyle w:val="TableText0"/>
              <w:keepNext w:val="0"/>
            </w:pPr>
            <w:r w:rsidRPr="003A5AE5">
              <w:t>40% in Year 1, to 70% in Years 4-6</w:t>
            </w:r>
          </w:p>
          <w:p w:rsidR="009D09C0" w:rsidRPr="003A5AE5" w:rsidRDefault="009D09C0" w:rsidP="00033ED9">
            <w:pPr>
              <w:pStyle w:val="TableText0"/>
              <w:keepNext w:val="0"/>
            </w:pPr>
            <w:r w:rsidRPr="003A5AE5">
              <w:t>Assumption</w:t>
            </w:r>
          </w:p>
        </w:tc>
        <w:tc>
          <w:tcPr>
            <w:tcW w:w="3260" w:type="dxa"/>
            <w:vAlign w:val="center"/>
          </w:tcPr>
          <w:p w:rsidR="009D09C0" w:rsidRPr="003A5AE5" w:rsidRDefault="00A150EE" w:rsidP="00033ED9">
            <w:pPr>
              <w:pStyle w:val="TableText0"/>
              <w:keepNext w:val="0"/>
            </w:pPr>
            <w:r w:rsidRPr="003A5AE5">
              <w:t>C</w:t>
            </w:r>
            <w:r w:rsidR="009D09C0" w:rsidRPr="003A5AE5">
              <w:t xml:space="preserve">onsidering the choice between a 24-hour </w:t>
            </w:r>
            <w:r w:rsidR="00C96EC4" w:rsidRPr="003A5AE5">
              <w:t>central venous</w:t>
            </w:r>
            <w:r w:rsidR="009D09C0" w:rsidRPr="003A5AE5">
              <w:t xml:space="preserve"> infusion every 21 days or a single oral tablet once per day, patients would likely prefer the convenience of the tablet. As such, the u</w:t>
            </w:r>
            <w:r w:rsidR="00C97541" w:rsidRPr="003A5AE5">
              <w:t>ptake rate is likely to be over</w:t>
            </w:r>
            <w:r w:rsidR="009D09C0" w:rsidRPr="003A5AE5">
              <w:t>estimated.</w:t>
            </w:r>
          </w:p>
        </w:tc>
      </w:tr>
      <w:tr w:rsidR="009D09C0" w:rsidRPr="003A5AE5" w:rsidTr="00F5082C">
        <w:tc>
          <w:tcPr>
            <w:tcW w:w="2263" w:type="dxa"/>
            <w:vAlign w:val="center"/>
          </w:tcPr>
          <w:p w:rsidR="009D09C0" w:rsidRPr="003A5AE5" w:rsidRDefault="009D09C0" w:rsidP="00033ED9">
            <w:pPr>
              <w:pStyle w:val="TableText0"/>
              <w:keepNext w:val="0"/>
            </w:pPr>
            <w:r w:rsidRPr="003A5AE5">
              <w:t xml:space="preserve">Proportion of patients receiving trabectedin who would subsequently be treated with pazopanib </w:t>
            </w:r>
          </w:p>
        </w:tc>
        <w:tc>
          <w:tcPr>
            <w:tcW w:w="3544" w:type="dxa"/>
            <w:vAlign w:val="center"/>
          </w:tcPr>
          <w:p w:rsidR="009D09C0" w:rsidRPr="003A5AE5" w:rsidRDefault="009D09C0" w:rsidP="00033ED9">
            <w:pPr>
              <w:pStyle w:val="TableText0"/>
              <w:keepNext w:val="0"/>
            </w:pPr>
            <w:r w:rsidRPr="003A5AE5">
              <w:t>56.1%, Study 3007</w:t>
            </w:r>
          </w:p>
        </w:tc>
        <w:tc>
          <w:tcPr>
            <w:tcW w:w="3260" w:type="dxa"/>
            <w:vAlign w:val="center"/>
          </w:tcPr>
          <w:p w:rsidR="009D09C0" w:rsidRPr="003A5AE5" w:rsidRDefault="009D09C0" w:rsidP="00033ED9">
            <w:pPr>
              <w:pStyle w:val="TableText0"/>
              <w:keepNext w:val="0"/>
            </w:pPr>
            <w:r w:rsidRPr="003A5AE5">
              <w:t xml:space="preserve">This was an error. In Study 3007, 47.0%, not 56.1%, of patients in the trabectedin arm received subsequent anti-cancer therapy upon disease progression. </w:t>
            </w:r>
          </w:p>
        </w:tc>
      </w:tr>
      <w:tr w:rsidR="009D09C0" w:rsidRPr="003A5AE5" w:rsidTr="00F5082C">
        <w:tc>
          <w:tcPr>
            <w:tcW w:w="2263" w:type="dxa"/>
            <w:vAlign w:val="center"/>
          </w:tcPr>
          <w:p w:rsidR="009D09C0" w:rsidRPr="003A5AE5" w:rsidRDefault="009D09C0" w:rsidP="00033ED9">
            <w:pPr>
              <w:pStyle w:val="TableText0"/>
              <w:keepNext w:val="0"/>
            </w:pPr>
            <w:r w:rsidRPr="003A5AE5">
              <w:t xml:space="preserve">Proportion of patients receiving pazopanib who would subsequently be treated with trabectedin </w:t>
            </w:r>
          </w:p>
        </w:tc>
        <w:tc>
          <w:tcPr>
            <w:tcW w:w="3544" w:type="dxa"/>
            <w:vAlign w:val="center"/>
          </w:tcPr>
          <w:p w:rsidR="009D09C0" w:rsidRPr="003A5AE5" w:rsidRDefault="009D09C0" w:rsidP="00033ED9">
            <w:pPr>
              <w:pStyle w:val="TableText0"/>
              <w:keepNext w:val="0"/>
            </w:pPr>
            <w:r w:rsidRPr="003A5AE5">
              <w:t>49.0%, PALETTE</w:t>
            </w:r>
          </w:p>
        </w:tc>
        <w:tc>
          <w:tcPr>
            <w:tcW w:w="3260" w:type="dxa"/>
            <w:vAlign w:val="center"/>
          </w:tcPr>
          <w:p w:rsidR="009D09C0" w:rsidRPr="003A5AE5" w:rsidRDefault="009D09C0" w:rsidP="00033ED9">
            <w:pPr>
              <w:pStyle w:val="TableText0"/>
              <w:keepNext w:val="0"/>
            </w:pPr>
            <w:r w:rsidRPr="003A5AE5">
              <w:t>Appropriate</w:t>
            </w:r>
          </w:p>
        </w:tc>
      </w:tr>
      <w:tr w:rsidR="009D09C0" w:rsidRPr="003A5AE5" w:rsidTr="00F5082C">
        <w:tc>
          <w:tcPr>
            <w:tcW w:w="2263" w:type="dxa"/>
            <w:vAlign w:val="center"/>
          </w:tcPr>
          <w:p w:rsidR="009D09C0" w:rsidRPr="003A5AE5" w:rsidRDefault="009D09C0" w:rsidP="00033ED9">
            <w:pPr>
              <w:pStyle w:val="TableText0"/>
              <w:keepNext w:val="0"/>
            </w:pPr>
            <w:r w:rsidRPr="003A5AE5">
              <w:t>Scripts equivalence for trabectedin vs. pazopanib</w:t>
            </w:r>
          </w:p>
        </w:tc>
        <w:tc>
          <w:tcPr>
            <w:tcW w:w="3544" w:type="dxa"/>
            <w:vAlign w:val="center"/>
          </w:tcPr>
          <w:p w:rsidR="009D09C0" w:rsidRPr="003A5AE5" w:rsidRDefault="009D09C0" w:rsidP="00033ED9">
            <w:pPr>
              <w:pStyle w:val="TableText0"/>
              <w:keepNext w:val="0"/>
            </w:pPr>
            <w:r w:rsidRPr="003A5AE5">
              <w:t xml:space="preserve">1 : 21/30 </w:t>
            </w:r>
          </w:p>
          <w:p w:rsidR="009D09C0" w:rsidRPr="003A5AE5" w:rsidRDefault="009D09C0" w:rsidP="00033ED9">
            <w:pPr>
              <w:pStyle w:val="TableText0"/>
              <w:keepNext w:val="0"/>
            </w:pPr>
            <w:r w:rsidRPr="003A5AE5">
              <w:t xml:space="preserve">Treatment frequency (Q3W vs. QD) and pack size (1 dose vs. 30 days of treatment) of trabectedin and pazopanib </w:t>
            </w:r>
          </w:p>
        </w:tc>
        <w:tc>
          <w:tcPr>
            <w:tcW w:w="3260" w:type="dxa"/>
            <w:vAlign w:val="center"/>
          </w:tcPr>
          <w:p w:rsidR="009D09C0" w:rsidRPr="003A5AE5" w:rsidRDefault="009D09C0" w:rsidP="00033ED9">
            <w:pPr>
              <w:pStyle w:val="TableText0"/>
              <w:keepNext w:val="0"/>
            </w:pPr>
            <w:r w:rsidRPr="003A5AE5">
              <w:t>Appropriate</w:t>
            </w:r>
          </w:p>
        </w:tc>
      </w:tr>
      <w:tr w:rsidR="009D09C0" w:rsidRPr="003A5AE5" w:rsidTr="00F5082C">
        <w:tc>
          <w:tcPr>
            <w:tcW w:w="2263" w:type="dxa"/>
            <w:vAlign w:val="center"/>
          </w:tcPr>
          <w:p w:rsidR="009D09C0" w:rsidRPr="003A5AE5" w:rsidRDefault="009D09C0" w:rsidP="00033ED9">
            <w:pPr>
              <w:pStyle w:val="TableText0"/>
              <w:keepNext w:val="0"/>
            </w:pPr>
            <w:r w:rsidRPr="003A5AE5">
              <w:t>Number of trabectedin vials per script</w:t>
            </w:r>
          </w:p>
        </w:tc>
        <w:tc>
          <w:tcPr>
            <w:tcW w:w="3544" w:type="dxa"/>
            <w:vAlign w:val="center"/>
          </w:tcPr>
          <w:p w:rsidR="009D09C0" w:rsidRPr="003A5AE5" w:rsidRDefault="009D09C0" w:rsidP="00033ED9">
            <w:pPr>
              <w:pStyle w:val="TableText0"/>
              <w:keepNext w:val="0"/>
            </w:pPr>
            <w:r w:rsidRPr="003A5AE5">
              <w:t>3 x 1mg vials + 1 x 0.25 mg vial</w:t>
            </w:r>
          </w:p>
          <w:p w:rsidR="009D09C0" w:rsidRPr="003A5AE5" w:rsidRDefault="009D09C0" w:rsidP="00033ED9">
            <w:pPr>
              <w:pStyle w:val="TableText0"/>
              <w:keepNext w:val="0"/>
              <w:rPr>
                <w:vertAlign w:val="subscript"/>
              </w:rPr>
            </w:pPr>
            <w:r w:rsidRPr="003A5AE5">
              <w:t>Dose regimen of 1.5mg/m</w:t>
            </w:r>
            <w:r w:rsidRPr="003A5AE5">
              <w:rPr>
                <w:vertAlign w:val="superscript"/>
              </w:rPr>
              <w:t>2</w:t>
            </w:r>
            <w:r w:rsidRPr="003A5AE5">
              <w:t xml:space="preserve"> and an average BSA of 2.14m</w:t>
            </w:r>
            <w:r w:rsidRPr="003A5AE5">
              <w:rPr>
                <w:vertAlign w:val="superscript"/>
              </w:rPr>
              <w:t>2</w:t>
            </w:r>
          </w:p>
        </w:tc>
        <w:tc>
          <w:tcPr>
            <w:tcW w:w="3260" w:type="dxa"/>
            <w:vAlign w:val="center"/>
          </w:tcPr>
          <w:p w:rsidR="009D09C0" w:rsidRPr="003A5AE5" w:rsidRDefault="00A870C7" w:rsidP="00033ED9">
            <w:pPr>
              <w:pStyle w:val="TableText0"/>
              <w:keepNext w:val="0"/>
            </w:pPr>
            <w:r w:rsidRPr="003A5AE5">
              <w:t>The PBAC noted dose of 3.25 mg was based on a high BSA (2.14m</w:t>
            </w:r>
            <w:r w:rsidRPr="003A5AE5">
              <w:rPr>
                <w:vertAlign w:val="superscript"/>
              </w:rPr>
              <w:t>2</w:t>
            </w:r>
            <w:r w:rsidRPr="003A5AE5">
              <w:t xml:space="preserve">) </w:t>
            </w:r>
          </w:p>
        </w:tc>
      </w:tr>
      <w:tr w:rsidR="009D09C0" w:rsidRPr="003A5AE5" w:rsidTr="00F5082C">
        <w:tc>
          <w:tcPr>
            <w:tcW w:w="2263" w:type="dxa"/>
            <w:vAlign w:val="center"/>
          </w:tcPr>
          <w:p w:rsidR="009D09C0" w:rsidRPr="003A5AE5" w:rsidRDefault="009D09C0" w:rsidP="00033ED9">
            <w:pPr>
              <w:pStyle w:val="TableText0"/>
              <w:keepNext w:val="0"/>
            </w:pPr>
            <w:r w:rsidRPr="003A5AE5">
              <w:t xml:space="preserve">Dose intensity of trabectedin </w:t>
            </w:r>
          </w:p>
        </w:tc>
        <w:tc>
          <w:tcPr>
            <w:tcW w:w="3544" w:type="dxa"/>
            <w:vAlign w:val="center"/>
          </w:tcPr>
          <w:p w:rsidR="009D09C0" w:rsidRPr="003A5AE5" w:rsidRDefault="009D09C0" w:rsidP="00033ED9">
            <w:pPr>
              <w:pStyle w:val="TableText0"/>
              <w:keepNext w:val="0"/>
            </w:pPr>
            <w:r w:rsidRPr="003A5AE5">
              <w:t>0.91, Study 3007</w:t>
            </w:r>
          </w:p>
        </w:tc>
        <w:tc>
          <w:tcPr>
            <w:tcW w:w="3260" w:type="dxa"/>
            <w:vAlign w:val="center"/>
          </w:tcPr>
          <w:p w:rsidR="009D09C0" w:rsidRPr="003A5AE5" w:rsidRDefault="009D09C0" w:rsidP="00033ED9">
            <w:pPr>
              <w:pStyle w:val="TableText0"/>
              <w:keepNext w:val="0"/>
            </w:pPr>
            <w:r w:rsidRPr="003A5AE5">
              <w:t>Appropriate</w:t>
            </w:r>
            <w:r w:rsidR="00393D9A" w:rsidRPr="003A5AE5">
              <w:t xml:space="preserve"> </w:t>
            </w:r>
          </w:p>
        </w:tc>
      </w:tr>
      <w:tr w:rsidR="009D09C0" w:rsidRPr="003A5AE5" w:rsidTr="00F5082C">
        <w:tc>
          <w:tcPr>
            <w:tcW w:w="2263" w:type="dxa"/>
            <w:vAlign w:val="center"/>
          </w:tcPr>
          <w:p w:rsidR="009D09C0" w:rsidRPr="003A5AE5" w:rsidRDefault="009D09C0" w:rsidP="00033ED9">
            <w:pPr>
              <w:pStyle w:val="TableText0"/>
              <w:keepNext w:val="0"/>
            </w:pPr>
            <w:r w:rsidRPr="003A5AE5">
              <w:t>Scripts equivalence for methylprednisolone vs. pazopanib</w:t>
            </w:r>
          </w:p>
        </w:tc>
        <w:tc>
          <w:tcPr>
            <w:tcW w:w="3544" w:type="dxa"/>
            <w:vAlign w:val="center"/>
          </w:tcPr>
          <w:p w:rsidR="009D09C0" w:rsidRPr="003A5AE5" w:rsidRDefault="009D09C0" w:rsidP="00033ED9">
            <w:pPr>
              <w:pStyle w:val="TableText0"/>
              <w:keepNext w:val="0"/>
            </w:pPr>
            <w:r w:rsidRPr="003A5AE5">
              <w:t xml:space="preserve">1 : 1 </w:t>
            </w:r>
          </w:p>
          <w:p w:rsidR="009D09C0" w:rsidRPr="003A5AE5" w:rsidRDefault="009D09C0" w:rsidP="00033ED9">
            <w:pPr>
              <w:pStyle w:val="TableText0"/>
              <w:keepNext w:val="0"/>
            </w:pPr>
            <w:r w:rsidRPr="003A5AE5">
              <w:t>Submission’s assumption. Effectively assuming one methylprednisolone injection every 30 days</w:t>
            </w:r>
          </w:p>
        </w:tc>
        <w:tc>
          <w:tcPr>
            <w:tcW w:w="3260" w:type="dxa"/>
            <w:vAlign w:val="center"/>
          </w:tcPr>
          <w:p w:rsidR="009D09C0" w:rsidRPr="003A5AE5" w:rsidRDefault="009D09C0" w:rsidP="00033ED9">
            <w:pPr>
              <w:pStyle w:val="TableText0"/>
              <w:keepNext w:val="0"/>
            </w:pPr>
            <w:r w:rsidRPr="003A5AE5">
              <w:t>The frequency of premedication should equal the frequency of trabectedi</w:t>
            </w:r>
            <w:r w:rsidR="00C96EC4" w:rsidRPr="003A5AE5">
              <w:t>n administration (</w:t>
            </w:r>
            <w:r w:rsidR="00A51495" w:rsidRPr="003A5AE5">
              <w:t>Q3W</w:t>
            </w:r>
            <w:r w:rsidR="00C96EC4" w:rsidRPr="003A5AE5">
              <w:t xml:space="preserve">) instead, meaning there should be more methylprednisolone scripts </w:t>
            </w:r>
            <w:r w:rsidR="00A51495" w:rsidRPr="003A5AE5">
              <w:t xml:space="preserve">per 30 days </w:t>
            </w:r>
            <w:r w:rsidR="00C96EC4" w:rsidRPr="003A5AE5">
              <w:t>compared to pazopanib.</w:t>
            </w:r>
          </w:p>
        </w:tc>
      </w:tr>
      <w:tr w:rsidR="00F5082C" w:rsidRPr="003A5AE5" w:rsidTr="00F5082C">
        <w:tc>
          <w:tcPr>
            <w:tcW w:w="9067" w:type="dxa"/>
            <w:gridSpan w:val="3"/>
            <w:vAlign w:val="center"/>
          </w:tcPr>
          <w:p w:rsidR="00F5082C" w:rsidRPr="003A5AE5" w:rsidRDefault="00F5082C" w:rsidP="00033ED9">
            <w:pPr>
              <w:pStyle w:val="TableText0"/>
              <w:keepNext w:val="0"/>
              <w:rPr>
                <w:b/>
              </w:rPr>
            </w:pPr>
            <w:r w:rsidRPr="003A5AE5">
              <w:rPr>
                <w:b/>
              </w:rPr>
              <w:t>Grandfathering</w:t>
            </w:r>
          </w:p>
        </w:tc>
      </w:tr>
      <w:tr w:rsidR="009D09C0" w:rsidRPr="003A5AE5" w:rsidTr="00A870C7">
        <w:trPr>
          <w:trHeight w:val="794"/>
        </w:trPr>
        <w:tc>
          <w:tcPr>
            <w:tcW w:w="2263" w:type="dxa"/>
            <w:shd w:val="clear" w:color="auto" w:fill="auto"/>
            <w:vAlign w:val="center"/>
          </w:tcPr>
          <w:p w:rsidR="009D09C0" w:rsidRPr="003A5AE5" w:rsidRDefault="009D09C0" w:rsidP="00033ED9">
            <w:pPr>
              <w:pStyle w:val="TableText0"/>
              <w:keepNext w:val="0"/>
            </w:pPr>
            <w:r w:rsidRPr="003A5AE5">
              <w:t>Number of grandfathered patients</w:t>
            </w:r>
          </w:p>
        </w:tc>
        <w:tc>
          <w:tcPr>
            <w:tcW w:w="3544" w:type="dxa"/>
            <w:shd w:val="clear" w:color="auto" w:fill="auto"/>
            <w:vAlign w:val="center"/>
          </w:tcPr>
          <w:p w:rsidR="009D09C0" w:rsidRPr="003A5AE5" w:rsidRDefault="009D09C0" w:rsidP="00033ED9">
            <w:pPr>
              <w:pStyle w:val="TableText0"/>
              <w:keepNext w:val="0"/>
            </w:pPr>
            <w:r w:rsidRPr="003A5AE5">
              <w:t xml:space="preserve">20 in Year 1, Assumption </w:t>
            </w:r>
          </w:p>
        </w:tc>
        <w:tc>
          <w:tcPr>
            <w:tcW w:w="3260" w:type="dxa"/>
            <w:shd w:val="clear" w:color="auto" w:fill="auto"/>
            <w:vAlign w:val="center"/>
          </w:tcPr>
          <w:p w:rsidR="009D09C0" w:rsidRPr="003A5AE5" w:rsidRDefault="00A870C7" w:rsidP="00033ED9">
            <w:pPr>
              <w:pStyle w:val="TableText0"/>
              <w:keepNext w:val="0"/>
            </w:pPr>
            <w:r w:rsidRPr="003A5AE5">
              <w:t xml:space="preserve">The PBAC noted that including LMS patients in the listing may increase the number of eligible grandfathered patients. </w:t>
            </w:r>
          </w:p>
        </w:tc>
      </w:tr>
      <w:tr w:rsidR="009D09C0" w:rsidRPr="003A5AE5" w:rsidTr="00F5082C">
        <w:tc>
          <w:tcPr>
            <w:tcW w:w="2263" w:type="dxa"/>
            <w:vAlign w:val="center"/>
          </w:tcPr>
          <w:p w:rsidR="009D09C0" w:rsidRPr="003A5AE5" w:rsidRDefault="009D09C0" w:rsidP="00033ED9">
            <w:pPr>
              <w:pStyle w:val="TableText0"/>
              <w:keepNext w:val="0"/>
            </w:pPr>
            <w:r w:rsidRPr="003A5AE5">
              <w:t>Number of trabectedin treatment cycles subsidised via PBS in grandfathered patients</w:t>
            </w:r>
          </w:p>
        </w:tc>
        <w:tc>
          <w:tcPr>
            <w:tcW w:w="3544" w:type="dxa"/>
            <w:vAlign w:val="center"/>
          </w:tcPr>
          <w:p w:rsidR="009D09C0" w:rsidRPr="003A5AE5" w:rsidRDefault="009D09C0" w:rsidP="00033ED9">
            <w:pPr>
              <w:pStyle w:val="TableText0"/>
              <w:keepNext w:val="0"/>
            </w:pPr>
            <w:r w:rsidRPr="003A5AE5">
              <w:t>1 dose, Assumption</w:t>
            </w:r>
          </w:p>
        </w:tc>
        <w:tc>
          <w:tcPr>
            <w:tcW w:w="3260" w:type="dxa"/>
            <w:vAlign w:val="center"/>
          </w:tcPr>
          <w:p w:rsidR="009D09C0" w:rsidRPr="003A5AE5" w:rsidRDefault="009D09C0" w:rsidP="00033ED9">
            <w:pPr>
              <w:pStyle w:val="TableText0"/>
              <w:keepNext w:val="0"/>
            </w:pPr>
            <w:r w:rsidRPr="003A5AE5">
              <w:t>The assumption of one dose of PBS-subsidised trabectedin therapy (i.e. 3 weeks therapy) in grandfathered patients could be an underestimate, depending on which line of therapy they are up to, and how many doses they have received prior to grandfathering.</w:t>
            </w:r>
          </w:p>
        </w:tc>
      </w:tr>
      <w:tr w:rsidR="00F5082C" w:rsidRPr="003A5AE5" w:rsidTr="00F5082C">
        <w:tc>
          <w:tcPr>
            <w:tcW w:w="9067" w:type="dxa"/>
            <w:gridSpan w:val="3"/>
            <w:vAlign w:val="center"/>
          </w:tcPr>
          <w:p w:rsidR="00F5082C" w:rsidRPr="003A5AE5" w:rsidRDefault="00F5082C" w:rsidP="00033ED9">
            <w:pPr>
              <w:pStyle w:val="TableText0"/>
              <w:keepNext w:val="0"/>
              <w:rPr>
                <w:b/>
              </w:rPr>
            </w:pPr>
            <w:r w:rsidRPr="003A5AE5">
              <w:rPr>
                <w:b/>
              </w:rPr>
              <w:t>Costs</w:t>
            </w:r>
          </w:p>
        </w:tc>
      </w:tr>
      <w:tr w:rsidR="00F5082C" w:rsidRPr="003A5AE5" w:rsidTr="00F5082C">
        <w:tc>
          <w:tcPr>
            <w:tcW w:w="2263" w:type="dxa"/>
            <w:vAlign w:val="center"/>
          </w:tcPr>
          <w:p w:rsidR="00F5082C" w:rsidRPr="003A5AE5" w:rsidRDefault="00F5082C" w:rsidP="00033ED9">
            <w:pPr>
              <w:pStyle w:val="TableText0"/>
              <w:keepNext w:val="0"/>
            </w:pPr>
            <w:r w:rsidRPr="003A5AE5">
              <w:t>Trabectedin</w:t>
            </w:r>
          </w:p>
        </w:tc>
        <w:tc>
          <w:tcPr>
            <w:tcW w:w="3544" w:type="dxa"/>
            <w:vAlign w:val="center"/>
          </w:tcPr>
          <w:p w:rsidR="00F5082C" w:rsidRPr="003A5AE5" w:rsidRDefault="00F5082C" w:rsidP="00033ED9">
            <w:pPr>
              <w:pStyle w:val="TableText0"/>
              <w:keepNext w:val="0"/>
            </w:pPr>
            <w:r w:rsidRPr="003A5AE5">
              <w:t>$</w:t>
            </w:r>
            <w:r w:rsidR="00885AF3">
              <w:rPr>
                <w:noProof/>
                <w:color w:val="000000"/>
                <w:highlight w:val="black"/>
              </w:rPr>
              <w:t>'''''''''''''</w:t>
            </w:r>
            <w:r w:rsidRPr="003A5AE5">
              <w:t xml:space="preserve"> per infusion (3.25 mg)</w:t>
            </w:r>
          </w:p>
          <w:p w:rsidR="00F5082C" w:rsidRPr="003A5AE5" w:rsidRDefault="00F5082C" w:rsidP="00033ED9">
            <w:pPr>
              <w:pStyle w:val="TableText0"/>
              <w:keepNext w:val="0"/>
            </w:pPr>
            <w:r w:rsidRPr="003A5AE5">
              <w:t>Requested effective price</w:t>
            </w:r>
          </w:p>
        </w:tc>
        <w:tc>
          <w:tcPr>
            <w:tcW w:w="3260" w:type="dxa"/>
            <w:vAlign w:val="center"/>
          </w:tcPr>
          <w:p w:rsidR="00F5082C" w:rsidRPr="003A5AE5" w:rsidRDefault="00F5082C" w:rsidP="00033ED9">
            <w:pPr>
              <w:pStyle w:val="TableText0"/>
              <w:keepNext w:val="0"/>
            </w:pPr>
            <w:r w:rsidRPr="003A5AE5">
              <w:t>Appropriate</w:t>
            </w:r>
          </w:p>
        </w:tc>
      </w:tr>
      <w:tr w:rsidR="00F5082C" w:rsidRPr="003A5AE5" w:rsidTr="00F5082C">
        <w:tc>
          <w:tcPr>
            <w:tcW w:w="2263" w:type="dxa"/>
            <w:vAlign w:val="center"/>
          </w:tcPr>
          <w:p w:rsidR="00F5082C" w:rsidRPr="003A5AE5" w:rsidRDefault="00F5082C" w:rsidP="00033ED9">
            <w:pPr>
              <w:pStyle w:val="TableText0"/>
              <w:keepNext w:val="0"/>
            </w:pPr>
            <w:r w:rsidRPr="003A5AE5">
              <w:t xml:space="preserve">Pazopanib </w:t>
            </w:r>
          </w:p>
        </w:tc>
        <w:tc>
          <w:tcPr>
            <w:tcW w:w="3544" w:type="dxa"/>
            <w:vAlign w:val="center"/>
          </w:tcPr>
          <w:p w:rsidR="00F5082C" w:rsidRPr="003A5AE5" w:rsidRDefault="00F5082C" w:rsidP="00033ED9">
            <w:pPr>
              <w:pStyle w:val="TableText0"/>
              <w:keepNext w:val="0"/>
            </w:pPr>
            <w:r w:rsidRPr="003A5AE5">
              <w:t>$4,462 for 60 x 400mg pack</w:t>
            </w:r>
          </w:p>
          <w:p w:rsidR="00F5082C" w:rsidRPr="003A5AE5" w:rsidRDefault="00F5082C" w:rsidP="00033ED9">
            <w:pPr>
              <w:pStyle w:val="TableText0"/>
              <w:keepNext w:val="0"/>
            </w:pPr>
            <w:r w:rsidRPr="003A5AE5">
              <w:t>3,387 for 90 x 200mg pack</w:t>
            </w:r>
          </w:p>
          <w:p w:rsidR="00F5082C" w:rsidRPr="003A5AE5" w:rsidRDefault="00F5082C" w:rsidP="00033ED9">
            <w:pPr>
              <w:pStyle w:val="TableText0"/>
              <w:keepNext w:val="0"/>
            </w:pPr>
            <w:r w:rsidRPr="003A5AE5">
              <w:t>PBS price</w:t>
            </w:r>
          </w:p>
        </w:tc>
        <w:tc>
          <w:tcPr>
            <w:tcW w:w="3260" w:type="dxa"/>
            <w:vAlign w:val="center"/>
          </w:tcPr>
          <w:p w:rsidR="00F5082C" w:rsidRPr="003A5AE5" w:rsidRDefault="00F5082C" w:rsidP="00033ED9">
            <w:pPr>
              <w:pStyle w:val="TableText0"/>
              <w:keepNext w:val="0"/>
            </w:pPr>
            <w:r w:rsidRPr="003A5AE5">
              <w:t>Appropriate</w:t>
            </w:r>
          </w:p>
        </w:tc>
      </w:tr>
      <w:tr w:rsidR="00F5082C" w:rsidRPr="003A5AE5" w:rsidTr="00F5082C">
        <w:tc>
          <w:tcPr>
            <w:tcW w:w="2263" w:type="dxa"/>
            <w:vAlign w:val="center"/>
          </w:tcPr>
          <w:p w:rsidR="00F5082C" w:rsidRPr="003A5AE5" w:rsidRDefault="00F5082C" w:rsidP="00033ED9">
            <w:pPr>
              <w:pStyle w:val="TableText0"/>
              <w:keepNext w:val="0"/>
            </w:pPr>
            <w:r w:rsidRPr="003A5AE5">
              <w:t>Methylprednisolone</w:t>
            </w:r>
          </w:p>
        </w:tc>
        <w:tc>
          <w:tcPr>
            <w:tcW w:w="3544" w:type="dxa"/>
            <w:vAlign w:val="center"/>
          </w:tcPr>
          <w:p w:rsidR="00F5082C" w:rsidRPr="003A5AE5" w:rsidRDefault="00F5082C" w:rsidP="00033ED9">
            <w:pPr>
              <w:pStyle w:val="TableText0"/>
              <w:keepNext w:val="0"/>
            </w:pPr>
            <w:r w:rsidRPr="003A5AE5">
              <w:t>$44.52 per administration</w:t>
            </w:r>
          </w:p>
          <w:p w:rsidR="00F5082C" w:rsidRPr="003A5AE5" w:rsidRDefault="00F5082C" w:rsidP="00033ED9">
            <w:pPr>
              <w:pStyle w:val="TableText0"/>
              <w:keepNext w:val="0"/>
            </w:pPr>
            <w:r w:rsidRPr="003A5AE5">
              <w:t>PBS price</w:t>
            </w:r>
          </w:p>
        </w:tc>
        <w:tc>
          <w:tcPr>
            <w:tcW w:w="3260" w:type="dxa"/>
            <w:vAlign w:val="center"/>
          </w:tcPr>
          <w:p w:rsidR="00F5082C" w:rsidRPr="003A5AE5" w:rsidRDefault="00F5082C" w:rsidP="00033ED9">
            <w:pPr>
              <w:pStyle w:val="TableText0"/>
              <w:keepNext w:val="0"/>
            </w:pPr>
            <w:r w:rsidRPr="003A5AE5">
              <w:t>Appropriate</w:t>
            </w:r>
          </w:p>
        </w:tc>
      </w:tr>
      <w:tr w:rsidR="00F5082C" w:rsidRPr="003A5AE5" w:rsidTr="00F5082C">
        <w:tc>
          <w:tcPr>
            <w:tcW w:w="2263" w:type="dxa"/>
            <w:vAlign w:val="center"/>
          </w:tcPr>
          <w:p w:rsidR="00F5082C" w:rsidRPr="003A5AE5" w:rsidRDefault="00F5082C" w:rsidP="00033ED9">
            <w:pPr>
              <w:pStyle w:val="TableText0"/>
              <w:keepNext w:val="0"/>
            </w:pPr>
            <w:r w:rsidRPr="003A5AE5">
              <w:t>Patient co-payment</w:t>
            </w:r>
          </w:p>
        </w:tc>
        <w:tc>
          <w:tcPr>
            <w:tcW w:w="3544" w:type="dxa"/>
            <w:vAlign w:val="center"/>
          </w:tcPr>
          <w:p w:rsidR="00F5082C" w:rsidRPr="003A5AE5" w:rsidRDefault="00F5082C" w:rsidP="00033ED9">
            <w:pPr>
              <w:pStyle w:val="TableText0"/>
              <w:keepNext w:val="0"/>
            </w:pPr>
            <w:r w:rsidRPr="003A5AE5">
              <w:t>$21.02 for PBS; $4.77 for RPBS</w:t>
            </w:r>
          </w:p>
          <w:p w:rsidR="00F5082C" w:rsidRPr="003A5AE5" w:rsidRDefault="00F5082C" w:rsidP="00033ED9">
            <w:pPr>
              <w:pStyle w:val="TableText0"/>
              <w:keepNext w:val="0"/>
            </w:pPr>
            <w:r w:rsidRPr="003A5AE5">
              <w:t>Medicare data from January to December 2020 on pazopanib items</w:t>
            </w:r>
          </w:p>
        </w:tc>
        <w:tc>
          <w:tcPr>
            <w:tcW w:w="3260" w:type="dxa"/>
            <w:vAlign w:val="center"/>
          </w:tcPr>
          <w:p w:rsidR="00F5082C" w:rsidRPr="003A5AE5" w:rsidRDefault="00F5082C" w:rsidP="00033ED9">
            <w:pPr>
              <w:pStyle w:val="TableText0"/>
              <w:keepNext w:val="0"/>
            </w:pPr>
            <w:r w:rsidRPr="003A5AE5">
              <w:t>Reasonable</w:t>
            </w:r>
          </w:p>
        </w:tc>
      </w:tr>
      <w:tr w:rsidR="00F5082C" w:rsidRPr="003A5AE5" w:rsidTr="00F5082C">
        <w:tc>
          <w:tcPr>
            <w:tcW w:w="2263" w:type="dxa"/>
            <w:vAlign w:val="center"/>
          </w:tcPr>
          <w:p w:rsidR="00F5082C" w:rsidRPr="003A5AE5" w:rsidRDefault="00F5082C" w:rsidP="00033ED9">
            <w:pPr>
              <w:pStyle w:val="TableText0"/>
              <w:keepNext w:val="0"/>
            </w:pPr>
            <w:r w:rsidRPr="003A5AE5">
              <w:t>IV administration</w:t>
            </w:r>
          </w:p>
        </w:tc>
        <w:tc>
          <w:tcPr>
            <w:tcW w:w="3544" w:type="dxa"/>
            <w:vAlign w:val="center"/>
          </w:tcPr>
          <w:p w:rsidR="00F5082C" w:rsidRPr="003A5AE5" w:rsidRDefault="00F5082C" w:rsidP="00033ED9">
            <w:pPr>
              <w:pStyle w:val="TableText0"/>
              <w:keepNext w:val="0"/>
            </w:pPr>
            <w:r w:rsidRPr="003A5AE5">
              <w:t>$111.40, MBS item 13950</w:t>
            </w:r>
          </w:p>
        </w:tc>
        <w:tc>
          <w:tcPr>
            <w:tcW w:w="3260" w:type="dxa"/>
            <w:vAlign w:val="center"/>
          </w:tcPr>
          <w:p w:rsidR="00F5082C" w:rsidRPr="003A5AE5" w:rsidRDefault="00F5082C" w:rsidP="00033ED9">
            <w:pPr>
              <w:pStyle w:val="TableText0"/>
              <w:keepNext w:val="0"/>
            </w:pPr>
            <w:r w:rsidRPr="003A5AE5">
              <w:t>Appropriate</w:t>
            </w:r>
          </w:p>
        </w:tc>
      </w:tr>
    </w:tbl>
    <w:p w:rsidR="00F5082C" w:rsidRPr="003A5AE5" w:rsidRDefault="00F5082C" w:rsidP="00033ED9">
      <w:pPr>
        <w:pStyle w:val="TableFigureFooter"/>
      </w:pPr>
      <w:r w:rsidRPr="003A5AE5">
        <w:t xml:space="preserve">Source: </w:t>
      </w:r>
      <w:r w:rsidRPr="003A5AE5">
        <w:rPr>
          <w:i/>
        </w:rPr>
        <w:t xml:space="preserve">Table compiled duration the evaluation, </w:t>
      </w:r>
      <w:r w:rsidRPr="003A5AE5">
        <w:t>based on information provided in Sections 4.1-4.5, 172-177 of the submission.</w:t>
      </w:r>
    </w:p>
    <w:p w:rsidR="00F5082C" w:rsidRPr="003A5AE5" w:rsidRDefault="00F5082C" w:rsidP="00033ED9">
      <w:pPr>
        <w:pStyle w:val="TableFigureFooter"/>
      </w:pPr>
      <w:r w:rsidRPr="003A5AE5">
        <w:t xml:space="preserve">BSA = body surface area; IV = intravenous; Q3W = once every 3 weeks; QD = once every day; </w:t>
      </w:r>
    </w:p>
    <w:p w:rsidR="00F5082C" w:rsidRPr="003A5AE5" w:rsidRDefault="00F5082C" w:rsidP="00033ED9">
      <w:pPr>
        <w:pStyle w:val="3-BodyText"/>
      </w:pPr>
      <w:r w:rsidRPr="003A5AE5">
        <w:t>The submission assumed that trabectedin would displace pazopanib for some patients and be used as an additional line of therapy after pazopanib for others. The market share approach was adapted to reflect this.</w:t>
      </w:r>
    </w:p>
    <w:p w:rsidR="00F5082C" w:rsidRPr="003A5AE5" w:rsidRDefault="00F5082C" w:rsidP="00033ED9">
      <w:pPr>
        <w:pStyle w:val="3-BodyText"/>
      </w:pPr>
      <w:r w:rsidRPr="003A5AE5">
        <w:t xml:space="preserve">As the pazopanib scripts were for 30 days of treatment, but trabectedin treatment cycles are 21 days, the equivalent script amounts were adjusted. The approach in the financial analysis effectively assumed a similar treatment duration for trabectedin and pazopanib. </w:t>
      </w:r>
      <w:r w:rsidR="00666ECA" w:rsidRPr="003A5AE5">
        <w:t xml:space="preserve">The PBAC noted the financial estimates assumed a </w:t>
      </w:r>
      <w:r w:rsidR="00685BEA" w:rsidRPr="003A5AE5">
        <w:t>12-week</w:t>
      </w:r>
      <w:r w:rsidR="00666ECA" w:rsidRPr="003A5AE5">
        <w:t xml:space="preserve"> treatment duration for trabectedin. </w:t>
      </w:r>
    </w:p>
    <w:p w:rsidR="00F5082C" w:rsidRPr="003A5AE5" w:rsidRDefault="00685BEA" w:rsidP="00033ED9">
      <w:pPr>
        <w:pStyle w:val="3-BodyText"/>
      </w:pPr>
      <w:r>
        <w:t>The financial analysis considered g</w:t>
      </w:r>
      <w:r w:rsidRPr="003A5AE5">
        <w:t xml:space="preserve">randfathered </w:t>
      </w:r>
      <w:r w:rsidR="00F5082C" w:rsidRPr="003A5AE5">
        <w:t>patients.</w:t>
      </w:r>
      <w:r w:rsidR="00A150EE" w:rsidRPr="003A5AE5">
        <w:t xml:space="preserve"> </w:t>
      </w:r>
      <w:r w:rsidR="00F5082C" w:rsidRPr="003A5AE5">
        <w:t xml:space="preserve">The submission estimated that, in the first year of trabectedin listing, </w:t>
      </w:r>
      <w:r>
        <w:t xml:space="preserve">the Access Program would treat </w:t>
      </w:r>
      <w:r w:rsidRPr="003A5AE5">
        <w:t>40</w:t>
      </w:r>
      <w:r w:rsidR="00F5082C" w:rsidRPr="003A5AE5">
        <w:t xml:space="preserve"> patients with trabectedin; and half of these patients would meet the proposed restriction. It was, therefore, expected that approximately 20 patients would require grandfathered access to trabectedin following listing.</w:t>
      </w:r>
      <w:r w:rsidR="00B83195" w:rsidRPr="003A5AE5">
        <w:t xml:space="preserve"> </w:t>
      </w:r>
      <w:r w:rsidR="00F5082C" w:rsidRPr="003A5AE5">
        <w:t>Each of these grandfathered patients was assumed to receive one dose of PBS subsidised trabectedin therapy (1 x 0.25 mg vial + 3 x 1 mg vials).</w:t>
      </w:r>
      <w:r w:rsidR="00B83195" w:rsidRPr="003A5AE5">
        <w:t xml:space="preserve"> This could be an under-estimate, depending on </w:t>
      </w:r>
      <w:r w:rsidR="00914A7E">
        <w:t xml:space="preserve">their </w:t>
      </w:r>
      <w:r w:rsidR="00B83195" w:rsidRPr="003A5AE5">
        <w:rPr>
          <w:iCs/>
        </w:rPr>
        <w:t xml:space="preserve">line of therapy and </w:t>
      </w:r>
      <w:r>
        <w:rPr>
          <w:iCs/>
        </w:rPr>
        <w:t xml:space="preserve">the number of trabectedin </w:t>
      </w:r>
      <w:r w:rsidR="00B83195" w:rsidRPr="003A5AE5">
        <w:rPr>
          <w:iCs/>
        </w:rPr>
        <w:t xml:space="preserve">doses </w:t>
      </w:r>
      <w:r>
        <w:rPr>
          <w:iCs/>
        </w:rPr>
        <w:t xml:space="preserve">they </w:t>
      </w:r>
      <w:r w:rsidR="00B83195" w:rsidRPr="003A5AE5">
        <w:rPr>
          <w:iCs/>
        </w:rPr>
        <w:t xml:space="preserve">received under the Access </w:t>
      </w:r>
      <w:r>
        <w:rPr>
          <w:iCs/>
        </w:rPr>
        <w:t xml:space="preserve">Program </w:t>
      </w:r>
      <w:r w:rsidR="00B83195" w:rsidRPr="003A5AE5">
        <w:rPr>
          <w:iCs/>
        </w:rPr>
        <w:t>before the availability of PBS-subsidised therapy.</w:t>
      </w:r>
      <w:r w:rsidR="00F5082C" w:rsidRPr="003A5AE5">
        <w:t xml:space="preserve"> </w:t>
      </w:r>
      <w:r w:rsidR="00F77178" w:rsidRPr="003A5AE5">
        <w:rPr>
          <w:bCs/>
        </w:rPr>
        <w:t>The PBAC considered that grandfather</w:t>
      </w:r>
      <w:r w:rsidR="00914A7E">
        <w:rPr>
          <w:bCs/>
        </w:rPr>
        <w:t>ed</w:t>
      </w:r>
      <w:r w:rsidR="00F77178" w:rsidRPr="003A5AE5">
        <w:rPr>
          <w:bCs/>
        </w:rPr>
        <w:t xml:space="preserve"> patients would likely receive more than 1 dose of PBS subsidised therapy. In addition, </w:t>
      </w:r>
      <w:r w:rsidR="00F77178" w:rsidRPr="003A5AE5">
        <w:t>the PBAC noted that including LP</w:t>
      </w:r>
      <w:r w:rsidR="00666ECA" w:rsidRPr="003A5AE5">
        <w:t>S patients in the listing may increase the number of eligible grandfathered patients.</w:t>
      </w:r>
    </w:p>
    <w:p w:rsidR="00F5082C" w:rsidRPr="003A5AE5" w:rsidRDefault="00914A7E" w:rsidP="00033ED9">
      <w:pPr>
        <w:pStyle w:val="3-BodyText"/>
      </w:pPr>
      <w:r>
        <w:t>Summarised below are t</w:t>
      </w:r>
      <w:r w:rsidR="00F5082C" w:rsidRPr="003A5AE5">
        <w:t>he estimated use of trabectedin and its financial implications.</w:t>
      </w:r>
    </w:p>
    <w:p w:rsidR="00F5082C" w:rsidRPr="003A5AE5" w:rsidRDefault="00F5082C" w:rsidP="00033ED9">
      <w:pPr>
        <w:pStyle w:val="TableFigureHeading"/>
      </w:pPr>
      <w:r w:rsidRPr="003A5AE5">
        <w:t xml:space="preserve">Table </w:t>
      </w:r>
      <w:r w:rsidR="00DC58DD" w:rsidRPr="003A5AE5">
        <w:t>11</w:t>
      </w:r>
      <w:r w:rsidRPr="003A5AE5">
        <w:t xml:space="preserve">: </w:t>
      </w:r>
      <w:r w:rsidRPr="003A5AE5">
        <w:rPr>
          <w:rStyle w:val="CommentReference"/>
          <w:b/>
          <w:szCs w:val="24"/>
        </w:rPr>
        <w:t>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2"/>
        <w:gridCol w:w="1167"/>
        <w:gridCol w:w="1167"/>
        <w:gridCol w:w="1167"/>
        <w:gridCol w:w="1167"/>
        <w:gridCol w:w="1167"/>
        <w:gridCol w:w="1170"/>
      </w:tblGrid>
      <w:tr w:rsidR="00F5082C" w:rsidRPr="003A5AE5" w:rsidTr="00F5082C">
        <w:trPr>
          <w:tblHeader/>
        </w:trPr>
        <w:tc>
          <w:tcPr>
            <w:tcW w:w="1116" w:type="pct"/>
            <w:shd w:val="clear" w:color="auto" w:fill="auto"/>
            <w:vAlign w:val="center"/>
          </w:tcPr>
          <w:p w:rsidR="00F5082C" w:rsidRPr="003A5AE5" w:rsidRDefault="00F5082C" w:rsidP="00033ED9">
            <w:pPr>
              <w:pStyle w:val="In-tableHeading"/>
              <w:jc w:val="center"/>
              <w:rPr>
                <w:lang w:val="en-AU"/>
              </w:rPr>
            </w:pPr>
          </w:p>
        </w:tc>
        <w:tc>
          <w:tcPr>
            <w:tcW w:w="647" w:type="pct"/>
            <w:shd w:val="clear" w:color="auto" w:fill="auto"/>
            <w:vAlign w:val="center"/>
          </w:tcPr>
          <w:p w:rsidR="00F5082C" w:rsidRPr="003A5AE5" w:rsidRDefault="00F5082C" w:rsidP="00033ED9">
            <w:pPr>
              <w:pStyle w:val="In-tableHeading"/>
              <w:jc w:val="center"/>
              <w:rPr>
                <w:lang w:val="en-AU"/>
              </w:rPr>
            </w:pPr>
            <w:r w:rsidRPr="003A5AE5">
              <w:rPr>
                <w:lang w:val="en-AU"/>
              </w:rPr>
              <w:t>Year 1</w:t>
            </w:r>
          </w:p>
        </w:tc>
        <w:tc>
          <w:tcPr>
            <w:tcW w:w="647" w:type="pct"/>
            <w:shd w:val="clear" w:color="auto" w:fill="auto"/>
            <w:vAlign w:val="center"/>
          </w:tcPr>
          <w:p w:rsidR="00F5082C" w:rsidRPr="003A5AE5" w:rsidRDefault="00F5082C" w:rsidP="00033ED9">
            <w:pPr>
              <w:pStyle w:val="In-tableHeading"/>
              <w:jc w:val="center"/>
              <w:rPr>
                <w:lang w:val="en-AU"/>
              </w:rPr>
            </w:pPr>
            <w:r w:rsidRPr="003A5AE5">
              <w:rPr>
                <w:lang w:val="en-AU"/>
              </w:rPr>
              <w:t>Year 2</w:t>
            </w:r>
          </w:p>
        </w:tc>
        <w:tc>
          <w:tcPr>
            <w:tcW w:w="647" w:type="pct"/>
            <w:shd w:val="clear" w:color="auto" w:fill="auto"/>
            <w:vAlign w:val="center"/>
          </w:tcPr>
          <w:p w:rsidR="00F5082C" w:rsidRPr="003A5AE5" w:rsidRDefault="00F5082C" w:rsidP="00033ED9">
            <w:pPr>
              <w:pStyle w:val="In-tableHeading"/>
              <w:jc w:val="center"/>
              <w:rPr>
                <w:lang w:val="en-AU"/>
              </w:rPr>
            </w:pPr>
            <w:r w:rsidRPr="003A5AE5">
              <w:rPr>
                <w:lang w:val="en-AU"/>
              </w:rPr>
              <w:t>Year 3</w:t>
            </w:r>
          </w:p>
        </w:tc>
        <w:tc>
          <w:tcPr>
            <w:tcW w:w="647" w:type="pct"/>
            <w:shd w:val="clear" w:color="auto" w:fill="auto"/>
            <w:vAlign w:val="center"/>
          </w:tcPr>
          <w:p w:rsidR="00F5082C" w:rsidRPr="003A5AE5" w:rsidRDefault="00F5082C" w:rsidP="00033ED9">
            <w:pPr>
              <w:pStyle w:val="In-tableHeading"/>
              <w:jc w:val="center"/>
              <w:rPr>
                <w:lang w:val="en-AU"/>
              </w:rPr>
            </w:pPr>
            <w:r w:rsidRPr="003A5AE5">
              <w:rPr>
                <w:lang w:val="en-AU"/>
              </w:rPr>
              <w:t>Year 4</w:t>
            </w:r>
          </w:p>
        </w:tc>
        <w:tc>
          <w:tcPr>
            <w:tcW w:w="647" w:type="pct"/>
            <w:shd w:val="clear" w:color="auto" w:fill="auto"/>
            <w:vAlign w:val="center"/>
          </w:tcPr>
          <w:p w:rsidR="00F5082C" w:rsidRPr="003A5AE5" w:rsidRDefault="00F5082C" w:rsidP="00033ED9">
            <w:pPr>
              <w:pStyle w:val="In-tableHeading"/>
              <w:jc w:val="center"/>
              <w:rPr>
                <w:lang w:val="en-AU"/>
              </w:rPr>
            </w:pPr>
            <w:r w:rsidRPr="003A5AE5">
              <w:rPr>
                <w:lang w:val="en-AU"/>
              </w:rPr>
              <w:t>Year 5</w:t>
            </w:r>
          </w:p>
        </w:tc>
        <w:tc>
          <w:tcPr>
            <w:tcW w:w="649" w:type="pct"/>
          </w:tcPr>
          <w:p w:rsidR="00F5082C" w:rsidRPr="003A5AE5" w:rsidRDefault="00F5082C" w:rsidP="00033ED9">
            <w:pPr>
              <w:pStyle w:val="In-tableHeading"/>
              <w:jc w:val="center"/>
              <w:rPr>
                <w:lang w:val="en-AU"/>
              </w:rPr>
            </w:pPr>
            <w:r w:rsidRPr="003A5AE5">
              <w:rPr>
                <w:lang w:val="en-AU"/>
              </w:rPr>
              <w:t>Year 6</w:t>
            </w:r>
          </w:p>
        </w:tc>
      </w:tr>
      <w:tr w:rsidR="00F5082C" w:rsidRPr="003A5AE5" w:rsidTr="00F5082C">
        <w:tc>
          <w:tcPr>
            <w:tcW w:w="5000" w:type="pct"/>
            <w:gridSpan w:val="7"/>
            <w:shd w:val="clear" w:color="auto" w:fill="auto"/>
            <w:vAlign w:val="center"/>
          </w:tcPr>
          <w:p w:rsidR="00F5082C" w:rsidRPr="003A5AE5" w:rsidRDefault="00F5082C" w:rsidP="00033ED9">
            <w:pPr>
              <w:pStyle w:val="In-tableHeading"/>
              <w:rPr>
                <w:bCs/>
                <w:color w:val="000000"/>
                <w:lang w:val="en-AU"/>
              </w:rPr>
            </w:pPr>
            <w:r w:rsidRPr="003A5AE5">
              <w:rPr>
                <w:bCs/>
                <w:color w:val="000000"/>
                <w:lang w:val="en-AU"/>
              </w:rPr>
              <w:t>Estimated extent of use</w:t>
            </w:r>
          </w:p>
        </w:tc>
      </w:tr>
      <w:tr w:rsidR="00F5082C" w:rsidRPr="003A5AE5" w:rsidTr="00F5082C">
        <w:tc>
          <w:tcPr>
            <w:tcW w:w="1116" w:type="pct"/>
            <w:shd w:val="clear" w:color="auto" w:fill="auto"/>
            <w:vAlign w:val="center"/>
          </w:tcPr>
          <w:p w:rsidR="00F5082C" w:rsidRPr="003A5AE5" w:rsidRDefault="00F5082C" w:rsidP="00033ED9">
            <w:pPr>
              <w:pStyle w:val="TableText0"/>
              <w:rPr>
                <w:rFonts w:ascii="Times" w:hAnsi="Times"/>
                <w:szCs w:val="20"/>
              </w:rPr>
            </w:pPr>
            <w:r w:rsidRPr="003A5AE5">
              <w:rPr>
                <w:szCs w:val="20"/>
              </w:rPr>
              <w:t>Number of scripts dispensed</w:t>
            </w:r>
            <w:r w:rsidRPr="003A5AE5">
              <w:rPr>
                <w:szCs w:val="20"/>
                <w:vertAlign w:val="superscript"/>
              </w:rPr>
              <w:t>a</w:t>
            </w:r>
          </w:p>
        </w:tc>
        <w:tc>
          <w:tcPr>
            <w:tcW w:w="647" w:type="pct"/>
            <w:shd w:val="clear" w:color="auto" w:fill="auto"/>
            <w:vAlign w:val="center"/>
          </w:tcPr>
          <w:p w:rsidR="00F5082C" w:rsidRPr="00885AF3" w:rsidRDefault="00885AF3" w:rsidP="00033ED9">
            <w:pPr>
              <w:pStyle w:val="TableText0"/>
              <w:jc w:val="right"/>
              <w:rPr>
                <w:color w:val="000000"/>
                <w:szCs w:val="20"/>
                <w:vertAlign w:val="superscript"/>
              </w:rPr>
            </w:pPr>
            <w:r>
              <w:rPr>
                <w:rFonts w:cs="Arial"/>
                <w:noProof/>
                <w:color w:val="000000"/>
                <w:szCs w:val="20"/>
                <w:highlight w:val="black"/>
              </w:rPr>
              <w:t>'''''''''</w:t>
            </w:r>
            <w:r w:rsidR="00B42723" w:rsidRPr="00B42723">
              <w:rPr>
                <w:rFonts w:cs="Arial"/>
                <w:szCs w:val="20"/>
                <w:vertAlign w:val="superscript"/>
              </w:rPr>
              <w:t>1</w:t>
            </w:r>
          </w:p>
        </w:tc>
        <w:tc>
          <w:tcPr>
            <w:tcW w:w="647" w:type="pct"/>
            <w:shd w:val="clear" w:color="auto" w:fill="auto"/>
            <w:vAlign w:val="center"/>
          </w:tcPr>
          <w:p w:rsidR="00F5082C" w:rsidRPr="00885AF3" w:rsidRDefault="00885AF3" w:rsidP="00033ED9">
            <w:pPr>
              <w:pStyle w:val="TableText0"/>
              <w:jc w:val="right"/>
              <w:rPr>
                <w:color w:val="000000"/>
                <w:szCs w:val="20"/>
              </w:rPr>
            </w:pPr>
            <w:r>
              <w:rPr>
                <w:rFonts w:cs="Arial"/>
                <w:noProof/>
                <w:color w:val="000000"/>
                <w:szCs w:val="20"/>
                <w:highlight w:val="black"/>
              </w:rPr>
              <w:t>''''''''</w:t>
            </w:r>
            <w:r w:rsidR="00B42723" w:rsidRPr="00B42723">
              <w:rPr>
                <w:rFonts w:cs="Arial"/>
                <w:szCs w:val="20"/>
                <w:vertAlign w:val="superscript"/>
              </w:rPr>
              <w:t>1</w:t>
            </w:r>
          </w:p>
        </w:tc>
        <w:tc>
          <w:tcPr>
            <w:tcW w:w="647" w:type="pct"/>
            <w:shd w:val="clear" w:color="auto" w:fill="auto"/>
            <w:vAlign w:val="center"/>
          </w:tcPr>
          <w:p w:rsidR="00F5082C" w:rsidRPr="00885AF3" w:rsidRDefault="00885AF3" w:rsidP="00033ED9">
            <w:pPr>
              <w:pStyle w:val="TableText0"/>
              <w:jc w:val="right"/>
              <w:rPr>
                <w:color w:val="000000"/>
                <w:szCs w:val="20"/>
              </w:rPr>
            </w:pPr>
            <w:r>
              <w:rPr>
                <w:rFonts w:cs="Arial"/>
                <w:noProof/>
                <w:color w:val="000000"/>
                <w:szCs w:val="20"/>
                <w:highlight w:val="black"/>
              </w:rPr>
              <w:t>'''''''''</w:t>
            </w:r>
            <w:r w:rsidR="00B42723" w:rsidRPr="00B42723">
              <w:rPr>
                <w:rFonts w:cs="Arial"/>
                <w:szCs w:val="20"/>
                <w:vertAlign w:val="superscript"/>
              </w:rPr>
              <w:t>1</w:t>
            </w:r>
          </w:p>
        </w:tc>
        <w:tc>
          <w:tcPr>
            <w:tcW w:w="647" w:type="pct"/>
            <w:shd w:val="clear" w:color="auto" w:fill="auto"/>
            <w:vAlign w:val="center"/>
          </w:tcPr>
          <w:p w:rsidR="00F5082C" w:rsidRPr="00885AF3" w:rsidRDefault="00885AF3" w:rsidP="00033ED9">
            <w:pPr>
              <w:pStyle w:val="TableText0"/>
              <w:jc w:val="right"/>
              <w:rPr>
                <w:color w:val="000000"/>
                <w:szCs w:val="20"/>
              </w:rPr>
            </w:pPr>
            <w:r>
              <w:rPr>
                <w:rFonts w:cs="Arial"/>
                <w:noProof/>
                <w:color w:val="000000"/>
                <w:szCs w:val="20"/>
                <w:highlight w:val="black"/>
              </w:rPr>
              <w:t>''''''''''</w:t>
            </w:r>
            <w:r w:rsidR="00B42723" w:rsidRPr="00B42723">
              <w:rPr>
                <w:rFonts w:cs="Arial"/>
                <w:szCs w:val="20"/>
                <w:vertAlign w:val="superscript"/>
              </w:rPr>
              <w:t>1</w:t>
            </w:r>
          </w:p>
        </w:tc>
        <w:tc>
          <w:tcPr>
            <w:tcW w:w="647" w:type="pct"/>
            <w:shd w:val="clear" w:color="auto" w:fill="auto"/>
            <w:vAlign w:val="center"/>
          </w:tcPr>
          <w:p w:rsidR="00F5082C" w:rsidRPr="00885AF3" w:rsidRDefault="00885AF3" w:rsidP="00033ED9">
            <w:pPr>
              <w:pStyle w:val="TableText0"/>
              <w:jc w:val="right"/>
              <w:rPr>
                <w:color w:val="000000"/>
                <w:szCs w:val="20"/>
              </w:rPr>
            </w:pPr>
            <w:r>
              <w:rPr>
                <w:rFonts w:cs="Arial"/>
                <w:noProof/>
                <w:color w:val="000000"/>
                <w:szCs w:val="20"/>
                <w:highlight w:val="black"/>
              </w:rPr>
              <w:t>'''''''''</w:t>
            </w:r>
            <w:r w:rsidR="00B42723" w:rsidRPr="00B42723">
              <w:rPr>
                <w:rFonts w:cs="Arial"/>
                <w:szCs w:val="20"/>
                <w:vertAlign w:val="superscript"/>
              </w:rPr>
              <w:t>1</w:t>
            </w:r>
          </w:p>
        </w:tc>
        <w:tc>
          <w:tcPr>
            <w:tcW w:w="649" w:type="pct"/>
            <w:shd w:val="clear" w:color="auto" w:fill="auto"/>
            <w:vAlign w:val="center"/>
          </w:tcPr>
          <w:p w:rsidR="00F5082C" w:rsidRPr="00885AF3" w:rsidRDefault="00885AF3" w:rsidP="00033ED9">
            <w:pPr>
              <w:pStyle w:val="TableText0"/>
              <w:jc w:val="right"/>
              <w:rPr>
                <w:color w:val="000000"/>
                <w:szCs w:val="20"/>
              </w:rPr>
            </w:pPr>
            <w:r>
              <w:rPr>
                <w:rFonts w:cs="Arial"/>
                <w:noProof/>
                <w:color w:val="000000"/>
                <w:szCs w:val="20"/>
                <w:highlight w:val="black"/>
              </w:rPr>
              <w:t>''''''''''</w:t>
            </w:r>
            <w:r w:rsidR="00B42723" w:rsidRPr="00B42723">
              <w:rPr>
                <w:rFonts w:cs="Arial"/>
                <w:szCs w:val="20"/>
                <w:vertAlign w:val="superscript"/>
              </w:rPr>
              <w:t>1</w:t>
            </w:r>
          </w:p>
        </w:tc>
      </w:tr>
      <w:tr w:rsidR="00F5082C" w:rsidRPr="003A5AE5" w:rsidTr="00F5082C">
        <w:tc>
          <w:tcPr>
            <w:tcW w:w="5000" w:type="pct"/>
            <w:gridSpan w:val="7"/>
            <w:shd w:val="clear" w:color="auto" w:fill="auto"/>
            <w:vAlign w:val="center"/>
          </w:tcPr>
          <w:p w:rsidR="00F5082C" w:rsidRPr="003A5AE5" w:rsidRDefault="00F5082C" w:rsidP="00033ED9">
            <w:pPr>
              <w:pStyle w:val="In-tableHeading"/>
              <w:rPr>
                <w:szCs w:val="20"/>
                <w:lang w:val="en-AU"/>
              </w:rPr>
            </w:pPr>
            <w:r w:rsidRPr="003A5AE5">
              <w:rPr>
                <w:szCs w:val="20"/>
                <w:lang w:val="en-AU"/>
              </w:rPr>
              <w:t>Estimated financial implications of trabectedin</w:t>
            </w:r>
          </w:p>
        </w:tc>
      </w:tr>
      <w:tr w:rsidR="00F5082C" w:rsidRPr="003A5AE5" w:rsidTr="00F5082C">
        <w:tc>
          <w:tcPr>
            <w:tcW w:w="1116" w:type="pct"/>
            <w:shd w:val="clear" w:color="auto" w:fill="auto"/>
            <w:vAlign w:val="center"/>
          </w:tcPr>
          <w:p w:rsidR="00F5082C" w:rsidRPr="003A5AE5" w:rsidRDefault="00F5082C" w:rsidP="00033ED9">
            <w:pPr>
              <w:pStyle w:val="TableText0"/>
              <w:rPr>
                <w:szCs w:val="20"/>
              </w:rPr>
            </w:pPr>
            <w:r w:rsidRPr="003A5AE5">
              <w:rPr>
                <w:szCs w:val="20"/>
              </w:rPr>
              <w:t>Cost to PBS/RPBS less copayments</w:t>
            </w:r>
            <w:r w:rsidR="001308A0">
              <w:rPr>
                <w:szCs w:val="20"/>
              </w:rPr>
              <w:t xml:space="preserve"> </w:t>
            </w:r>
          </w:p>
        </w:tc>
        <w:tc>
          <w:tcPr>
            <w:tcW w:w="647" w:type="pct"/>
            <w:shd w:val="clear" w:color="auto" w:fill="auto"/>
            <w:vAlign w:val="center"/>
          </w:tcPr>
          <w:p w:rsidR="00F5082C" w:rsidRPr="003A5AE5" w:rsidRDefault="00F5082C" w:rsidP="00033ED9">
            <w:pPr>
              <w:pStyle w:val="TableText0"/>
              <w:jc w:val="right"/>
              <w:rPr>
                <w:szCs w:val="20"/>
              </w:rPr>
            </w:pPr>
            <w:r w:rsidRPr="003A5AE5">
              <w:rPr>
                <w:szCs w:val="20"/>
              </w:rPr>
              <w:t>$</w:t>
            </w:r>
            <w:r w:rsidR="00885AF3">
              <w:rPr>
                <w:noProof/>
                <w:color w:val="000000"/>
                <w:szCs w:val="20"/>
                <w:highlight w:val="black"/>
              </w:rPr>
              <w:t>'''''''''''''''''''''''''</w:t>
            </w:r>
            <w:r w:rsidR="00B42723">
              <w:rPr>
                <w:rFonts w:cs="Arial"/>
                <w:szCs w:val="20"/>
                <w:vertAlign w:val="superscript"/>
              </w:rPr>
              <w:t>2</w:t>
            </w:r>
          </w:p>
        </w:tc>
        <w:tc>
          <w:tcPr>
            <w:tcW w:w="647" w:type="pct"/>
            <w:shd w:val="clear" w:color="auto" w:fill="auto"/>
            <w:vAlign w:val="center"/>
          </w:tcPr>
          <w:p w:rsidR="00F5082C" w:rsidRPr="003A5AE5" w:rsidRDefault="00F5082C" w:rsidP="00033ED9">
            <w:pPr>
              <w:pStyle w:val="TableText0"/>
              <w:jc w:val="right"/>
              <w:rPr>
                <w:szCs w:val="20"/>
              </w:rPr>
            </w:pPr>
            <w:r w:rsidRPr="003A5AE5">
              <w:rPr>
                <w:szCs w:val="20"/>
              </w:rPr>
              <w:t>$</w:t>
            </w:r>
            <w:r w:rsidR="00885AF3">
              <w:rPr>
                <w:noProof/>
                <w:color w:val="000000"/>
                <w:szCs w:val="20"/>
                <w:highlight w:val="black"/>
              </w:rPr>
              <w:t>''''''''''''''''''''''''</w:t>
            </w:r>
            <w:r w:rsidR="00B42723">
              <w:rPr>
                <w:rFonts w:cs="Arial"/>
                <w:szCs w:val="20"/>
                <w:vertAlign w:val="superscript"/>
              </w:rPr>
              <w:t>2</w:t>
            </w:r>
          </w:p>
        </w:tc>
        <w:tc>
          <w:tcPr>
            <w:tcW w:w="647" w:type="pct"/>
            <w:shd w:val="clear" w:color="auto" w:fill="auto"/>
            <w:vAlign w:val="center"/>
          </w:tcPr>
          <w:p w:rsidR="00F5082C" w:rsidRPr="003A5AE5" w:rsidRDefault="00F5082C" w:rsidP="00033ED9">
            <w:pPr>
              <w:pStyle w:val="TableText0"/>
              <w:jc w:val="right"/>
              <w:rPr>
                <w:szCs w:val="20"/>
              </w:rPr>
            </w:pPr>
            <w:r w:rsidRPr="003A5AE5">
              <w:rPr>
                <w:szCs w:val="20"/>
              </w:rPr>
              <w:t>$</w:t>
            </w:r>
            <w:r w:rsidR="00885AF3">
              <w:rPr>
                <w:noProof/>
                <w:color w:val="000000"/>
                <w:szCs w:val="20"/>
                <w:highlight w:val="black"/>
              </w:rPr>
              <w:t>'''''''''''''''''''''''''</w:t>
            </w:r>
            <w:r w:rsidR="00B42723">
              <w:rPr>
                <w:rFonts w:cs="Arial"/>
                <w:szCs w:val="20"/>
                <w:vertAlign w:val="superscript"/>
              </w:rPr>
              <w:t>2</w:t>
            </w:r>
          </w:p>
        </w:tc>
        <w:tc>
          <w:tcPr>
            <w:tcW w:w="647" w:type="pct"/>
            <w:shd w:val="clear" w:color="auto" w:fill="auto"/>
            <w:vAlign w:val="center"/>
          </w:tcPr>
          <w:p w:rsidR="00F5082C" w:rsidRPr="003A5AE5" w:rsidRDefault="00F5082C" w:rsidP="00033ED9">
            <w:pPr>
              <w:pStyle w:val="TableText0"/>
              <w:jc w:val="right"/>
              <w:rPr>
                <w:szCs w:val="20"/>
              </w:rPr>
            </w:pPr>
            <w:r w:rsidRPr="003A5AE5">
              <w:rPr>
                <w:szCs w:val="20"/>
              </w:rPr>
              <w:t>$</w:t>
            </w:r>
            <w:r w:rsidR="00885AF3">
              <w:rPr>
                <w:noProof/>
                <w:color w:val="000000"/>
                <w:szCs w:val="20"/>
                <w:highlight w:val="black"/>
              </w:rPr>
              <w:t>''''''''''''''''''''''</w:t>
            </w:r>
            <w:r w:rsidR="00B42723">
              <w:rPr>
                <w:rFonts w:cs="Arial"/>
                <w:szCs w:val="20"/>
                <w:vertAlign w:val="superscript"/>
              </w:rPr>
              <w:t>2</w:t>
            </w:r>
          </w:p>
        </w:tc>
        <w:tc>
          <w:tcPr>
            <w:tcW w:w="647" w:type="pct"/>
            <w:shd w:val="clear" w:color="auto" w:fill="auto"/>
            <w:vAlign w:val="center"/>
          </w:tcPr>
          <w:p w:rsidR="00F5082C" w:rsidRPr="003A5AE5" w:rsidRDefault="00F5082C" w:rsidP="00033ED9">
            <w:pPr>
              <w:pStyle w:val="TableText0"/>
              <w:jc w:val="right"/>
              <w:rPr>
                <w:szCs w:val="20"/>
              </w:rPr>
            </w:pPr>
            <w:r w:rsidRPr="003A5AE5">
              <w:rPr>
                <w:szCs w:val="20"/>
              </w:rPr>
              <w:t>$</w:t>
            </w:r>
            <w:r w:rsidR="00885AF3">
              <w:rPr>
                <w:noProof/>
                <w:color w:val="000000"/>
                <w:szCs w:val="20"/>
                <w:highlight w:val="black"/>
              </w:rPr>
              <w:t>'''''''''''''''''''''</w:t>
            </w:r>
            <w:r w:rsidR="00B42723">
              <w:rPr>
                <w:rFonts w:cs="Arial"/>
                <w:szCs w:val="20"/>
                <w:vertAlign w:val="superscript"/>
              </w:rPr>
              <w:t>2</w:t>
            </w:r>
          </w:p>
        </w:tc>
        <w:tc>
          <w:tcPr>
            <w:tcW w:w="649" w:type="pct"/>
            <w:shd w:val="clear" w:color="auto" w:fill="auto"/>
            <w:vAlign w:val="center"/>
          </w:tcPr>
          <w:p w:rsidR="00F5082C" w:rsidRPr="003A5AE5" w:rsidRDefault="00F5082C" w:rsidP="00033ED9">
            <w:pPr>
              <w:pStyle w:val="TableText0"/>
              <w:jc w:val="right"/>
              <w:rPr>
                <w:szCs w:val="20"/>
              </w:rPr>
            </w:pPr>
            <w:r w:rsidRPr="003A5AE5">
              <w:rPr>
                <w:szCs w:val="20"/>
              </w:rPr>
              <w:t>$</w:t>
            </w:r>
            <w:r w:rsidR="00885AF3">
              <w:rPr>
                <w:noProof/>
                <w:color w:val="000000"/>
                <w:szCs w:val="20"/>
                <w:highlight w:val="black"/>
              </w:rPr>
              <w:t>'''''''''''''''''''''''</w:t>
            </w:r>
            <w:r w:rsidR="00B42723">
              <w:rPr>
                <w:rFonts w:cs="Arial"/>
                <w:szCs w:val="20"/>
                <w:vertAlign w:val="superscript"/>
              </w:rPr>
              <w:t>2</w:t>
            </w:r>
          </w:p>
        </w:tc>
      </w:tr>
      <w:tr w:rsidR="00F5082C" w:rsidRPr="003A5AE5" w:rsidTr="00F5082C">
        <w:tc>
          <w:tcPr>
            <w:tcW w:w="5000" w:type="pct"/>
            <w:gridSpan w:val="7"/>
            <w:shd w:val="clear" w:color="auto" w:fill="auto"/>
            <w:vAlign w:val="center"/>
          </w:tcPr>
          <w:p w:rsidR="00F5082C" w:rsidRPr="003A5AE5" w:rsidRDefault="00F5082C" w:rsidP="00033ED9">
            <w:pPr>
              <w:pStyle w:val="TableText0"/>
              <w:rPr>
                <w:b/>
                <w:szCs w:val="20"/>
              </w:rPr>
            </w:pPr>
            <w:r w:rsidRPr="003A5AE5">
              <w:rPr>
                <w:b/>
                <w:szCs w:val="20"/>
              </w:rPr>
              <w:t>Estimated financial implications for other medicines</w:t>
            </w:r>
          </w:p>
        </w:tc>
      </w:tr>
      <w:tr w:rsidR="00F5082C" w:rsidRPr="003A5AE5" w:rsidTr="00F5082C">
        <w:tc>
          <w:tcPr>
            <w:tcW w:w="1116" w:type="pct"/>
            <w:shd w:val="clear" w:color="auto" w:fill="auto"/>
            <w:vAlign w:val="center"/>
          </w:tcPr>
          <w:p w:rsidR="00F5082C" w:rsidRPr="003A5AE5" w:rsidRDefault="00F5082C" w:rsidP="00033ED9">
            <w:pPr>
              <w:pStyle w:val="TableText0"/>
              <w:rPr>
                <w:szCs w:val="20"/>
              </w:rPr>
            </w:pPr>
            <w:r w:rsidRPr="003A5AE5">
              <w:rPr>
                <w:szCs w:val="20"/>
              </w:rPr>
              <w:t>Cost of pazopanib to PBS/RPBS less copayments</w:t>
            </w:r>
          </w:p>
        </w:tc>
        <w:tc>
          <w:tcPr>
            <w:tcW w:w="647" w:type="pct"/>
            <w:shd w:val="clear" w:color="auto" w:fill="auto"/>
            <w:vAlign w:val="center"/>
          </w:tcPr>
          <w:p w:rsidR="00F5082C" w:rsidRPr="003A5AE5" w:rsidRDefault="00F5082C" w:rsidP="00033ED9">
            <w:pPr>
              <w:pStyle w:val="TableText0"/>
              <w:jc w:val="right"/>
              <w:rPr>
                <w:szCs w:val="20"/>
              </w:rPr>
            </w:pPr>
            <w:r w:rsidRPr="003A5AE5">
              <w:rPr>
                <w:szCs w:val="20"/>
              </w:rPr>
              <w:t>-$</w:t>
            </w:r>
            <w:r w:rsidR="00885AF3">
              <w:rPr>
                <w:noProof/>
                <w:color w:val="000000"/>
                <w:szCs w:val="20"/>
                <w:highlight w:val="black"/>
              </w:rPr>
              <w:t>''''''''''''''''''</w:t>
            </w:r>
            <w:r w:rsidR="00B42723">
              <w:rPr>
                <w:rFonts w:cs="Arial"/>
                <w:szCs w:val="20"/>
                <w:vertAlign w:val="superscript"/>
              </w:rPr>
              <w:t>2</w:t>
            </w:r>
          </w:p>
        </w:tc>
        <w:tc>
          <w:tcPr>
            <w:tcW w:w="647" w:type="pct"/>
            <w:shd w:val="clear" w:color="auto" w:fill="auto"/>
            <w:vAlign w:val="center"/>
          </w:tcPr>
          <w:p w:rsidR="00F5082C" w:rsidRPr="003A5AE5" w:rsidRDefault="00F5082C" w:rsidP="00033ED9">
            <w:pPr>
              <w:pStyle w:val="TableText0"/>
              <w:jc w:val="right"/>
              <w:rPr>
                <w:szCs w:val="20"/>
              </w:rPr>
            </w:pPr>
            <w:r w:rsidRPr="003A5AE5">
              <w:rPr>
                <w:szCs w:val="20"/>
              </w:rPr>
              <w:t>-$</w:t>
            </w:r>
            <w:r w:rsidR="00885AF3">
              <w:rPr>
                <w:noProof/>
                <w:color w:val="000000"/>
                <w:szCs w:val="20"/>
                <w:highlight w:val="black"/>
              </w:rPr>
              <w:t>'''''''''''''''''''</w:t>
            </w:r>
            <w:r w:rsidR="00B42723">
              <w:rPr>
                <w:rFonts w:cs="Arial"/>
                <w:szCs w:val="20"/>
                <w:vertAlign w:val="superscript"/>
              </w:rPr>
              <w:t>2</w:t>
            </w:r>
          </w:p>
        </w:tc>
        <w:tc>
          <w:tcPr>
            <w:tcW w:w="647" w:type="pct"/>
            <w:shd w:val="clear" w:color="auto" w:fill="auto"/>
            <w:vAlign w:val="center"/>
          </w:tcPr>
          <w:p w:rsidR="00F5082C" w:rsidRPr="003A5AE5" w:rsidRDefault="00F5082C" w:rsidP="00033ED9">
            <w:pPr>
              <w:pStyle w:val="TableText0"/>
              <w:jc w:val="right"/>
              <w:rPr>
                <w:szCs w:val="20"/>
              </w:rPr>
            </w:pPr>
            <w:r w:rsidRPr="003A5AE5">
              <w:rPr>
                <w:szCs w:val="20"/>
              </w:rPr>
              <w:t>-$</w:t>
            </w:r>
            <w:r w:rsidR="00885AF3">
              <w:rPr>
                <w:noProof/>
                <w:color w:val="000000"/>
                <w:szCs w:val="20"/>
                <w:highlight w:val="black"/>
              </w:rPr>
              <w:t>'''''''''''''''''''</w:t>
            </w:r>
            <w:r w:rsidR="00B42723">
              <w:rPr>
                <w:rFonts w:cs="Arial"/>
                <w:szCs w:val="20"/>
                <w:vertAlign w:val="superscript"/>
              </w:rPr>
              <w:t>2</w:t>
            </w:r>
          </w:p>
        </w:tc>
        <w:tc>
          <w:tcPr>
            <w:tcW w:w="647" w:type="pct"/>
            <w:shd w:val="clear" w:color="auto" w:fill="auto"/>
            <w:vAlign w:val="center"/>
          </w:tcPr>
          <w:p w:rsidR="00F5082C" w:rsidRPr="003A5AE5" w:rsidRDefault="00F5082C" w:rsidP="00033ED9">
            <w:pPr>
              <w:pStyle w:val="TableText0"/>
              <w:jc w:val="right"/>
              <w:rPr>
                <w:szCs w:val="20"/>
              </w:rPr>
            </w:pPr>
            <w:r w:rsidRPr="003A5AE5">
              <w:rPr>
                <w:szCs w:val="20"/>
              </w:rPr>
              <w:t>-$</w:t>
            </w:r>
            <w:r w:rsidR="00885AF3">
              <w:rPr>
                <w:noProof/>
                <w:color w:val="000000"/>
                <w:szCs w:val="20"/>
                <w:highlight w:val="black"/>
              </w:rPr>
              <w:t>''''''''''''''''''''</w:t>
            </w:r>
            <w:r w:rsidR="00B42723">
              <w:rPr>
                <w:rFonts w:cs="Arial"/>
                <w:szCs w:val="20"/>
                <w:vertAlign w:val="superscript"/>
              </w:rPr>
              <w:t>2</w:t>
            </w:r>
          </w:p>
        </w:tc>
        <w:tc>
          <w:tcPr>
            <w:tcW w:w="647" w:type="pct"/>
            <w:shd w:val="clear" w:color="auto" w:fill="auto"/>
            <w:vAlign w:val="center"/>
          </w:tcPr>
          <w:p w:rsidR="00F5082C" w:rsidRPr="003A5AE5" w:rsidRDefault="00F5082C" w:rsidP="00033ED9">
            <w:pPr>
              <w:pStyle w:val="TableText0"/>
              <w:jc w:val="right"/>
              <w:rPr>
                <w:szCs w:val="20"/>
              </w:rPr>
            </w:pPr>
            <w:r w:rsidRPr="003A5AE5">
              <w:rPr>
                <w:szCs w:val="20"/>
              </w:rPr>
              <w:t>-$</w:t>
            </w:r>
            <w:r w:rsidR="00885AF3">
              <w:rPr>
                <w:noProof/>
                <w:color w:val="000000"/>
                <w:szCs w:val="20"/>
                <w:highlight w:val="black"/>
              </w:rPr>
              <w:t>'''''''''''''''''''''</w:t>
            </w:r>
            <w:r w:rsidR="00B42723">
              <w:rPr>
                <w:rFonts w:cs="Arial"/>
                <w:szCs w:val="20"/>
                <w:vertAlign w:val="superscript"/>
              </w:rPr>
              <w:t>2</w:t>
            </w:r>
          </w:p>
        </w:tc>
        <w:tc>
          <w:tcPr>
            <w:tcW w:w="649" w:type="pct"/>
            <w:shd w:val="clear" w:color="auto" w:fill="auto"/>
            <w:vAlign w:val="center"/>
          </w:tcPr>
          <w:p w:rsidR="00F5082C" w:rsidRPr="003A5AE5" w:rsidRDefault="00F5082C" w:rsidP="00033ED9">
            <w:pPr>
              <w:pStyle w:val="TableText0"/>
              <w:jc w:val="right"/>
              <w:rPr>
                <w:szCs w:val="20"/>
              </w:rPr>
            </w:pPr>
            <w:r w:rsidRPr="003A5AE5">
              <w:rPr>
                <w:szCs w:val="20"/>
              </w:rPr>
              <w:t>-$</w:t>
            </w:r>
            <w:r w:rsidR="00885AF3">
              <w:rPr>
                <w:noProof/>
                <w:color w:val="000000"/>
                <w:szCs w:val="20"/>
                <w:highlight w:val="black"/>
              </w:rPr>
              <w:t>'''''''''''''''''''''</w:t>
            </w:r>
            <w:r w:rsidR="00B42723">
              <w:rPr>
                <w:rFonts w:cs="Arial"/>
                <w:szCs w:val="20"/>
                <w:vertAlign w:val="superscript"/>
              </w:rPr>
              <w:t>2</w:t>
            </w:r>
          </w:p>
        </w:tc>
      </w:tr>
      <w:tr w:rsidR="00F5082C" w:rsidRPr="003A5AE5" w:rsidTr="00F5082C">
        <w:tc>
          <w:tcPr>
            <w:tcW w:w="1116" w:type="pct"/>
            <w:shd w:val="clear" w:color="auto" w:fill="auto"/>
            <w:vAlign w:val="center"/>
          </w:tcPr>
          <w:p w:rsidR="00F5082C" w:rsidRPr="003A5AE5" w:rsidRDefault="00F5082C" w:rsidP="00033ED9">
            <w:pPr>
              <w:pStyle w:val="TableText0"/>
              <w:rPr>
                <w:szCs w:val="20"/>
              </w:rPr>
            </w:pPr>
            <w:r w:rsidRPr="003A5AE5">
              <w:rPr>
                <w:szCs w:val="20"/>
              </w:rPr>
              <w:t>Cost of methylprednisolone to PBS/RPBS less copayments</w:t>
            </w:r>
          </w:p>
        </w:tc>
        <w:tc>
          <w:tcPr>
            <w:tcW w:w="647" w:type="pct"/>
            <w:shd w:val="clear" w:color="auto" w:fill="auto"/>
            <w:vAlign w:val="center"/>
          </w:tcPr>
          <w:p w:rsidR="00F5082C" w:rsidRPr="003A5AE5" w:rsidRDefault="00F5082C" w:rsidP="00033ED9">
            <w:pPr>
              <w:pStyle w:val="TableText0"/>
              <w:jc w:val="right"/>
              <w:rPr>
                <w:szCs w:val="20"/>
              </w:rPr>
            </w:pPr>
            <w:r w:rsidRPr="003A5AE5">
              <w:rPr>
                <w:szCs w:val="20"/>
              </w:rPr>
              <w:t>$</w:t>
            </w:r>
            <w:r w:rsidR="00885AF3">
              <w:rPr>
                <w:noProof/>
                <w:color w:val="000000"/>
                <w:szCs w:val="20"/>
                <w:highlight w:val="black"/>
              </w:rPr>
              <w:t>''''''''''''''</w:t>
            </w:r>
            <w:r w:rsidR="00B42723">
              <w:rPr>
                <w:rFonts w:cs="Arial"/>
                <w:szCs w:val="20"/>
                <w:vertAlign w:val="superscript"/>
              </w:rPr>
              <w:t>2</w:t>
            </w:r>
          </w:p>
        </w:tc>
        <w:tc>
          <w:tcPr>
            <w:tcW w:w="647" w:type="pct"/>
            <w:shd w:val="clear" w:color="auto" w:fill="auto"/>
            <w:vAlign w:val="center"/>
          </w:tcPr>
          <w:p w:rsidR="00F5082C" w:rsidRPr="003A5AE5" w:rsidRDefault="00F5082C" w:rsidP="00033ED9">
            <w:pPr>
              <w:pStyle w:val="TableText0"/>
              <w:jc w:val="right"/>
              <w:rPr>
                <w:szCs w:val="20"/>
              </w:rPr>
            </w:pPr>
            <w:r w:rsidRPr="003A5AE5">
              <w:rPr>
                <w:szCs w:val="20"/>
              </w:rPr>
              <w:t>$</w:t>
            </w:r>
            <w:r w:rsidR="00885AF3">
              <w:rPr>
                <w:noProof/>
                <w:color w:val="000000"/>
                <w:szCs w:val="20"/>
                <w:highlight w:val="black"/>
              </w:rPr>
              <w:t>''''''''''''</w:t>
            </w:r>
            <w:r w:rsidR="00B42723">
              <w:rPr>
                <w:rFonts w:cs="Arial"/>
                <w:szCs w:val="20"/>
                <w:vertAlign w:val="superscript"/>
              </w:rPr>
              <w:t>2</w:t>
            </w:r>
          </w:p>
        </w:tc>
        <w:tc>
          <w:tcPr>
            <w:tcW w:w="647" w:type="pct"/>
            <w:shd w:val="clear" w:color="auto" w:fill="auto"/>
            <w:vAlign w:val="center"/>
          </w:tcPr>
          <w:p w:rsidR="00F5082C" w:rsidRPr="003A5AE5" w:rsidRDefault="00F5082C" w:rsidP="00033ED9">
            <w:pPr>
              <w:pStyle w:val="TableText0"/>
              <w:jc w:val="right"/>
              <w:rPr>
                <w:szCs w:val="20"/>
              </w:rPr>
            </w:pPr>
            <w:r w:rsidRPr="003A5AE5">
              <w:rPr>
                <w:szCs w:val="20"/>
              </w:rPr>
              <w:t>$</w:t>
            </w:r>
            <w:r w:rsidR="00885AF3">
              <w:rPr>
                <w:noProof/>
                <w:color w:val="000000"/>
                <w:szCs w:val="20"/>
                <w:highlight w:val="black"/>
              </w:rPr>
              <w:t>''''''''''''''</w:t>
            </w:r>
            <w:r w:rsidR="00B42723">
              <w:rPr>
                <w:rFonts w:cs="Arial"/>
                <w:szCs w:val="20"/>
                <w:vertAlign w:val="superscript"/>
              </w:rPr>
              <w:t>2</w:t>
            </w:r>
          </w:p>
        </w:tc>
        <w:tc>
          <w:tcPr>
            <w:tcW w:w="647" w:type="pct"/>
            <w:shd w:val="clear" w:color="auto" w:fill="auto"/>
            <w:vAlign w:val="center"/>
          </w:tcPr>
          <w:p w:rsidR="00F5082C" w:rsidRPr="003A5AE5" w:rsidRDefault="00F5082C" w:rsidP="00033ED9">
            <w:pPr>
              <w:pStyle w:val="TableText0"/>
              <w:jc w:val="right"/>
              <w:rPr>
                <w:szCs w:val="20"/>
              </w:rPr>
            </w:pPr>
            <w:r w:rsidRPr="003A5AE5">
              <w:rPr>
                <w:szCs w:val="20"/>
              </w:rPr>
              <w:t>$</w:t>
            </w:r>
            <w:r w:rsidR="00885AF3">
              <w:rPr>
                <w:noProof/>
                <w:color w:val="000000"/>
                <w:szCs w:val="20"/>
                <w:highlight w:val="black"/>
              </w:rPr>
              <w:t>''''''''''''</w:t>
            </w:r>
            <w:r w:rsidR="00B42723">
              <w:rPr>
                <w:rFonts w:cs="Arial"/>
                <w:szCs w:val="20"/>
                <w:vertAlign w:val="superscript"/>
              </w:rPr>
              <w:t>2</w:t>
            </w:r>
          </w:p>
        </w:tc>
        <w:tc>
          <w:tcPr>
            <w:tcW w:w="647" w:type="pct"/>
            <w:shd w:val="clear" w:color="auto" w:fill="auto"/>
            <w:vAlign w:val="center"/>
          </w:tcPr>
          <w:p w:rsidR="00F5082C" w:rsidRPr="003A5AE5" w:rsidRDefault="00F5082C" w:rsidP="00033ED9">
            <w:pPr>
              <w:pStyle w:val="TableText0"/>
              <w:jc w:val="right"/>
              <w:rPr>
                <w:szCs w:val="20"/>
              </w:rPr>
            </w:pPr>
            <w:r w:rsidRPr="003A5AE5">
              <w:rPr>
                <w:szCs w:val="20"/>
              </w:rPr>
              <w:t>$</w:t>
            </w:r>
            <w:r w:rsidR="00885AF3">
              <w:rPr>
                <w:noProof/>
                <w:color w:val="000000"/>
                <w:szCs w:val="20"/>
                <w:highlight w:val="black"/>
              </w:rPr>
              <w:t>''''''''''''''</w:t>
            </w:r>
            <w:r w:rsidR="00B42723">
              <w:rPr>
                <w:rFonts w:cs="Arial"/>
                <w:szCs w:val="20"/>
                <w:vertAlign w:val="superscript"/>
              </w:rPr>
              <w:t>2</w:t>
            </w:r>
          </w:p>
        </w:tc>
        <w:tc>
          <w:tcPr>
            <w:tcW w:w="649" w:type="pct"/>
            <w:shd w:val="clear" w:color="auto" w:fill="auto"/>
            <w:vAlign w:val="center"/>
          </w:tcPr>
          <w:p w:rsidR="00F5082C" w:rsidRPr="003A5AE5" w:rsidRDefault="00F5082C" w:rsidP="00033ED9">
            <w:pPr>
              <w:pStyle w:val="TableText0"/>
              <w:jc w:val="right"/>
              <w:rPr>
                <w:szCs w:val="20"/>
              </w:rPr>
            </w:pPr>
            <w:r w:rsidRPr="003A5AE5">
              <w:rPr>
                <w:szCs w:val="20"/>
              </w:rPr>
              <w:t>$</w:t>
            </w:r>
            <w:r w:rsidR="00885AF3">
              <w:rPr>
                <w:noProof/>
                <w:color w:val="000000"/>
                <w:szCs w:val="20"/>
                <w:highlight w:val="black"/>
              </w:rPr>
              <w:t>'''''''''''''</w:t>
            </w:r>
            <w:r w:rsidR="00B42723">
              <w:rPr>
                <w:rFonts w:cs="Arial"/>
                <w:szCs w:val="20"/>
                <w:vertAlign w:val="superscript"/>
              </w:rPr>
              <w:t>2</w:t>
            </w:r>
          </w:p>
        </w:tc>
      </w:tr>
      <w:tr w:rsidR="00F5082C" w:rsidRPr="003A5AE5" w:rsidTr="00F5082C">
        <w:tc>
          <w:tcPr>
            <w:tcW w:w="1116" w:type="pct"/>
            <w:shd w:val="clear" w:color="auto" w:fill="auto"/>
            <w:vAlign w:val="center"/>
          </w:tcPr>
          <w:p w:rsidR="00F5082C" w:rsidRPr="003A5AE5" w:rsidRDefault="00F5082C" w:rsidP="00033ED9">
            <w:pPr>
              <w:pStyle w:val="TableText0"/>
              <w:rPr>
                <w:szCs w:val="20"/>
              </w:rPr>
            </w:pPr>
            <w:r w:rsidRPr="003A5AE5">
              <w:rPr>
                <w:szCs w:val="20"/>
              </w:rPr>
              <w:t>Total net cost of other medicines to PBS/RPBS</w:t>
            </w:r>
          </w:p>
        </w:tc>
        <w:tc>
          <w:tcPr>
            <w:tcW w:w="647" w:type="pct"/>
            <w:shd w:val="clear" w:color="auto" w:fill="auto"/>
            <w:vAlign w:val="center"/>
          </w:tcPr>
          <w:p w:rsidR="00F5082C" w:rsidRPr="003A5AE5" w:rsidRDefault="00F5082C" w:rsidP="00033ED9">
            <w:pPr>
              <w:pStyle w:val="TableText0"/>
              <w:jc w:val="right"/>
              <w:rPr>
                <w:szCs w:val="20"/>
              </w:rPr>
            </w:pPr>
            <w:r w:rsidRPr="003A5AE5">
              <w:rPr>
                <w:szCs w:val="20"/>
              </w:rPr>
              <w:t>-$</w:t>
            </w:r>
            <w:r w:rsidR="00885AF3">
              <w:rPr>
                <w:noProof/>
                <w:color w:val="000000"/>
                <w:szCs w:val="20"/>
                <w:highlight w:val="black"/>
              </w:rPr>
              <w:t>''''''''''''''''''</w:t>
            </w:r>
            <w:r w:rsidR="00B42723">
              <w:rPr>
                <w:rFonts w:cs="Arial"/>
                <w:szCs w:val="20"/>
                <w:vertAlign w:val="superscript"/>
              </w:rPr>
              <w:t>2</w:t>
            </w:r>
          </w:p>
        </w:tc>
        <w:tc>
          <w:tcPr>
            <w:tcW w:w="647" w:type="pct"/>
            <w:shd w:val="clear" w:color="auto" w:fill="auto"/>
            <w:vAlign w:val="center"/>
          </w:tcPr>
          <w:p w:rsidR="00F5082C" w:rsidRPr="003A5AE5" w:rsidRDefault="00F5082C" w:rsidP="00033ED9">
            <w:pPr>
              <w:pStyle w:val="TableText0"/>
              <w:jc w:val="right"/>
              <w:rPr>
                <w:szCs w:val="20"/>
              </w:rPr>
            </w:pPr>
            <w:r w:rsidRPr="003A5AE5">
              <w:rPr>
                <w:szCs w:val="20"/>
              </w:rPr>
              <w:t>-$</w:t>
            </w:r>
            <w:r w:rsidR="00885AF3">
              <w:rPr>
                <w:noProof/>
                <w:color w:val="000000"/>
                <w:szCs w:val="20"/>
                <w:highlight w:val="black"/>
              </w:rPr>
              <w:t>''''''''''''''''''</w:t>
            </w:r>
            <w:r w:rsidR="00B42723">
              <w:rPr>
                <w:rFonts w:cs="Arial"/>
                <w:szCs w:val="20"/>
                <w:vertAlign w:val="superscript"/>
              </w:rPr>
              <w:t>2</w:t>
            </w:r>
          </w:p>
        </w:tc>
        <w:tc>
          <w:tcPr>
            <w:tcW w:w="647" w:type="pct"/>
            <w:shd w:val="clear" w:color="auto" w:fill="auto"/>
            <w:vAlign w:val="center"/>
          </w:tcPr>
          <w:p w:rsidR="00F5082C" w:rsidRPr="003A5AE5" w:rsidRDefault="00F5082C" w:rsidP="00033ED9">
            <w:pPr>
              <w:pStyle w:val="TableText0"/>
              <w:jc w:val="right"/>
              <w:rPr>
                <w:szCs w:val="20"/>
              </w:rPr>
            </w:pPr>
            <w:r w:rsidRPr="003A5AE5">
              <w:rPr>
                <w:szCs w:val="20"/>
              </w:rPr>
              <w:t>-$</w:t>
            </w:r>
            <w:r w:rsidR="00885AF3">
              <w:rPr>
                <w:noProof/>
                <w:color w:val="000000"/>
                <w:szCs w:val="20"/>
                <w:highlight w:val="black"/>
              </w:rPr>
              <w:t>''''''''''''''''''''</w:t>
            </w:r>
            <w:r w:rsidR="00B42723">
              <w:rPr>
                <w:rFonts w:cs="Arial"/>
                <w:szCs w:val="20"/>
                <w:vertAlign w:val="superscript"/>
              </w:rPr>
              <w:t>2</w:t>
            </w:r>
          </w:p>
        </w:tc>
        <w:tc>
          <w:tcPr>
            <w:tcW w:w="647" w:type="pct"/>
            <w:shd w:val="clear" w:color="auto" w:fill="auto"/>
            <w:vAlign w:val="center"/>
          </w:tcPr>
          <w:p w:rsidR="00F5082C" w:rsidRPr="003A5AE5" w:rsidRDefault="00F5082C" w:rsidP="00033ED9">
            <w:pPr>
              <w:pStyle w:val="TableText0"/>
              <w:jc w:val="right"/>
              <w:rPr>
                <w:szCs w:val="20"/>
              </w:rPr>
            </w:pPr>
            <w:r w:rsidRPr="003A5AE5">
              <w:rPr>
                <w:szCs w:val="20"/>
              </w:rPr>
              <w:t>-$</w:t>
            </w:r>
            <w:r w:rsidR="00885AF3">
              <w:rPr>
                <w:noProof/>
                <w:color w:val="000000"/>
                <w:szCs w:val="20"/>
                <w:highlight w:val="black"/>
              </w:rPr>
              <w:t>'''''''''''''''''''</w:t>
            </w:r>
            <w:r w:rsidR="00B42723">
              <w:rPr>
                <w:rFonts w:cs="Arial"/>
                <w:szCs w:val="20"/>
                <w:vertAlign w:val="superscript"/>
              </w:rPr>
              <w:t>2</w:t>
            </w:r>
          </w:p>
        </w:tc>
        <w:tc>
          <w:tcPr>
            <w:tcW w:w="647" w:type="pct"/>
            <w:shd w:val="clear" w:color="auto" w:fill="auto"/>
            <w:vAlign w:val="center"/>
          </w:tcPr>
          <w:p w:rsidR="00F5082C" w:rsidRPr="003A5AE5" w:rsidRDefault="00F5082C" w:rsidP="00033ED9">
            <w:pPr>
              <w:pStyle w:val="TableText0"/>
              <w:jc w:val="right"/>
              <w:rPr>
                <w:szCs w:val="20"/>
              </w:rPr>
            </w:pPr>
            <w:r w:rsidRPr="003A5AE5">
              <w:rPr>
                <w:szCs w:val="20"/>
              </w:rPr>
              <w:t>-$</w:t>
            </w:r>
            <w:r w:rsidR="00885AF3">
              <w:rPr>
                <w:noProof/>
                <w:color w:val="000000"/>
                <w:szCs w:val="20"/>
                <w:highlight w:val="black"/>
              </w:rPr>
              <w:t>'''''''''''''''''''</w:t>
            </w:r>
            <w:r w:rsidR="00B42723">
              <w:rPr>
                <w:rFonts w:cs="Arial"/>
                <w:szCs w:val="20"/>
                <w:vertAlign w:val="superscript"/>
              </w:rPr>
              <w:t>2</w:t>
            </w:r>
          </w:p>
        </w:tc>
        <w:tc>
          <w:tcPr>
            <w:tcW w:w="649" w:type="pct"/>
            <w:shd w:val="clear" w:color="auto" w:fill="auto"/>
            <w:vAlign w:val="center"/>
          </w:tcPr>
          <w:p w:rsidR="00F5082C" w:rsidRPr="003A5AE5" w:rsidRDefault="00F5082C" w:rsidP="00033ED9">
            <w:pPr>
              <w:pStyle w:val="TableText0"/>
              <w:jc w:val="right"/>
              <w:rPr>
                <w:szCs w:val="20"/>
              </w:rPr>
            </w:pPr>
            <w:r w:rsidRPr="003A5AE5">
              <w:rPr>
                <w:szCs w:val="20"/>
              </w:rPr>
              <w:t>-$</w:t>
            </w:r>
            <w:r w:rsidR="00885AF3">
              <w:rPr>
                <w:noProof/>
                <w:color w:val="000000"/>
                <w:szCs w:val="20"/>
                <w:highlight w:val="black"/>
              </w:rPr>
              <w:t>'''''''''''''''''''</w:t>
            </w:r>
            <w:r w:rsidR="00B42723">
              <w:rPr>
                <w:rFonts w:cs="Arial"/>
                <w:szCs w:val="20"/>
                <w:vertAlign w:val="superscript"/>
              </w:rPr>
              <w:t>2</w:t>
            </w:r>
          </w:p>
        </w:tc>
      </w:tr>
      <w:tr w:rsidR="00F5082C" w:rsidRPr="003A5AE5" w:rsidTr="00F5082C">
        <w:tc>
          <w:tcPr>
            <w:tcW w:w="5000" w:type="pct"/>
            <w:gridSpan w:val="7"/>
            <w:shd w:val="clear" w:color="auto" w:fill="auto"/>
            <w:vAlign w:val="center"/>
          </w:tcPr>
          <w:p w:rsidR="00F5082C" w:rsidRPr="003A5AE5" w:rsidRDefault="00F5082C" w:rsidP="00033ED9">
            <w:pPr>
              <w:pStyle w:val="In-tableHeading"/>
              <w:rPr>
                <w:szCs w:val="20"/>
                <w:lang w:val="en-AU"/>
              </w:rPr>
            </w:pPr>
            <w:r w:rsidRPr="003A5AE5">
              <w:rPr>
                <w:szCs w:val="20"/>
                <w:lang w:val="en-AU"/>
              </w:rPr>
              <w:t>Net financial implications</w:t>
            </w:r>
            <w:r w:rsidRPr="003A5AE5">
              <w:rPr>
                <w:color w:val="4BACC6" w:themeColor="accent5"/>
                <w:szCs w:val="20"/>
                <w:lang w:val="en-AU"/>
              </w:rPr>
              <w:t xml:space="preserve"> </w:t>
            </w:r>
          </w:p>
        </w:tc>
      </w:tr>
      <w:tr w:rsidR="00F5082C" w:rsidRPr="003A5AE5" w:rsidTr="00F5082C">
        <w:tc>
          <w:tcPr>
            <w:tcW w:w="1116" w:type="pct"/>
            <w:shd w:val="clear" w:color="auto" w:fill="auto"/>
            <w:vAlign w:val="center"/>
          </w:tcPr>
          <w:p w:rsidR="00F5082C" w:rsidRPr="003A5AE5" w:rsidRDefault="00F5082C" w:rsidP="00033ED9">
            <w:pPr>
              <w:pStyle w:val="TableText0"/>
              <w:rPr>
                <w:szCs w:val="20"/>
              </w:rPr>
            </w:pPr>
            <w:r w:rsidRPr="003A5AE5">
              <w:rPr>
                <w:szCs w:val="20"/>
              </w:rPr>
              <w:t>Net cost to PBS/RPBS</w:t>
            </w:r>
          </w:p>
        </w:tc>
        <w:tc>
          <w:tcPr>
            <w:tcW w:w="647" w:type="pct"/>
            <w:tcBorders>
              <w:bottom w:val="single" w:sz="4" w:space="0" w:color="auto"/>
            </w:tcBorders>
            <w:shd w:val="clear" w:color="auto" w:fill="auto"/>
            <w:vAlign w:val="center"/>
          </w:tcPr>
          <w:p w:rsidR="00F5082C" w:rsidRPr="003A5AE5" w:rsidRDefault="00F5082C" w:rsidP="00033ED9">
            <w:pPr>
              <w:pStyle w:val="TableText0"/>
              <w:jc w:val="right"/>
              <w:rPr>
                <w:szCs w:val="20"/>
              </w:rPr>
            </w:pPr>
            <w:r w:rsidRPr="003A5AE5">
              <w:rPr>
                <w:szCs w:val="20"/>
              </w:rPr>
              <w:t>$</w:t>
            </w:r>
            <w:r w:rsidR="00885AF3">
              <w:rPr>
                <w:noProof/>
                <w:color w:val="000000"/>
                <w:szCs w:val="20"/>
                <w:highlight w:val="black"/>
              </w:rPr>
              <w:t>'''''''''''''''''''''</w:t>
            </w:r>
            <w:r w:rsidR="00B42723">
              <w:rPr>
                <w:rFonts w:cs="Arial"/>
                <w:szCs w:val="20"/>
                <w:vertAlign w:val="superscript"/>
              </w:rPr>
              <w:t>2</w:t>
            </w:r>
          </w:p>
        </w:tc>
        <w:tc>
          <w:tcPr>
            <w:tcW w:w="647" w:type="pct"/>
            <w:tcBorders>
              <w:bottom w:val="single" w:sz="4" w:space="0" w:color="auto"/>
            </w:tcBorders>
            <w:shd w:val="clear" w:color="auto" w:fill="auto"/>
            <w:vAlign w:val="center"/>
          </w:tcPr>
          <w:p w:rsidR="00F5082C" w:rsidRPr="003A5AE5" w:rsidRDefault="00F5082C" w:rsidP="00033ED9">
            <w:pPr>
              <w:pStyle w:val="TableText0"/>
              <w:jc w:val="right"/>
              <w:rPr>
                <w:szCs w:val="20"/>
              </w:rPr>
            </w:pPr>
            <w:r w:rsidRPr="003A5AE5">
              <w:rPr>
                <w:szCs w:val="20"/>
              </w:rPr>
              <w:t>$</w:t>
            </w:r>
            <w:r w:rsidR="00885AF3">
              <w:rPr>
                <w:noProof/>
                <w:color w:val="000000"/>
                <w:szCs w:val="20"/>
                <w:highlight w:val="black"/>
              </w:rPr>
              <w:t>'''''''''''''''''''''''</w:t>
            </w:r>
            <w:r w:rsidR="00B42723">
              <w:rPr>
                <w:rFonts w:cs="Arial"/>
                <w:szCs w:val="20"/>
                <w:vertAlign w:val="superscript"/>
              </w:rPr>
              <w:t>2</w:t>
            </w:r>
          </w:p>
        </w:tc>
        <w:tc>
          <w:tcPr>
            <w:tcW w:w="647" w:type="pct"/>
            <w:tcBorders>
              <w:bottom w:val="single" w:sz="4" w:space="0" w:color="auto"/>
            </w:tcBorders>
            <w:shd w:val="clear" w:color="auto" w:fill="auto"/>
            <w:vAlign w:val="center"/>
          </w:tcPr>
          <w:p w:rsidR="00F5082C" w:rsidRPr="003A5AE5" w:rsidRDefault="00F5082C" w:rsidP="00033ED9">
            <w:pPr>
              <w:pStyle w:val="TableText0"/>
              <w:jc w:val="right"/>
              <w:rPr>
                <w:szCs w:val="20"/>
              </w:rPr>
            </w:pPr>
            <w:r w:rsidRPr="003A5AE5">
              <w:rPr>
                <w:szCs w:val="20"/>
              </w:rPr>
              <w:t>$</w:t>
            </w:r>
            <w:r w:rsidR="00885AF3">
              <w:rPr>
                <w:noProof/>
                <w:color w:val="000000"/>
                <w:szCs w:val="20"/>
                <w:highlight w:val="black"/>
              </w:rPr>
              <w:t>''''''''''''''''''''''''''</w:t>
            </w:r>
            <w:r w:rsidR="00B42723">
              <w:rPr>
                <w:rFonts w:cs="Arial"/>
                <w:szCs w:val="20"/>
                <w:vertAlign w:val="superscript"/>
              </w:rPr>
              <w:t>2</w:t>
            </w:r>
          </w:p>
        </w:tc>
        <w:tc>
          <w:tcPr>
            <w:tcW w:w="647" w:type="pct"/>
            <w:tcBorders>
              <w:bottom w:val="single" w:sz="4" w:space="0" w:color="auto"/>
            </w:tcBorders>
            <w:shd w:val="clear" w:color="auto" w:fill="auto"/>
            <w:vAlign w:val="center"/>
          </w:tcPr>
          <w:p w:rsidR="00F5082C" w:rsidRPr="003A5AE5" w:rsidRDefault="00F5082C" w:rsidP="00033ED9">
            <w:pPr>
              <w:pStyle w:val="TableText0"/>
              <w:jc w:val="right"/>
              <w:rPr>
                <w:szCs w:val="20"/>
              </w:rPr>
            </w:pPr>
            <w:r w:rsidRPr="003A5AE5">
              <w:rPr>
                <w:szCs w:val="20"/>
              </w:rPr>
              <w:t>$</w:t>
            </w:r>
            <w:r w:rsidR="00885AF3">
              <w:rPr>
                <w:noProof/>
                <w:color w:val="000000"/>
                <w:szCs w:val="20"/>
                <w:highlight w:val="black"/>
              </w:rPr>
              <w:t>'''''''''''''''''''''''''</w:t>
            </w:r>
            <w:r w:rsidR="00B42723">
              <w:rPr>
                <w:rFonts w:cs="Arial"/>
                <w:szCs w:val="20"/>
                <w:vertAlign w:val="superscript"/>
              </w:rPr>
              <w:t>2</w:t>
            </w:r>
          </w:p>
        </w:tc>
        <w:tc>
          <w:tcPr>
            <w:tcW w:w="647" w:type="pct"/>
            <w:tcBorders>
              <w:bottom w:val="single" w:sz="4" w:space="0" w:color="auto"/>
            </w:tcBorders>
            <w:shd w:val="clear" w:color="auto" w:fill="auto"/>
            <w:vAlign w:val="center"/>
          </w:tcPr>
          <w:p w:rsidR="00F5082C" w:rsidRPr="003A5AE5" w:rsidRDefault="00F5082C" w:rsidP="00033ED9">
            <w:pPr>
              <w:pStyle w:val="TableText0"/>
              <w:jc w:val="right"/>
              <w:rPr>
                <w:szCs w:val="20"/>
              </w:rPr>
            </w:pPr>
            <w:r w:rsidRPr="003A5AE5">
              <w:rPr>
                <w:szCs w:val="20"/>
              </w:rPr>
              <w:t>$</w:t>
            </w:r>
            <w:r w:rsidR="00885AF3">
              <w:rPr>
                <w:noProof/>
                <w:color w:val="000000"/>
                <w:szCs w:val="20"/>
                <w:highlight w:val="black"/>
              </w:rPr>
              <w:t>''''''''''''''''''''''</w:t>
            </w:r>
            <w:r w:rsidR="00B42723">
              <w:rPr>
                <w:rFonts w:cs="Arial"/>
                <w:szCs w:val="20"/>
                <w:vertAlign w:val="superscript"/>
              </w:rPr>
              <w:t>2</w:t>
            </w:r>
          </w:p>
        </w:tc>
        <w:tc>
          <w:tcPr>
            <w:tcW w:w="649" w:type="pct"/>
            <w:tcBorders>
              <w:bottom w:val="single" w:sz="4" w:space="0" w:color="auto"/>
            </w:tcBorders>
            <w:shd w:val="clear" w:color="auto" w:fill="auto"/>
            <w:vAlign w:val="center"/>
          </w:tcPr>
          <w:p w:rsidR="00F5082C" w:rsidRPr="003A5AE5" w:rsidRDefault="00F5082C" w:rsidP="00033ED9">
            <w:pPr>
              <w:pStyle w:val="TableText0"/>
              <w:jc w:val="right"/>
              <w:rPr>
                <w:szCs w:val="20"/>
              </w:rPr>
            </w:pPr>
            <w:r w:rsidRPr="003A5AE5">
              <w:rPr>
                <w:szCs w:val="20"/>
              </w:rPr>
              <w:t>$</w:t>
            </w:r>
            <w:r w:rsidR="00885AF3">
              <w:rPr>
                <w:noProof/>
                <w:color w:val="000000"/>
                <w:szCs w:val="20"/>
                <w:highlight w:val="black"/>
              </w:rPr>
              <w:t>'''''''''''''''''''''''''</w:t>
            </w:r>
            <w:r w:rsidR="00B42723">
              <w:rPr>
                <w:rFonts w:cs="Arial"/>
                <w:szCs w:val="20"/>
                <w:vertAlign w:val="superscript"/>
              </w:rPr>
              <w:t>2</w:t>
            </w:r>
          </w:p>
        </w:tc>
      </w:tr>
      <w:tr w:rsidR="00F5082C" w:rsidRPr="003A5AE5" w:rsidTr="00F5082C">
        <w:tc>
          <w:tcPr>
            <w:tcW w:w="1116" w:type="pct"/>
            <w:shd w:val="clear" w:color="auto" w:fill="auto"/>
            <w:vAlign w:val="center"/>
          </w:tcPr>
          <w:p w:rsidR="00F5082C" w:rsidRPr="003A5AE5" w:rsidRDefault="00F5082C" w:rsidP="00033ED9">
            <w:pPr>
              <w:pStyle w:val="TableText0"/>
              <w:rPr>
                <w:rFonts w:ascii="Times" w:hAnsi="Times"/>
                <w:szCs w:val="20"/>
              </w:rPr>
            </w:pPr>
            <w:r w:rsidRPr="003A5AE5">
              <w:rPr>
                <w:szCs w:val="20"/>
              </w:rPr>
              <w:t>Net cost to MBS</w:t>
            </w:r>
          </w:p>
        </w:tc>
        <w:tc>
          <w:tcPr>
            <w:tcW w:w="647" w:type="pct"/>
            <w:tcBorders>
              <w:bottom w:val="single" w:sz="4" w:space="0" w:color="auto"/>
            </w:tcBorders>
            <w:shd w:val="clear" w:color="auto" w:fill="auto"/>
            <w:vAlign w:val="center"/>
          </w:tcPr>
          <w:p w:rsidR="00F5082C" w:rsidRPr="003A5AE5" w:rsidRDefault="00F5082C" w:rsidP="00033ED9">
            <w:pPr>
              <w:pStyle w:val="TableText0"/>
              <w:jc w:val="right"/>
              <w:rPr>
                <w:szCs w:val="20"/>
              </w:rPr>
            </w:pPr>
            <w:r w:rsidRPr="003A5AE5">
              <w:rPr>
                <w:bCs w:val="0"/>
                <w:szCs w:val="20"/>
              </w:rPr>
              <w:t>$</w:t>
            </w:r>
            <w:r w:rsidR="00885AF3">
              <w:rPr>
                <w:bCs w:val="0"/>
                <w:noProof/>
                <w:color w:val="000000"/>
                <w:szCs w:val="20"/>
                <w:highlight w:val="black"/>
              </w:rPr>
              <w:t>''''''''''''''''''</w:t>
            </w:r>
            <w:r w:rsidR="00B42723">
              <w:rPr>
                <w:rFonts w:cs="Arial"/>
                <w:szCs w:val="20"/>
                <w:vertAlign w:val="superscript"/>
              </w:rPr>
              <w:t>2</w:t>
            </w:r>
          </w:p>
        </w:tc>
        <w:tc>
          <w:tcPr>
            <w:tcW w:w="647" w:type="pct"/>
            <w:tcBorders>
              <w:bottom w:val="single" w:sz="4" w:space="0" w:color="auto"/>
            </w:tcBorders>
            <w:shd w:val="clear" w:color="auto" w:fill="auto"/>
            <w:vAlign w:val="center"/>
          </w:tcPr>
          <w:p w:rsidR="00F5082C" w:rsidRPr="003A5AE5" w:rsidRDefault="00F5082C" w:rsidP="00033ED9">
            <w:pPr>
              <w:pStyle w:val="TableText0"/>
              <w:jc w:val="right"/>
              <w:rPr>
                <w:szCs w:val="20"/>
              </w:rPr>
            </w:pPr>
            <w:r w:rsidRPr="003A5AE5">
              <w:rPr>
                <w:bCs w:val="0"/>
                <w:szCs w:val="20"/>
              </w:rPr>
              <w:t>$</w:t>
            </w:r>
            <w:r w:rsidR="00885AF3">
              <w:rPr>
                <w:bCs w:val="0"/>
                <w:noProof/>
                <w:color w:val="000000"/>
                <w:szCs w:val="20"/>
                <w:highlight w:val="black"/>
              </w:rPr>
              <w:t>'''''''''''''''''</w:t>
            </w:r>
            <w:r w:rsidR="00B42723">
              <w:rPr>
                <w:rFonts w:cs="Arial"/>
                <w:szCs w:val="20"/>
                <w:vertAlign w:val="superscript"/>
              </w:rPr>
              <w:t>2</w:t>
            </w:r>
          </w:p>
        </w:tc>
        <w:tc>
          <w:tcPr>
            <w:tcW w:w="647" w:type="pct"/>
            <w:tcBorders>
              <w:bottom w:val="single" w:sz="4" w:space="0" w:color="auto"/>
            </w:tcBorders>
            <w:shd w:val="clear" w:color="auto" w:fill="auto"/>
            <w:vAlign w:val="center"/>
          </w:tcPr>
          <w:p w:rsidR="00F5082C" w:rsidRPr="003A5AE5" w:rsidRDefault="00F5082C" w:rsidP="00033ED9">
            <w:pPr>
              <w:pStyle w:val="TableText0"/>
              <w:jc w:val="right"/>
              <w:rPr>
                <w:szCs w:val="20"/>
              </w:rPr>
            </w:pPr>
            <w:r w:rsidRPr="003A5AE5">
              <w:rPr>
                <w:bCs w:val="0"/>
                <w:szCs w:val="20"/>
              </w:rPr>
              <w:t>$</w:t>
            </w:r>
            <w:r w:rsidR="00885AF3">
              <w:rPr>
                <w:bCs w:val="0"/>
                <w:noProof/>
                <w:color w:val="000000"/>
                <w:szCs w:val="20"/>
                <w:highlight w:val="black"/>
              </w:rPr>
              <w:t>''''''''''''''''''</w:t>
            </w:r>
            <w:r w:rsidR="00B42723">
              <w:rPr>
                <w:rFonts w:cs="Arial"/>
                <w:szCs w:val="20"/>
                <w:vertAlign w:val="superscript"/>
              </w:rPr>
              <w:t>2</w:t>
            </w:r>
          </w:p>
        </w:tc>
        <w:tc>
          <w:tcPr>
            <w:tcW w:w="647" w:type="pct"/>
            <w:tcBorders>
              <w:bottom w:val="single" w:sz="4" w:space="0" w:color="auto"/>
            </w:tcBorders>
            <w:shd w:val="clear" w:color="auto" w:fill="auto"/>
            <w:vAlign w:val="center"/>
          </w:tcPr>
          <w:p w:rsidR="00F5082C" w:rsidRPr="003A5AE5" w:rsidRDefault="00F5082C" w:rsidP="00033ED9">
            <w:pPr>
              <w:pStyle w:val="TableText0"/>
              <w:jc w:val="right"/>
              <w:rPr>
                <w:szCs w:val="20"/>
              </w:rPr>
            </w:pPr>
            <w:r w:rsidRPr="003A5AE5">
              <w:rPr>
                <w:bCs w:val="0"/>
                <w:szCs w:val="20"/>
              </w:rPr>
              <w:t>$</w:t>
            </w:r>
            <w:r w:rsidR="00885AF3">
              <w:rPr>
                <w:bCs w:val="0"/>
                <w:noProof/>
                <w:color w:val="000000"/>
                <w:szCs w:val="20"/>
                <w:highlight w:val="black"/>
              </w:rPr>
              <w:t>'''''''''''''''''</w:t>
            </w:r>
            <w:r w:rsidR="00B42723">
              <w:rPr>
                <w:rFonts w:cs="Arial"/>
                <w:szCs w:val="20"/>
                <w:vertAlign w:val="superscript"/>
              </w:rPr>
              <w:t>2</w:t>
            </w:r>
          </w:p>
        </w:tc>
        <w:tc>
          <w:tcPr>
            <w:tcW w:w="647" w:type="pct"/>
            <w:tcBorders>
              <w:bottom w:val="single" w:sz="4" w:space="0" w:color="auto"/>
            </w:tcBorders>
            <w:shd w:val="clear" w:color="auto" w:fill="auto"/>
            <w:vAlign w:val="center"/>
          </w:tcPr>
          <w:p w:rsidR="00F5082C" w:rsidRPr="003A5AE5" w:rsidRDefault="00F5082C" w:rsidP="00033ED9">
            <w:pPr>
              <w:pStyle w:val="TableText0"/>
              <w:jc w:val="right"/>
              <w:rPr>
                <w:szCs w:val="20"/>
              </w:rPr>
            </w:pPr>
            <w:r w:rsidRPr="003A5AE5">
              <w:rPr>
                <w:bCs w:val="0"/>
                <w:szCs w:val="20"/>
              </w:rPr>
              <w:t>$</w:t>
            </w:r>
            <w:r w:rsidR="00885AF3">
              <w:rPr>
                <w:bCs w:val="0"/>
                <w:noProof/>
                <w:color w:val="000000"/>
                <w:szCs w:val="20"/>
                <w:highlight w:val="black"/>
              </w:rPr>
              <w:t>'''''''''''''''''</w:t>
            </w:r>
            <w:r w:rsidR="00B42723">
              <w:rPr>
                <w:rFonts w:cs="Arial"/>
                <w:szCs w:val="20"/>
                <w:vertAlign w:val="superscript"/>
              </w:rPr>
              <w:t>2</w:t>
            </w:r>
          </w:p>
        </w:tc>
        <w:tc>
          <w:tcPr>
            <w:tcW w:w="649" w:type="pct"/>
            <w:tcBorders>
              <w:bottom w:val="single" w:sz="4" w:space="0" w:color="auto"/>
            </w:tcBorders>
            <w:shd w:val="clear" w:color="auto" w:fill="auto"/>
            <w:vAlign w:val="center"/>
          </w:tcPr>
          <w:p w:rsidR="00F5082C" w:rsidRPr="003A5AE5" w:rsidRDefault="00F5082C" w:rsidP="00033ED9">
            <w:pPr>
              <w:pStyle w:val="TableText0"/>
              <w:jc w:val="right"/>
              <w:rPr>
                <w:szCs w:val="20"/>
              </w:rPr>
            </w:pPr>
            <w:r w:rsidRPr="003A5AE5">
              <w:rPr>
                <w:bCs w:val="0"/>
                <w:szCs w:val="20"/>
              </w:rPr>
              <w:t>$</w:t>
            </w:r>
            <w:r w:rsidR="00885AF3">
              <w:rPr>
                <w:bCs w:val="0"/>
                <w:noProof/>
                <w:color w:val="000000"/>
                <w:szCs w:val="20"/>
                <w:highlight w:val="black"/>
              </w:rPr>
              <w:t>'''''''''''''''''</w:t>
            </w:r>
            <w:r w:rsidR="00B42723">
              <w:rPr>
                <w:rFonts w:cs="Arial"/>
                <w:szCs w:val="20"/>
                <w:vertAlign w:val="superscript"/>
              </w:rPr>
              <w:t>2</w:t>
            </w:r>
          </w:p>
        </w:tc>
      </w:tr>
      <w:tr w:rsidR="00F5082C" w:rsidRPr="003A5AE5" w:rsidTr="00F5082C">
        <w:tc>
          <w:tcPr>
            <w:tcW w:w="1116" w:type="pct"/>
            <w:shd w:val="clear" w:color="auto" w:fill="auto"/>
            <w:vAlign w:val="center"/>
          </w:tcPr>
          <w:p w:rsidR="00F5082C" w:rsidRPr="003A5AE5" w:rsidRDefault="002119BB" w:rsidP="00033ED9">
            <w:pPr>
              <w:pStyle w:val="TableText0"/>
              <w:rPr>
                <w:szCs w:val="20"/>
              </w:rPr>
            </w:pPr>
            <w:r w:rsidRPr="003A5AE5">
              <w:rPr>
                <w:szCs w:val="20"/>
              </w:rPr>
              <w:t>Net cost to PBS/RPBS/MBS</w:t>
            </w:r>
          </w:p>
        </w:tc>
        <w:tc>
          <w:tcPr>
            <w:tcW w:w="647" w:type="pct"/>
            <w:vAlign w:val="center"/>
          </w:tcPr>
          <w:p w:rsidR="00F5082C" w:rsidRPr="003A5AE5" w:rsidRDefault="00F5082C" w:rsidP="00033ED9">
            <w:pPr>
              <w:pStyle w:val="TableText0"/>
              <w:jc w:val="right"/>
              <w:rPr>
                <w:szCs w:val="20"/>
              </w:rPr>
            </w:pPr>
            <w:r w:rsidRPr="003A5AE5">
              <w:rPr>
                <w:rFonts w:cs="Times New Roman"/>
                <w:szCs w:val="20"/>
              </w:rPr>
              <w:t>$</w:t>
            </w:r>
            <w:r w:rsidR="00885AF3">
              <w:rPr>
                <w:rFonts w:cs="Times New Roman"/>
                <w:noProof/>
                <w:color w:val="000000"/>
                <w:szCs w:val="20"/>
                <w:highlight w:val="black"/>
              </w:rPr>
              <w:t>'''''''''''''''''''''''''</w:t>
            </w:r>
            <w:r w:rsidR="00B42723">
              <w:rPr>
                <w:rFonts w:cs="Arial"/>
                <w:szCs w:val="20"/>
                <w:vertAlign w:val="superscript"/>
              </w:rPr>
              <w:t>2</w:t>
            </w:r>
          </w:p>
        </w:tc>
        <w:tc>
          <w:tcPr>
            <w:tcW w:w="647" w:type="pct"/>
            <w:vAlign w:val="center"/>
          </w:tcPr>
          <w:p w:rsidR="00F5082C" w:rsidRPr="003A5AE5" w:rsidRDefault="00F5082C" w:rsidP="00033ED9">
            <w:pPr>
              <w:pStyle w:val="TableText0"/>
              <w:jc w:val="right"/>
              <w:rPr>
                <w:szCs w:val="20"/>
              </w:rPr>
            </w:pPr>
            <w:r w:rsidRPr="003A5AE5">
              <w:rPr>
                <w:rFonts w:cs="Times New Roman"/>
                <w:szCs w:val="20"/>
              </w:rPr>
              <w:t>$</w:t>
            </w:r>
            <w:r w:rsidR="00885AF3">
              <w:rPr>
                <w:rFonts w:cs="Times New Roman"/>
                <w:noProof/>
                <w:color w:val="000000"/>
                <w:szCs w:val="20"/>
                <w:highlight w:val="black"/>
              </w:rPr>
              <w:t>''''''''''''''''''''''''</w:t>
            </w:r>
            <w:r w:rsidR="00B42723">
              <w:rPr>
                <w:rFonts w:cs="Arial"/>
                <w:szCs w:val="20"/>
                <w:vertAlign w:val="superscript"/>
              </w:rPr>
              <w:t>2</w:t>
            </w:r>
          </w:p>
        </w:tc>
        <w:tc>
          <w:tcPr>
            <w:tcW w:w="647" w:type="pct"/>
            <w:vAlign w:val="center"/>
          </w:tcPr>
          <w:p w:rsidR="00F5082C" w:rsidRPr="003A5AE5" w:rsidRDefault="00F5082C" w:rsidP="00033ED9">
            <w:pPr>
              <w:pStyle w:val="TableText0"/>
              <w:jc w:val="right"/>
              <w:rPr>
                <w:szCs w:val="20"/>
              </w:rPr>
            </w:pPr>
            <w:r w:rsidRPr="003A5AE5">
              <w:rPr>
                <w:rFonts w:cs="Times New Roman"/>
                <w:szCs w:val="20"/>
              </w:rPr>
              <w:t>$</w:t>
            </w:r>
            <w:r w:rsidR="00885AF3">
              <w:rPr>
                <w:rFonts w:cs="Times New Roman"/>
                <w:noProof/>
                <w:color w:val="000000"/>
                <w:szCs w:val="20"/>
                <w:highlight w:val="black"/>
              </w:rPr>
              <w:t>'''''''''''''''''''''''</w:t>
            </w:r>
            <w:r w:rsidR="00B42723">
              <w:rPr>
                <w:rFonts w:cs="Arial"/>
                <w:szCs w:val="20"/>
                <w:vertAlign w:val="superscript"/>
              </w:rPr>
              <w:t>2</w:t>
            </w:r>
          </w:p>
        </w:tc>
        <w:tc>
          <w:tcPr>
            <w:tcW w:w="647" w:type="pct"/>
            <w:vAlign w:val="center"/>
          </w:tcPr>
          <w:p w:rsidR="00F5082C" w:rsidRPr="003A5AE5" w:rsidRDefault="00F5082C" w:rsidP="00033ED9">
            <w:pPr>
              <w:pStyle w:val="TableText0"/>
              <w:jc w:val="right"/>
              <w:rPr>
                <w:szCs w:val="20"/>
              </w:rPr>
            </w:pPr>
            <w:r w:rsidRPr="003A5AE5">
              <w:rPr>
                <w:rFonts w:cs="Times New Roman"/>
                <w:szCs w:val="20"/>
              </w:rPr>
              <w:t>$</w:t>
            </w:r>
            <w:r w:rsidR="00885AF3">
              <w:rPr>
                <w:rFonts w:cs="Times New Roman"/>
                <w:noProof/>
                <w:color w:val="000000"/>
                <w:szCs w:val="20"/>
                <w:highlight w:val="black"/>
              </w:rPr>
              <w:t>'''''''''''''''''''''''</w:t>
            </w:r>
            <w:r w:rsidR="00B42723">
              <w:rPr>
                <w:rFonts w:cs="Arial"/>
                <w:szCs w:val="20"/>
                <w:vertAlign w:val="superscript"/>
              </w:rPr>
              <w:t>2</w:t>
            </w:r>
          </w:p>
        </w:tc>
        <w:tc>
          <w:tcPr>
            <w:tcW w:w="647" w:type="pct"/>
            <w:vAlign w:val="center"/>
          </w:tcPr>
          <w:p w:rsidR="00F5082C" w:rsidRPr="003A5AE5" w:rsidRDefault="00F5082C" w:rsidP="00033ED9">
            <w:pPr>
              <w:pStyle w:val="TableText0"/>
              <w:jc w:val="right"/>
              <w:rPr>
                <w:szCs w:val="20"/>
              </w:rPr>
            </w:pPr>
            <w:r w:rsidRPr="003A5AE5">
              <w:rPr>
                <w:rFonts w:cs="Times New Roman"/>
                <w:szCs w:val="20"/>
              </w:rPr>
              <w:t>$</w:t>
            </w:r>
            <w:r w:rsidR="00885AF3">
              <w:rPr>
                <w:rFonts w:cs="Times New Roman"/>
                <w:noProof/>
                <w:color w:val="000000"/>
                <w:szCs w:val="20"/>
                <w:highlight w:val="black"/>
              </w:rPr>
              <w:t>'''''''''''''''''''''''''</w:t>
            </w:r>
            <w:r w:rsidR="00B42723">
              <w:rPr>
                <w:rFonts w:cs="Arial"/>
                <w:szCs w:val="20"/>
                <w:vertAlign w:val="superscript"/>
              </w:rPr>
              <w:t>2</w:t>
            </w:r>
          </w:p>
        </w:tc>
        <w:tc>
          <w:tcPr>
            <w:tcW w:w="649" w:type="pct"/>
            <w:vAlign w:val="center"/>
          </w:tcPr>
          <w:p w:rsidR="00F5082C" w:rsidRPr="003A5AE5" w:rsidRDefault="00F5082C" w:rsidP="00033ED9">
            <w:pPr>
              <w:pStyle w:val="TableText0"/>
              <w:jc w:val="right"/>
              <w:rPr>
                <w:szCs w:val="20"/>
              </w:rPr>
            </w:pPr>
            <w:r w:rsidRPr="003A5AE5">
              <w:rPr>
                <w:rFonts w:cs="Times New Roman"/>
                <w:szCs w:val="20"/>
              </w:rPr>
              <w:t>$</w:t>
            </w:r>
            <w:r w:rsidR="00885AF3">
              <w:rPr>
                <w:rFonts w:cs="Times New Roman"/>
                <w:noProof/>
                <w:color w:val="000000"/>
                <w:szCs w:val="20"/>
                <w:highlight w:val="black"/>
              </w:rPr>
              <w:t>''''''''''''''''''''''''</w:t>
            </w:r>
            <w:r w:rsidR="00B42723">
              <w:rPr>
                <w:rFonts w:cs="Arial"/>
                <w:szCs w:val="20"/>
                <w:vertAlign w:val="superscript"/>
              </w:rPr>
              <w:t>2</w:t>
            </w:r>
          </w:p>
        </w:tc>
      </w:tr>
    </w:tbl>
    <w:p w:rsidR="00F5082C" w:rsidRPr="003A5AE5" w:rsidRDefault="00F5082C" w:rsidP="00033ED9">
      <w:pPr>
        <w:pStyle w:val="TableFigureFooter"/>
        <w:rPr>
          <w:rStyle w:val="CommentReference"/>
        </w:rPr>
      </w:pPr>
      <w:r w:rsidRPr="003A5AE5">
        <w:t>Source: Tables 90-95</w:t>
      </w:r>
      <w:r w:rsidR="00C54430">
        <w:t xml:space="preserve"> </w:t>
      </w:r>
      <w:r w:rsidRPr="003A5AE5">
        <w:t>of the submission</w:t>
      </w:r>
    </w:p>
    <w:p w:rsidR="00F5082C" w:rsidRDefault="00F5082C" w:rsidP="00033ED9">
      <w:pPr>
        <w:pStyle w:val="TableFigureFooter"/>
      </w:pPr>
      <w:r w:rsidRPr="003A5AE5">
        <w:rPr>
          <w:vertAlign w:val="superscript"/>
        </w:rPr>
        <w:t>a</w:t>
      </w:r>
      <w:r w:rsidRPr="003A5AE5">
        <w:t xml:space="preserve"> </w:t>
      </w:r>
      <w:r w:rsidRPr="003A5AE5">
        <w:rPr>
          <w:iCs/>
        </w:rPr>
        <w:t>The dose regimen of trabectedin is 1.5mg/m2 every three weeks. Assuming an average body surface area of 2.14 m</w:t>
      </w:r>
      <w:r w:rsidRPr="003A5AE5">
        <w:rPr>
          <w:iCs/>
          <w:vertAlign w:val="superscript"/>
        </w:rPr>
        <w:t>2</w:t>
      </w:r>
      <w:r w:rsidRPr="003A5AE5">
        <w:rPr>
          <w:iCs/>
        </w:rPr>
        <w:t>, the trabectedin dosage per infusion would be 3.21 mg. Therefore, it was assumed that each trabectedin script would include 3x 1mg vials and 1x 0.25mg vials</w:t>
      </w:r>
      <w:r w:rsidRPr="003A5AE5">
        <w:t>.</w:t>
      </w:r>
      <w:r w:rsidR="0033782E" w:rsidRPr="003A5AE5">
        <w:t xml:space="preserve"> </w:t>
      </w:r>
    </w:p>
    <w:p w:rsidR="00B42723" w:rsidRPr="00B42723" w:rsidRDefault="00B42723" w:rsidP="00033ED9">
      <w:pPr>
        <w:pStyle w:val="TableFigureFooter"/>
        <w:rPr>
          <w:i/>
        </w:rPr>
      </w:pPr>
      <w:r w:rsidRPr="00B42723">
        <w:rPr>
          <w:i/>
        </w:rPr>
        <w:t>The redacted values correspond to the following ranges:</w:t>
      </w:r>
    </w:p>
    <w:p w:rsidR="00B42723" w:rsidRPr="00B42723" w:rsidRDefault="00B42723" w:rsidP="00033ED9">
      <w:pPr>
        <w:pStyle w:val="TableFigureFooter"/>
        <w:rPr>
          <w:i/>
        </w:rPr>
      </w:pPr>
      <w:r w:rsidRPr="00B42723">
        <w:rPr>
          <w:i/>
          <w:vertAlign w:val="superscript"/>
        </w:rPr>
        <w:t>1</w:t>
      </w:r>
      <w:r w:rsidRPr="00B42723">
        <w:rPr>
          <w:i/>
        </w:rPr>
        <w:t xml:space="preserve"> &lt; 500</w:t>
      </w:r>
    </w:p>
    <w:p w:rsidR="00B42723" w:rsidRPr="00B42723" w:rsidRDefault="00B42723" w:rsidP="00033ED9">
      <w:pPr>
        <w:pStyle w:val="TableFigureFooter"/>
        <w:rPr>
          <w:i/>
        </w:rPr>
      </w:pPr>
      <w:r w:rsidRPr="00B42723">
        <w:rPr>
          <w:i/>
          <w:vertAlign w:val="superscript"/>
        </w:rPr>
        <w:t>2</w:t>
      </w:r>
      <w:r w:rsidRPr="00B42723">
        <w:rPr>
          <w:i/>
        </w:rPr>
        <w:t xml:space="preserve"> $0 to &lt; $10 million</w:t>
      </w:r>
    </w:p>
    <w:p w:rsidR="00F5082C" w:rsidRPr="003A5AE5" w:rsidRDefault="00AD39A3" w:rsidP="00033ED9">
      <w:pPr>
        <w:pStyle w:val="3-BodyText"/>
      </w:pPr>
      <w:r w:rsidRPr="003A5AE5">
        <w:t xml:space="preserve">The net costs to the PBS/RPBS </w:t>
      </w:r>
      <w:r w:rsidR="00985BCD" w:rsidRPr="003A5AE5">
        <w:t>wa</w:t>
      </w:r>
      <w:r w:rsidRPr="003A5AE5">
        <w:t xml:space="preserve">s </w:t>
      </w:r>
      <w:r w:rsidR="00985BCD" w:rsidRPr="003A5AE5">
        <w:t>a result of</w:t>
      </w:r>
      <w:r w:rsidRPr="003A5AE5">
        <w:t xml:space="preserve"> the availability of an additional line of therapy following the listing </w:t>
      </w:r>
      <w:r w:rsidR="00985BCD" w:rsidRPr="003A5AE5">
        <w:t xml:space="preserve">of </w:t>
      </w:r>
      <w:r w:rsidRPr="003A5AE5">
        <w:t xml:space="preserve">pazopanib (pazopanib after trabectedin or vice versa, compared with pazopanib only in current clinical practice). </w:t>
      </w:r>
      <w:r w:rsidR="00785116" w:rsidRPr="003A5AE5">
        <w:t xml:space="preserve">This was based on the proposed published price for </w:t>
      </w:r>
      <w:r w:rsidR="00A308E9" w:rsidRPr="003A5AE5">
        <w:t>trabectedin</w:t>
      </w:r>
      <w:r w:rsidR="00785116" w:rsidRPr="003A5AE5">
        <w:t xml:space="preserve"> and the published PBS listed price for pazopanib. </w:t>
      </w:r>
    </w:p>
    <w:p w:rsidR="00AD39A3" w:rsidRPr="003A5AE5" w:rsidRDefault="00AD39A3" w:rsidP="00033ED9">
      <w:pPr>
        <w:pStyle w:val="3-BodyText"/>
      </w:pPr>
      <w:r w:rsidRPr="003A5AE5">
        <w:t xml:space="preserve">The only MBS cost considered in the financial analysis was the administration cost associated with trabectedin therapy. The financial implications for the health budget </w:t>
      </w:r>
      <w:r w:rsidR="009D09C0" w:rsidRPr="003A5AE5">
        <w:t xml:space="preserve">may </w:t>
      </w:r>
      <w:r w:rsidRPr="003A5AE5">
        <w:t xml:space="preserve">have been underestimated in the submission, as the costs associated with management of </w:t>
      </w:r>
      <w:r w:rsidR="005D2700" w:rsidRPr="003A5AE5">
        <w:t>AE</w:t>
      </w:r>
      <w:r w:rsidRPr="003A5AE5">
        <w:t>s were not taken into account in the financial analysis.</w:t>
      </w:r>
      <w:r w:rsidR="00985BCD" w:rsidRPr="003A5AE5">
        <w:t xml:space="preserve"> This would be offset to an unknown extent by the likely over-estimated uptake of trabectedin, given its safety profile and the oral formulation of pazopanib.</w:t>
      </w:r>
      <w:r w:rsidR="00BE0D5B" w:rsidRPr="003A5AE5">
        <w:t xml:space="preserve"> </w:t>
      </w:r>
      <w:r w:rsidR="001D20CC" w:rsidRPr="003A5AE5">
        <w:t>The PSCR argued that treatment-emergent AEs</w:t>
      </w:r>
      <w:r w:rsidR="00BE0D5B" w:rsidRPr="003A5AE5">
        <w:t xml:space="preserve"> in Study 3007 were primarily due to additional investigations and blood/lymphatic system disorders in the trabectedin arm of the clinical trial and </w:t>
      </w:r>
      <w:r w:rsidR="001D20CC" w:rsidRPr="003A5AE5">
        <w:t>stated</w:t>
      </w:r>
      <w:r w:rsidR="00BE0D5B" w:rsidRPr="003A5AE5">
        <w:t xml:space="preserve"> the financial impact of treating these was likely to be m</w:t>
      </w:r>
      <w:r w:rsidR="001D20CC" w:rsidRPr="003A5AE5">
        <w:t>inimal.</w:t>
      </w:r>
    </w:p>
    <w:p w:rsidR="00B83195" w:rsidRPr="003A5AE5" w:rsidRDefault="00B83195" w:rsidP="00033ED9">
      <w:pPr>
        <w:pStyle w:val="3-BodyText"/>
      </w:pPr>
      <w:r w:rsidRPr="003A5AE5">
        <w:rPr>
          <w:iCs/>
        </w:rPr>
        <w:t xml:space="preserve">The estimated financial impact is moderately sensitive to the proportion of pazopanib scripts assumed to be used for LMS. If this figure is increased from 25.37% to 35.37%, the net cost to the health budget is increased by </w:t>
      </w:r>
      <w:r w:rsidR="00FB10D8" w:rsidRPr="003A5AE5">
        <w:rPr>
          <w:iCs/>
        </w:rPr>
        <w:t>approximately 36% in the first year and 39% in the sixth year</w:t>
      </w:r>
      <w:r w:rsidRPr="003A5AE5">
        <w:rPr>
          <w:iCs/>
        </w:rPr>
        <w:t xml:space="preserve">. As discussed above, the justification for the 25.37% may be inaccurate, and depends on uniform prescribing practices amongst a wide range of STS types. </w:t>
      </w:r>
    </w:p>
    <w:p w:rsidR="00785116" w:rsidRPr="003A5AE5" w:rsidRDefault="00D8714C" w:rsidP="00033ED9">
      <w:pPr>
        <w:pStyle w:val="3-BodyText"/>
      </w:pPr>
      <w:r w:rsidRPr="003A5AE5">
        <w:t xml:space="preserve">The PBAC </w:t>
      </w:r>
      <w:r w:rsidR="00865F35" w:rsidRPr="003A5AE5">
        <w:t>estimated</w:t>
      </w:r>
      <w:r w:rsidR="00914A7E">
        <w:t>,</w:t>
      </w:r>
      <w:r w:rsidR="00865F35" w:rsidRPr="003A5AE5">
        <w:t xml:space="preserve"> based on PBS prescription </w:t>
      </w:r>
      <w:r w:rsidRPr="003A5AE5">
        <w:t>data provided by the DUSC Secretariat for eribulin for advanced</w:t>
      </w:r>
      <w:r w:rsidR="00FB55BA" w:rsidRPr="003A5AE5">
        <w:t xml:space="preserve"> LPS from 2017 to 2021</w:t>
      </w:r>
      <w:r w:rsidR="00914A7E">
        <w:t>,</w:t>
      </w:r>
      <w:r w:rsidR="00FB55BA" w:rsidRPr="003A5AE5">
        <w:t xml:space="preserve"> </w:t>
      </w:r>
      <w:r w:rsidR="00865F35" w:rsidRPr="003A5AE5">
        <w:t>that</w:t>
      </w:r>
      <w:r w:rsidR="00FB55BA" w:rsidRPr="003A5AE5">
        <w:t xml:space="preserve"> </w:t>
      </w:r>
      <w:r w:rsidR="00814341" w:rsidRPr="003A5AE5">
        <w:t xml:space="preserve">approximately </w:t>
      </w:r>
      <w:r w:rsidR="003D68B7">
        <w:t>&lt; 500</w:t>
      </w:r>
      <w:r w:rsidR="00FB55BA" w:rsidRPr="003A5AE5">
        <w:t xml:space="preserve"> patients</w:t>
      </w:r>
      <w:r w:rsidR="00814341" w:rsidRPr="003A5AE5">
        <w:t xml:space="preserve"> per year</w:t>
      </w:r>
      <w:r w:rsidR="00FB55BA" w:rsidRPr="003A5AE5">
        <w:t xml:space="preserve"> would receive trabectedin</w:t>
      </w:r>
      <w:r w:rsidR="00814341" w:rsidRPr="003A5AE5">
        <w:t xml:space="preserve"> for LPS</w:t>
      </w:r>
      <w:r w:rsidR="005325AE" w:rsidRPr="003A5AE5">
        <w:t>.</w:t>
      </w:r>
      <w:r w:rsidR="00F42DF6" w:rsidRPr="003A5AE5">
        <w:t xml:space="preserve"> </w:t>
      </w:r>
      <w:r w:rsidR="00814341" w:rsidRPr="003A5AE5">
        <w:t xml:space="preserve">This was based on trabectedin being used in 80% of eribulin patient population. </w:t>
      </w:r>
      <w:r w:rsidR="00F42DF6" w:rsidRPr="003A5AE5">
        <w:t>The PBAC considered the trabectedin</w:t>
      </w:r>
      <w:r w:rsidR="00814341" w:rsidRPr="003A5AE5">
        <w:t xml:space="preserve"> dose and</w:t>
      </w:r>
      <w:r w:rsidR="00F42DF6" w:rsidRPr="003A5AE5">
        <w:t xml:space="preserve"> treatment duration for patients with LPS would be </w:t>
      </w:r>
      <w:r w:rsidR="00814341" w:rsidRPr="003A5AE5">
        <w:t>similar to</w:t>
      </w:r>
      <w:r w:rsidR="00F42DF6" w:rsidRPr="003A5AE5">
        <w:t xml:space="preserve"> that for patients with LMS. </w:t>
      </w:r>
    </w:p>
    <w:p w:rsidR="00576972" w:rsidRPr="003A5AE5" w:rsidRDefault="00576972" w:rsidP="00033ED9">
      <w:pPr>
        <w:pStyle w:val="4-SubsectionHeading"/>
      </w:pPr>
      <w:bookmarkStart w:id="71" w:name="_Toc72160064"/>
      <w:bookmarkStart w:id="72" w:name="_Toc72205681"/>
      <w:bookmarkStart w:id="73" w:name="_Toc72315636"/>
      <w:r w:rsidRPr="003A5AE5">
        <w:t>Quality Use of Medicines</w:t>
      </w:r>
      <w:bookmarkEnd w:id="4"/>
      <w:bookmarkEnd w:id="71"/>
      <w:bookmarkEnd w:id="72"/>
      <w:bookmarkEnd w:id="73"/>
    </w:p>
    <w:p w:rsidR="004243DC" w:rsidRPr="003A5AE5" w:rsidRDefault="004243DC" w:rsidP="00033ED9">
      <w:pPr>
        <w:pStyle w:val="3-BodyText"/>
      </w:pPr>
      <w:bookmarkStart w:id="74" w:name="_Toc22897649"/>
      <w:r w:rsidRPr="003A5AE5">
        <w:t xml:space="preserve">The submission included a copy of </w:t>
      </w:r>
      <w:r w:rsidR="00985BCD" w:rsidRPr="003A5AE5">
        <w:t xml:space="preserve">the </w:t>
      </w:r>
      <w:r w:rsidRPr="003A5AE5">
        <w:t xml:space="preserve">European Risk Management Plan (RMP) for trabectedin and the Australian Specific Annex in its attachments. </w:t>
      </w:r>
    </w:p>
    <w:bookmarkEnd w:id="74"/>
    <w:p w:rsidR="00785B49" w:rsidRPr="003A5AE5" w:rsidRDefault="00ED36E9" w:rsidP="00033ED9">
      <w:pPr>
        <w:ind w:firstLine="709"/>
        <w:rPr>
          <w:rFonts w:asciiTheme="minorHAnsi" w:hAnsiTheme="minorHAnsi"/>
          <w:i/>
        </w:rPr>
      </w:pPr>
      <w:r w:rsidRPr="003A5AE5">
        <w:rPr>
          <w:rFonts w:asciiTheme="minorHAnsi" w:hAnsiTheme="minorHAnsi"/>
          <w:i/>
        </w:rPr>
        <w:t>For more detail on PBAC’s view, see section 7 PBAC outcome.</w:t>
      </w:r>
    </w:p>
    <w:p w:rsidR="00785B49" w:rsidRPr="003A5AE5" w:rsidRDefault="00785B49" w:rsidP="00033ED9">
      <w:pPr>
        <w:keepNext/>
        <w:numPr>
          <w:ilvl w:val="0"/>
          <w:numId w:val="1"/>
        </w:numPr>
        <w:spacing w:before="240" w:after="120"/>
        <w:outlineLvl w:val="0"/>
        <w:rPr>
          <w:rFonts w:asciiTheme="minorHAnsi" w:hAnsiTheme="minorHAnsi"/>
          <w:b/>
          <w:bCs/>
          <w:snapToGrid w:val="0"/>
          <w:sz w:val="32"/>
        </w:rPr>
      </w:pPr>
      <w:r w:rsidRPr="003A5AE5">
        <w:rPr>
          <w:rFonts w:asciiTheme="minorHAnsi" w:hAnsiTheme="minorHAnsi"/>
          <w:b/>
          <w:bCs/>
          <w:snapToGrid w:val="0"/>
          <w:sz w:val="32"/>
        </w:rPr>
        <w:t>PBAC Outcome</w:t>
      </w:r>
    </w:p>
    <w:p w:rsidR="00785B49" w:rsidRPr="003A5AE5" w:rsidRDefault="00785B49" w:rsidP="00033ED9">
      <w:pPr>
        <w:numPr>
          <w:ilvl w:val="1"/>
          <w:numId w:val="1"/>
        </w:numPr>
        <w:spacing w:after="120"/>
        <w:rPr>
          <w:rFonts w:asciiTheme="minorHAnsi" w:hAnsiTheme="minorHAnsi"/>
          <w:bCs/>
          <w:snapToGrid w:val="0"/>
        </w:rPr>
      </w:pPr>
      <w:r w:rsidRPr="003A5AE5">
        <w:rPr>
          <w:rFonts w:asciiTheme="minorHAnsi" w:hAnsiTheme="minorHAnsi"/>
          <w:bCs/>
          <w:snapToGrid w:val="0"/>
        </w:rPr>
        <w:t>The PBAC recommended the</w:t>
      </w:r>
      <w:r w:rsidR="006F753A" w:rsidRPr="003A5AE5">
        <w:rPr>
          <w:rFonts w:asciiTheme="minorHAnsi" w:hAnsiTheme="minorHAnsi"/>
          <w:bCs/>
          <w:snapToGrid w:val="0"/>
        </w:rPr>
        <w:t xml:space="preserve"> Section 100 (Efficient Funding of Chemotherapy), Authority Required (STREAMLINED) listing of trabectedin for the treatment of leiomyosarcoma (LMS). Noting the evidence presented for trabectedin included a population with liposarcoma (LPS) and</w:t>
      </w:r>
      <w:r w:rsidR="002D5A39" w:rsidRPr="003A5AE5">
        <w:rPr>
          <w:rFonts w:asciiTheme="minorHAnsi" w:hAnsiTheme="minorHAnsi"/>
          <w:bCs/>
          <w:snapToGrid w:val="0"/>
        </w:rPr>
        <w:t xml:space="preserve"> that the treatment effect was similar across both sarcomas, together</w:t>
      </w:r>
      <w:r w:rsidR="006F753A" w:rsidRPr="003A5AE5">
        <w:rPr>
          <w:rFonts w:asciiTheme="minorHAnsi" w:hAnsiTheme="minorHAnsi"/>
          <w:bCs/>
          <w:snapToGrid w:val="0"/>
        </w:rPr>
        <w:t xml:space="preserve"> </w:t>
      </w:r>
      <w:r w:rsidR="00AD7C1B" w:rsidRPr="003A5AE5">
        <w:rPr>
          <w:rFonts w:asciiTheme="minorHAnsi" w:hAnsiTheme="minorHAnsi"/>
          <w:bCs/>
          <w:snapToGrid w:val="0"/>
        </w:rPr>
        <w:t xml:space="preserve">with </w:t>
      </w:r>
      <w:r w:rsidR="006F753A" w:rsidRPr="003A5AE5">
        <w:rPr>
          <w:rFonts w:asciiTheme="minorHAnsi" w:hAnsiTheme="minorHAnsi"/>
          <w:bCs/>
          <w:snapToGrid w:val="0"/>
        </w:rPr>
        <w:t xml:space="preserve">the high clinical need for additional treatment options </w:t>
      </w:r>
      <w:r w:rsidR="00BB6282" w:rsidRPr="003A5AE5">
        <w:rPr>
          <w:rFonts w:asciiTheme="minorHAnsi" w:hAnsiTheme="minorHAnsi"/>
          <w:bCs/>
          <w:snapToGrid w:val="0"/>
        </w:rPr>
        <w:t xml:space="preserve">for LPS </w:t>
      </w:r>
      <w:r w:rsidR="00914A7E">
        <w:rPr>
          <w:rFonts w:asciiTheme="minorHAnsi" w:hAnsiTheme="minorHAnsi"/>
          <w:bCs/>
          <w:snapToGrid w:val="0"/>
        </w:rPr>
        <w:t>that</w:t>
      </w:r>
      <w:r w:rsidR="00914A7E" w:rsidRPr="003A5AE5">
        <w:rPr>
          <w:rFonts w:asciiTheme="minorHAnsi" w:hAnsiTheme="minorHAnsi"/>
          <w:bCs/>
          <w:snapToGrid w:val="0"/>
        </w:rPr>
        <w:t xml:space="preserve"> </w:t>
      </w:r>
      <w:r w:rsidR="002D5A39" w:rsidRPr="003A5AE5">
        <w:rPr>
          <w:rFonts w:asciiTheme="minorHAnsi" w:hAnsiTheme="minorHAnsi"/>
          <w:bCs/>
          <w:snapToGrid w:val="0"/>
        </w:rPr>
        <w:t xml:space="preserve">is a </w:t>
      </w:r>
      <w:r w:rsidR="00BB6282" w:rsidRPr="003A5AE5">
        <w:rPr>
          <w:rFonts w:asciiTheme="minorHAnsi" w:hAnsiTheme="minorHAnsi"/>
          <w:bCs/>
          <w:snapToGrid w:val="0"/>
        </w:rPr>
        <w:t>rare and aggressive cancer,</w:t>
      </w:r>
      <w:r w:rsidR="006F753A" w:rsidRPr="003A5AE5">
        <w:rPr>
          <w:rFonts w:asciiTheme="minorHAnsi" w:hAnsiTheme="minorHAnsi"/>
          <w:bCs/>
          <w:snapToGrid w:val="0"/>
        </w:rPr>
        <w:t xml:space="preserve"> the PBAC also recommended the </w:t>
      </w:r>
      <w:r w:rsidR="003855FA" w:rsidRPr="003A5AE5">
        <w:rPr>
          <w:rFonts w:asciiTheme="minorHAnsi" w:hAnsiTheme="minorHAnsi"/>
          <w:bCs/>
          <w:snapToGrid w:val="0"/>
        </w:rPr>
        <w:t>Section 100 (Efficient Funding of Chemotherapy)</w:t>
      </w:r>
      <w:r w:rsidR="00BE737D" w:rsidRPr="003A5AE5">
        <w:rPr>
          <w:rFonts w:asciiTheme="minorHAnsi" w:hAnsiTheme="minorHAnsi"/>
          <w:bCs/>
          <w:snapToGrid w:val="0"/>
        </w:rPr>
        <w:t xml:space="preserve"> Authority Required (STREAMLINED)</w:t>
      </w:r>
      <w:r w:rsidR="003855FA" w:rsidRPr="003A5AE5">
        <w:rPr>
          <w:rFonts w:asciiTheme="minorHAnsi" w:hAnsiTheme="minorHAnsi"/>
          <w:bCs/>
          <w:snapToGrid w:val="0"/>
        </w:rPr>
        <w:t xml:space="preserve"> </w:t>
      </w:r>
      <w:r w:rsidR="006F753A" w:rsidRPr="003A5AE5">
        <w:rPr>
          <w:rFonts w:asciiTheme="minorHAnsi" w:hAnsiTheme="minorHAnsi"/>
          <w:bCs/>
          <w:snapToGrid w:val="0"/>
        </w:rPr>
        <w:t xml:space="preserve">listing of trabectedin </w:t>
      </w:r>
      <w:r w:rsidR="00BB6282" w:rsidRPr="003A5AE5">
        <w:rPr>
          <w:rFonts w:asciiTheme="minorHAnsi" w:hAnsiTheme="minorHAnsi"/>
          <w:bCs/>
          <w:snapToGrid w:val="0"/>
        </w:rPr>
        <w:t>for LPS.</w:t>
      </w:r>
    </w:p>
    <w:p w:rsidR="00C97359" w:rsidRPr="003A5AE5" w:rsidRDefault="002241BC" w:rsidP="00033ED9">
      <w:pPr>
        <w:numPr>
          <w:ilvl w:val="1"/>
          <w:numId w:val="1"/>
        </w:numPr>
        <w:spacing w:after="120"/>
        <w:rPr>
          <w:rFonts w:asciiTheme="minorHAnsi" w:hAnsiTheme="minorHAnsi"/>
          <w:bCs/>
          <w:snapToGrid w:val="0"/>
        </w:rPr>
      </w:pPr>
      <w:r w:rsidRPr="003A5AE5">
        <w:rPr>
          <w:rFonts w:asciiTheme="minorHAnsi" w:hAnsiTheme="minorHAnsi"/>
          <w:bCs/>
          <w:snapToGrid w:val="0"/>
        </w:rPr>
        <w:t xml:space="preserve">The PBAC’s recommendation for listing </w:t>
      </w:r>
      <w:r w:rsidR="002D5A39" w:rsidRPr="003A5AE5">
        <w:rPr>
          <w:rFonts w:asciiTheme="minorHAnsi" w:hAnsiTheme="minorHAnsi"/>
          <w:bCs/>
          <w:snapToGrid w:val="0"/>
        </w:rPr>
        <w:t xml:space="preserve">in LMS </w:t>
      </w:r>
      <w:r w:rsidRPr="003A5AE5">
        <w:rPr>
          <w:rFonts w:asciiTheme="minorHAnsi" w:hAnsiTheme="minorHAnsi"/>
          <w:bCs/>
          <w:snapToGrid w:val="0"/>
        </w:rPr>
        <w:t xml:space="preserve">was based on, among other matters, its </w:t>
      </w:r>
      <w:r w:rsidR="00697740" w:rsidRPr="003A5AE5">
        <w:rPr>
          <w:rFonts w:asciiTheme="minorHAnsi" w:hAnsiTheme="minorHAnsi"/>
          <w:bCs/>
          <w:snapToGrid w:val="0"/>
        </w:rPr>
        <w:t xml:space="preserve">assessment, </w:t>
      </w:r>
      <w:r w:rsidRPr="003A5AE5">
        <w:rPr>
          <w:rFonts w:asciiTheme="minorHAnsi" w:hAnsiTheme="minorHAnsi"/>
          <w:bCs/>
          <w:snapToGrid w:val="0"/>
        </w:rPr>
        <w:t xml:space="preserve">that </w:t>
      </w:r>
      <w:r w:rsidR="00697740" w:rsidRPr="003A5AE5">
        <w:rPr>
          <w:rFonts w:asciiTheme="minorHAnsi" w:hAnsiTheme="minorHAnsi"/>
          <w:bCs/>
          <w:snapToGrid w:val="0"/>
        </w:rPr>
        <w:t>the cost-effectiveness of trabectedin</w:t>
      </w:r>
      <w:r w:rsidRPr="003A5AE5">
        <w:rPr>
          <w:rFonts w:asciiTheme="minorHAnsi" w:hAnsiTheme="minorHAnsi"/>
          <w:bCs/>
          <w:snapToGrid w:val="0"/>
        </w:rPr>
        <w:t xml:space="preserve"> would be acceptable if it we</w:t>
      </w:r>
      <w:r w:rsidR="00697740" w:rsidRPr="003A5AE5">
        <w:rPr>
          <w:rFonts w:asciiTheme="minorHAnsi" w:hAnsiTheme="minorHAnsi"/>
          <w:bCs/>
          <w:snapToGrid w:val="0"/>
        </w:rPr>
        <w:t>re cost-minimised against pazopanib.</w:t>
      </w:r>
      <w:r w:rsidR="00044890" w:rsidRPr="003A5AE5">
        <w:rPr>
          <w:rFonts w:asciiTheme="minorHAnsi" w:hAnsiTheme="minorHAnsi"/>
          <w:bCs/>
          <w:snapToGrid w:val="0"/>
        </w:rPr>
        <w:t xml:space="preserve"> </w:t>
      </w:r>
      <w:r w:rsidR="002D5A39" w:rsidRPr="003A5AE5">
        <w:rPr>
          <w:rFonts w:asciiTheme="minorHAnsi" w:hAnsiTheme="minorHAnsi"/>
          <w:bCs/>
          <w:snapToGrid w:val="0"/>
        </w:rPr>
        <w:t>The PBAC’s recommendation for listing in LPS was based on, among other matters, its assessment, that the cost-effectiveness of trabectedin would be acceptable if it were priced the same as for the LMS population</w:t>
      </w:r>
      <w:r w:rsidR="00044890" w:rsidRPr="003A5AE5">
        <w:rPr>
          <w:rFonts w:asciiTheme="minorHAnsi" w:hAnsiTheme="minorHAnsi"/>
          <w:bCs/>
          <w:snapToGrid w:val="0"/>
        </w:rPr>
        <w:t>.</w:t>
      </w:r>
    </w:p>
    <w:p w:rsidR="008226CD" w:rsidRPr="003A5AE5" w:rsidRDefault="008226CD" w:rsidP="00033ED9">
      <w:pPr>
        <w:numPr>
          <w:ilvl w:val="1"/>
          <w:numId w:val="1"/>
        </w:numPr>
        <w:spacing w:after="120"/>
        <w:rPr>
          <w:rFonts w:asciiTheme="minorHAnsi" w:hAnsiTheme="minorHAnsi"/>
          <w:bCs/>
          <w:snapToGrid w:val="0"/>
        </w:rPr>
      </w:pPr>
      <w:r w:rsidRPr="003A5AE5">
        <w:rPr>
          <w:bCs/>
          <w:snapToGrid w:val="0"/>
        </w:rPr>
        <w:t xml:space="preserve">The PBAC </w:t>
      </w:r>
      <w:r w:rsidR="00747147" w:rsidRPr="003A5AE5">
        <w:rPr>
          <w:bCs/>
          <w:snapToGrid w:val="0"/>
        </w:rPr>
        <w:t xml:space="preserve">welcomed input from healthcare professionals and organisations and </w:t>
      </w:r>
      <w:r w:rsidRPr="003A5AE5">
        <w:rPr>
          <w:bCs/>
          <w:snapToGrid w:val="0"/>
        </w:rPr>
        <w:t xml:space="preserve">acknowledged there was a high clinical need for effective treatments for LMS and LPS </w:t>
      </w:r>
      <w:r w:rsidR="00914A7E">
        <w:rPr>
          <w:bCs/>
          <w:snapToGrid w:val="0"/>
        </w:rPr>
        <w:t>that</w:t>
      </w:r>
      <w:r w:rsidR="00914A7E" w:rsidRPr="003A5AE5">
        <w:rPr>
          <w:bCs/>
          <w:snapToGrid w:val="0"/>
        </w:rPr>
        <w:t xml:space="preserve"> </w:t>
      </w:r>
      <w:r w:rsidRPr="003A5AE5">
        <w:rPr>
          <w:bCs/>
          <w:snapToGrid w:val="0"/>
        </w:rPr>
        <w:t>are rare and difficult to treat cancers with limited treatment options for patients whose condition has progressed following first-</w:t>
      </w:r>
      <w:r w:rsidR="00E87F22" w:rsidRPr="003A5AE5">
        <w:rPr>
          <w:bCs/>
          <w:snapToGrid w:val="0"/>
        </w:rPr>
        <w:t>line chemotherapy. The PBAC</w:t>
      </w:r>
      <w:r w:rsidRPr="003A5AE5">
        <w:rPr>
          <w:bCs/>
          <w:snapToGrid w:val="0"/>
        </w:rPr>
        <w:t xml:space="preserve"> advised there was a clinical place for trabectedin as an alternative and additional treatment option for second (or subsequent) line treatment of LMS and LPS and that patients should be able to use trabectedin and other later line agents sequentially</w:t>
      </w:r>
      <w:r w:rsidR="00BB6282" w:rsidRPr="003A5AE5">
        <w:rPr>
          <w:bCs/>
          <w:snapToGrid w:val="0"/>
        </w:rPr>
        <w:t xml:space="preserve"> within their listed indications,</w:t>
      </w:r>
      <w:r w:rsidRPr="003A5AE5">
        <w:rPr>
          <w:bCs/>
          <w:snapToGrid w:val="0"/>
        </w:rPr>
        <w:t xml:space="preserve"> as deemed clinically appropriate.</w:t>
      </w:r>
    </w:p>
    <w:p w:rsidR="00785B49" w:rsidRPr="003A5AE5" w:rsidRDefault="00DD2D74" w:rsidP="00033ED9">
      <w:pPr>
        <w:numPr>
          <w:ilvl w:val="1"/>
          <w:numId w:val="1"/>
        </w:numPr>
        <w:spacing w:after="120"/>
        <w:rPr>
          <w:rFonts w:asciiTheme="minorHAnsi" w:hAnsiTheme="minorHAnsi"/>
          <w:bCs/>
          <w:snapToGrid w:val="0"/>
        </w:rPr>
      </w:pPr>
      <w:r w:rsidRPr="003A5AE5">
        <w:t xml:space="preserve">The PBAC accepted the nominated comparator for LMS of pazopanib although considered placebo is also a relevant comparator where trabectedin is used sequentially with pazopanib and </w:t>
      </w:r>
      <w:r w:rsidR="00AD7C1B" w:rsidRPr="003A5AE5">
        <w:t xml:space="preserve">noted </w:t>
      </w:r>
      <w:r w:rsidRPr="003A5AE5">
        <w:t>that this was estimated to occur in approximately 50% of patients.</w:t>
      </w:r>
      <w:r w:rsidRPr="003A5AE5" w:rsidDel="00DD2D74">
        <w:rPr>
          <w:rFonts w:asciiTheme="minorHAnsi" w:hAnsiTheme="minorHAnsi"/>
          <w:bCs/>
          <w:snapToGrid w:val="0"/>
        </w:rPr>
        <w:t xml:space="preserve"> </w:t>
      </w:r>
    </w:p>
    <w:p w:rsidR="00B22B78" w:rsidRPr="003A5AE5" w:rsidRDefault="00874FCF" w:rsidP="00033ED9">
      <w:pPr>
        <w:numPr>
          <w:ilvl w:val="1"/>
          <w:numId w:val="1"/>
        </w:numPr>
        <w:spacing w:after="120"/>
      </w:pPr>
      <w:r w:rsidRPr="003A5AE5">
        <w:t>The PBAC noted</w:t>
      </w:r>
      <w:r w:rsidR="0007237E" w:rsidRPr="003A5AE5">
        <w:t xml:space="preserve"> that no overall survival benefit </w:t>
      </w:r>
      <w:r w:rsidR="00617145" w:rsidRPr="003A5AE5">
        <w:t xml:space="preserve">(OS) </w:t>
      </w:r>
      <w:r w:rsidR="0007237E" w:rsidRPr="003A5AE5">
        <w:t xml:space="preserve">versus dacarbazine was observed in </w:t>
      </w:r>
      <w:r w:rsidR="00617145" w:rsidRPr="003A5AE5">
        <w:t>the pivotal trabectedin study (</w:t>
      </w:r>
      <w:r w:rsidR="0007237E" w:rsidRPr="003A5AE5">
        <w:t>Study 3007</w:t>
      </w:r>
      <w:r w:rsidR="00617145" w:rsidRPr="003A5AE5">
        <w:t xml:space="preserve">). </w:t>
      </w:r>
      <w:r w:rsidR="000334D4" w:rsidRPr="003A5AE5">
        <w:t>However, a statistically significant progression free survival (PFS) benefit of approximately 2.7 months was seen in the trabectedin arm compared to dacarbazine (</w:t>
      </w:r>
      <w:r w:rsidR="00BE737D" w:rsidRPr="003A5AE5">
        <w:t>Hazard Ratio (</w:t>
      </w:r>
      <w:r w:rsidR="000334D4" w:rsidRPr="003A5AE5">
        <w:t>HR</w:t>
      </w:r>
      <w:r w:rsidR="00BE737D" w:rsidRPr="003A5AE5">
        <w:t>)</w:t>
      </w:r>
      <w:r w:rsidR="000334D4" w:rsidRPr="003A5AE5">
        <w:t xml:space="preserve"> 0.550, 95% CI: 0.436, 0.696)</w:t>
      </w:r>
      <w:r w:rsidR="00625DE2" w:rsidRPr="003A5AE5">
        <w:t xml:space="preserve"> for the intention to treat (ITT) population</w:t>
      </w:r>
      <w:r w:rsidR="000334D4" w:rsidRPr="003A5AE5">
        <w:t xml:space="preserve">. The PBAC </w:t>
      </w:r>
      <w:r w:rsidR="000334D4" w:rsidRPr="003A5AE5">
        <w:rPr>
          <w:bCs/>
        </w:rPr>
        <w:t>advised</w:t>
      </w:r>
      <w:r w:rsidR="0007237E" w:rsidRPr="003A5AE5">
        <w:rPr>
          <w:bCs/>
        </w:rPr>
        <w:t xml:space="preserve"> it was reasonable to consider a benefit in </w:t>
      </w:r>
      <w:r w:rsidR="00EE0D15" w:rsidRPr="003A5AE5">
        <w:rPr>
          <w:bCs/>
        </w:rPr>
        <w:t>PFS without a demonstrated OS benefit</w:t>
      </w:r>
      <w:r w:rsidR="0007237E" w:rsidRPr="003A5AE5">
        <w:rPr>
          <w:bCs/>
        </w:rPr>
        <w:t xml:space="preserve"> in </w:t>
      </w:r>
      <w:r w:rsidR="00625DE2" w:rsidRPr="003A5AE5">
        <w:rPr>
          <w:bCs/>
        </w:rPr>
        <w:t>patients with LMS and LPS</w:t>
      </w:r>
      <w:r w:rsidR="00B22B78" w:rsidRPr="003A5AE5">
        <w:rPr>
          <w:bCs/>
        </w:rPr>
        <w:t xml:space="preserve">. The PBAC </w:t>
      </w:r>
      <w:r w:rsidR="00B22B78" w:rsidRPr="003A5AE5">
        <w:t>recalled that pazopanib had been considered superior to best supportive care with respect to extending PFS alone at its July 2013 meeting where the Committee considered that this reflected an advantage</w:t>
      </w:r>
      <w:r w:rsidR="00E87F22" w:rsidRPr="003A5AE5">
        <w:t xml:space="preserve"> to patients with LMS (section</w:t>
      </w:r>
      <w:r w:rsidR="00B22B78" w:rsidRPr="003A5AE5">
        <w:t xml:space="preserve"> 8, pazopanib </w:t>
      </w:r>
      <w:r w:rsidR="003D68B7">
        <w:t>Public Summary Document (</w:t>
      </w:r>
      <w:r w:rsidR="00B22B78" w:rsidRPr="003A5AE5">
        <w:t>PSD</w:t>
      </w:r>
      <w:r w:rsidR="003D68B7">
        <w:t>)</w:t>
      </w:r>
      <w:r w:rsidR="00B22B78" w:rsidRPr="003A5AE5">
        <w:t xml:space="preserve">, July 2013 PBAC Meeting). </w:t>
      </w:r>
    </w:p>
    <w:p w:rsidR="00785B49" w:rsidRPr="003A5AE5" w:rsidRDefault="0007237E" w:rsidP="00033ED9">
      <w:pPr>
        <w:pStyle w:val="3-BodyText"/>
      </w:pPr>
      <w:r w:rsidRPr="003A5AE5">
        <w:rPr>
          <w:bCs/>
        </w:rPr>
        <w:t>The PBAC noted th</w:t>
      </w:r>
      <w:r w:rsidR="00625DE2" w:rsidRPr="003A5AE5">
        <w:rPr>
          <w:bCs/>
        </w:rPr>
        <w:t xml:space="preserve">at, consistent with the ITT population, no OS benefit was observed in the LMS subgroup. </w:t>
      </w:r>
      <w:r w:rsidR="00DD6C9C" w:rsidRPr="003A5AE5">
        <w:rPr>
          <w:bCs/>
        </w:rPr>
        <w:t>The observed</w:t>
      </w:r>
      <w:r w:rsidRPr="003A5AE5">
        <w:rPr>
          <w:bCs/>
        </w:rPr>
        <w:t xml:space="preserve"> PFS</w:t>
      </w:r>
      <w:r w:rsidR="00874FCF" w:rsidRPr="003A5AE5">
        <w:rPr>
          <w:bCs/>
        </w:rPr>
        <w:t xml:space="preserve"> benefit </w:t>
      </w:r>
      <w:r w:rsidR="00625DE2" w:rsidRPr="003A5AE5">
        <w:rPr>
          <w:bCs/>
        </w:rPr>
        <w:t xml:space="preserve">of approximately </w:t>
      </w:r>
      <w:r w:rsidR="001E50C0" w:rsidRPr="003A5AE5">
        <w:rPr>
          <w:bCs/>
        </w:rPr>
        <w:t>2.7 months for patients treated with trabectedin</w:t>
      </w:r>
      <w:r w:rsidR="001B2413" w:rsidRPr="003A5AE5">
        <w:rPr>
          <w:bCs/>
        </w:rPr>
        <w:t xml:space="preserve"> in this </w:t>
      </w:r>
      <w:r w:rsidR="001E50C0" w:rsidRPr="003A5AE5">
        <w:rPr>
          <w:bCs/>
        </w:rPr>
        <w:t>subgroup</w:t>
      </w:r>
      <w:r w:rsidR="00AD7C1B" w:rsidRPr="003A5AE5">
        <w:rPr>
          <w:bCs/>
        </w:rPr>
        <w:t xml:space="preserve"> </w:t>
      </w:r>
      <w:r w:rsidRPr="003A5AE5">
        <w:rPr>
          <w:bCs/>
        </w:rPr>
        <w:t>(</w:t>
      </w:r>
      <w:r w:rsidR="00620B5B" w:rsidRPr="003A5AE5">
        <w:rPr>
          <w:bCs/>
        </w:rPr>
        <w:t>HR</w:t>
      </w:r>
      <w:r w:rsidRPr="003A5AE5">
        <w:rPr>
          <w:bCs/>
        </w:rPr>
        <w:t xml:space="preserve"> 0.555, 95% CI 0.423, 0.727)</w:t>
      </w:r>
      <w:r w:rsidR="00DD6C9C" w:rsidRPr="003A5AE5">
        <w:rPr>
          <w:bCs/>
        </w:rPr>
        <w:t xml:space="preserve"> was similar to that for the ITT population</w:t>
      </w:r>
      <w:r w:rsidR="00625DE2" w:rsidRPr="003A5AE5">
        <w:rPr>
          <w:bCs/>
        </w:rPr>
        <w:t xml:space="preserve">. </w:t>
      </w:r>
      <w:r w:rsidR="001E50C0" w:rsidRPr="003A5AE5">
        <w:rPr>
          <w:bCs/>
        </w:rPr>
        <w:t>The LMS subgroup of the key pazopanib trial (PALETTE) also reported a PFS benefit of approximately 2.7 months for patients treated with this drug compared to placebo (HR 0.37, 95% CI 0.23, 0.60).</w:t>
      </w:r>
      <w:r w:rsidR="001B2413" w:rsidRPr="003A5AE5">
        <w:rPr>
          <w:bCs/>
        </w:rPr>
        <w:t xml:space="preserve"> </w:t>
      </w:r>
      <w:r w:rsidRPr="003A5AE5">
        <w:rPr>
          <w:bCs/>
        </w:rPr>
        <w:t xml:space="preserve">The PBAC </w:t>
      </w:r>
      <w:r w:rsidR="001B2413" w:rsidRPr="003A5AE5">
        <w:rPr>
          <w:bCs/>
        </w:rPr>
        <w:t xml:space="preserve">noted that </w:t>
      </w:r>
      <w:r w:rsidR="004F5876" w:rsidRPr="003A5AE5">
        <w:rPr>
          <w:bCs/>
        </w:rPr>
        <w:t>a formal indirect comparison with pazopanib for LMS was not undertaken</w:t>
      </w:r>
      <w:r w:rsidR="001B2413" w:rsidRPr="003A5AE5">
        <w:rPr>
          <w:bCs/>
        </w:rPr>
        <w:t xml:space="preserve"> due to the lack of a common comparator and differences in trial populations.</w:t>
      </w:r>
      <w:r w:rsidR="004F5876" w:rsidRPr="003A5AE5">
        <w:rPr>
          <w:bCs/>
        </w:rPr>
        <w:t xml:space="preserve"> </w:t>
      </w:r>
      <w:r w:rsidR="001B2413" w:rsidRPr="003A5AE5">
        <w:rPr>
          <w:bCs/>
        </w:rPr>
        <w:t xml:space="preserve">However, the PBAC noted </w:t>
      </w:r>
      <w:r w:rsidR="004F5876" w:rsidRPr="003A5AE5">
        <w:rPr>
          <w:bCs/>
        </w:rPr>
        <w:t>the naïve results were numerically similar</w:t>
      </w:r>
      <w:r w:rsidR="001B2413" w:rsidRPr="003A5AE5">
        <w:rPr>
          <w:bCs/>
        </w:rPr>
        <w:t xml:space="preserve"> and advised that,</w:t>
      </w:r>
      <w:r w:rsidR="004F5876" w:rsidRPr="003A5AE5">
        <w:rPr>
          <w:bCs/>
        </w:rPr>
        <w:t xml:space="preserve"> given </w:t>
      </w:r>
      <w:r w:rsidR="00C64A8A" w:rsidRPr="003A5AE5">
        <w:rPr>
          <w:bCs/>
        </w:rPr>
        <w:t>further comparative evidence is unlike</w:t>
      </w:r>
      <w:r w:rsidR="00BE737D" w:rsidRPr="003A5AE5">
        <w:rPr>
          <w:bCs/>
        </w:rPr>
        <w:t>ly to become available</w:t>
      </w:r>
      <w:r w:rsidR="00C64A8A" w:rsidRPr="003A5AE5">
        <w:rPr>
          <w:bCs/>
        </w:rPr>
        <w:t xml:space="preserve"> and </w:t>
      </w:r>
      <w:r w:rsidR="004F5876" w:rsidRPr="003A5AE5">
        <w:rPr>
          <w:bCs/>
        </w:rPr>
        <w:t xml:space="preserve">the high clinical need for additional treatments, the </w:t>
      </w:r>
      <w:r w:rsidR="001B2413" w:rsidRPr="003A5AE5">
        <w:rPr>
          <w:bCs/>
        </w:rPr>
        <w:t>Committee</w:t>
      </w:r>
      <w:r w:rsidR="004F5876" w:rsidRPr="003A5AE5">
        <w:rPr>
          <w:bCs/>
        </w:rPr>
        <w:t xml:space="preserve"> was satisfied that trabectedin was likely of similar comparative effectiveness to pazopanib for LMS.</w:t>
      </w:r>
    </w:p>
    <w:p w:rsidR="00620B5B" w:rsidRPr="003A5AE5" w:rsidRDefault="00C64A8A" w:rsidP="00033ED9">
      <w:pPr>
        <w:pStyle w:val="3-BodyText"/>
      </w:pPr>
      <w:r w:rsidRPr="003A5AE5">
        <w:t>The PBAC noted that, consistent with the ITT and LMS population</w:t>
      </w:r>
      <w:r w:rsidR="00D550F3" w:rsidRPr="003A5AE5">
        <w:t>s</w:t>
      </w:r>
      <w:r w:rsidRPr="003A5AE5">
        <w:t>, no OS benefit</w:t>
      </w:r>
      <w:r w:rsidR="00D550F3" w:rsidRPr="003A5AE5">
        <w:t xml:space="preserve"> was observed in the LPS subgroup</w:t>
      </w:r>
      <w:r w:rsidR="003A5AE5" w:rsidRPr="003A5AE5">
        <w:t xml:space="preserve">. </w:t>
      </w:r>
      <w:r w:rsidR="00D550F3" w:rsidRPr="003A5AE5">
        <w:t xml:space="preserve">A PFS benefit of approximately 1.5 months was observed in patients treated with trabectedin in the LPS subgroup </w:t>
      </w:r>
      <w:r w:rsidR="00BE737D" w:rsidRPr="003A5AE5">
        <w:br/>
      </w:r>
      <w:r w:rsidR="00D550F3" w:rsidRPr="003A5AE5">
        <w:t xml:space="preserve">(HR 0.546, 95% CI 0.341, 0.873). The PBAC noted the consistency in the HRs </w:t>
      </w:r>
      <w:r w:rsidR="00620B5B" w:rsidRPr="003A5AE5">
        <w:t xml:space="preserve">reported for the ITT population and the LMS and LPS subgroups. </w:t>
      </w:r>
      <w:r w:rsidR="00C12BB8" w:rsidRPr="003A5AE5">
        <w:t>The PBAC also noted the results of the TSAR study in which the PFS benefit in the LPS/LMS subgroup</w:t>
      </w:r>
      <w:r w:rsidR="00051692" w:rsidRPr="003A5AE5">
        <w:t xml:space="preserve"> </w:t>
      </w:r>
      <w:r w:rsidR="00B40C5B" w:rsidRPr="003A5AE5">
        <w:t>was 5.1 months</w:t>
      </w:r>
      <w:r w:rsidR="00C12BB8" w:rsidRPr="003A5AE5">
        <w:t xml:space="preserve"> compared to 1.4 months for best supportive care (BSC) (HR 0.29, p &lt;0.0001)</w:t>
      </w:r>
      <w:r w:rsidR="003A5AE5" w:rsidRPr="003A5AE5">
        <w:t xml:space="preserve">. </w:t>
      </w:r>
      <w:r w:rsidR="00620B5B" w:rsidRPr="003A5AE5">
        <w:t xml:space="preserve">The PBAC considered </w:t>
      </w:r>
      <w:r w:rsidR="00837733" w:rsidRPr="003A5AE5">
        <w:t>t</w:t>
      </w:r>
      <w:r w:rsidR="00620B5B" w:rsidRPr="003A5AE5">
        <w:t>he level of clinical benefit with trabectedin wa</w:t>
      </w:r>
      <w:r w:rsidR="00837733" w:rsidRPr="003A5AE5">
        <w:t>s likely to be similar across</w:t>
      </w:r>
      <w:r w:rsidR="00D43300" w:rsidRPr="003A5AE5">
        <w:t xml:space="preserve"> all</w:t>
      </w:r>
      <w:r w:rsidR="00837733" w:rsidRPr="003A5AE5">
        <w:t xml:space="preserve"> </w:t>
      </w:r>
      <w:r w:rsidR="00051692" w:rsidRPr="003A5AE5">
        <w:t xml:space="preserve">L-type </w:t>
      </w:r>
      <w:r w:rsidR="00837733" w:rsidRPr="003A5AE5">
        <w:t xml:space="preserve">sarcoma based on </w:t>
      </w:r>
      <w:r w:rsidR="00E87F22" w:rsidRPr="003A5AE5">
        <w:t>the</w:t>
      </w:r>
      <w:r w:rsidR="00837733" w:rsidRPr="003A5AE5">
        <w:t xml:space="preserve"> evidence</w:t>
      </w:r>
      <w:r w:rsidR="00620B5B" w:rsidRPr="003A5AE5">
        <w:t xml:space="preserve"> presented. </w:t>
      </w:r>
    </w:p>
    <w:p w:rsidR="00620B5B" w:rsidRPr="003A5AE5" w:rsidRDefault="00756C37" w:rsidP="00033ED9">
      <w:pPr>
        <w:numPr>
          <w:ilvl w:val="1"/>
          <w:numId w:val="1"/>
        </w:numPr>
        <w:spacing w:after="120"/>
        <w:rPr>
          <w:rFonts w:asciiTheme="minorHAnsi" w:hAnsiTheme="minorHAnsi"/>
          <w:bCs/>
          <w:snapToGrid w:val="0"/>
        </w:rPr>
      </w:pPr>
      <w:r w:rsidRPr="003A5AE5">
        <w:rPr>
          <w:rFonts w:asciiTheme="minorHAnsi" w:hAnsiTheme="minorHAnsi"/>
          <w:bCs/>
          <w:snapToGrid w:val="0"/>
        </w:rPr>
        <w:t xml:space="preserve">The </w:t>
      </w:r>
      <w:r w:rsidR="00620B5B" w:rsidRPr="003A5AE5">
        <w:rPr>
          <w:rFonts w:asciiTheme="minorHAnsi" w:hAnsiTheme="minorHAnsi"/>
          <w:bCs/>
          <w:snapToGrid w:val="0"/>
        </w:rPr>
        <w:t>PBAC</w:t>
      </w:r>
      <w:r w:rsidRPr="003A5AE5">
        <w:rPr>
          <w:rFonts w:asciiTheme="minorHAnsi" w:hAnsiTheme="minorHAnsi"/>
          <w:bCs/>
          <w:snapToGrid w:val="0"/>
        </w:rPr>
        <w:t xml:space="preserve"> noted that only a side-by-side comparison of adverse events of trabectedin and pazopanib was presented</w:t>
      </w:r>
      <w:r w:rsidR="00620B5B" w:rsidRPr="003A5AE5">
        <w:rPr>
          <w:rFonts w:asciiTheme="minorHAnsi" w:hAnsiTheme="minorHAnsi"/>
          <w:bCs/>
          <w:snapToGrid w:val="0"/>
        </w:rPr>
        <w:t>.</w:t>
      </w:r>
      <w:r w:rsidRPr="003A5AE5">
        <w:rPr>
          <w:rFonts w:asciiTheme="minorHAnsi" w:hAnsiTheme="minorHAnsi"/>
          <w:bCs/>
          <w:snapToGrid w:val="0"/>
        </w:rPr>
        <w:t xml:space="preserve"> </w:t>
      </w:r>
      <w:r w:rsidR="00620B5B" w:rsidRPr="003A5AE5">
        <w:rPr>
          <w:rFonts w:asciiTheme="minorHAnsi" w:hAnsiTheme="minorHAnsi"/>
          <w:bCs/>
          <w:snapToGrid w:val="0"/>
        </w:rPr>
        <w:t>T</w:t>
      </w:r>
      <w:r w:rsidRPr="003A5AE5">
        <w:rPr>
          <w:rFonts w:asciiTheme="minorHAnsi" w:hAnsiTheme="minorHAnsi"/>
          <w:bCs/>
          <w:snapToGrid w:val="0"/>
        </w:rPr>
        <w:t>he PBAC also no</w:t>
      </w:r>
      <w:r w:rsidR="0085288C" w:rsidRPr="003A5AE5">
        <w:rPr>
          <w:rFonts w:asciiTheme="minorHAnsi" w:hAnsiTheme="minorHAnsi"/>
          <w:bCs/>
          <w:snapToGrid w:val="0"/>
        </w:rPr>
        <w:t xml:space="preserve">ted that trabectedin appeared to have a </w:t>
      </w:r>
      <w:r w:rsidR="00620B5B" w:rsidRPr="003A5AE5">
        <w:rPr>
          <w:rFonts w:asciiTheme="minorHAnsi" w:hAnsiTheme="minorHAnsi"/>
          <w:bCs/>
          <w:snapToGrid w:val="0"/>
        </w:rPr>
        <w:t>higher incidence</w:t>
      </w:r>
      <w:r w:rsidR="0085288C" w:rsidRPr="003A5AE5">
        <w:rPr>
          <w:rFonts w:asciiTheme="minorHAnsi" w:hAnsiTheme="minorHAnsi"/>
          <w:bCs/>
          <w:snapToGrid w:val="0"/>
        </w:rPr>
        <w:t xml:space="preserve"> of Grade 4 adverse events,</w:t>
      </w:r>
      <w:r w:rsidR="00E37B97" w:rsidRPr="003A5AE5">
        <w:rPr>
          <w:rFonts w:asciiTheme="minorHAnsi" w:hAnsiTheme="minorHAnsi"/>
          <w:bCs/>
          <w:snapToGrid w:val="0"/>
        </w:rPr>
        <w:t xml:space="preserve"> of which a major driver was </w:t>
      </w:r>
      <w:r w:rsidR="0085288C" w:rsidRPr="003A5AE5">
        <w:rPr>
          <w:rFonts w:asciiTheme="minorHAnsi" w:hAnsiTheme="minorHAnsi"/>
          <w:bCs/>
          <w:snapToGrid w:val="0"/>
        </w:rPr>
        <w:t>laboratory abnormalities. Given these apparent differences, the PBAC considered that trabectedin is likely of inferior safety to pazopanib</w:t>
      </w:r>
      <w:r w:rsidR="003A5AE5" w:rsidRPr="003A5AE5">
        <w:rPr>
          <w:rFonts w:asciiTheme="minorHAnsi" w:hAnsiTheme="minorHAnsi"/>
          <w:bCs/>
          <w:snapToGrid w:val="0"/>
        </w:rPr>
        <w:t xml:space="preserve">. </w:t>
      </w:r>
      <w:r w:rsidR="00620B5B" w:rsidRPr="003A5AE5">
        <w:rPr>
          <w:rFonts w:asciiTheme="minorHAnsi" w:hAnsiTheme="minorHAnsi"/>
          <w:bCs/>
          <w:snapToGrid w:val="0"/>
        </w:rPr>
        <w:t>H</w:t>
      </w:r>
      <w:r w:rsidR="0085288C" w:rsidRPr="003A5AE5">
        <w:rPr>
          <w:rFonts w:asciiTheme="minorHAnsi" w:hAnsiTheme="minorHAnsi"/>
          <w:bCs/>
          <w:snapToGrid w:val="0"/>
        </w:rPr>
        <w:t>owever</w:t>
      </w:r>
      <w:r w:rsidR="00620B5B" w:rsidRPr="003A5AE5">
        <w:rPr>
          <w:rFonts w:asciiTheme="minorHAnsi" w:hAnsiTheme="minorHAnsi"/>
          <w:bCs/>
          <w:snapToGrid w:val="0"/>
        </w:rPr>
        <w:t>, the PBAC</w:t>
      </w:r>
      <w:r w:rsidR="0085288C" w:rsidRPr="003A5AE5">
        <w:rPr>
          <w:rFonts w:asciiTheme="minorHAnsi" w:hAnsiTheme="minorHAnsi"/>
          <w:bCs/>
          <w:snapToGrid w:val="0"/>
        </w:rPr>
        <w:t xml:space="preserve"> </w:t>
      </w:r>
      <w:r w:rsidR="00E37B97" w:rsidRPr="003A5AE5">
        <w:rPr>
          <w:rFonts w:asciiTheme="minorHAnsi" w:hAnsiTheme="minorHAnsi"/>
          <w:bCs/>
          <w:snapToGrid w:val="0"/>
        </w:rPr>
        <w:t xml:space="preserve">agreed with the ESC that </w:t>
      </w:r>
      <w:r w:rsidR="0085288C" w:rsidRPr="003A5AE5">
        <w:rPr>
          <w:rFonts w:asciiTheme="minorHAnsi" w:hAnsiTheme="minorHAnsi"/>
          <w:bCs/>
          <w:snapToGrid w:val="0"/>
        </w:rPr>
        <w:t>many of the</w:t>
      </w:r>
      <w:r w:rsidR="00E37B97" w:rsidRPr="003A5AE5">
        <w:rPr>
          <w:rFonts w:asciiTheme="minorHAnsi" w:hAnsiTheme="minorHAnsi"/>
          <w:bCs/>
          <w:snapToGrid w:val="0"/>
        </w:rPr>
        <w:t xml:space="preserve"> laboratory anomalies may be </w:t>
      </w:r>
      <w:r w:rsidR="00D93830" w:rsidRPr="003A5AE5">
        <w:rPr>
          <w:rFonts w:asciiTheme="minorHAnsi" w:hAnsiTheme="minorHAnsi"/>
          <w:bCs/>
          <w:snapToGrid w:val="0"/>
        </w:rPr>
        <w:t>manageable with supportive care measures</w:t>
      </w:r>
      <w:r w:rsidR="00E37B97" w:rsidRPr="003A5AE5">
        <w:rPr>
          <w:rFonts w:asciiTheme="minorHAnsi" w:hAnsiTheme="minorHAnsi"/>
          <w:bCs/>
          <w:snapToGrid w:val="0"/>
        </w:rPr>
        <w:t xml:space="preserve">. </w:t>
      </w:r>
    </w:p>
    <w:p w:rsidR="00747147" w:rsidRPr="003A5AE5" w:rsidRDefault="00FA5731" w:rsidP="00033ED9">
      <w:pPr>
        <w:pStyle w:val="3-BodyText"/>
      </w:pPr>
      <w:r w:rsidRPr="003A5AE5">
        <w:t>The PBAC considered th</w:t>
      </w:r>
      <w:r w:rsidR="00E87F22" w:rsidRPr="003A5AE5">
        <w:t xml:space="preserve">at a </w:t>
      </w:r>
      <w:r w:rsidRPr="003A5AE5">
        <w:t>cost</w:t>
      </w:r>
      <w:r w:rsidR="004E4AB7" w:rsidRPr="003A5AE5">
        <w:t>-</w:t>
      </w:r>
      <w:r w:rsidRPr="003A5AE5">
        <w:t>mi</w:t>
      </w:r>
      <w:r w:rsidR="00E87F22" w:rsidRPr="003A5AE5">
        <w:t>nimisation analysis</w:t>
      </w:r>
      <w:r w:rsidRPr="003A5AE5">
        <w:t xml:space="preserve"> </w:t>
      </w:r>
      <w:r w:rsidR="004E4AB7" w:rsidRPr="003A5AE5">
        <w:t>of trabectedin compared with pazopanib</w:t>
      </w:r>
      <w:r w:rsidR="004E4AB7" w:rsidRPr="003A5AE5" w:rsidDel="004E4AB7">
        <w:t xml:space="preserve"> </w:t>
      </w:r>
      <w:r w:rsidR="004E4AB7" w:rsidRPr="003A5AE5">
        <w:t>was appropriate to establish the cost-effectiveness of listing trabec</w:t>
      </w:r>
      <w:r w:rsidRPr="003A5AE5">
        <w:t>t</w:t>
      </w:r>
      <w:r w:rsidR="004E4AB7" w:rsidRPr="003A5AE5">
        <w:t xml:space="preserve">edin </w:t>
      </w:r>
      <w:r w:rsidR="00B868BC" w:rsidRPr="003A5AE5">
        <w:t xml:space="preserve">for LMS. </w:t>
      </w:r>
      <w:r w:rsidR="00D83467" w:rsidRPr="003A5AE5">
        <w:t xml:space="preserve">The PBAC </w:t>
      </w:r>
      <w:r w:rsidR="00E87F22" w:rsidRPr="003A5AE5">
        <w:t xml:space="preserve">agreed with the ESC that </w:t>
      </w:r>
      <w:r w:rsidR="00117799" w:rsidRPr="003A5AE5">
        <w:t xml:space="preserve">a shorter treatment duration </w:t>
      </w:r>
      <w:r w:rsidR="00026FB3" w:rsidRPr="003A5AE5">
        <w:t xml:space="preserve">with </w:t>
      </w:r>
      <w:r w:rsidR="00117799" w:rsidRPr="003A5AE5">
        <w:t xml:space="preserve">trabectedin </w:t>
      </w:r>
      <w:r w:rsidR="00026FB3" w:rsidRPr="003A5AE5">
        <w:t xml:space="preserve">versus </w:t>
      </w:r>
      <w:r w:rsidR="00A150EE" w:rsidRPr="003A5AE5">
        <w:t xml:space="preserve">that </w:t>
      </w:r>
      <w:r w:rsidR="00026FB3" w:rsidRPr="003A5AE5">
        <w:t xml:space="preserve">with </w:t>
      </w:r>
      <w:r w:rsidR="00A150EE" w:rsidRPr="003A5AE5">
        <w:t>pazopanib</w:t>
      </w:r>
      <w:r w:rsidR="00026FB3" w:rsidRPr="003A5AE5">
        <w:t xml:space="preserve"> was not supported</w:t>
      </w:r>
      <w:r w:rsidR="00117799" w:rsidRPr="003A5AE5">
        <w:t xml:space="preserve">. </w:t>
      </w:r>
      <w:r w:rsidR="001B121E" w:rsidRPr="001B121E">
        <w:rPr>
          <w:bCs/>
        </w:rPr>
        <w:t>The PBAC considered the equi-effective doses should be based on the mean (rather than median) estimate of the treatment duration and that the same duration (21.8 weeks) should be assumed for both trabectedin and pazopanib. The PBAC noted ESC’s comment that if the reported mean treatment durations of 21.80 weeks for trabectedin and 19.6 weeks for pazopanib were used, the cost minimised price of trabectedin would be lower. However, noting the financial risk associated with assuming the same treatment duration for both drugs is small, and the need for alternative treatment options, the PBAC considered in this instance it would be reasonable to assume a treatment duration of 21.8 weeks for both drugs. The PBAC advised the equi-effective doses are:</w:t>
      </w:r>
    </w:p>
    <w:p w:rsidR="00A150EE" w:rsidRPr="003A5AE5" w:rsidRDefault="00747147" w:rsidP="00033ED9">
      <w:pPr>
        <w:pStyle w:val="ListParagraph"/>
        <w:numPr>
          <w:ilvl w:val="0"/>
          <w:numId w:val="15"/>
        </w:numPr>
        <w:rPr>
          <w:bCs/>
        </w:rPr>
      </w:pPr>
      <w:r w:rsidRPr="003A5AE5">
        <w:rPr>
          <w:bCs/>
        </w:rPr>
        <w:t xml:space="preserve">Trabectedin 2.93 mg </w:t>
      </w:r>
      <w:r w:rsidRPr="003A5AE5">
        <w:t xml:space="preserve">as a 24-hour infusion </w:t>
      </w:r>
      <w:r w:rsidRPr="003A5AE5">
        <w:rPr>
          <w:bCs/>
        </w:rPr>
        <w:t>Day 1 of each 21-day treatment cycle for 21.80 weeks; and</w:t>
      </w:r>
    </w:p>
    <w:p w:rsidR="00747147" w:rsidRPr="003A5AE5" w:rsidRDefault="00747147" w:rsidP="00033ED9">
      <w:pPr>
        <w:pStyle w:val="ListParagraph"/>
        <w:numPr>
          <w:ilvl w:val="0"/>
          <w:numId w:val="15"/>
        </w:numPr>
        <w:rPr>
          <w:bCs/>
        </w:rPr>
      </w:pPr>
      <w:r w:rsidRPr="003A5AE5">
        <w:rPr>
          <w:bCs/>
        </w:rPr>
        <w:t>Pazopanib 700.35 mg orally once daily for 21.80 weeks.</w:t>
      </w:r>
    </w:p>
    <w:p w:rsidR="007B04C8" w:rsidRPr="003A5AE5" w:rsidRDefault="007B04C8" w:rsidP="00033ED9">
      <w:pPr>
        <w:numPr>
          <w:ilvl w:val="1"/>
          <w:numId w:val="1"/>
        </w:numPr>
        <w:spacing w:after="120"/>
        <w:rPr>
          <w:rFonts w:asciiTheme="minorHAnsi" w:hAnsiTheme="minorHAnsi"/>
          <w:bCs/>
          <w:snapToGrid w:val="0"/>
        </w:rPr>
      </w:pPr>
      <w:r w:rsidRPr="003A5AE5">
        <w:rPr>
          <w:rFonts w:asciiTheme="minorHAnsi" w:hAnsiTheme="minorHAnsi"/>
          <w:bCs/>
          <w:snapToGrid w:val="0"/>
        </w:rPr>
        <w:t xml:space="preserve">The PBAC noted, as for LMS, trabectedin would </w:t>
      </w:r>
      <w:r w:rsidR="00DA4AC0" w:rsidRPr="003A5AE5">
        <w:rPr>
          <w:rFonts w:asciiTheme="minorHAnsi" w:hAnsiTheme="minorHAnsi"/>
          <w:bCs/>
          <w:snapToGrid w:val="0"/>
        </w:rPr>
        <w:t>provide</w:t>
      </w:r>
      <w:r w:rsidRPr="003A5AE5">
        <w:rPr>
          <w:rFonts w:asciiTheme="minorHAnsi" w:hAnsiTheme="minorHAnsi"/>
          <w:bCs/>
          <w:snapToGrid w:val="0"/>
        </w:rPr>
        <w:t xml:space="preserve"> an additional line of therapy</w:t>
      </w:r>
      <w:r w:rsidR="00DA4AC0" w:rsidRPr="003A5AE5">
        <w:rPr>
          <w:rFonts w:asciiTheme="minorHAnsi" w:hAnsiTheme="minorHAnsi"/>
          <w:bCs/>
          <w:snapToGrid w:val="0"/>
        </w:rPr>
        <w:t xml:space="preserve"> for patients with LPS</w:t>
      </w:r>
      <w:r w:rsidRPr="003A5AE5">
        <w:rPr>
          <w:rFonts w:asciiTheme="minorHAnsi" w:hAnsiTheme="minorHAnsi"/>
          <w:bCs/>
          <w:snapToGrid w:val="0"/>
        </w:rPr>
        <w:t xml:space="preserve">. The PBAC further noted the efficacy of trabectedin </w:t>
      </w:r>
      <w:r w:rsidR="00DA4AC0" w:rsidRPr="003A5AE5">
        <w:rPr>
          <w:rFonts w:asciiTheme="minorHAnsi" w:hAnsiTheme="minorHAnsi"/>
          <w:bCs/>
          <w:snapToGrid w:val="0"/>
        </w:rPr>
        <w:t>in LPS was similar to that observed in LMS. The PBAC therefore considered trabectedin would be cost-effective in LPS at the same price as determined cost-effective fo</w:t>
      </w:r>
      <w:r w:rsidR="00795D07" w:rsidRPr="003A5AE5">
        <w:rPr>
          <w:rFonts w:asciiTheme="minorHAnsi" w:hAnsiTheme="minorHAnsi"/>
          <w:bCs/>
          <w:snapToGrid w:val="0"/>
        </w:rPr>
        <w:t>r LMS (as outlined in paragraph</w:t>
      </w:r>
      <w:r w:rsidR="009D2244" w:rsidRPr="003A5AE5">
        <w:rPr>
          <w:rFonts w:asciiTheme="minorHAnsi" w:hAnsiTheme="minorHAnsi"/>
          <w:bCs/>
          <w:snapToGrid w:val="0"/>
        </w:rPr>
        <w:t xml:space="preserve"> 7.9</w:t>
      </w:r>
      <w:r w:rsidR="00DA4AC0" w:rsidRPr="003A5AE5">
        <w:rPr>
          <w:rFonts w:asciiTheme="minorHAnsi" w:hAnsiTheme="minorHAnsi"/>
          <w:bCs/>
          <w:snapToGrid w:val="0"/>
        </w:rPr>
        <w:t>).</w:t>
      </w:r>
      <w:r w:rsidRPr="003A5AE5">
        <w:rPr>
          <w:rFonts w:asciiTheme="minorHAnsi" w:hAnsiTheme="minorHAnsi"/>
          <w:bCs/>
          <w:snapToGrid w:val="0"/>
        </w:rPr>
        <w:t xml:space="preserve"> </w:t>
      </w:r>
    </w:p>
    <w:p w:rsidR="00B80606" w:rsidRPr="003A5AE5" w:rsidRDefault="00953314" w:rsidP="00033ED9">
      <w:pPr>
        <w:numPr>
          <w:ilvl w:val="1"/>
          <w:numId w:val="1"/>
        </w:numPr>
        <w:spacing w:after="120"/>
        <w:rPr>
          <w:rFonts w:asciiTheme="minorHAnsi" w:hAnsiTheme="minorHAnsi"/>
          <w:bCs/>
          <w:snapToGrid w:val="0"/>
        </w:rPr>
      </w:pPr>
      <w:r w:rsidRPr="003A5AE5">
        <w:rPr>
          <w:rFonts w:asciiTheme="minorHAnsi" w:hAnsiTheme="minorHAnsi"/>
          <w:bCs/>
          <w:snapToGrid w:val="0"/>
        </w:rPr>
        <w:t xml:space="preserve">The PBAC noted the financial estimates </w:t>
      </w:r>
      <w:r w:rsidR="00DA4AC0" w:rsidRPr="003A5AE5">
        <w:rPr>
          <w:rFonts w:asciiTheme="minorHAnsi" w:hAnsiTheme="minorHAnsi"/>
          <w:bCs/>
          <w:snapToGrid w:val="0"/>
        </w:rPr>
        <w:t xml:space="preserve">for LPS </w:t>
      </w:r>
      <w:r w:rsidRPr="003A5AE5">
        <w:rPr>
          <w:rFonts w:asciiTheme="minorHAnsi" w:hAnsiTheme="minorHAnsi"/>
          <w:bCs/>
          <w:snapToGrid w:val="0"/>
        </w:rPr>
        <w:t xml:space="preserve">were based on </w:t>
      </w:r>
      <w:r w:rsidR="00B80606" w:rsidRPr="003A5AE5">
        <w:rPr>
          <w:rFonts w:asciiTheme="minorHAnsi" w:hAnsiTheme="minorHAnsi"/>
          <w:bCs/>
          <w:snapToGrid w:val="0"/>
        </w:rPr>
        <w:t xml:space="preserve">the median </w:t>
      </w:r>
      <w:r w:rsidRPr="003A5AE5">
        <w:rPr>
          <w:rFonts w:asciiTheme="minorHAnsi" w:hAnsiTheme="minorHAnsi"/>
          <w:bCs/>
          <w:snapToGrid w:val="0"/>
        </w:rPr>
        <w:t>treatment duration</w:t>
      </w:r>
      <w:r w:rsidR="00B80606" w:rsidRPr="003A5AE5">
        <w:rPr>
          <w:rFonts w:asciiTheme="minorHAnsi" w:hAnsiTheme="minorHAnsi"/>
          <w:bCs/>
          <w:snapToGrid w:val="0"/>
        </w:rPr>
        <w:t xml:space="preserve"> of 12 weeks</w:t>
      </w:r>
      <w:r w:rsidRPr="003A5AE5">
        <w:rPr>
          <w:rFonts w:asciiTheme="minorHAnsi" w:hAnsiTheme="minorHAnsi"/>
          <w:bCs/>
          <w:snapToGrid w:val="0"/>
        </w:rPr>
        <w:t xml:space="preserve"> and </w:t>
      </w:r>
      <w:r w:rsidR="00795D07" w:rsidRPr="003A5AE5">
        <w:rPr>
          <w:rFonts w:asciiTheme="minorHAnsi" w:hAnsiTheme="minorHAnsi"/>
          <w:bCs/>
          <w:snapToGrid w:val="0"/>
        </w:rPr>
        <w:t xml:space="preserve">considered </w:t>
      </w:r>
      <w:r w:rsidRPr="003A5AE5">
        <w:rPr>
          <w:rFonts w:asciiTheme="minorHAnsi" w:hAnsiTheme="minorHAnsi"/>
          <w:bCs/>
          <w:snapToGrid w:val="0"/>
        </w:rPr>
        <w:t xml:space="preserve">that </w:t>
      </w:r>
      <w:r w:rsidR="00DA4AC0" w:rsidRPr="003A5AE5">
        <w:rPr>
          <w:rFonts w:asciiTheme="minorHAnsi" w:hAnsiTheme="minorHAnsi"/>
          <w:bCs/>
          <w:snapToGrid w:val="0"/>
        </w:rPr>
        <w:t xml:space="preserve">it would have been more appropriate to </w:t>
      </w:r>
      <w:r w:rsidR="00B80606" w:rsidRPr="003A5AE5">
        <w:rPr>
          <w:rFonts w:asciiTheme="minorHAnsi" w:hAnsiTheme="minorHAnsi"/>
          <w:bCs/>
          <w:snapToGrid w:val="0"/>
        </w:rPr>
        <w:t xml:space="preserve">use the mean </w:t>
      </w:r>
      <w:r w:rsidR="00795D07" w:rsidRPr="003A5AE5">
        <w:rPr>
          <w:rFonts w:asciiTheme="minorHAnsi" w:hAnsiTheme="minorHAnsi"/>
          <w:bCs/>
          <w:snapToGrid w:val="0"/>
        </w:rPr>
        <w:t xml:space="preserve">duration </w:t>
      </w:r>
      <w:r w:rsidR="00B80606" w:rsidRPr="003A5AE5">
        <w:rPr>
          <w:rFonts w:asciiTheme="minorHAnsi" w:hAnsiTheme="minorHAnsi"/>
          <w:bCs/>
          <w:snapToGrid w:val="0"/>
        </w:rPr>
        <w:t>(</w:t>
      </w:r>
      <w:r w:rsidRPr="003A5AE5">
        <w:rPr>
          <w:rFonts w:asciiTheme="minorHAnsi" w:hAnsiTheme="minorHAnsi"/>
          <w:bCs/>
          <w:snapToGrid w:val="0"/>
        </w:rPr>
        <w:t>21.80 week</w:t>
      </w:r>
      <w:r w:rsidR="00B80606" w:rsidRPr="003A5AE5">
        <w:rPr>
          <w:rFonts w:asciiTheme="minorHAnsi" w:hAnsiTheme="minorHAnsi"/>
          <w:bCs/>
          <w:snapToGrid w:val="0"/>
        </w:rPr>
        <w:t>s)</w:t>
      </w:r>
      <w:r w:rsidRPr="003A5AE5">
        <w:rPr>
          <w:rFonts w:asciiTheme="minorHAnsi" w:hAnsiTheme="minorHAnsi"/>
          <w:bCs/>
          <w:snapToGrid w:val="0"/>
        </w:rPr>
        <w:t xml:space="preserve">. </w:t>
      </w:r>
      <w:r w:rsidR="00B80606" w:rsidRPr="003A5AE5">
        <w:rPr>
          <w:rFonts w:asciiTheme="minorHAnsi" w:hAnsiTheme="minorHAnsi"/>
          <w:bCs/>
          <w:snapToGrid w:val="0"/>
        </w:rPr>
        <w:t>Countering this</w:t>
      </w:r>
      <w:r w:rsidR="00795D07" w:rsidRPr="003A5AE5">
        <w:rPr>
          <w:rFonts w:asciiTheme="minorHAnsi" w:hAnsiTheme="minorHAnsi"/>
          <w:bCs/>
          <w:snapToGrid w:val="0"/>
        </w:rPr>
        <w:t>,</w:t>
      </w:r>
      <w:r w:rsidR="00B80606" w:rsidRPr="003A5AE5">
        <w:rPr>
          <w:rFonts w:asciiTheme="minorHAnsi" w:hAnsiTheme="minorHAnsi"/>
          <w:bCs/>
          <w:snapToGrid w:val="0"/>
        </w:rPr>
        <w:t xml:space="preserve"> t</w:t>
      </w:r>
      <w:r w:rsidRPr="003A5AE5">
        <w:rPr>
          <w:rFonts w:asciiTheme="minorHAnsi" w:hAnsiTheme="minorHAnsi"/>
          <w:bCs/>
          <w:snapToGrid w:val="0"/>
        </w:rPr>
        <w:t>he PBAC no</w:t>
      </w:r>
      <w:r w:rsidR="005B3992" w:rsidRPr="003A5AE5">
        <w:rPr>
          <w:rFonts w:asciiTheme="minorHAnsi" w:hAnsiTheme="minorHAnsi"/>
          <w:bCs/>
          <w:snapToGrid w:val="0"/>
        </w:rPr>
        <w:t xml:space="preserve">ted that </w:t>
      </w:r>
      <w:r w:rsidR="00B80606" w:rsidRPr="003A5AE5">
        <w:rPr>
          <w:rFonts w:asciiTheme="minorHAnsi" w:hAnsiTheme="minorHAnsi"/>
          <w:bCs/>
          <w:snapToGrid w:val="0"/>
        </w:rPr>
        <w:t>the</w:t>
      </w:r>
      <w:r w:rsidR="00EF7E44">
        <w:rPr>
          <w:rFonts w:asciiTheme="minorHAnsi" w:hAnsiTheme="minorHAnsi"/>
          <w:bCs/>
          <w:snapToGrid w:val="0"/>
        </w:rPr>
        <w:t xml:space="preserve"> </w:t>
      </w:r>
      <w:r w:rsidR="005B3992" w:rsidRPr="003A5AE5">
        <w:rPr>
          <w:rFonts w:asciiTheme="minorHAnsi" w:hAnsiTheme="minorHAnsi"/>
          <w:bCs/>
          <w:snapToGrid w:val="0"/>
        </w:rPr>
        <w:t xml:space="preserve">trabectedin dosing used in the analysis was </w:t>
      </w:r>
      <w:r w:rsidRPr="003A5AE5">
        <w:rPr>
          <w:rFonts w:asciiTheme="minorHAnsi" w:hAnsiTheme="minorHAnsi"/>
          <w:bCs/>
          <w:snapToGrid w:val="0"/>
        </w:rPr>
        <w:t>based on a body surface area of 2.14m</w:t>
      </w:r>
      <w:r w:rsidRPr="003A5AE5">
        <w:rPr>
          <w:rFonts w:asciiTheme="minorHAnsi" w:hAnsiTheme="minorHAnsi"/>
          <w:bCs/>
          <w:snapToGrid w:val="0"/>
          <w:vertAlign w:val="superscript"/>
        </w:rPr>
        <w:t>2</w:t>
      </w:r>
      <w:r w:rsidR="00B80606" w:rsidRPr="003A5AE5">
        <w:rPr>
          <w:rFonts w:asciiTheme="minorHAnsi" w:hAnsiTheme="minorHAnsi"/>
          <w:bCs/>
          <w:snapToGrid w:val="0"/>
        </w:rPr>
        <w:t>,</w:t>
      </w:r>
      <w:r w:rsidR="00795D07" w:rsidRPr="003A5AE5">
        <w:rPr>
          <w:rFonts w:asciiTheme="minorHAnsi" w:hAnsiTheme="minorHAnsi"/>
          <w:bCs/>
          <w:snapToGrid w:val="0"/>
        </w:rPr>
        <w:t xml:space="preserve"> </w:t>
      </w:r>
      <w:r w:rsidRPr="003A5AE5">
        <w:rPr>
          <w:rFonts w:asciiTheme="minorHAnsi" w:hAnsiTheme="minorHAnsi"/>
          <w:bCs/>
          <w:snapToGrid w:val="0"/>
        </w:rPr>
        <w:t xml:space="preserve">the maximum amount </w:t>
      </w:r>
      <w:r w:rsidR="00795D07" w:rsidRPr="003A5AE5">
        <w:rPr>
          <w:rFonts w:asciiTheme="minorHAnsi" w:hAnsiTheme="minorHAnsi"/>
          <w:bCs/>
          <w:snapToGrid w:val="0"/>
        </w:rPr>
        <w:t xml:space="preserve">used </w:t>
      </w:r>
      <w:r w:rsidRPr="003A5AE5">
        <w:rPr>
          <w:rFonts w:asciiTheme="minorHAnsi" w:hAnsiTheme="minorHAnsi"/>
          <w:bCs/>
          <w:snapToGrid w:val="0"/>
        </w:rPr>
        <w:t>for the proposed listing</w:t>
      </w:r>
      <w:r w:rsidR="00B80606" w:rsidRPr="003A5AE5">
        <w:rPr>
          <w:rFonts w:asciiTheme="minorHAnsi" w:hAnsiTheme="minorHAnsi"/>
          <w:bCs/>
          <w:snapToGrid w:val="0"/>
        </w:rPr>
        <w:t>, rather than the likely average BSA</w:t>
      </w:r>
      <w:r w:rsidRPr="003A5AE5">
        <w:rPr>
          <w:rFonts w:asciiTheme="minorHAnsi" w:hAnsiTheme="minorHAnsi"/>
          <w:bCs/>
          <w:snapToGrid w:val="0"/>
        </w:rPr>
        <w:t xml:space="preserve">. </w:t>
      </w:r>
    </w:p>
    <w:p w:rsidR="00953314" w:rsidRPr="003A5AE5" w:rsidRDefault="00953314" w:rsidP="00033ED9">
      <w:pPr>
        <w:numPr>
          <w:ilvl w:val="1"/>
          <w:numId w:val="1"/>
        </w:numPr>
        <w:spacing w:after="120"/>
        <w:rPr>
          <w:rFonts w:asciiTheme="minorHAnsi" w:hAnsiTheme="minorHAnsi"/>
          <w:bCs/>
          <w:snapToGrid w:val="0"/>
        </w:rPr>
      </w:pPr>
      <w:r w:rsidRPr="003A5AE5">
        <w:rPr>
          <w:rFonts w:asciiTheme="minorHAnsi" w:hAnsiTheme="minorHAnsi"/>
          <w:bCs/>
          <w:snapToGrid w:val="0"/>
        </w:rPr>
        <w:t xml:space="preserve">The PBAC advised that </w:t>
      </w:r>
      <w:r w:rsidR="005B3992" w:rsidRPr="003A5AE5">
        <w:rPr>
          <w:rFonts w:asciiTheme="minorHAnsi" w:hAnsiTheme="minorHAnsi"/>
          <w:bCs/>
          <w:snapToGrid w:val="0"/>
        </w:rPr>
        <w:t xml:space="preserve">a </w:t>
      </w:r>
      <w:r w:rsidRPr="003A5AE5">
        <w:rPr>
          <w:rFonts w:asciiTheme="minorHAnsi" w:hAnsiTheme="minorHAnsi"/>
          <w:bCs/>
          <w:snapToGrid w:val="0"/>
        </w:rPr>
        <w:t xml:space="preserve">listing for LPS would increase the patient population eligible for treatment with trabectedin by </w:t>
      </w:r>
      <w:r w:rsidR="00795D07" w:rsidRPr="003A5AE5">
        <w:rPr>
          <w:rFonts w:asciiTheme="minorHAnsi" w:hAnsiTheme="minorHAnsi"/>
          <w:bCs/>
          <w:snapToGrid w:val="0"/>
        </w:rPr>
        <w:t>approximately 50 patients per year</w:t>
      </w:r>
      <w:r w:rsidRPr="003A5AE5">
        <w:rPr>
          <w:rFonts w:asciiTheme="minorHAnsi" w:hAnsiTheme="minorHAnsi"/>
          <w:bCs/>
          <w:snapToGrid w:val="0"/>
        </w:rPr>
        <w:t xml:space="preserve"> (see par</w:t>
      </w:r>
      <w:r w:rsidR="00EF4266" w:rsidRPr="003A5AE5">
        <w:rPr>
          <w:rFonts w:asciiTheme="minorHAnsi" w:hAnsiTheme="minorHAnsi"/>
          <w:bCs/>
          <w:snapToGrid w:val="0"/>
        </w:rPr>
        <w:t>agraph 6.52</w:t>
      </w:r>
      <w:r w:rsidRPr="003A5AE5">
        <w:rPr>
          <w:rFonts w:asciiTheme="minorHAnsi" w:hAnsiTheme="minorHAnsi"/>
          <w:bCs/>
          <w:snapToGrid w:val="0"/>
        </w:rPr>
        <w:t xml:space="preserve">). The PBAC also </w:t>
      </w:r>
      <w:r w:rsidR="00B80606" w:rsidRPr="003A5AE5">
        <w:rPr>
          <w:rFonts w:asciiTheme="minorHAnsi" w:hAnsiTheme="minorHAnsi"/>
          <w:bCs/>
          <w:snapToGrid w:val="0"/>
        </w:rPr>
        <w:t xml:space="preserve">noted </w:t>
      </w:r>
      <w:r w:rsidRPr="003A5AE5">
        <w:rPr>
          <w:rFonts w:asciiTheme="minorHAnsi" w:hAnsiTheme="minorHAnsi"/>
          <w:bCs/>
          <w:snapToGrid w:val="0"/>
        </w:rPr>
        <w:t xml:space="preserve">that listing for LPS may increase the number of patients eligible for grandfathering (see paragraph 6.47). </w:t>
      </w:r>
    </w:p>
    <w:p w:rsidR="00785B49" w:rsidRPr="003A5AE5" w:rsidRDefault="009D2244" w:rsidP="00033ED9">
      <w:pPr>
        <w:numPr>
          <w:ilvl w:val="1"/>
          <w:numId w:val="1"/>
        </w:numPr>
        <w:spacing w:after="120"/>
        <w:rPr>
          <w:rFonts w:asciiTheme="minorHAnsi" w:hAnsiTheme="minorHAnsi"/>
          <w:bCs/>
          <w:snapToGrid w:val="0"/>
        </w:rPr>
      </w:pPr>
      <w:r w:rsidRPr="003A5AE5">
        <w:rPr>
          <w:rFonts w:asciiTheme="minorHAnsi" w:hAnsiTheme="minorHAnsi"/>
          <w:bCs/>
          <w:snapToGrid w:val="0"/>
        </w:rPr>
        <w:t xml:space="preserve">The PBAC considered that </w:t>
      </w:r>
      <w:r w:rsidR="00BB6282" w:rsidRPr="003A5AE5">
        <w:rPr>
          <w:rFonts w:asciiTheme="minorHAnsi" w:hAnsiTheme="minorHAnsi"/>
          <w:bCs/>
          <w:snapToGrid w:val="0"/>
        </w:rPr>
        <w:t>trabectedin would incur an incremental cost to the PBS</w:t>
      </w:r>
      <w:r w:rsidR="00EF7E44">
        <w:rPr>
          <w:rFonts w:asciiTheme="minorHAnsi" w:hAnsiTheme="minorHAnsi"/>
          <w:bCs/>
          <w:snapToGrid w:val="0"/>
        </w:rPr>
        <w:t>,</w:t>
      </w:r>
      <w:r w:rsidR="00BB6282" w:rsidRPr="003A5AE5">
        <w:rPr>
          <w:rFonts w:asciiTheme="minorHAnsi" w:hAnsiTheme="minorHAnsi"/>
          <w:bCs/>
          <w:snapToGrid w:val="0"/>
        </w:rPr>
        <w:t xml:space="preserve"> as trabectedin </w:t>
      </w:r>
      <w:r w:rsidR="00B80606" w:rsidRPr="003A5AE5">
        <w:rPr>
          <w:rFonts w:asciiTheme="minorHAnsi" w:hAnsiTheme="minorHAnsi"/>
          <w:bCs/>
          <w:snapToGrid w:val="0"/>
        </w:rPr>
        <w:t>would provide an additional line of therapy</w:t>
      </w:r>
      <w:r w:rsidR="00EF7E44">
        <w:rPr>
          <w:rFonts w:asciiTheme="minorHAnsi" w:hAnsiTheme="minorHAnsi"/>
          <w:bCs/>
          <w:snapToGrid w:val="0"/>
        </w:rPr>
        <w:t xml:space="preserve"> </w:t>
      </w:r>
      <w:r w:rsidR="00EF7E44" w:rsidRPr="003A5AE5">
        <w:rPr>
          <w:rFonts w:asciiTheme="minorHAnsi" w:hAnsiTheme="minorHAnsi"/>
          <w:bCs/>
          <w:snapToGrid w:val="0"/>
        </w:rPr>
        <w:t>for many patients with LMS and LPS</w:t>
      </w:r>
      <w:r w:rsidRPr="003A5AE5">
        <w:rPr>
          <w:rFonts w:asciiTheme="minorHAnsi" w:hAnsiTheme="minorHAnsi"/>
          <w:bCs/>
          <w:snapToGrid w:val="0"/>
        </w:rPr>
        <w:t xml:space="preserve">. However, </w:t>
      </w:r>
      <w:r w:rsidR="00B80606" w:rsidRPr="003A5AE5">
        <w:rPr>
          <w:rFonts w:asciiTheme="minorHAnsi" w:hAnsiTheme="minorHAnsi"/>
          <w:bCs/>
          <w:snapToGrid w:val="0"/>
        </w:rPr>
        <w:t xml:space="preserve">given </w:t>
      </w:r>
      <w:r w:rsidR="001E3B97" w:rsidRPr="003A5AE5">
        <w:rPr>
          <w:rFonts w:asciiTheme="minorHAnsi" w:hAnsiTheme="minorHAnsi"/>
          <w:bCs/>
          <w:snapToGrid w:val="0"/>
        </w:rPr>
        <w:t>that these are rare, aggressive cancers</w:t>
      </w:r>
      <w:r w:rsidR="00B80606" w:rsidRPr="003A5AE5">
        <w:rPr>
          <w:rFonts w:asciiTheme="minorHAnsi" w:hAnsiTheme="minorHAnsi"/>
          <w:bCs/>
          <w:snapToGrid w:val="0"/>
        </w:rPr>
        <w:t>,</w:t>
      </w:r>
      <w:r w:rsidR="001E3B97" w:rsidRPr="003A5AE5">
        <w:rPr>
          <w:rFonts w:asciiTheme="minorHAnsi" w:hAnsiTheme="minorHAnsi"/>
          <w:bCs/>
          <w:snapToGrid w:val="0"/>
        </w:rPr>
        <w:t xml:space="preserve"> the </w:t>
      </w:r>
      <w:r w:rsidRPr="003A5AE5">
        <w:rPr>
          <w:rFonts w:asciiTheme="minorHAnsi" w:hAnsiTheme="minorHAnsi"/>
          <w:bCs/>
          <w:snapToGrid w:val="0"/>
        </w:rPr>
        <w:t xml:space="preserve">PBAC considered the </w:t>
      </w:r>
      <w:r w:rsidR="001E3B97" w:rsidRPr="003A5AE5">
        <w:rPr>
          <w:rFonts w:asciiTheme="minorHAnsi" w:hAnsiTheme="minorHAnsi"/>
          <w:bCs/>
          <w:snapToGrid w:val="0"/>
        </w:rPr>
        <w:t xml:space="preserve">overall number of patients and financial cost of trabectedin to the PBS </w:t>
      </w:r>
      <w:r w:rsidR="00B80606" w:rsidRPr="003A5AE5">
        <w:rPr>
          <w:rFonts w:asciiTheme="minorHAnsi" w:hAnsiTheme="minorHAnsi"/>
          <w:bCs/>
          <w:snapToGrid w:val="0"/>
        </w:rPr>
        <w:t>would</w:t>
      </w:r>
      <w:r w:rsidR="001E3B97" w:rsidRPr="003A5AE5">
        <w:rPr>
          <w:rFonts w:asciiTheme="minorHAnsi" w:hAnsiTheme="minorHAnsi"/>
          <w:bCs/>
          <w:snapToGrid w:val="0"/>
        </w:rPr>
        <w:t xml:space="preserve"> be </w:t>
      </w:r>
      <w:r w:rsidR="00B80606" w:rsidRPr="003A5AE5">
        <w:rPr>
          <w:rFonts w:asciiTheme="minorHAnsi" w:hAnsiTheme="minorHAnsi"/>
          <w:bCs/>
          <w:snapToGrid w:val="0"/>
        </w:rPr>
        <w:t xml:space="preserve">contained </w:t>
      </w:r>
      <w:r w:rsidR="00044890" w:rsidRPr="003A5AE5">
        <w:rPr>
          <w:rFonts w:asciiTheme="minorHAnsi" w:hAnsiTheme="minorHAnsi"/>
          <w:bCs/>
          <w:snapToGrid w:val="0"/>
        </w:rPr>
        <w:t xml:space="preserve">and relatively </w:t>
      </w:r>
      <w:r w:rsidR="001E3B97" w:rsidRPr="003A5AE5">
        <w:rPr>
          <w:rFonts w:asciiTheme="minorHAnsi" w:hAnsiTheme="minorHAnsi"/>
          <w:bCs/>
          <w:snapToGrid w:val="0"/>
        </w:rPr>
        <w:t xml:space="preserve">low. </w:t>
      </w:r>
      <w:r w:rsidR="00953314" w:rsidRPr="003A5AE5">
        <w:rPr>
          <w:rFonts w:asciiTheme="minorHAnsi" w:hAnsiTheme="minorHAnsi"/>
          <w:bCs/>
          <w:snapToGrid w:val="0"/>
        </w:rPr>
        <w:t xml:space="preserve">The PBAC noted the financial estimates </w:t>
      </w:r>
      <w:r w:rsidR="00B40C5B" w:rsidRPr="003A5AE5">
        <w:rPr>
          <w:rFonts w:asciiTheme="minorHAnsi" w:hAnsiTheme="minorHAnsi"/>
          <w:bCs/>
          <w:snapToGrid w:val="0"/>
        </w:rPr>
        <w:t>presented in Table 11</w:t>
      </w:r>
      <w:r w:rsidR="00044890" w:rsidRPr="003A5AE5">
        <w:rPr>
          <w:rFonts w:asciiTheme="minorHAnsi" w:hAnsiTheme="minorHAnsi"/>
          <w:bCs/>
          <w:snapToGrid w:val="0"/>
        </w:rPr>
        <w:t xml:space="preserve"> </w:t>
      </w:r>
      <w:r w:rsidR="00953314" w:rsidRPr="003A5AE5">
        <w:rPr>
          <w:rFonts w:asciiTheme="minorHAnsi" w:hAnsiTheme="minorHAnsi"/>
          <w:bCs/>
          <w:snapToGrid w:val="0"/>
        </w:rPr>
        <w:t xml:space="preserve">would need to be recalculated to take into account </w:t>
      </w:r>
      <w:r w:rsidR="005B3992" w:rsidRPr="003A5AE5">
        <w:rPr>
          <w:rFonts w:asciiTheme="minorHAnsi" w:hAnsiTheme="minorHAnsi"/>
          <w:bCs/>
          <w:snapToGrid w:val="0"/>
        </w:rPr>
        <w:t>the addition of patients with LPS</w:t>
      </w:r>
      <w:r w:rsidR="00985459" w:rsidRPr="003A5AE5">
        <w:rPr>
          <w:rFonts w:asciiTheme="minorHAnsi" w:hAnsiTheme="minorHAnsi"/>
          <w:bCs/>
          <w:snapToGrid w:val="0"/>
        </w:rPr>
        <w:t xml:space="preserve"> and th</w:t>
      </w:r>
      <w:r w:rsidR="00A308E9" w:rsidRPr="003A5AE5">
        <w:rPr>
          <w:rFonts w:asciiTheme="minorHAnsi" w:hAnsiTheme="minorHAnsi"/>
          <w:bCs/>
          <w:snapToGrid w:val="0"/>
        </w:rPr>
        <w:t xml:space="preserve">e outcome of the </w:t>
      </w:r>
      <w:r w:rsidRPr="003A5AE5">
        <w:rPr>
          <w:rFonts w:asciiTheme="minorHAnsi" w:hAnsiTheme="minorHAnsi"/>
          <w:bCs/>
          <w:snapToGrid w:val="0"/>
        </w:rPr>
        <w:t>cost-minimisation</w:t>
      </w:r>
      <w:r w:rsidR="00985459" w:rsidRPr="003A5AE5">
        <w:rPr>
          <w:rFonts w:asciiTheme="minorHAnsi" w:hAnsiTheme="minorHAnsi"/>
          <w:bCs/>
          <w:snapToGrid w:val="0"/>
        </w:rPr>
        <w:t xml:space="preserve"> considerations outlined in paragraph 7.9. </w:t>
      </w:r>
    </w:p>
    <w:p w:rsidR="00815517" w:rsidRPr="003A5AE5" w:rsidRDefault="005B3992" w:rsidP="00033ED9">
      <w:pPr>
        <w:pStyle w:val="3-BodyText"/>
      </w:pPr>
      <w:r w:rsidRPr="003A5AE5">
        <w:t>T</w:t>
      </w:r>
      <w:r w:rsidR="00815517" w:rsidRPr="003A5AE5">
        <w:t xml:space="preserve">he PBAC considered the proposed </w:t>
      </w:r>
      <w:r w:rsidR="00044890" w:rsidRPr="003A5AE5">
        <w:t xml:space="preserve">PBS </w:t>
      </w:r>
      <w:r w:rsidRPr="003A5AE5">
        <w:t xml:space="preserve">restriction </w:t>
      </w:r>
      <w:r w:rsidR="00815517" w:rsidRPr="003A5AE5">
        <w:t>should be extended to include patients with LPS. Consistent with the Study 3007 population</w:t>
      </w:r>
      <w:r w:rsidR="00044890" w:rsidRPr="003A5AE5">
        <w:t>,</w:t>
      </w:r>
      <w:r w:rsidR="00815517" w:rsidRPr="003A5AE5">
        <w:t xml:space="preserve"> the PBAC considered patients must have the differentiated, myxoid, round-cell or pleomorphic LPS subtype. </w:t>
      </w:r>
      <w:r w:rsidR="00044890" w:rsidRPr="003A5AE5">
        <w:t>Consistent with the TGA indication, the PBS restriction should include the criteria:</w:t>
      </w:r>
      <w:r w:rsidR="00815517" w:rsidRPr="003A5AE5">
        <w:t xml:space="preserve"> ‘Patient must have received prior chemotherapy treatment including an anthracycline’. As per paragraph 3.6, the PBAC advised that an age restriction was not required in the trabectedin listing</w:t>
      </w:r>
      <w:r w:rsidR="003A5AE5" w:rsidRPr="003A5AE5">
        <w:t xml:space="preserve">. </w:t>
      </w:r>
    </w:p>
    <w:p w:rsidR="00785B49" w:rsidRPr="003A5AE5" w:rsidRDefault="00785B49" w:rsidP="00033ED9">
      <w:pPr>
        <w:numPr>
          <w:ilvl w:val="1"/>
          <w:numId w:val="1"/>
        </w:numPr>
        <w:spacing w:after="120"/>
        <w:rPr>
          <w:rFonts w:asciiTheme="minorHAnsi" w:hAnsiTheme="minorHAnsi"/>
          <w:bCs/>
          <w:snapToGrid w:val="0"/>
        </w:rPr>
      </w:pPr>
      <w:r w:rsidRPr="003A5AE5">
        <w:rPr>
          <w:rFonts w:asciiTheme="minorHAnsi" w:hAnsiTheme="minorHAnsi"/>
          <w:bCs/>
          <w:snapToGrid w:val="0"/>
        </w:rPr>
        <w:t xml:space="preserve">The PBAC recommended that </w:t>
      </w:r>
      <w:r w:rsidR="00BB6282" w:rsidRPr="003A5AE5">
        <w:rPr>
          <w:rFonts w:asciiTheme="minorHAnsi" w:hAnsiTheme="minorHAnsi"/>
          <w:bCs/>
          <w:snapToGrid w:val="0"/>
        </w:rPr>
        <w:t>trabectedin should not be treated as interchangeable with any drugs.</w:t>
      </w:r>
    </w:p>
    <w:p w:rsidR="00785B49" w:rsidRPr="003A5AE5" w:rsidRDefault="00785B49" w:rsidP="00033ED9">
      <w:pPr>
        <w:numPr>
          <w:ilvl w:val="1"/>
          <w:numId w:val="1"/>
        </w:numPr>
        <w:spacing w:after="120"/>
        <w:rPr>
          <w:rFonts w:asciiTheme="minorHAnsi" w:hAnsiTheme="minorHAnsi"/>
          <w:bCs/>
          <w:snapToGrid w:val="0"/>
        </w:rPr>
      </w:pPr>
      <w:r w:rsidRPr="003A5AE5">
        <w:rPr>
          <w:rFonts w:asciiTheme="minorHAnsi" w:hAnsiTheme="minorHAnsi"/>
          <w:bCs/>
          <w:snapToGrid w:val="0"/>
        </w:rPr>
        <w:t>Th</w:t>
      </w:r>
      <w:r w:rsidR="00EE0D15" w:rsidRPr="003A5AE5">
        <w:rPr>
          <w:rFonts w:asciiTheme="minorHAnsi" w:hAnsiTheme="minorHAnsi"/>
          <w:bCs/>
          <w:snapToGrid w:val="0"/>
        </w:rPr>
        <w:t xml:space="preserve">e PBAC advised that is </w:t>
      </w:r>
      <w:r w:rsidRPr="003A5AE5">
        <w:rPr>
          <w:rFonts w:asciiTheme="minorHAnsi" w:hAnsiTheme="minorHAnsi"/>
          <w:bCs/>
          <w:snapToGrid w:val="0"/>
        </w:rPr>
        <w:t xml:space="preserve">not suitable for prescribing by nurse practitioners. </w:t>
      </w:r>
    </w:p>
    <w:p w:rsidR="00785B49" w:rsidRPr="003A5AE5" w:rsidRDefault="00785B49" w:rsidP="00033ED9">
      <w:pPr>
        <w:numPr>
          <w:ilvl w:val="1"/>
          <w:numId w:val="1"/>
        </w:numPr>
        <w:spacing w:after="120"/>
        <w:rPr>
          <w:rFonts w:asciiTheme="minorHAnsi" w:hAnsiTheme="minorHAnsi"/>
          <w:bCs/>
          <w:snapToGrid w:val="0"/>
        </w:rPr>
      </w:pPr>
      <w:r w:rsidRPr="003A5AE5">
        <w:rPr>
          <w:rFonts w:asciiTheme="minorHAnsi" w:hAnsiTheme="minorHAnsi"/>
          <w:bCs/>
          <w:snapToGrid w:val="0"/>
        </w:rPr>
        <w:t>The PBAC recommended th</w:t>
      </w:r>
      <w:r w:rsidR="001E3B97" w:rsidRPr="003A5AE5">
        <w:rPr>
          <w:rFonts w:asciiTheme="minorHAnsi" w:hAnsiTheme="minorHAnsi"/>
          <w:bCs/>
          <w:snapToGrid w:val="0"/>
        </w:rPr>
        <w:t xml:space="preserve">at the Early Supply Rule </w:t>
      </w:r>
      <w:r w:rsidRPr="003A5AE5">
        <w:rPr>
          <w:rFonts w:asciiTheme="minorHAnsi" w:hAnsiTheme="minorHAnsi"/>
          <w:bCs/>
          <w:snapToGrid w:val="0"/>
        </w:rPr>
        <w:t>should not apply</w:t>
      </w:r>
      <w:r w:rsidR="001E3B97" w:rsidRPr="003A5AE5">
        <w:rPr>
          <w:rFonts w:asciiTheme="minorHAnsi" w:hAnsiTheme="minorHAnsi"/>
          <w:bCs/>
          <w:snapToGrid w:val="0"/>
        </w:rPr>
        <w:t>.</w:t>
      </w:r>
    </w:p>
    <w:p w:rsidR="00785B49" w:rsidRPr="003A5AE5" w:rsidRDefault="00785B49" w:rsidP="00033ED9">
      <w:pPr>
        <w:numPr>
          <w:ilvl w:val="1"/>
          <w:numId w:val="1"/>
        </w:numPr>
        <w:spacing w:after="120"/>
        <w:rPr>
          <w:rFonts w:asciiTheme="minorHAnsi" w:hAnsiTheme="minorHAnsi"/>
          <w:bCs/>
          <w:snapToGrid w:val="0"/>
        </w:rPr>
      </w:pPr>
      <w:r w:rsidRPr="003A5AE5">
        <w:rPr>
          <w:rFonts w:asciiTheme="minorHAnsi" w:hAnsiTheme="minorHAnsi"/>
          <w:bCs/>
          <w:snapToGrid w:val="0"/>
        </w:rPr>
        <w:t>The PBAC noted that its recommendation was on a cost-minimisation b</w:t>
      </w:r>
      <w:r w:rsidR="00C5368F" w:rsidRPr="003A5AE5">
        <w:rPr>
          <w:rFonts w:asciiTheme="minorHAnsi" w:hAnsiTheme="minorHAnsi"/>
          <w:bCs/>
          <w:snapToGrid w:val="0"/>
        </w:rPr>
        <w:t>asis and advised that, because trabectedin</w:t>
      </w:r>
      <w:r w:rsidRPr="003A5AE5">
        <w:rPr>
          <w:rFonts w:asciiTheme="minorHAnsi" w:hAnsiTheme="minorHAnsi"/>
          <w:bCs/>
          <w:snapToGrid w:val="0"/>
        </w:rPr>
        <w:t xml:space="preserve"> is not expected to provide a substantial and clinically relevant improvement in efficacy, or reduction of toxicity, ove</w:t>
      </w:r>
      <w:r w:rsidR="00C5368F" w:rsidRPr="003A5AE5">
        <w:rPr>
          <w:rFonts w:asciiTheme="minorHAnsi" w:hAnsiTheme="minorHAnsi"/>
          <w:bCs/>
          <w:snapToGrid w:val="0"/>
        </w:rPr>
        <w:t>r pazopanib</w:t>
      </w:r>
      <w:r w:rsidRPr="003A5AE5">
        <w:rPr>
          <w:rFonts w:asciiTheme="minorHAnsi" w:hAnsiTheme="minorHAnsi"/>
          <w:bCs/>
          <w:snapToGrid w:val="0"/>
        </w:rPr>
        <w:t xml:space="preserve">, or not expected to address a high and urgent unmet clinical need given the presence of an alternative therapy, the criteria prescribed by the </w:t>
      </w:r>
      <w:r w:rsidRPr="003A5AE5">
        <w:rPr>
          <w:rFonts w:asciiTheme="minorHAnsi" w:hAnsiTheme="minorHAnsi"/>
          <w:bCs/>
          <w:i/>
          <w:snapToGrid w:val="0"/>
        </w:rPr>
        <w:t xml:space="preserve">National Health (Pharmaceuticals and Vaccines – Cost Recovery) Regulations 2009 </w:t>
      </w:r>
      <w:r w:rsidRPr="003A5AE5">
        <w:rPr>
          <w:rFonts w:asciiTheme="minorHAnsi" w:hAnsiTheme="minorHAnsi"/>
          <w:bCs/>
          <w:snapToGrid w:val="0"/>
        </w:rPr>
        <w:t>for Pricing Pathway A were not met.</w:t>
      </w:r>
    </w:p>
    <w:p w:rsidR="00BF69BC" w:rsidRDefault="00785B49" w:rsidP="00BF69BC">
      <w:pPr>
        <w:numPr>
          <w:ilvl w:val="1"/>
          <w:numId w:val="1"/>
        </w:numPr>
        <w:spacing w:after="120"/>
        <w:rPr>
          <w:rFonts w:asciiTheme="minorHAnsi" w:hAnsiTheme="minorHAnsi"/>
          <w:bCs/>
          <w:snapToGrid w:val="0"/>
        </w:rPr>
      </w:pPr>
      <w:r w:rsidRPr="003A5AE5">
        <w:rPr>
          <w:rFonts w:asciiTheme="minorHAnsi" w:hAnsiTheme="minorHAnsi"/>
          <w:bCs/>
          <w:snapToGrid w:val="0"/>
        </w:rPr>
        <w:t>The PBA</w:t>
      </w:r>
      <w:r w:rsidR="00C5368F" w:rsidRPr="003A5AE5">
        <w:rPr>
          <w:rFonts w:asciiTheme="minorHAnsi" w:hAnsiTheme="minorHAnsi"/>
          <w:bCs/>
          <w:snapToGrid w:val="0"/>
        </w:rPr>
        <w:t xml:space="preserve">C noted that this submission </w:t>
      </w:r>
      <w:r w:rsidRPr="003A5AE5">
        <w:rPr>
          <w:rFonts w:asciiTheme="minorHAnsi" w:hAnsiTheme="minorHAnsi"/>
          <w:bCs/>
          <w:snapToGrid w:val="0"/>
        </w:rPr>
        <w:t>is not elig</w:t>
      </w:r>
      <w:r w:rsidR="00C5368F" w:rsidRPr="003A5AE5">
        <w:rPr>
          <w:rFonts w:asciiTheme="minorHAnsi" w:hAnsiTheme="minorHAnsi"/>
          <w:bCs/>
          <w:snapToGrid w:val="0"/>
        </w:rPr>
        <w:t>ible for an Independent Review as it received a positive recommendation.</w:t>
      </w:r>
    </w:p>
    <w:p w:rsidR="00B07B6E" w:rsidRDefault="00785B49" w:rsidP="00BF69BC">
      <w:pPr>
        <w:spacing w:after="120"/>
        <w:rPr>
          <w:rFonts w:asciiTheme="minorHAnsi" w:hAnsiTheme="minorHAnsi"/>
          <w:bCs/>
          <w:snapToGrid w:val="0"/>
        </w:rPr>
      </w:pPr>
      <w:r w:rsidRPr="00BF69BC">
        <w:rPr>
          <w:rFonts w:asciiTheme="minorHAnsi" w:hAnsiTheme="minorHAnsi"/>
          <w:b/>
          <w:bCs/>
          <w:snapToGrid w:val="0"/>
        </w:rPr>
        <w:t>Outcome:</w:t>
      </w:r>
      <w:r w:rsidR="00193E21" w:rsidRPr="00BF69BC">
        <w:rPr>
          <w:rFonts w:asciiTheme="minorHAnsi" w:hAnsiTheme="minorHAnsi"/>
          <w:b/>
          <w:bCs/>
          <w:snapToGrid w:val="0"/>
        </w:rPr>
        <w:t xml:space="preserve"> </w:t>
      </w:r>
      <w:r w:rsidR="00193E21" w:rsidRPr="00BF69BC">
        <w:rPr>
          <w:rFonts w:asciiTheme="minorHAnsi" w:hAnsiTheme="minorHAnsi"/>
          <w:b/>
          <w:bCs/>
          <w:snapToGrid w:val="0"/>
        </w:rPr>
        <w:br/>
      </w:r>
      <w:r w:rsidRPr="00BF69BC">
        <w:rPr>
          <w:rFonts w:asciiTheme="minorHAnsi" w:hAnsiTheme="minorHAnsi"/>
          <w:bCs/>
          <w:snapToGrid w:val="0"/>
        </w:rPr>
        <w:t>Recommended</w:t>
      </w:r>
    </w:p>
    <w:p w:rsidR="00B07B6E" w:rsidRDefault="00B07B6E">
      <w:pPr>
        <w:jc w:val="left"/>
        <w:rPr>
          <w:rFonts w:asciiTheme="minorHAnsi" w:hAnsiTheme="minorHAnsi"/>
          <w:bCs/>
          <w:snapToGrid w:val="0"/>
        </w:rPr>
      </w:pPr>
      <w:r>
        <w:rPr>
          <w:rFonts w:asciiTheme="minorHAnsi" w:hAnsiTheme="minorHAnsi"/>
          <w:bCs/>
          <w:snapToGrid w:val="0"/>
        </w:rPr>
        <w:br w:type="page"/>
      </w:r>
    </w:p>
    <w:p w:rsidR="00785B49" w:rsidRPr="003A5AE5" w:rsidRDefault="00785B49" w:rsidP="00033ED9">
      <w:pPr>
        <w:numPr>
          <w:ilvl w:val="0"/>
          <w:numId w:val="1"/>
        </w:numPr>
        <w:spacing w:before="240" w:after="120"/>
        <w:outlineLvl w:val="0"/>
        <w:rPr>
          <w:rFonts w:asciiTheme="minorHAnsi" w:hAnsiTheme="minorHAnsi"/>
          <w:b/>
          <w:bCs/>
          <w:i/>
          <w:snapToGrid w:val="0"/>
          <w:sz w:val="32"/>
        </w:rPr>
      </w:pPr>
      <w:r w:rsidRPr="003A5AE5">
        <w:rPr>
          <w:rFonts w:asciiTheme="minorHAnsi" w:hAnsiTheme="minorHAnsi"/>
          <w:b/>
          <w:bCs/>
          <w:snapToGrid w:val="0"/>
          <w:sz w:val="32"/>
        </w:rPr>
        <w:t>Recommended listing</w:t>
      </w:r>
    </w:p>
    <w:p w:rsidR="00785B49" w:rsidRPr="003A5AE5" w:rsidRDefault="00785B49" w:rsidP="00033ED9">
      <w:pPr>
        <w:numPr>
          <w:ilvl w:val="1"/>
          <w:numId w:val="1"/>
        </w:numPr>
        <w:spacing w:after="120"/>
        <w:contextualSpacing/>
        <w:rPr>
          <w:rFonts w:asciiTheme="minorHAnsi" w:hAnsiTheme="minorHAnsi"/>
          <w:b/>
          <w:bCs/>
          <w:snapToGrid w:val="0"/>
        </w:rPr>
      </w:pPr>
      <w:r w:rsidRPr="003A5AE5">
        <w:rPr>
          <w:rFonts w:asciiTheme="minorHAnsi" w:hAnsiTheme="minorHAnsi"/>
          <w:bCs/>
          <w:snapToGrid w:val="0"/>
        </w:rPr>
        <w:t>Add new item:</w:t>
      </w:r>
    </w:p>
    <w:p w:rsidR="00822E7B" w:rsidRPr="003A5AE5" w:rsidRDefault="00822E7B" w:rsidP="00033ED9">
      <w:pPr>
        <w:spacing w:after="120"/>
        <w:rPr>
          <w:rFonts w:asciiTheme="minorHAnsi" w:hAnsiTheme="minorHAnsi" w:cstheme="minorHAnsi"/>
          <w: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2133"/>
        <w:gridCol w:w="2268"/>
        <w:gridCol w:w="1984"/>
        <w:gridCol w:w="1701"/>
      </w:tblGrid>
      <w:tr w:rsidR="00822E7B" w:rsidRPr="003A5AE5" w:rsidTr="0086600B">
        <w:trPr>
          <w:cantSplit/>
          <w:trHeight w:val="471"/>
        </w:trPr>
        <w:tc>
          <w:tcPr>
            <w:tcW w:w="3114" w:type="dxa"/>
            <w:gridSpan w:val="2"/>
          </w:tcPr>
          <w:p w:rsidR="00822E7B" w:rsidRPr="003A5AE5" w:rsidRDefault="00822E7B" w:rsidP="00033ED9">
            <w:pPr>
              <w:keepNext/>
              <w:ind w:left="-57"/>
              <w:rPr>
                <w:rFonts w:ascii="Arial Narrow" w:hAnsi="Arial Narrow"/>
                <w:b/>
                <w:sz w:val="18"/>
                <w:szCs w:val="18"/>
              </w:rPr>
            </w:pPr>
            <w:r w:rsidRPr="003A5AE5">
              <w:rPr>
                <w:rFonts w:ascii="Arial Narrow" w:hAnsi="Arial Narrow"/>
                <w:b/>
                <w:sz w:val="18"/>
                <w:szCs w:val="18"/>
              </w:rPr>
              <w:t>MEDICINAL PRODUCT</w:t>
            </w:r>
          </w:p>
          <w:p w:rsidR="00822E7B" w:rsidRPr="003A5AE5" w:rsidRDefault="00822E7B" w:rsidP="00033ED9">
            <w:pPr>
              <w:keepNext/>
              <w:ind w:left="-57"/>
              <w:rPr>
                <w:rFonts w:ascii="Arial Narrow" w:hAnsi="Arial Narrow"/>
                <w:b/>
                <w:sz w:val="18"/>
                <w:szCs w:val="18"/>
              </w:rPr>
            </w:pPr>
            <w:r w:rsidRPr="003A5AE5">
              <w:rPr>
                <w:rFonts w:ascii="Arial Narrow" w:hAnsi="Arial Narrow"/>
                <w:b/>
                <w:sz w:val="18"/>
                <w:szCs w:val="18"/>
              </w:rPr>
              <w:t>Form</w:t>
            </w:r>
          </w:p>
        </w:tc>
        <w:tc>
          <w:tcPr>
            <w:tcW w:w="2268" w:type="dxa"/>
          </w:tcPr>
          <w:p w:rsidR="00822E7B" w:rsidRPr="003A5AE5" w:rsidRDefault="00822E7B" w:rsidP="00033ED9">
            <w:pPr>
              <w:keepNext/>
              <w:ind w:left="-108"/>
              <w:jc w:val="center"/>
              <w:rPr>
                <w:rFonts w:ascii="Arial Narrow" w:hAnsi="Arial Narrow"/>
                <w:b/>
                <w:sz w:val="18"/>
                <w:szCs w:val="18"/>
              </w:rPr>
            </w:pPr>
            <w:r w:rsidRPr="003A5AE5">
              <w:rPr>
                <w:rFonts w:ascii="Arial Narrow" w:hAnsi="Arial Narrow"/>
                <w:b/>
                <w:sz w:val="18"/>
                <w:szCs w:val="18"/>
              </w:rPr>
              <w:t>PBS item code</w:t>
            </w:r>
          </w:p>
        </w:tc>
        <w:tc>
          <w:tcPr>
            <w:tcW w:w="1984" w:type="dxa"/>
          </w:tcPr>
          <w:p w:rsidR="00822E7B" w:rsidRPr="003A5AE5" w:rsidRDefault="00822E7B" w:rsidP="00033ED9">
            <w:pPr>
              <w:keepNext/>
              <w:ind w:left="-108"/>
              <w:jc w:val="center"/>
              <w:rPr>
                <w:rFonts w:ascii="Arial Narrow" w:hAnsi="Arial Narrow"/>
                <w:b/>
                <w:sz w:val="18"/>
                <w:szCs w:val="18"/>
              </w:rPr>
            </w:pPr>
            <w:r w:rsidRPr="003A5AE5">
              <w:rPr>
                <w:rFonts w:ascii="Arial Narrow" w:hAnsi="Arial Narrow"/>
                <w:b/>
                <w:sz w:val="18"/>
                <w:szCs w:val="18"/>
              </w:rPr>
              <w:t>Max.</w:t>
            </w:r>
          </w:p>
          <w:p w:rsidR="00822E7B" w:rsidRPr="003A5AE5" w:rsidRDefault="00822E7B" w:rsidP="00033ED9">
            <w:pPr>
              <w:keepNext/>
              <w:ind w:left="-108"/>
              <w:jc w:val="center"/>
              <w:rPr>
                <w:rFonts w:ascii="Arial Narrow" w:hAnsi="Arial Narrow"/>
                <w:b/>
                <w:sz w:val="18"/>
                <w:szCs w:val="18"/>
              </w:rPr>
            </w:pPr>
            <w:r w:rsidRPr="003A5AE5">
              <w:rPr>
                <w:rFonts w:ascii="Arial Narrow" w:hAnsi="Arial Narrow"/>
                <w:b/>
                <w:sz w:val="18"/>
                <w:szCs w:val="18"/>
              </w:rPr>
              <w:t>Amount</w:t>
            </w:r>
          </w:p>
        </w:tc>
        <w:tc>
          <w:tcPr>
            <w:tcW w:w="1701" w:type="dxa"/>
          </w:tcPr>
          <w:p w:rsidR="00822E7B" w:rsidRPr="003A5AE5" w:rsidRDefault="00822E7B" w:rsidP="00033ED9">
            <w:pPr>
              <w:keepNext/>
              <w:ind w:left="-108"/>
              <w:jc w:val="center"/>
              <w:rPr>
                <w:rFonts w:ascii="Arial Narrow" w:hAnsi="Arial Narrow"/>
                <w:b/>
                <w:sz w:val="18"/>
                <w:szCs w:val="18"/>
              </w:rPr>
            </w:pPr>
            <w:r w:rsidRPr="003A5AE5">
              <w:rPr>
                <w:rFonts w:ascii="Arial Narrow" w:hAnsi="Arial Narrow"/>
                <w:b/>
                <w:sz w:val="18"/>
                <w:szCs w:val="18"/>
              </w:rPr>
              <w:t>№.of Rpts</w:t>
            </w:r>
          </w:p>
        </w:tc>
      </w:tr>
      <w:tr w:rsidR="00822E7B" w:rsidRPr="003A5AE5" w:rsidTr="0086600B">
        <w:trPr>
          <w:cantSplit/>
          <w:trHeight w:val="577"/>
        </w:trPr>
        <w:tc>
          <w:tcPr>
            <w:tcW w:w="3114" w:type="dxa"/>
            <w:gridSpan w:val="2"/>
          </w:tcPr>
          <w:p w:rsidR="00822E7B" w:rsidRPr="003A5AE5" w:rsidRDefault="00822E7B" w:rsidP="00033ED9">
            <w:pPr>
              <w:keepNext/>
              <w:ind w:left="-57"/>
              <w:rPr>
                <w:rFonts w:ascii="Arial Narrow" w:hAnsi="Arial Narrow"/>
                <w:sz w:val="18"/>
                <w:szCs w:val="18"/>
              </w:rPr>
            </w:pPr>
            <w:r w:rsidRPr="003A5AE5">
              <w:rPr>
                <w:rFonts w:ascii="Arial Narrow" w:hAnsi="Arial Narrow"/>
                <w:sz w:val="18"/>
                <w:szCs w:val="18"/>
              </w:rPr>
              <w:t>TRABECTEDIN</w:t>
            </w:r>
          </w:p>
          <w:p w:rsidR="00822E7B" w:rsidRPr="003A5AE5" w:rsidRDefault="00822E7B" w:rsidP="00033ED9">
            <w:pPr>
              <w:keepNext/>
              <w:ind w:left="-57"/>
              <w:rPr>
                <w:rFonts w:ascii="Arial Narrow" w:hAnsi="Arial Narrow" w:cs="Arial Narrow"/>
                <w:sz w:val="18"/>
                <w:szCs w:val="18"/>
              </w:rPr>
            </w:pPr>
            <w:r w:rsidRPr="003A5AE5">
              <w:rPr>
                <w:rFonts w:ascii="Arial Narrow" w:hAnsi="Arial Narrow" w:cs="Arial Narrow"/>
                <w:sz w:val="18"/>
                <w:szCs w:val="18"/>
              </w:rPr>
              <w:t>Powder for I.V. infusion, 0.25mg</w:t>
            </w:r>
          </w:p>
          <w:p w:rsidR="00822E7B" w:rsidRPr="003A5AE5" w:rsidRDefault="00822E7B" w:rsidP="00033ED9">
            <w:pPr>
              <w:keepNext/>
              <w:ind w:left="-57"/>
              <w:rPr>
                <w:rFonts w:ascii="Arial Narrow" w:hAnsi="Arial Narrow"/>
                <w:sz w:val="18"/>
                <w:szCs w:val="18"/>
              </w:rPr>
            </w:pPr>
            <w:r w:rsidRPr="003A5AE5">
              <w:rPr>
                <w:rFonts w:ascii="Arial Narrow" w:hAnsi="Arial Narrow" w:cs="Arial Narrow"/>
                <w:sz w:val="18"/>
                <w:szCs w:val="18"/>
              </w:rPr>
              <w:t>Powder for I.V. infusion, 1 mg</w:t>
            </w:r>
          </w:p>
        </w:tc>
        <w:tc>
          <w:tcPr>
            <w:tcW w:w="2268" w:type="dxa"/>
          </w:tcPr>
          <w:p w:rsidR="00822E7B" w:rsidRPr="003A5AE5" w:rsidRDefault="00822E7B" w:rsidP="00033ED9">
            <w:pPr>
              <w:keepNext/>
              <w:ind w:left="-108"/>
              <w:jc w:val="center"/>
              <w:rPr>
                <w:rFonts w:ascii="Arial Narrow" w:hAnsi="Arial Narrow"/>
                <w:sz w:val="18"/>
                <w:szCs w:val="18"/>
              </w:rPr>
            </w:pPr>
          </w:p>
          <w:p w:rsidR="00822E7B" w:rsidRPr="003A5AE5" w:rsidRDefault="00822E7B" w:rsidP="00033ED9">
            <w:pPr>
              <w:keepNext/>
              <w:ind w:left="-108"/>
              <w:jc w:val="center"/>
              <w:rPr>
                <w:rFonts w:ascii="Arial Narrow" w:hAnsi="Arial Narrow"/>
                <w:sz w:val="18"/>
                <w:szCs w:val="18"/>
              </w:rPr>
            </w:pPr>
            <w:r w:rsidRPr="003A5AE5">
              <w:rPr>
                <w:rFonts w:ascii="Arial Narrow" w:hAnsi="Arial Narrow"/>
                <w:sz w:val="18"/>
                <w:szCs w:val="18"/>
              </w:rPr>
              <w:t>NEW (Public)</w:t>
            </w:r>
          </w:p>
          <w:p w:rsidR="00822E7B" w:rsidRPr="003A5AE5" w:rsidRDefault="00822E7B" w:rsidP="00033ED9">
            <w:pPr>
              <w:keepNext/>
              <w:ind w:left="-108"/>
              <w:jc w:val="center"/>
              <w:rPr>
                <w:rFonts w:ascii="Arial Narrow" w:hAnsi="Arial Narrow"/>
                <w:sz w:val="18"/>
                <w:szCs w:val="18"/>
              </w:rPr>
            </w:pPr>
            <w:r w:rsidRPr="003A5AE5">
              <w:rPr>
                <w:rFonts w:ascii="Arial Narrow" w:hAnsi="Arial Narrow"/>
                <w:sz w:val="18"/>
                <w:szCs w:val="18"/>
              </w:rPr>
              <w:t>NEW (Private)</w:t>
            </w:r>
          </w:p>
        </w:tc>
        <w:tc>
          <w:tcPr>
            <w:tcW w:w="1984" w:type="dxa"/>
          </w:tcPr>
          <w:p w:rsidR="00822E7B" w:rsidRPr="003A5AE5" w:rsidRDefault="00822E7B" w:rsidP="00033ED9">
            <w:pPr>
              <w:keepNext/>
              <w:jc w:val="center"/>
              <w:rPr>
                <w:rFonts w:ascii="Arial Narrow" w:hAnsi="Arial Narrow"/>
                <w:sz w:val="18"/>
                <w:szCs w:val="18"/>
              </w:rPr>
            </w:pPr>
            <w:r w:rsidRPr="003A5AE5">
              <w:rPr>
                <w:rFonts w:ascii="Arial Narrow" w:hAnsi="Arial Narrow"/>
                <w:sz w:val="18"/>
                <w:szCs w:val="18"/>
              </w:rPr>
              <w:t>3.25mg</w:t>
            </w:r>
          </w:p>
        </w:tc>
        <w:tc>
          <w:tcPr>
            <w:tcW w:w="1701" w:type="dxa"/>
          </w:tcPr>
          <w:p w:rsidR="00822E7B" w:rsidRPr="003A5AE5" w:rsidRDefault="00822E7B" w:rsidP="00033ED9">
            <w:pPr>
              <w:keepNext/>
              <w:jc w:val="center"/>
              <w:rPr>
                <w:rFonts w:ascii="Arial Narrow" w:hAnsi="Arial Narrow"/>
                <w:sz w:val="18"/>
                <w:szCs w:val="18"/>
              </w:rPr>
            </w:pPr>
            <w:r w:rsidRPr="003A5AE5">
              <w:rPr>
                <w:rFonts w:ascii="Arial Narrow" w:hAnsi="Arial Narrow"/>
                <w:sz w:val="18"/>
                <w:szCs w:val="18"/>
              </w:rPr>
              <w:t>3</w:t>
            </w:r>
          </w:p>
        </w:tc>
      </w:tr>
      <w:tr w:rsidR="00822E7B" w:rsidRPr="003A5AE5" w:rsidTr="0086600B">
        <w:trPr>
          <w:cantSplit/>
          <w:trHeight w:val="225"/>
        </w:trPr>
        <w:tc>
          <w:tcPr>
            <w:tcW w:w="9067" w:type="dxa"/>
            <w:gridSpan w:val="5"/>
          </w:tcPr>
          <w:p w:rsidR="00822E7B" w:rsidRPr="003A5AE5" w:rsidRDefault="00822E7B" w:rsidP="00033ED9">
            <w:pPr>
              <w:keepNext/>
              <w:ind w:left="-57"/>
              <w:rPr>
                <w:rFonts w:ascii="Arial Narrow" w:hAnsi="Arial Narrow"/>
                <w:b/>
                <w:sz w:val="18"/>
                <w:szCs w:val="18"/>
              </w:rPr>
            </w:pPr>
            <w:r w:rsidRPr="003A5AE5">
              <w:rPr>
                <w:rFonts w:ascii="Arial Narrow" w:hAnsi="Arial Narrow"/>
                <w:b/>
                <w:sz w:val="18"/>
                <w:szCs w:val="18"/>
              </w:rPr>
              <w:t>Available brands</w:t>
            </w:r>
          </w:p>
        </w:tc>
      </w:tr>
      <w:tr w:rsidR="00822E7B" w:rsidRPr="003A5AE5" w:rsidTr="0086600B">
        <w:trPr>
          <w:cantSplit/>
          <w:trHeight w:val="360"/>
        </w:trPr>
        <w:tc>
          <w:tcPr>
            <w:tcW w:w="9067" w:type="dxa"/>
            <w:gridSpan w:val="5"/>
          </w:tcPr>
          <w:p w:rsidR="00822E7B" w:rsidRPr="003A5AE5" w:rsidRDefault="00822E7B" w:rsidP="00033ED9">
            <w:pPr>
              <w:ind w:left="-57"/>
              <w:rPr>
                <w:rFonts w:ascii="Arial Narrow" w:hAnsi="Arial Narrow"/>
                <w:sz w:val="18"/>
                <w:szCs w:val="18"/>
              </w:rPr>
            </w:pPr>
            <w:r w:rsidRPr="003A5AE5">
              <w:rPr>
                <w:rFonts w:ascii="Arial Narrow" w:hAnsi="Arial Narrow"/>
                <w:sz w:val="18"/>
                <w:szCs w:val="18"/>
              </w:rPr>
              <w:t>Yondelis</w:t>
            </w:r>
            <w:r w:rsidRPr="003A5AE5">
              <w:rPr>
                <w:rFonts w:ascii="Arial Narrow" w:hAnsi="Arial Narrow"/>
                <w:sz w:val="18"/>
                <w:szCs w:val="18"/>
                <w:vertAlign w:val="superscript"/>
              </w:rPr>
              <w:t>®</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right w:val="single" w:sz="4" w:space="0" w:color="auto"/>
            </w:tcBorders>
          </w:tcPr>
          <w:p w:rsidR="00822E7B" w:rsidRPr="003A5AE5" w:rsidRDefault="00822E7B" w:rsidP="00033ED9">
            <w:pPr>
              <w:ind w:left="57"/>
              <w:rPr>
                <w:rFonts w:ascii="Arial Narrow" w:hAnsi="Arial Narrow"/>
                <w:b/>
                <w:color w:val="FF00FF"/>
                <w:sz w:val="18"/>
                <w:szCs w:val="18"/>
              </w:rPr>
            </w:pP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right w:val="single" w:sz="4" w:space="0" w:color="auto"/>
            </w:tcBorders>
          </w:tcPr>
          <w:p w:rsidR="00822E7B" w:rsidRPr="003A5AE5" w:rsidRDefault="00822E7B" w:rsidP="00033ED9">
            <w:pPr>
              <w:ind w:left="57"/>
              <w:rPr>
                <w:rFonts w:ascii="Arial Narrow" w:hAnsi="Arial Narrow"/>
                <w:b/>
                <w:sz w:val="18"/>
                <w:szCs w:val="18"/>
              </w:rPr>
            </w:pPr>
            <w:r w:rsidRPr="003A5AE5">
              <w:rPr>
                <w:rFonts w:ascii="Arial Narrow" w:hAnsi="Arial Narrow"/>
                <w:b/>
                <w:sz w:val="18"/>
                <w:szCs w:val="18"/>
              </w:rPr>
              <w:t>Restriction Summary [new]  / Treatment of Concept: [new]</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rsidR="00822E7B" w:rsidRPr="003A5AE5" w:rsidRDefault="00822E7B" w:rsidP="00033ED9">
            <w:pPr>
              <w:rPr>
                <w:rFonts w:ascii="Arial Narrow" w:hAnsi="Arial Narrow"/>
                <w:b/>
                <w:sz w:val="18"/>
                <w:szCs w:val="18"/>
              </w:rPr>
            </w:pPr>
          </w:p>
        </w:tc>
        <w:tc>
          <w:tcPr>
            <w:tcW w:w="8086" w:type="dxa"/>
            <w:gridSpan w:val="4"/>
            <w:tcBorders>
              <w:top w:val="single" w:sz="4" w:space="0" w:color="auto"/>
              <w:left w:val="single" w:sz="4" w:space="0" w:color="auto"/>
              <w:bottom w:val="single" w:sz="4" w:space="0" w:color="auto"/>
              <w:right w:val="single" w:sz="4" w:space="0" w:color="auto"/>
            </w:tcBorders>
          </w:tcPr>
          <w:p w:rsidR="00822E7B" w:rsidRPr="003A5AE5" w:rsidRDefault="00822E7B" w:rsidP="00033ED9">
            <w:pPr>
              <w:rPr>
                <w:rFonts w:ascii="Arial Narrow" w:hAnsi="Arial Narrow"/>
                <w:sz w:val="18"/>
                <w:szCs w:val="18"/>
              </w:rPr>
            </w:pPr>
            <w:r w:rsidRPr="003A5AE5">
              <w:rPr>
                <w:rFonts w:ascii="Arial Narrow" w:hAnsi="Arial Narrow"/>
                <w:b/>
                <w:sz w:val="18"/>
                <w:szCs w:val="18"/>
              </w:rPr>
              <w:t xml:space="preserve">Category / Program: </w:t>
            </w:r>
            <w:r w:rsidRPr="003A5AE5">
              <w:rPr>
                <w:rFonts w:ascii="Arial Narrow" w:hAnsi="Arial Narrow"/>
                <w:sz w:val="18"/>
                <w:szCs w:val="18"/>
              </w:rPr>
              <w:t xml:space="preserve">Section 100 – Efficient Funding of Chemotherapy Public/Private hospitals </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rsidR="00822E7B" w:rsidRPr="003A5AE5" w:rsidRDefault="00822E7B" w:rsidP="00033ED9">
            <w:pPr>
              <w:rPr>
                <w:rFonts w:ascii="Arial Narrow" w:hAnsi="Arial Narrow"/>
                <w:sz w:val="18"/>
                <w:szCs w:val="18"/>
              </w:rPr>
            </w:pPr>
          </w:p>
        </w:tc>
        <w:tc>
          <w:tcPr>
            <w:tcW w:w="8086" w:type="dxa"/>
            <w:gridSpan w:val="4"/>
            <w:tcBorders>
              <w:top w:val="single" w:sz="4" w:space="0" w:color="auto"/>
              <w:left w:val="single" w:sz="4" w:space="0" w:color="auto"/>
              <w:bottom w:val="single" w:sz="4" w:space="0" w:color="auto"/>
              <w:right w:val="single" w:sz="4" w:space="0" w:color="auto"/>
            </w:tcBorders>
          </w:tcPr>
          <w:p w:rsidR="00822E7B" w:rsidRPr="003A5AE5" w:rsidRDefault="00822E7B" w:rsidP="00033ED9">
            <w:pPr>
              <w:rPr>
                <w:rFonts w:ascii="Arial Narrow" w:hAnsi="Arial Narrow"/>
                <w:b/>
                <w:sz w:val="18"/>
                <w:szCs w:val="18"/>
              </w:rPr>
            </w:pPr>
            <w:r w:rsidRPr="003A5AE5">
              <w:rPr>
                <w:rFonts w:ascii="Arial Narrow" w:hAnsi="Arial Narrow"/>
                <w:b/>
                <w:sz w:val="18"/>
                <w:szCs w:val="18"/>
              </w:rPr>
              <w:t xml:space="preserve">Prescriber type:   </w:t>
            </w:r>
            <w:r w:rsidRPr="003A5AE5">
              <w:rPr>
                <w:rFonts w:ascii="Arial Narrow" w:hAnsi="Arial Narrow"/>
                <w:sz w:val="18"/>
                <w:szCs w:val="18"/>
              </w:rPr>
              <w:fldChar w:fldCharType="begin">
                <w:ffData>
                  <w:name w:val="Check1"/>
                  <w:enabled/>
                  <w:calcOnExit w:val="0"/>
                  <w:checkBox>
                    <w:sizeAuto/>
                    <w:default w:val="0"/>
                  </w:checkBox>
                </w:ffData>
              </w:fldChar>
            </w:r>
            <w:r w:rsidRPr="003A5AE5">
              <w:rPr>
                <w:rFonts w:ascii="Arial Narrow" w:hAnsi="Arial Narrow"/>
                <w:sz w:val="18"/>
                <w:szCs w:val="18"/>
              </w:rPr>
              <w:instrText xml:space="preserve"> FORMCHECKBOX </w:instrText>
            </w:r>
            <w:r w:rsidR="00BF2D4A">
              <w:rPr>
                <w:rFonts w:ascii="Arial Narrow" w:hAnsi="Arial Narrow"/>
                <w:sz w:val="18"/>
                <w:szCs w:val="18"/>
              </w:rPr>
            </w:r>
            <w:r w:rsidR="00BF2D4A">
              <w:rPr>
                <w:rFonts w:ascii="Arial Narrow" w:hAnsi="Arial Narrow"/>
                <w:sz w:val="18"/>
                <w:szCs w:val="18"/>
              </w:rPr>
              <w:fldChar w:fldCharType="separate"/>
            </w:r>
            <w:r w:rsidRPr="003A5AE5">
              <w:rPr>
                <w:rFonts w:ascii="Arial Narrow" w:hAnsi="Arial Narrow"/>
                <w:sz w:val="18"/>
                <w:szCs w:val="18"/>
              </w:rPr>
              <w:fldChar w:fldCharType="end"/>
            </w:r>
            <w:r w:rsidRPr="003A5AE5">
              <w:rPr>
                <w:rFonts w:ascii="Arial Narrow" w:hAnsi="Arial Narrow"/>
                <w:sz w:val="18"/>
                <w:szCs w:val="18"/>
              </w:rPr>
              <w:t xml:space="preserve">Dental    </w:t>
            </w:r>
            <w:r w:rsidRPr="003A5AE5">
              <w:rPr>
                <w:rFonts w:ascii="Arial Narrow" w:hAnsi="Arial Narrow"/>
                <w:sz w:val="18"/>
                <w:szCs w:val="18"/>
              </w:rPr>
              <w:fldChar w:fldCharType="begin">
                <w:ffData>
                  <w:name w:val=""/>
                  <w:enabled/>
                  <w:calcOnExit w:val="0"/>
                  <w:checkBox>
                    <w:sizeAuto/>
                    <w:default w:val="1"/>
                  </w:checkBox>
                </w:ffData>
              </w:fldChar>
            </w:r>
            <w:r w:rsidRPr="003A5AE5">
              <w:rPr>
                <w:rFonts w:ascii="Arial Narrow" w:hAnsi="Arial Narrow"/>
                <w:sz w:val="18"/>
                <w:szCs w:val="18"/>
              </w:rPr>
              <w:instrText xml:space="preserve"> FORMCHECKBOX </w:instrText>
            </w:r>
            <w:r w:rsidR="00BF2D4A">
              <w:rPr>
                <w:rFonts w:ascii="Arial Narrow" w:hAnsi="Arial Narrow"/>
                <w:sz w:val="18"/>
                <w:szCs w:val="18"/>
              </w:rPr>
            </w:r>
            <w:r w:rsidR="00BF2D4A">
              <w:rPr>
                <w:rFonts w:ascii="Arial Narrow" w:hAnsi="Arial Narrow"/>
                <w:sz w:val="18"/>
                <w:szCs w:val="18"/>
              </w:rPr>
              <w:fldChar w:fldCharType="separate"/>
            </w:r>
            <w:r w:rsidRPr="003A5AE5">
              <w:rPr>
                <w:rFonts w:ascii="Arial Narrow" w:hAnsi="Arial Narrow"/>
                <w:sz w:val="18"/>
                <w:szCs w:val="18"/>
              </w:rPr>
              <w:fldChar w:fldCharType="end"/>
            </w:r>
            <w:r w:rsidRPr="003A5AE5">
              <w:rPr>
                <w:rFonts w:ascii="Arial Narrow" w:hAnsi="Arial Narrow"/>
                <w:sz w:val="18"/>
                <w:szCs w:val="18"/>
              </w:rPr>
              <w:t xml:space="preserve">Medical Practitioners    </w:t>
            </w:r>
            <w:r w:rsidRPr="003A5AE5">
              <w:rPr>
                <w:rFonts w:ascii="Arial Narrow" w:hAnsi="Arial Narrow"/>
                <w:sz w:val="18"/>
                <w:szCs w:val="18"/>
              </w:rPr>
              <w:fldChar w:fldCharType="begin">
                <w:ffData>
                  <w:name w:val="Check3"/>
                  <w:enabled/>
                  <w:calcOnExit w:val="0"/>
                  <w:checkBox>
                    <w:sizeAuto/>
                    <w:default w:val="0"/>
                  </w:checkBox>
                </w:ffData>
              </w:fldChar>
            </w:r>
            <w:r w:rsidRPr="003A5AE5">
              <w:rPr>
                <w:rFonts w:ascii="Arial Narrow" w:hAnsi="Arial Narrow"/>
                <w:sz w:val="18"/>
                <w:szCs w:val="18"/>
              </w:rPr>
              <w:instrText xml:space="preserve"> FORMCHECKBOX </w:instrText>
            </w:r>
            <w:r w:rsidR="00BF2D4A">
              <w:rPr>
                <w:rFonts w:ascii="Arial Narrow" w:hAnsi="Arial Narrow"/>
                <w:sz w:val="18"/>
                <w:szCs w:val="18"/>
              </w:rPr>
            </w:r>
            <w:r w:rsidR="00BF2D4A">
              <w:rPr>
                <w:rFonts w:ascii="Arial Narrow" w:hAnsi="Arial Narrow"/>
                <w:sz w:val="18"/>
                <w:szCs w:val="18"/>
              </w:rPr>
              <w:fldChar w:fldCharType="separate"/>
            </w:r>
            <w:r w:rsidRPr="003A5AE5">
              <w:rPr>
                <w:rFonts w:ascii="Arial Narrow" w:hAnsi="Arial Narrow"/>
                <w:sz w:val="18"/>
                <w:szCs w:val="18"/>
              </w:rPr>
              <w:fldChar w:fldCharType="end"/>
            </w:r>
            <w:r w:rsidRPr="003A5AE5">
              <w:rPr>
                <w:rFonts w:ascii="Arial Narrow" w:hAnsi="Arial Narrow"/>
                <w:sz w:val="18"/>
                <w:szCs w:val="18"/>
              </w:rPr>
              <w:t xml:space="preserve">Nurse practitioners     </w:t>
            </w:r>
            <w:r w:rsidRPr="003A5AE5">
              <w:rPr>
                <w:rFonts w:ascii="Arial Narrow" w:hAnsi="Arial Narrow"/>
                <w:sz w:val="18"/>
                <w:szCs w:val="18"/>
              </w:rPr>
              <w:fldChar w:fldCharType="begin">
                <w:ffData>
                  <w:name w:val=""/>
                  <w:enabled/>
                  <w:calcOnExit w:val="0"/>
                  <w:checkBox>
                    <w:sizeAuto/>
                    <w:default w:val="0"/>
                  </w:checkBox>
                </w:ffData>
              </w:fldChar>
            </w:r>
            <w:r w:rsidRPr="003A5AE5">
              <w:rPr>
                <w:rFonts w:ascii="Arial Narrow" w:hAnsi="Arial Narrow"/>
                <w:sz w:val="18"/>
                <w:szCs w:val="18"/>
              </w:rPr>
              <w:instrText xml:space="preserve"> FORMCHECKBOX </w:instrText>
            </w:r>
            <w:r w:rsidR="00BF2D4A">
              <w:rPr>
                <w:rFonts w:ascii="Arial Narrow" w:hAnsi="Arial Narrow"/>
                <w:sz w:val="18"/>
                <w:szCs w:val="18"/>
              </w:rPr>
            </w:r>
            <w:r w:rsidR="00BF2D4A">
              <w:rPr>
                <w:rFonts w:ascii="Arial Narrow" w:hAnsi="Arial Narrow"/>
                <w:sz w:val="18"/>
                <w:szCs w:val="18"/>
              </w:rPr>
              <w:fldChar w:fldCharType="separate"/>
            </w:r>
            <w:r w:rsidRPr="003A5AE5">
              <w:rPr>
                <w:rFonts w:ascii="Arial Narrow" w:hAnsi="Arial Narrow"/>
                <w:sz w:val="18"/>
                <w:szCs w:val="18"/>
              </w:rPr>
              <w:fldChar w:fldCharType="end"/>
            </w:r>
            <w:r w:rsidRPr="003A5AE5">
              <w:rPr>
                <w:rFonts w:ascii="Arial Narrow" w:hAnsi="Arial Narrow"/>
                <w:sz w:val="18"/>
                <w:szCs w:val="18"/>
              </w:rPr>
              <w:t xml:space="preserve">Optometrists    </w:t>
            </w:r>
            <w:r w:rsidRPr="003A5AE5">
              <w:rPr>
                <w:rFonts w:ascii="Arial Narrow" w:hAnsi="Arial Narrow"/>
                <w:sz w:val="18"/>
                <w:szCs w:val="18"/>
              </w:rPr>
              <w:fldChar w:fldCharType="begin">
                <w:ffData>
                  <w:name w:val="Check5"/>
                  <w:enabled/>
                  <w:calcOnExit w:val="0"/>
                  <w:checkBox>
                    <w:sizeAuto/>
                    <w:default w:val="0"/>
                  </w:checkBox>
                </w:ffData>
              </w:fldChar>
            </w:r>
            <w:r w:rsidRPr="003A5AE5">
              <w:rPr>
                <w:rFonts w:ascii="Arial Narrow" w:hAnsi="Arial Narrow"/>
                <w:sz w:val="18"/>
                <w:szCs w:val="18"/>
              </w:rPr>
              <w:instrText xml:space="preserve"> FORMCHECKBOX </w:instrText>
            </w:r>
            <w:r w:rsidR="00BF2D4A">
              <w:rPr>
                <w:rFonts w:ascii="Arial Narrow" w:hAnsi="Arial Narrow"/>
                <w:sz w:val="18"/>
                <w:szCs w:val="18"/>
              </w:rPr>
            </w:r>
            <w:r w:rsidR="00BF2D4A">
              <w:rPr>
                <w:rFonts w:ascii="Arial Narrow" w:hAnsi="Arial Narrow"/>
                <w:sz w:val="18"/>
                <w:szCs w:val="18"/>
              </w:rPr>
              <w:fldChar w:fldCharType="separate"/>
            </w:r>
            <w:r w:rsidRPr="003A5AE5">
              <w:rPr>
                <w:rFonts w:ascii="Arial Narrow" w:hAnsi="Arial Narrow"/>
                <w:sz w:val="18"/>
                <w:szCs w:val="18"/>
              </w:rPr>
              <w:fldChar w:fldCharType="end"/>
            </w:r>
            <w:r w:rsidRPr="003A5AE5">
              <w:rPr>
                <w:rFonts w:ascii="Arial Narrow" w:hAnsi="Arial Narrow"/>
                <w:sz w:val="18"/>
                <w:szCs w:val="18"/>
              </w:rPr>
              <w:t>Midwives</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rsidR="00822E7B" w:rsidRPr="003A5AE5" w:rsidRDefault="00822E7B" w:rsidP="00033ED9">
            <w:pPr>
              <w:rPr>
                <w:rFonts w:ascii="Arial Narrow" w:hAnsi="Arial Narrow"/>
                <w:sz w:val="18"/>
                <w:szCs w:val="18"/>
              </w:rPr>
            </w:pPr>
          </w:p>
        </w:tc>
        <w:tc>
          <w:tcPr>
            <w:tcW w:w="8086" w:type="dxa"/>
            <w:gridSpan w:val="4"/>
            <w:tcBorders>
              <w:top w:val="single" w:sz="4" w:space="0" w:color="auto"/>
              <w:left w:val="single" w:sz="4" w:space="0" w:color="auto"/>
              <w:bottom w:val="single" w:sz="4" w:space="0" w:color="auto"/>
              <w:right w:val="single" w:sz="4" w:space="0" w:color="auto"/>
            </w:tcBorders>
          </w:tcPr>
          <w:p w:rsidR="00822E7B" w:rsidRPr="003A5AE5" w:rsidRDefault="00822E7B" w:rsidP="00033ED9">
            <w:pPr>
              <w:rPr>
                <w:rFonts w:ascii="Arial Narrow" w:eastAsia="Calibri" w:hAnsi="Arial Narrow"/>
                <w:sz w:val="18"/>
                <w:szCs w:val="18"/>
              </w:rPr>
            </w:pPr>
            <w:r w:rsidRPr="003A5AE5">
              <w:rPr>
                <w:rFonts w:ascii="Arial Narrow" w:hAnsi="Arial Narrow"/>
                <w:b/>
                <w:sz w:val="18"/>
                <w:szCs w:val="18"/>
              </w:rPr>
              <w:t xml:space="preserve">Restriction type: </w:t>
            </w:r>
          </w:p>
          <w:p w:rsidR="00822E7B" w:rsidRPr="003A5AE5" w:rsidRDefault="00822E7B" w:rsidP="00033ED9">
            <w:pPr>
              <w:rPr>
                <w:rFonts w:ascii="Arial Narrow" w:eastAsia="Calibri" w:hAnsi="Arial Narrow"/>
                <w:color w:val="FF00FF"/>
                <w:sz w:val="18"/>
                <w:szCs w:val="18"/>
              </w:rPr>
            </w:pPr>
            <w:r w:rsidRPr="003A5AE5">
              <w:rPr>
                <w:rFonts w:ascii="Arial Narrow" w:eastAsia="Calibri" w:hAnsi="Arial Narrow"/>
                <w:sz w:val="18"/>
                <w:szCs w:val="18"/>
              </w:rPr>
              <w:fldChar w:fldCharType="begin">
                <w:ffData>
                  <w:name w:val=""/>
                  <w:enabled/>
                  <w:calcOnExit w:val="0"/>
                  <w:checkBox>
                    <w:sizeAuto/>
                    <w:default w:val="1"/>
                  </w:checkBox>
                </w:ffData>
              </w:fldChar>
            </w:r>
            <w:r w:rsidRPr="003A5AE5">
              <w:rPr>
                <w:rFonts w:ascii="Arial Narrow" w:eastAsia="Calibri" w:hAnsi="Arial Narrow"/>
                <w:sz w:val="18"/>
                <w:szCs w:val="18"/>
              </w:rPr>
              <w:instrText xml:space="preserve"> FORMCHECKBOX </w:instrText>
            </w:r>
            <w:r w:rsidR="00BF2D4A">
              <w:rPr>
                <w:rFonts w:ascii="Arial Narrow" w:eastAsia="Calibri" w:hAnsi="Arial Narrow"/>
                <w:sz w:val="18"/>
                <w:szCs w:val="18"/>
              </w:rPr>
            </w:r>
            <w:r w:rsidR="00BF2D4A">
              <w:rPr>
                <w:rFonts w:ascii="Arial Narrow" w:eastAsia="Calibri" w:hAnsi="Arial Narrow"/>
                <w:sz w:val="18"/>
                <w:szCs w:val="18"/>
              </w:rPr>
              <w:fldChar w:fldCharType="separate"/>
            </w:r>
            <w:r w:rsidRPr="003A5AE5">
              <w:rPr>
                <w:rFonts w:ascii="Arial Narrow" w:eastAsia="Calibri" w:hAnsi="Arial Narrow"/>
                <w:sz w:val="18"/>
                <w:szCs w:val="18"/>
              </w:rPr>
              <w:fldChar w:fldCharType="end"/>
            </w:r>
            <w:r w:rsidRPr="003A5AE5">
              <w:rPr>
                <w:rFonts w:ascii="Arial Narrow" w:eastAsia="Calibri" w:hAnsi="Arial Narrow"/>
                <w:sz w:val="18"/>
                <w:szCs w:val="18"/>
              </w:rPr>
              <w:t>Authority Required – Streamlined [new code]</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tcPr>
          <w:p w:rsidR="00822E7B" w:rsidRPr="003A5AE5" w:rsidRDefault="00822E7B" w:rsidP="00033ED9">
            <w:pPr>
              <w:rPr>
                <w:rFonts w:ascii="Arial Narrow" w:hAnsi="Arial Narrow"/>
                <w:color w:val="333333"/>
                <w:sz w:val="18"/>
                <w:szCs w:val="18"/>
              </w:rPr>
            </w:pPr>
            <w:r w:rsidRPr="003A5AE5">
              <w:rPr>
                <w:rFonts w:ascii="Arial Narrow" w:hAnsi="Arial Narrow"/>
                <w:b/>
                <w:bCs/>
                <w:color w:val="333333"/>
                <w:sz w:val="18"/>
                <w:szCs w:val="18"/>
              </w:rPr>
              <w:t>Administrative Advice:</w:t>
            </w:r>
          </w:p>
          <w:p w:rsidR="00822E7B" w:rsidRPr="003A5AE5" w:rsidRDefault="00822E7B" w:rsidP="00033ED9">
            <w:pPr>
              <w:rPr>
                <w:rFonts w:ascii="Arial Narrow" w:hAnsi="Arial Narrow"/>
                <w:color w:val="333333"/>
                <w:sz w:val="18"/>
                <w:szCs w:val="18"/>
              </w:rPr>
            </w:pPr>
            <w:r w:rsidRPr="003A5AE5">
              <w:rPr>
                <w:rFonts w:ascii="Arial Narrow" w:hAnsi="Arial Narrow"/>
                <w:color w:val="333333"/>
                <w:sz w:val="18"/>
                <w:szCs w:val="18"/>
              </w:rPr>
              <w:t>This drug is not PBS-subsidised if it is administered to an in-patient in a public hospital.</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tcPr>
          <w:p w:rsidR="00822E7B" w:rsidRPr="003A5AE5" w:rsidRDefault="00822E7B" w:rsidP="00033ED9">
            <w:pPr>
              <w:rPr>
                <w:rFonts w:ascii="Arial Narrow" w:hAnsi="Arial Narrow"/>
                <w:b/>
                <w:bCs/>
                <w:color w:val="333333"/>
                <w:sz w:val="18"/>
                <w:szCs w:val="18"/>
              </w:rPr>
            </w:pPr>
            <w:r w:rsidRPr="003A5AE5">
              <w:rPr>
                <w:rFonts w:ascii="Arial Narrow" w:hAnsi="Arial Narrow"/>
                <w:b/>
                <w:bCs/>
                <w:color w:val="333333"/>
                <w:sz w:val="18"/>
                <w:szCs w:val="18"/>
              </w:rPr>
              <w:t xml:space="preserve">Administrative Advice: </w:t>
            </w:r>
            <w:r w:rsidRPr="003A5AE5">
              <w:rPr>
                <w:rFonts w:ascii="Arial Narrow" w:hAnsi="Arial Narrow"/>
                <w:bCs/>
                <w:color w:val="333333"/>
                <w:sz w:val="18"/>
                <w:szCs w:val="18"/>
              </w:rPr>
              <w:t>Special Pricing Arrangements apply.</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Merge w:val="restart"/>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tcPr>
          <w:p w:rsidR="00822E7B" w:rsidRPr="003A5AE5" w:rsidRDefault="00822E7B" w:rsidP="00033ED9">
            <w:pPr>
              <w:rPr>
                <w:rFonts w:ascii="Arial Narrow" w:hAnsi="Arial Narrow"/>
                <w:b/>
                <w:bCs/>
                <w:color w:val="333333"/>
                <w:sz w:val="18"/>
                <w:szCs w:val="18"/>
              </w:rPr>
            </w:pPr>
            <w:r w:rsidRPr="003A5AE5">
              <w:rPr>
                <w:rFonts w:ascii="Arial Narrow" w:hAnsi="Arial Narrow"/>
                <w:b/>
                <w:bCs/>
                <w:color w:val="333333"/>
                <w:sz w:val="18"/>
                <w:szCs w:val="18"/>
              </w:rPr>
              <w:t xml:space="preserve">Severity: </w:t>
            </w:r>
            <w:r w:rsidRPr="003A5AE5">
              <w:rPr>
                <w:rFonts w:ascii="Arial Narrow" w:hAnsi="Arial Narrow"/>
                <w:bCs/>
                <w:color w:val="000000" w:themeColor="text1"/>
                <w:sz w:val="18"/>
                <w:szCs w:val="18"/>
              </w:rPr>
              <w:t>Advanced (unresectable and/or metastatic)</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Merge/>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tcPr>
          <w:p w:rsidR="00822E7B" w:rsidRPr="003A5AE5" w:rsidRDefault="00822E7B" w:rsidP="00033ED9">
            <w:pPr>
              <w:rPr>
                <w:rFonts w:ascii="Arial Narrow" w:hAnsi="Arial Narrow"/>
                <w:b/>
                <w:bCs/>
                <w:color w:val="333333"/>
                <w:sz w:val="18"/>
                <w:szCs w:val="18"/>
              </w:rPr>
            </w:pPr>
            <w:r w:rsidRPr="003A5AE5">
              <w:rPr>
                <w:rFonts w:ascii="Arial Narrow" w:hAnsi="Arial Narrow"/>
                <w:b/>
                <w:bCs/>
                <w:color w:val="333333"/>
                <w:sz w:val="18"/>
                <w:szCs w:val="18"/>
              </w:rPr>
              <w:t>Condition:</w:t>
            </w:r>
            <w:r w:rsidRPr="003A5AE5">
              <w:rPr>
                <w:rFonts w:ascii="Arial Narrow" w:hAnsi="Arial Narrow"/>
                <w:b/>
                <w:bCs/>
                <w:i/>
                <w:color w:val="333333"/>
                <w:sz w:val="18"/>
                <w:szCs w:val="18"/>
              </w:rPr>
              <w:t xml:space="preserve"> </w:t>
            </w:r>
            <w:r w:rsidRPr="003A5AE5">
              <w:rPr>
                <w:rFonts w:ascii="Arial Narrow" w:hAnsi="Arial Narrow"/>
                <w:bCs/>
                <w:color w:val="333333"/>
                <w:sz w:val="18"/>
                <w:szCs w:val="18"/>
              </w:rPr>
              <w:t xml:space="preserve">Leiomyosarcoma </w:t>
            </w:r>
            <w:r w:rsidR="008F2A0A" w:rsidRPr="003A5AE5">
              <w:rPr>
                <w:rFonts w:ascii="Arial Narrow" w:hAnsi="Arial Narrow"/>
                <w:bCs/>
                <w:color w:val="333333"/>
                <w:sz w:val="18"/>
                <w:szCs w:val="18"/>
              </w:rPr>
              <w:t xml:space="preserve">or </w:t>
            </w:r>
            <w:r w:rsidR="008F2A0A" w:rsidRPr="003A5AE5">
              <w:rPr>
                <w:rFonts w:ascii="Arial Narrow" w:hAnsi="Arial Narrow"/>
                <w:bCs/>
                <w:color w:val="000000" w:themeColor="text1"/>
                <w:sz w:val="18"/>
                <w:szCs w:val="18"/>
              </w:rPr>
              <w:t>liposarcoma</w:t>
            </w:r>
          </w:p>
        </w:tc>
      </w:tr>
      <w:tr w:rsidR="00822E7B" w:rsidRPr="003A5AE5" w:rsidTr="00D25F38">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hideMark/>
          </w:tcPr>
          <w:p w:rsidR="00822E7B" w:rsidRPr="003A5AE5" w:rsidRDefault="00822E7B" w:rsidP="00033ED9">
            <w:pPr>
              <w:rPr>
                <w:rFonts w:ascii="Arial Narrow" w:hAnsi="Arial Narrow"/>
                <w:i/>
                <w:color w:val="333333"/>
                <w:sz w:val="18"/>
                <w:szCs w:val="18"/>
              </w:rPr>
            </w:pPr>
            <w:r w:rsidRPr="003A5AE5">
              <w:rPr>
                <w:rFonts w:ascii="Arial Narrow" w:hAnsi="Arial Narrow"/>
                <w:b/>
                <w:bCs/>
                <w:color w:val="333333"/>
                <w:sz w:val="18"/>
                <w:szCs w:val="18"/>
              </w:rPr>
              <w:t>Indication:</w:t>
            </w:r>
            <w:r w:rsidRPr="003A5AE5">
              <w:rPr>
                <w:rFonts w:ascii="Arial Narrow" w:hAnsi="Arial Narrow"/>
                <w:color w:val="333333"/>
                <w:sz w:val="18"/>
                <w:szCs w:val="18"/>
              </w:rPr>
              <w:t xml:space="preserve"> </w:t>
            </w:r>
            <w:r w:rsidRPr="003A5AE5">
              <w:rPr>
                <w:rFonts w:ascii="Arial Narrow" w:hAnsi="Arial Narrow"/>
                <w:bCs/>
                <w:color w:val="000000" w:themeColor="text1"/>
                <w:sz w:val="18"/>
                <w:szCs w:val="18"/>
              </w:rPr>
              <w:t>Advanced (unresectable and/or metastatic) leiomyosarcoma or liposarcoma</w:t>
            </w:r>
          </w:p>
        </w:tc>
      </w:tr>
      <w:tr w:rsidR="00822E7B" w:rsidRPr="003A5AE5" w:rsidTr="00D25F38">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hideMark/>
          </w:tcPr>
          <w:p w:rsidR="00822E7B" w:rsidRPr="003A5AE5" w:rsidRDefault="00822E7B" w:rsidP="00033ED9">
            <w:pPr>
              <w:rPr>
                <w:rFonts w:ascii="Arial Narrow" w:hAnsi="Arial Narrow"/>
                <w:color w:val="FF00FF"/>
                <w:sz w:val="18"/>
                <w:szCs w:val="18"/>
              </w:rPr>
            </w:pPr>
            <w:r w:rsidRPr="003A5AE5">
              <w:rPr>
                <w:rFonts w:ascii="Arial Narrow" w:hAnsi="Arial Narrow"/>
                <w:b/>
                <w:bCs/>
                <w:color w:val="333333"/>
                <w:sz w:val="18"/>
                <w:szCs w:val="18"/>
              </w:rPr>
              <w:t>Treatment Phase:</w:t>
            </w:r>
            <w:r w:rsidRPr="003A5AE5">
              <w:rPr>
                <w:rFonts w:ascii="Arial Narrow" w:hAnsi="Arial Narrow"/>
                <w:color w:val="333333"/>
                <w:sz w:val="18"/>
                <w:szCs w:val="18"/>
              </w:rPr>
              <w:t xml:space="preserve"> </w:t>
            </w:r>
            <w:r w:rsidRPr="003A5AE5">
              <w:rPr>
                <w:rFonts w:ascii="Arial Narrow" w:hAnsi="Arial Narrow"/>
                <w:color w:val="000000" w:themeColor="text1"/>
                <w:sz w:val="18"/>
                <w:szCs w:val="18"/>
              </w:rPr>
              <w:t xml:space="preserve">Initial treatment  </w:t>
            </w:r>
          </w:p>
        </w:tc>
      </w:tr>
      <w:tr w:rsidR="00822E7B" w:rsidRPr="003A5AE5" w:rsidTr="00D25F38">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hideMark/>
          </w:tcPr>
          <w:p w:rsidR="00822E7B" w:rsidRPr="003A5AE5" w:rsidRDefault="00822E7B" w:rsidP="00033ED9">
            <w:pPr>
              <w:rPr>
                <w:rFonts w:ascii="Arial Narrow" w:hAnsi="Arial Narrow"/>
                <w:color w:val="FF00FF"/>
                <w:sz w:val="18"/>
                <w:szCs w:val="18"/>
              </w:rPr>
            </w:pPr>
            <w:r w:rsidRPr="003A5AE5">
              <w:rPr>
                <w:rFonts w:ascii="Arial Narrow" w:hAnsi="Arial Narrow"/>
                <w:b/>
                <w:bCs/>
                <w:color w:val="333333"/>
                <w:sz w:val="18"/>
                <w:szCs w:val="18"/>
              </w:rPr>
              <w:t>Clinical criteria:</w:t>
            </w:r>
          </w:p>
        </w:tc>
      </w:tr>
      <w:tr w:rsidR="00822E7B" w:rsidRPr="003A5AE5" w:rsidTr="00D25F38">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hideMark/>
          </w:tcPr>
          <w:p w:rsidR="00822E7B" w:rsidRPr="003A5AE5" w:rsidRDefault="00822E7B" w:rsidP="00033ED9">
            <w:pPr>
              <w:rPr>
                <w:rFonts w:ascii="Arial Narrow" w:hAnsi="Arial Narrow"/>
                <w:color w:val="333333"/>
                <w:sz w:val="18"/>
                <w:szCs w:val="18"/>
              </w:rPr>
            </w:pPr>
            <w:r w:rsidRPr="003A5AE5">
              <w:rPr>
                <w:rFonts w:ascii="Arial Narrow" w:hAnsi="Arial Narrow"/>
                <w:color w:val="333333"/>
                <w:sz w:val="18"/>
                <w:szCs w:val="18"/>
              </w:rPr>
              <w:t>Patient must have an ECOG performance status of 2 or less</w:t>
            </w:r>
          </w:p>
        </w:tc>
      </w:tr>
      <w:tr w:rsidR="00822E7B" w:rsidRPr="003A5AE5" w:rsidTr="00D25F38">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hideMark/>
          </w:tcPr>
          <w:p w:rsidR="00822E7B" w:rsidRPr="003A5AE5" w:rsidRDefault="00822E7B" w:rsidP="00033ED9">
            <w:pPr>
              <w:rPr>
                <w:rFonts w:ascii="Arial Narrow" w:hAnsi="Arial Narrow"/>
                <w:color w:val="333333"/>
                <w:sz w:val="18"/>
                <w:szCs w:val="18"/>
              </w:rPr>
            </w:pPr>
            <w:r w:rsidRPr="003A5AE5">
              <w:rPr>
                <w:rFonts w:ascii="Arial Narrow" w:hAnsi="Arial Narrow"/>
                <w:b/>
                <w:bCs/>
                <w:color w:val="333333"/>
                <w:sz w:val="18"/>
                <w:szCs w:val="18"/>
              </w:rPr>
              <w:t>AND</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hideMark/>
          </w:tcPr>
          <w:p w:rsidR="00822E7B" w:rsidRPr="003A5AE5" w:rsidRDefault="00822E7B" w:rsidP="00033ED9">
            <w:pPr>
              <w:rPr>
                <w:rFonts w:ascii="Arial Narrow" w:hAnsi="Arial Narrow"/>
                <w:color w:val="333333"/>
                <w:sz w:val="18"/>
                <w:szCs w:val="18"/>
              </w:rPr>
            </w:pPr>
            <w:r w:rsidRPr="003A5AE5">
              <w:rPr>
                <w:rFonts w:ascii="Arial Narrow" w:hAnsi="Arial Narrow"/>
                <w:b/>
                <w:bCs/>
                <w:color w:val="333333"/>
                <w:sz w:val="18"/>
                <w:szCs w:val="18"/>
              </w:rPr>
              <w:t>Clinical criteria:</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hideMark/>
          </w:tcPr>
          <w:p w:rsidR="00822E7B" w:rsidRPr="003A5AE5" w:rsidRDefault="00822E7B" w:rsidP="00033ED9">
            <w:pPr>
              <w:rPr>
                <w:rFonts w:ascii="Arial Narrow" w:hAnsi="Arial Narrow"/>
                <w:color w:val="333333"/>
                <w:sz w:val="18"/>
                <w:szCs w:val="18"/>
              </w:rPr>
            </w:pPr>
            <w:r w:rsidRPr="003A5AE5">
              <w:rPr>
                <w:rFonts w:ascii="Arial Narrow" w:hAnsi="Arial Narrow"/>
                <w:color w:val="333333"/>
                <w:sz w:val="18"/>
                <w:szCs w:val="18"/>
              </w:rPr>
              <w:t>Patient must have received prior chemotherapy treatment including an anthracycline</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tcPr>
          <w:p w:rsidR="00822E7B" w:rsidRPr="003A5AE5" w:rsidRDefault="00822E7B" w:rsidP="00033ED9">
            <w:pPr>
              <w:rPr>
                <w:rFonts w:ascii="Arial Narrow" w:hAnsi="Arial Narrow"/>
                <w:color w:val="333333"/>
                <w:sz w:val="18"/>
                <w:szCs w:val="18"/>
              </w:rPr>
            </w:pPr>
            <w:r w:rsidRPr="003A5AE5">
              <w:rPr>
                <w:rFonts w:ascii="Arial Narrow" w:hAnsi="Arial Narrow"/>
                <w:b/>
                <w:bCs/>
                <w:color w:val="333333"/>
                <w:sz w:val="18"/>
                <w:szCs w:val="18"/>
              </w:rPr>
              <w:t>AND</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tcPr>
          <w:p w:rsidR="00822E7B" w:rsidRPr="003A5AE5" w:rsidRDefault="00822E7B" w:rsidP="00033ED9">
            <w:pPr>
              <w:rPr>
                <w:rFonts w:ascii="Arial Narrow" w:hAnsi="Arial Narrow"/>
                <w:color w:val="333333"/>
                <w:sz w:val="18"/>
                <w:szCs w:val="18"/>
              </w:rPr>
            </w:pPr>
            <w:r w:rsidRPr="003A5AE5">
              <w:rPr>
                <w:rFonts w:ascii="Arial Narrow" w:hAnsi="Arial Narrow"/>
                <w:b/>
                <w:bCs/>
                <w:color w:val="333333"/>
                <w:sz w:val="18"/>
                <w:szCs w:val="18"/>
              </w:rPr>
              <w:t>Clinical criteria:</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tcPr>
          <w:p w:rsidR="00822E7B" w:rsidRPr="003A5AE5" w:rsidRDefault="00822E7B" w:rsidP="00033ED9">
            <w:pPr>
              <w:rPr>
                <w:rFonts w:ascii="Arial Narrow" w:hAnsi="Arial Narrow"/>
                <w:color w:val="333333"/>
                <w:sz w:val="18"/>
                <w:szCs w:val="18"/>
              </w:rPr>
            </w:pPr>
            <w:r w:rsidRPr="003A5AE5">
              <w:rPr>
                <w:rFonts w:ascii="Arial Narrow" w:hAnsi="Arial Narrow"/>
                <w:color w:val="333333"/>
                <w:sz w:val="18"/>
                <w:szCs w:val="18"/>
              </w:rPr>
              <w:t>The treatment must be the sole PBS-subsidised therapy for this condition.</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strike/>
                <w:color w:val="333333"/>
                <w:sz w:val="18"/>
                <w:szCs w:val="18"/>
              </w:rPr>
            </w:pPr>
          </w:p>
        </w:tc>
        <w:tc>
          <w:tcPr>
            <w:tcW w:w="8086" w:type="dxa"/>
            <w:gridSpan w:val="4"/>
            <w:vAlign w:val="center"/>
          </w:tcPr>
          <w:p w:rsidR="00822E7B" w:rsidRPr="003A5AE5" w:rsidRDefault="00822E7B" w:rsidP="00033ED9">
            <w:pPr>
              <w:rPr>
                <w:rFonts w:ascii="Arial Narrow" w:hAnsi="Arial Narrow"/>
                <w:color w:val="333333"/>
                <w:sz w:val="18"/>
                <w:szCs w:val="18"/>
              </w:rPr>
            </w:pPr>
            <w:r w:rsidRPr="003A5AE5">
              <w:rPr>
                <w:rFonts w:ascii="Arial Narrow" w:hAnsi="Arial Narrow"/>
                <w:b/>
                <w:color w:val="333333"/>
                <w:sz w:val="18"/>
                <w:szCs w:val="18"/>
              </w:rPr>
              <w:t>AND</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strike/>
                <w:color w:val="333333"/>
                <w:sz w:val="18"/>
                <w:szCs w:val="18"/>
              </w:rPr>
            </w:pPr>
          </w:p>
        </w:tc>
        <w:tc>
          <w:tcPr>
            <w:tcW w:w="8086" w:type="dxa"/>
            <w:gridSpan w:val="4"/>
            <w:vAlign w:val="center"/>
          </w:tcPr>
          <w:p w:rsidR="00822E7B" w:rsidRPr="003A5AE5" w:rsidRDefault="00CE3115" w:rsidP="00033ED9">
            <w:pPr>
              <w:rPr>
                <w:rFonts w:ascii="Arial Narrow" w:hAnsi="Arial Narrow"/>
                <w:color w:val="333333"/>
                <w:sz w:val="18"/>
                <w:szCs w:val="18"/>
              </w:rPr>
            </w:pPr>
            <w:r>
              <w:rPr>
                <w:rFonts w:ascii="Arial Narrow" w:hAnsi="Arial Narrow"/>
                <w:b/>
                <w:bCs/>
                <w:color w:val="333333"/>
                <w:sz w:val="18"/>
                <w:szCs w:val="18"/>
              </w:rPr>
              <w:t>Clinical Criteria:</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strike/>
                <w:color w:val="333333"/>
                <w:sz w:val="18"/>
                <w:szCs w:val="18"/>
              </w:rPr>
            </w:pPr>
          </w:p>
        </w:tc>
        <w:tc>
          <w:tcPr>
            <w:tcW w:w="8086" w:type="dxa"/>
            <w:gridSpan w:val="4"/>
            <w:vAlign w:val="center"/>
          </w:tcPr>
          <w:p w:rsidR="00CE3115" w:rsidRPr="003A5AE5" w:rsidRDefault="00CE3115" w:rsidP="00033ED9">
            <w:pPr>
              <w:rPr>
                <w:rFonts w:ascii="Arial Narrow" w:hAnsi="Arial Narrow"/>
                <w:color w:val="333333"/>
                <w:sz w:val="18"/>
                <w:szCs w:val="18"/>
              </w:rPr>
            </w:pPr>
            <w:r>
              <w:rPr>
                <w:rFonts w:ascii="Arial Narrow" w:hAnsi="Arial Narrow"/>
                <w:color w:val="333333"/>
                <w:sz w:val="18"/>
                <w:szCs w:val="18"/>
              </w:rPr>
              <w:t>The condition must be one of the following subtypes for patients with liposarcoma: (i) dedifferentiated; (ii) myxoid; (iii) round-cell; or (iv) pleomorphic</w:t>
            </w:r>
          </w:p>
        </w:tc>
      </w:tr>
    </w:tbl>
    <w:p w:rsidR="00822E7B" w:rsidRPr="003A5AE5" w:rsidRDefault="00822E7B" w:rsidP="00033ED9"/>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2133"/>
        <w:gridCol w:w="2268"/>
        <w:gridCol w:w="1984"/>
        <w:gridCol w:w="1701"/>
      </w:tblGrid>
      <w:tr w:rsidR="00822E7B" w:rsidRPr="003A5AE5" w:rsidTr="0086600B">
        <w:trPr>
          <w:cantSplit/>
          <w:trHeight w:val="471"/>
        </w:trPr>
        <w:tc>
          <w:tcPr>
            <w:tcW w:w="3114" w:type="dxa"/>
            <w:gridSpan w:val="2"/>
          </w:tcPr>
          <w:p w:rsidR="00822E7B" w:rsidRPr="003A5AE5" w:rsidRDefault="00822E7B" w:rsidP="00033ED9">
            <w:pPr>
              <w:keepNext/>
              <w:ind w:left="-57"/>
              <w:rPr>
                <w:rFonts w:ascii="Arial Narrow" w:hAnsi="Arial Narrow"/>
                <w:b/>
                <w:sz w:val="18"/>
                <w:szCs w:val="18"/>
              </w:rPr>
            </w:pPr>
            <w:r w:rsidRPr="003A5AE5">
              <w:rPr>
                <w:rFonts w:ascii="Arial Narrow" w:hAnsi="Arial Narrow"/>
                <w:b/>
                <w:sz w:val="18"/>
                <w:szCs w:val="18"/>
              </w:rPr>
              <w:t>MEDICINAL PRODUCT</w:t>
            </w:r>
          </w:p>
          <w:p w:rsidR="00822E7B" w:rsidRPr="003A5AE5" w:rsidRDefault="00822E7B" w:rsidP="00033ED9">
            <w:pPr>
              <w:keepNext/>
              <w:ind w:left="-57"/>
              <w:rPr>
                <w:rFonts w:ascii="Arial Narrow" w:hAnsi="Arial Narrow"/>
                <w:b/>
                <w:sz w:val="18"/>
                <w:szCs w:val="18"/>
              </w:rPr>
            </w:pPr>
            <w:r w:rsidRPr="003A5AE5">
              <w:rPr>
                <w:rFonts w:ascii="Arial Narrow" w:hAnsi="Arial Narrow"/>
                <w:b/>
                <w:sz w:val="18"/>
                <w:szCs w:val="18"/>
              </w:rPr>
              <w:t>Form</w:t>
            </w:r>
          </w:p>
        </w:tc>
        <w:tc>
          <w:tcPr>
            <w:tcW w:w="2268" w:type="dxa"/>
          </w:tcPr>
          <w:p w:rsidR="00822E7B" w:rsidRPr="003A5AE5" w:rsidRDefault="00822E7B" w:rsidP="00033ED9">
            <w:pPr>
              <w:keepNext/>
              <w:ind w:left="-108"/>
              <w:jc w:val="center"/>
              <w:rPr>
                <w:rFonts w:ascii="Arial Narrow" w:hAnsi="Arial Narrow"/>
                <w:b/>
                <w:sz w:val="18"/>
                <w:szCs w:val="18"/>
              </w:rPr>
            </w:pPr>
            <w:r w:rsidRPr="003A5AE5">
              <w:rPr>
                <w:rFonts w:ascii="Arial Narrow" w:hAnsi="Arial Narrow"/>
                <w:b/>
                <w:sz w:val="18"/>
                <w:szCs w:val="18"/>
              </w:rPr>
              <w:t>PBS item code</w:t>
            </w:r>
          </w:p>
        </w:tc>
        <w:tc>
          <w:tcPr>
            <w:tcW w:w="1984" w:type="dxa"/>
          </w:tcPr>
          <w:p w:rsidR="00822E7B" w:rsidRPr="003A5AE5" w:rsidRDefault="00822E7B" w:rsidP="00033ED9">
            <w:pPr>
              <w:keepNext/>
              <w:ind w:left="-108"/>
              <w:jc w:val="center"/>
              <w:rPr>
                <w:rFonts w:ascii="Arial Narrow" w:hAnsi="Arial Narrow"/>
                <w:b/>
                <w:sz w:val="18"/>
                <w:szCs w:val="18"/>
              </w:rPr>
            </w:pPr>
            <w:r w:rsidRPr="003A5AE5">
              <w:rPr>
                <w:rFonts w:ascii="Arial Narrow" w:hAnsi="Arial Narrow"/>
                <w:b/>
                <w:sz w:val="18"/>
                <w:szCs w:val="18"/>
              </w:rPr>
              <w:t>Max.</w:t>
            </w:r>
          </w:p>
          <w:p w:rsidR="00822E7B" w:rsidRPr="003A5AE5" w:rsidRDefault="00822E7B" w:rsidP="00033ED9">
            <w:pPr>
              <w:keepNext/>
              <w:ind w:left="-108"/>
              <w:jc w:val="center"/>
              <w:rPr>
                <w:rFonts w:ascii="Arial Narrow" w:hAnsi="Arial Narrow"/>
                <w:b/>
                <w:sz w:val="18"/>
                <w:szCs w:val="18"/>
              </w:rPr>
            </w:pPr>
            <w:r w:rsidRPr="003A5AE5">
              <w:rPr>
                <w:rFonts w:ascii="Arial Narrow" w:hAnsi="Arial Narrow"/>
                <w:b/>
                <w:sz w:val="18"/>
                <w:szCs w:val="18"/>
              </w:rPr>
              <w:t>Amount</w:t>
            </w:r>
          </w:p>
        </w:tc>
        <w:tc>
          <w:tcPr>
            <w:tcW w:w="1701" w:type="dxa"/>
          </w:tcPr>
          <w:p w:rsidR="00822E7B" w:rsidRPr="003A5AE5" w:rsidRDefault="00822E7B" w:rsidP="00033ED9">
            <w:pPr>
              <w:keepNext/>
              <w:ind w:left="-108"/>
              <w:jc w:val="center"/>
              <w:rPr>
                <w:rFonts w:ascii="Arial Narrow" w:hAnsi="Arial Narrow"/>
                <w:b/>
                <w:sz w:val="18"/>
                <w:szCs w:val="18"/>
              </w:rPr>
            </w:pPr>
            <w:r w:rsidRPr="003A5AE5">
              <w:rPr>
                <w:rFonts w:ascii="Arial Narrow" w:hAnsi="Arial Narrow"/>
                <w:b/>
                <w:sz w:val="18"/>
                <w:szCs w:val="18"/>
              </w:rPr>
              <w:t>№.of Rpts</w:t>
            </w:r>
          </w:p>
        </w:tc>
      </w:tr>
      <w:tr w:rsidR="00822E7B" w:rsidRPr="003A5AE5" w:rsidTr="0086600B">
        <w:trPr>
          <w:cantSplit/>
          <w:trHeight w:val="577"/>
        </w:trPr>
        <w:tc>
          <w:tcPr>
            <w:tcW w:w="3114" w:type="dxa"/>
            <w:gridSpan w:val="2"/>
          </w:tcPr>
          <w:p w:rsidR="00822E7B" w:rsidRPr="003A5AE5" w:rsidRDefault="00822E7B" w:rsidP="00033ED9">
            <w:pPr>
              <w:keepNext/>
              <w:ind w:left="-57"/>
              <w:rPr>
                <w:rFonts w:ascii="Arial Narrow" w:hAnsi="Arial Narrow"/>
                <w:sz w:val="18"/>
                <w:szCs w:val="18"/>
              </w:rPr>
            </w:pPr>
            <w:r w:rsidRPr="003A5AE5">
              <w:rPr>
                <w:rFonts w:ascii="Arial Narrow" w:hAnsi="Arial Narrow"/>
                <w:sz w:val="18"/>
                <w:szCs w:val="18"/>
              </w:rPr>
              <w:t>TRABECTEDIN</w:t>
            </w:r>
          </w:p>
          <w:p w:rsidR="00822E7B" w:rsidRPr="003A5AE5" w:rsidRDefault="00822E7B" w:rsidP="00033ED9">
            <w:pPr>
              <w:keepNext/>
              <w:ind w:left="-57"/>
              <w:rPr>
                <w:rFonts w:ascii="Arial Narrow" w:hAnsi="Arial Narrow" w:cs="Arial Narrow"/>
                <w:sz w:val="18"/>
                <w:szCs w:val="18"/>
              </w:rPr>
            </w:pPr>
            <w:r w:rsidRPr="003A5AE5">
              <w:rPr>
                <w:rFonts w:ascii="Arial Narrow" w:hAnsi="Arial Narrow" w:cs="Arial Narrow"/>
                <w:sz w:val="18"/>
                <w:szCs w:val="18"/>
              </w:rPr>
              <w:t>Powder for I.V. infusion, 0.25mg</w:t>
            </w:r>
          </w:p>
          <w:p w:rsidR="00822E7B" w:rsidRPr="003A5AE5" w:rsidRDefault="00822E7B" w:rsidP="00033ED9">
            <w:pPr>
              <w:keepNext/>
              <w:ind w:left="-57"/>
              <w:rPr>
                <w:rFonts w:ascii="Arial Narrow" w:hAnsi="Arial Narrow"/>
                <w:sz w:val="18"/>
                <w:szCs w:val="18"/>
              </w:rPr>
            </w:pPr>
            <w:r w:rsidRPr="003A5AE5">
              <w:rPr>
                <w:rFonts w:ascii="Arial Narrow" w:hAnsi="Arial Narrow" w:cs="Arial Narrow"/>
                <w:sz w:val="18"/>
                <w:szCs w:val="18"/>
              </w:rPr>
              <w:t>Powder for I.V. infusion, 1 mg</w:t>
            </w:r>
          </w:p>
        </w:tc>
        <w:tc>
          <w:tcPr>
            <w:tcW w:w="2268" w:type="dxa"/>
          </w:tcPr>
          <w:p w:rsidR="00822E7B" w:rsidRPr="003A5AE5" w:rsidRDefault="00822E7B" w:rsidP="00033ED9">
            <w:pPr>
              <w:keepNext/>
              <w:ind w:left="-108"/>
              <w:jc w:val="center"/>
              <w:rPr>
                <w:rFonts w:ascii="Arial Narrow" w:hAnsi="Arial Narrow"/>
                <w:sz w:val="18"/>
                <w:szCs w:val="18"/>
              </w:rPr>
            </w:pPr>
          </w:p>
          <w:p w:rsidR="00822E7B" w:rsidRPr="003A5AE5" w:rsidRDefault="00822E7B" w:rsidP="00033ED9">
            <w:pPr>
              <w:keepNext/>
              <w:ind w:left="-108"/>
              <w:jc w:val="center"/>
              <w:rPr>
                <w:rFonts w:ascii="Arial Narrow" w:hAnsi="Arial Narrow"/>
                <w:sz w:val="18"/>
                <w:szCs w:val="18"/>
              </w:rPr>
            </w:pPr>
            <w:r w:rsidRPr="003A5AE5">
              <w:rPr>
                <w:rFonts w:ascii="Arial Narrow" w:hAnsi="Arial Narrow"/>
                <w:sz w:val="18"/>
                <w:szCs w:val="18"/>
              </w:rPr>
              <w:t>NEW (Public)</w:t>
            </w:r>
          </w:p>
          <w:p w:rsidR="00822E7B" w:rsidRPr="003A5AE5" w:rsidRDefault="00822E7B" w:rsidP="00033ED9">
            <w:pPr>
              <w:keepNext/>
              <w:ind w:left="-108"/>
              <w:jc w:val="center"/>
              <w:rPr>
                <w:rFonts w:ascii="Arial Narrow" w:hAnsi="Arial Narrow"/>
                <w:sz w:val="18"/>
                <w:szCs w:val="18"/>
              </w:rPr>
            </w:pPr>
            <w:r w:rsidRPr="003A5AE5">
              <w:rPr>
                <w:rFonts w:ascii="Arial Narrow" w:hAnsi="Arial Narrow"/>
                <w:sz w:val="18"/>
                <w:szCs w:val="18"/>
              </w:rPr>
              <w:t>NEW (Private)</w:t>
            </w:r>
          </w:p>
        </w:tc>
        <w:tc>
          <w:tcPr>
            <w:tcW w:w="1984" w:type="dxa"/>
          </w:tcPr>
          <w:p w:rsidR="00822E7B" w:rsidRPr="003A5AE5" w:rsidRDefault="00822E7B" w:rsidP="00033ED9">
            <w:pPr>
              <w:keepNext/>
              <w:jc w:val="center"/>
              <w:rPr>
                <w:rFonts w:ascii="Arial Narrow" w:hAnsi="Arial Narrow"/>
                <w:sz w:val="18"/>
                <w:szCs w:val="18"/>
              </w:rPr>
            </w:pPr>
            <w:r w:rsidRPr="003A5AE5">
              <w:rPr>
                <w:rFonts w:ascii="Arial Narrow" w:hAnsi="Arial Narrow"/>
                <w:sz w:val="18"/>
                <w:szCs w:val="18"/>
              </w:rPr>
              <w:t>3.25mg</w:t>
            </w:r>
          </w:p>
        </w:tc>
        <w:tc>
          <w:tcPr>
            <w:tcW w:w="1701" w:type="dxa"/>
          </w:tcPr>
          <w:p w:rsidR="00822E7B" w:rsidRPr="003A5AE5" w:rsidRDefault="00822E7B" w:rsidP="00033ED9">
            <w:pPr>
              <w:keepNext/>
              <w:jc w:val="center"/>
              <w:rPr>
                <w:rFonts w:ascii="Arial Narrow" w:hAnsi="Arial Narrow"/>
                <w:sz w:val="18"/>
                <w:szCs w:val="18"/>
              </w:rPr>
            </w:pPr>
            <w:r w:rsidRPr="003A5AE5">
              <w:rPr>
                <w:rFonts w:ascii="Arial Narrow" w:hAnsi="Arial Narrow"/>
                <w:i/>
                <w:sz w:val="18"/>
                <w:szCs w:val="18"/>
              </w:rPr>
              <w:t>7</w:t>
            </w:r>
          </w:p>
        </w:tc>
      </w:tr>
      <w:tr w:rsidR="00822E7B" w:rsidRPr="003A5AE5" w:rsidTr="0086600B">
        <w:trPr>
          <w:cantSplit/>
          <w:trHeight w:val="225"/>
        </w:trPr>
        <w:tc>
          <w:tcPr>
            <w:tcW w:w="9067" w:type="dxa"/>
            <w:gridSpan w:val="5"/>
          </w:tcPr>
          <w:p w:rsidR="00822E7B" w:rsidRPr="003A5AE5" w:rsidRDefault="00822E7B" w:rsidP="00033ED9">
            <w:pPr>
              <w:keepNext/>
              <w:ind w:left="-57"/>
              <w:rPr>
                <w:rFonts w:ascii="Arial Narrow" w:hAnsi="Arial Narrow"/>
                <w:b/>
                <w:sz w:val="18"/>
                <w:szCs w:val="18"/>
              </w:rPr>
            </w:pPr>
            <w:r w:rsidRPr="003A5AE5">
              <w:rPr>
                <w:rFonts w:ascii="Arial Narrow" w:hAnsi="Arial Narrow"/>
                <w:b/>
                <w:sz w:val="18"/>
                <w:szCs w:val="18"/>
              </w:rPr>
              <w:t>Available brands</w:t>
            </w:r>
          </w:p>
        </w:tc>
      </w:tr>
      <w:tr w:rsidR="00822E7B" w:rsidRPr="003A5AE5" w:rsidTr="0086600B">
        <w:trPr>
          <w:cantSplit/>
          <w:trHeight w:val="360"/>
        </w:trPr>
        <w:tc>
          <w:tcPr>
            <w:tcW w:w="9067" w:type="dxa"/>
            <w:gridSpan w:val="5"/>
          </w:tcPr>
          <w:p w:rsidR="00822E7B" w:rsidRPr="003A5AE5" w:rsidRDefault="00822E7B" w:rsidP="00033ED9">
            <w:pPr>
              <w:ind w:left="-57"/>
              <w:rPr>
                <w:rFonts w:ascii="Arial Narrow" w:hAnsi="Arial Narrow"/>
                <w:sz w:val="18"/>
                <w:szCs w:val="18"/>
              </w:rPr>
            </w:pPr>
            <w:r w:rsidRPr="003A5AE5">
              <w:rPr>
                <w:rFonts w:ascii="Arial Narrow" w:hAnsi="Arial Narrow"/>
                <w:sz w:val="18"/>
                <w:szCs w:val="18"/>
              </w:rPr>
              <w:t>Yondelis</w:t>
            </w:r>
            <w:r w:rsidRPr="003A5AE5">
              <w:rPr>
                <w:rFonts w:ascii="Arial Narrow" w:hAnsi="Arial Narrow"/>
                <w:sz w:val="18"/>
                <w:szCs w:val="18"/>
                <w:vertAlign w:val="superscript"/>
              </w:rPr>
              <w:t>®</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right w:val="single" w:sz="4" w:space="0" w:color="auto"/>
            </w:tcBorders>
          </w:tcPr>
          <w:p w:rsidR="00822E7B" w:rsidRPr="003A5AE5" w:rsidRDefault="00822E7B" w:rsidP="00033ED9">
            <w:pPr>
              <w:ind w:left="57"/>
              <w:rPr>
                <w:rFonts w:ascii="Arial Narrow" w:hAnsi="Arial Narrow"/>
                <w:b/>
                <w:color w:val="FF00FF"/>
                <w:sz w:val="18"/>
                <w:szCs w:val="18"/>
              </w:rPr>
            </w:pP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right w:val="single" w:sz="4" w:space="0" w:color="auto"/>
            </w:tcBorders>
          </w:tcPr>
          <w:p w:rsidR="00822E7B" w:rsidRPr="003A5AE5" w:rsidRDefault="00822E7B" w:rsidP="00033ED9">
            <w:pPr>
              <w:ind w:left="57"/>
              <w:rPr>
                <w:rFonts w:ascii="Arial Narrow" w:hAnsi="Arial Narrow"/>
                <w:b/>
                <w:sz w:val="18"/>
                <w:szCs w:val="18"/>
              </w:rPr>
            </w:pPr>
            <w:r w:rsidRPr="003A5AE5">
              <w:rPr>
                <w:rFonts w:ascii="Arial Narrow" w:hAnsi="Arial Narrow"/>
                <w:b/>
                <w:sz w:val="18"/>
                <w:szCs w:val="18"/>
              </w:rPr>
              <w:t>Restriction Summary [new]  / Treatment of Concept: [new]</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rsidR="00822E7B" w:rsidRPr="003A5AE5" w:rsidRDefault="00822E7B" w:rsidP="00033ED9">
            <w:pPr>
              <w:rPr>
                <w:rFonts w:ascii="Arial Narrow" w:hAnsi="Arial Narrow"/>
                <w:b/>
                <w:sz w:val="18"/>
                <w:szCs w:val="18"/>
              </w:rPr>
            </w:pPr>
          </w:p>
        </w:tc>
        <w:tc>
          <w:tcPr>
            <w:tcW w:w="8086" w:type="dxa"/>
            <w:gridSpan w:val="4"/>
            <w:tcBorders>
              <w:top w:val="single" w:sz="4" w:space="0" w:color="auto"/>
              <w:left w:val="single" w:sz="4" w:space="0" w:color="auto"/>
              <w:bottom w:val="single" w:sz="4" w:space="0" w:color="auto"/>
              <w:right w:val="single" w:sz="4" w:space="0" w:color="auto"/>
            </w:tcBorders>
          </w:tcPr>
          <w:p w:rsidR="00822E7B" w:rsidRPr="003A5AE5" w:rsidRDefault="00822E7B" w:rsidP="00033ED9">
            <w:pPr>
              <w:rPr>
                <w:rFonts w:ascii="Arial Narrow" w:hAnsi="Arial Narrow"/>
                <w:sz w:val="18"/>
                <w:szCs w:val="18"/>
              </w:rPr>
            </w:pPr>
            <w:r w:rsidRPr="003A5AE5">
              <w:rPr>
                <w:rFonts w:ascii="Arial Narrow" w:hAnsi="Arial Narrow"/>
                <w:b/>
                <w:sz w:val="18"/>
                <w:szCs w:val="18"/>
              </w:rPr>
              <w:t xml:space="preserve">Category / Program: </w:t>
            </w:r>
            <w:r w:rsidRPr="003A5AE5">
              <w:rPr>
                <w:rFonts w:ascii="Arial Narrow" w:hAnsi="Arial Narrow"/>
                <w:sz w:val="18"/>
                <w:szCs w:val="18"/>
              </w:rPr>
              <w:t xml:space="preserve">Section 100 – Efficient Funding of Chemotherapy Public/Private hospitals </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rsidR="00822E7B" w:rsidRPr="003A5AE5" w:rsidRDefault="00822E7B" w:rsidP="00033ED9">
            <w:pPr>
              <w:rPr>
                <w:rFonts w:ascii="Arial Narrow" w:hAnsi="Arial Narrow"/>
                <w:sz w:val="18"/>
                <w:szCs w:val="18"/>
              </w:rPr>
            </w:pPr>
          </w:p>
        </w:tc>
        <w:tc>
          <w:tcPr>
            <w:tcW w:w="8086" w:type="dxa"/>
            <w:gridSpan w:val="4"/>
            <w:tcBorders>
              <w:top w:val="single" w:sz="4" w:space="0" w:color="auto"/>
              <w:left w:val="single" w:sz="4" w:space="0" w:color="auto"/>
              <w:bottom w:val="single" w:sz="4" w:space="0" w:color="auto"/>
              <w:right w:val="single" w:sz="4" w:space="0" w:color="auto"/>
            </w:tcBorders>
          </w:tcPr>
          <w:p w:rsidR="00822E7B" w:rsidRPr="003A5AE5" w:rsidRDefault="00822E7B" w:rsidP="00033ED9">
            <w:pPr>
              <w:rPr>
                <w:rFonts w:ascii="Arial Narrow" w:hAnsi="Arial Narrow"/>
                <w:b/>
                <w:sz w:val="18"/>
                <w:szCs w:val="18"/>
              </w:rPr>
            </w:pPr>
            <w:r w:rsidRPr="003A5AE5">
              <w:rPr>
                <w:rFonts w:ascii="Arial Narrow" w:hAnsi="Arial Narrow"/>
                <w:b/>
                <w:sz w:val="18"/>
                <w:szCs w:val="18"/>
              </w:rPr>
              <w:t xml:space="preserve">Prescriber type:   </w:t>
            </w:r>
            <w:r w:rsidRPr="003A5AE5">
              <w:rPr>
                <w:rFonts w:ascii="Arial Narrow" w:hAnsi="Arial Narrow"/>
                <w:sz w:val="18"/>
                <w:szCs w:val="18"/>
              </w:rPr>
              <w:fldChar w:fldCharType="begin">
                <w:ffData>
                  <w:name w:val="Check1"/>
                  <w:enabled/>
                  <w:calcOnExit w:val="0"/>
                  <w:checkBox>
                    <w:sizeAuto/>
                    <w:default w:val="0"/>
                  </w:checkBox>
                </w:ffData>
              </w:fldChar>
            </w:r>
            <w:r w:rsidRPr="003A5AE5">
              <w:rPr>
                <w:rFonts w:ascii="Arial Narrow" w:hAnsi="Arial Narrow"/>
                <w:sz w:val="18"/>
                <w:szCs w:val="18"/>
              </w:rPr>
              <w:instrText xml:space="preserve"> FORMCHECKBOX </w:instrText>
            </w:r>
            <w:r w:rsidR="00BF2D4A">
              <w:rPr>
                <w:rFonts w:ascii="Arial Narrow" w:hAnsi="Arial Narrow"/>
                <w:sz w:val="18"/>
                <w:szCs w:val="18"/>
              </w:rPr>
            </w:r>
            <w:r w:rsidR="00BF2D4A">
              <w:rPr>
                <w:rFonts w:ascii="Arial Narrow" w:hAnsi="Arial Narrow"/>
                <w:sz w:val="18"/>
                <w:szCs w:val="18"/>
              </w:rPr>
              <w:fldChar w:fldCharType="separate"/>
            </w:r>
            <w:r w:rsidRPr="003A5AE5">
              <w:rPr>
                <w:rFonts w:ascii="Arial Narrow" w:hAnsi="Arial Narrow"/>
                <w:sz w:val="18"/>
                <w:szCs w:val="18"/>
              </w:rPr>
              <w:fldChar w:fldCharType="end"/>
            </w:r>
            <w:r w:rsidRPr="003A5AE5">
              <w:rPr>
                <w:rFonts w:ascii="Arial Narrow" w:hAnsi="Arial Narrow"/>
                <w:sz w:val="18"/>
                <w:szCs w:val="18"/>
              </w:rPr>
              <w:t xml:space="preserve">Dental    </w:t>
            </w:r>
            <w:r w:rsidRPr="003A5AE5">
              <w:rPr>
                <w:rFonts w:ascii="Arial Narrow" w:hAnsi="Arial Narrow"/>
                <w:sz w:val="18"/>
                <w:szCs w:val="18"/>
              </w:rPr>
              <w:fldChar w:fldCharType="begin">
                <w:ffData>
                  <w:name w:val=""/>
                  <w:enabled/>
                  <w:calcOnExit w:val="0"/>
                  <w:checkBox>
                    <w:sizeAuto/>
                    <w:default w:val="1"/>
                  </w:checkBox>
                </w:ffData>
              </w:fldChar>
            </w:r>
            <w:r w:rsidRPr="003A5AE5">
              <w:rPr>
                <w:rFonts w:ascii="Arial Narrow" w:hAnsi="Arial Narrow"/>
                <w:sz w:val="18"/>
                <w:szCs w:val="18"/>
              </w:rPr>
              <w:instrText xml:space="preserve"> FORMCHECKBOX </w:instrText>
            </w:r>
            <w:r w:rsidR="00BF2D4A">
              <w:rPr>
                <w:rFonts w:ascii="Arial Narrow" w:hAnsi="Arial Narrow"/>
                <w:sz w:val="18"/>
                <w:szCs w:val="18"/>
              </w:rPr>
            </w:r>
            <w:r w:rsidR="00BF2D4A">
              <w:rPr>
                <w:rFonts w:ascii="Arial Narrow" w:hAnsi="Arial Narrow"/>
                <w:sz w:val="18"/>
                <w:szCs w:val="18"/>
              </w:rPr>
              <w:fldChar w:fldCharType="separate"/>
            </w:r>
            <w:r w:rsidRPr="003A5AE5">
              <w:rPr>
                <w:rFonts w:ascii="Arial Narrow" w:hAnsi="Arial Narrow"/>
                <w:sz w:val="18"/>
                <w:szCs w:val="18"/>
              </w:rPr>
              <w:fldChar w:fldCharType="end"/>
            </w:r>
            <w:r w:rsidRPr="003A5AE5">
              <w:rPr>
                <w:rFonts w:ascii="Arial Narrow" w:hAnsi="Arial Narrow"/>
                <w:sz w:val="18"/>
                <w:szCs w:val="18"/>
              </w:rPr>
              <w:t xml:space="preserve">Medical Practitioners    </w:t>
            </w:r>
            <w:r w:rsidRPr="003A5AE5">
              <w:rPr>
                <w:rFonts w:ascii="Arial Narrow" w:hAnsi="Arial Narrow"/>
                <w:sz w:val="18"/>
                <w:szCs w:val="18"/>
              </w:rPr>
              <w:fldChar w:fldCharType="begin">
                <w:ffData>
                  <w:name w:val="Check3"/>
                  <w:enabled/>
                  <w:calcOnExit w:val="0"/>
                  <w:checkBox>
                    <w:sizeAuto/>
                    <w:default w:val="0"/>
                  </w:checkBox>
                </w:ffData>
              </w:fldChar>
            </w:r>
            <w:r w:rsidRPr="003A5AE5">
              <w:rPr>
                <w:rFonts w:ascii="Arial Narrow" w:hAnsi="Arial Narrow"/>
                <w:sz w:val="18"/>
                <w:szCs w:val="18"/>
              </w:rPr>
              <w:instrText xml:space="preserve"> FORMCHECKBOX </w:instrText>
            </w:r>
            <w:r w:rsidR="00BF2D4A">
              <w:rPr>
                <w:rFonts w:ascii="Arial Narrow" w:hAnsi="Arial Narrow"/>
                <w:sz w:val="18"/>
                <w:szCs w:val="18"/>
              </w:rPr>
            </w:r>
            <w:r w:rsidR="00BF2D4A">
              <w:rPr>
                <w:rFonts w:ascii="Arial Narrow" w:hAnsi="Arial Narrow"/>
                <w:sz w:val="18"/>
                <w:szCs w:val="18"/>
              </w:rPr>
              <w:fldChar w:fldCharType="separate"/>
            </w:r>
            <w:r w:rsidRPr="003A5AE5">
              <w:rPr>
                <w:rFonts w:ascii="Arial Narrow" w:hAnsi="Arial Narrow"/>
                <w:sz w:val="18"/>
                <w:szCs w:val="18"/>
              </w:rPr>
              <w:fldChar w:fldCharType="end"/>
            </w:r>
            <w:r w:rsidRPr="003A5AE5">
              <w:rPr>
                <w:rFonts w:ascii="Arial Narrow" w:hAnsi="Arial Narrow"/>
                <w:sz w:val="18"/>
                <w:szCs w:val="18"/>
              </w:rPr>
              <w:t xml:space="preserve">Nurse practitioners     </w:t>
            </w:r>
            <w:r w:rsidRPr="003A5AE5">
              <w:rPr>
                <w:rFonts w:ascii="Arial Narrow" w:hAnsi="Arial Narrow"/>
                <w:sz w:val="18"/>
                <w:szCs w:val="18"/>
              </w:rPr>
              <w:fldChar w:fldCharType="begin">
                <w:ffData>
                  <w:name w:val=""/>
                  <w:enabled/>
                  <w:calcOnExit w:val="0"/>
                  <w:checkBox>
                    <w:sizeAuto/>
                    <w:default w:val="0"/>
                  </w:checkBox>
                </w:ffData>
              </w:fldChar>
            </w:r>
            <w:r w:rsidRPr="003A5AE5">
              <w:rPr>
                <w:rFonts w:ascii="Arial Narrow" w:hAnsi="Arial Narrow"/>
                <w:sz w:val="18"/>
                <w:szCs w:val="18"/>
              </w:rPr>
              <w:instrText xml:space="preserve"> FORMCHECKBOX </w:instrText>
            </w:r>
            <w:r w:rsidR="00BF2D4A">
              <w:rPr>
                <w:rFonts w:ascii="Arial Narrow" w:hAnsi="Arial Narrow"/>
                <w:sz w:val="18"/>
                <w:szCs w:val="18"/>
              </w:rPr>
            </w:r>
            <w:r w:rsidR="00BF2D4A">
              <w:rPr>
                <w:rFonts w:ascii="Arial Narrow" w:hAnsi="Arial Narrow"/>
                <w:sz w:val="18"/>
                <w:szCs w:val="18"/>
              </w:rPr>
              <w:fldChar w:fldCharType="separate"/>
            </w:r>
            <w:r w:rsidRPr="003A5AE5">
              <w:rPr>
                <w:rFonts w:ascii="Arial Narrow" w:hAnsi="Arial Narrow"/>
                <w:sz w:val="18"/>
                <w:szCs w:val="18"/>
              </w:rPr>
              <w:fldChar w:fldCharType="end"/>
            </w:r>
            <w:r w:rsidRPr="003A5AE5">
              <w:rPr>
                <w:rFonts w:ascii="Arial Narrow" w:hAnsi="Arial Narrow"/>
                <w:sz w:val="18"/>
                <w:szCs w:val="18"/>
              </w:rPr>
              <w:t xml:space="preserve">Optometrists    </w:t>
            </w:r>
            <w:r w:rsidRPr="003A5AE5">
              <w:rPr>
                <w:rFonts w:ascii="Arial Narrow" w:hAnsi="Arial Narrow"/>
                <w:sz w:val="18"/>
                <w:szCs w:val="18"/>
              </w:rPr>
              <w:fldChar w:fldCharType="begin">
                <w:ffData>
                  <w:name w:val="Check5"/>
                  <w:enabled/>
                  <w:calcOnExit w:val="0"/>
                  <w:checkBox>
                    <w:sizeAuto/>
                    <w:default w:val="0"/>
                  </w:checkBox>
                </w:ffData>
              </w:fldChar>
            </w:r>
            <w:r w:rsidRPr="003A5AE5">
              <w:rPr>
                <w:rFonts w:ascii="Arial Narrow" w:hAnsi="Arial Narrow"/>
                <w:sz w:val="18"/>
                <w:szCs w:val="18"/>
              </w:rPr>
              <w:instrText xml:space="preserve"> FORMCHECKBOX </w:instrText>
            </w:r>
            <w:r w:rsidR="00BF2D4A">
              <w:rPr>
                <w:rFonts w:ascii="Arial Narrow" w:hAnsi="Arial Narrow"/>
                <w:sz w:val="18"/>
                <w:szCs w:val="18"/>
              </w:rPr>
            </w:r>
            <w:r w:rsidR="00BF2D4A">
              <w:rPr>
                <w:rFonts w:ascii="Arial Narrow" w:hAnsi="Arial Narrow"/>
                <w:sz w:val="18"/>
                <w:szCs w:val="18"/>
              </w:rPr>
              <w:fldChar w:fldCharType="separate"/>
            </w:r>
            <w:r w:rsidRPr="003A5AE5">
              <w:rPr>
                <w:rFonts w:ascii="Arial Narrow" w:hAnsi="Arial Narrow"/>
                <w:sz w:val="18"/>
                <w:szCs w:val="18"/>
              </w:rPr>
              <w:fldChar w:fldCharType="end"/>
            </w:r>
            <w:r w:rsidRPr="003A5AE5">
              <w:rPr>
                <w:rFonts w:ascii="Arial Narrow" w:hAnsi="Arial Narrow"/>
                <w:sz w:val="18"/>
                <w:szCs w:val="18"/>
              </w:rPr>
              <w:t>Midwives</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rsidR="00822E7B" w:rsidRPr="003A5AE5" w:rsidRDefault="00822E7B" w:rsidP="00033ED9">
            <w:pPr>
              <w:rPr>
                <w:rFonts w:ascii="Arial Narrow" w:hAnsi="Arial Narrow"/>
                <w:sz w:val="18"/>
                <w:szCs w:val="18"/>
              </w:rPr>
            </w:pPr>
          </w:p>
        </w:tc>
        <w:tc>
          <w:tcPr>
            <w:tcW w:w="8086" w:type="dxa"/>
            <w:gridSpan w:val="4"/>
            <w:tcBorders>
              <w:top w:val="single" w:sz="4" w:space="0" w:color="auto"/>
              <w:left w:val="single" w:sz="4" w:space="0" w:color="auto"/>
              <w:bottom w:val="single" w:sz="4" w:space="0" w:color="auto"/>
              <w:right w:val="single" w:sz="4" w:space="0" w:color="auto"/>
            </w:tcBorders>
          </w:tcPr>
          <w:p w:rsidR="00822E7B" w:rsidRPr="003A5AE5" w:rsidRDefault="00822E7B" w:rsidP="00033ED9">
            <w:pPr>
              <w:rPr>
                <w:rFonts w:ascii="Arial Narrow" w:eastAsia="Calibri" w:hAnsi="Arial Narrow"/>
                <w:sz w:val="18"/>
                <w:szCs w:val="18"/>
              </w:rPr>
            </w:pPr>
            <w:r w:rsidRPr="003A5AE5">
              <w:rPr>
                <w:rFonts w:ascii="Arial Narrow" w:hAnsi="Arial Narrow"/>
                <w:b/>
                <w:sz w:val="18"/>
                <w:szCs w:val="18"/>
              </w:rPr>
              <w:t xml:space="preserve">Restriction type: </w:t>
            </w:r>
          </w:p>
          <w:p w:rsidR="00822E7B" w:rsidRPr="003A5AE5" w:rsidRDefault="00822E7B" w:rsidP="00033ED9">
            <w:pPr>
              <w:rPr>
                <w:rFonts w:ascii="Arial Narrow" w:eastAsia="Calibri" w:hAnsi="Arial Narrow"/>
                <w:color w:val="FF00FF"/>
                <w:sz w:val="18"/>
                <w:szCs w:val="18"/>
              </w:rPr>
            </w:pPr>
            <w:r w:rsidRPr="003A5AE5">
              <w:rPr>
                <w:rFonts w:ascii="Arial Narrow" w:eastAsia="Calibri" w:hAnsi="Arial Narrow"/>
                <w:sz w:val="18"/>
                <w:szCs w:val="18"/>
              </w:rPr>
              <w:fldChar w:fldCharType="begin">
                <w:ffData>
                  <w:name w:val=""/>
                  <w:enabled/>
                  <w:calcOnExit w:val="0"/>
                  <w:checkBox>
                    <w:sizeAuto/>
                    <w:default w:val="1"/>
                  </w:checkBox>
                </w:ffData>
              </w:fldChar>
            </w:r>
            <w:r w:rsidRPr="003A5AE5">
              <w:rPr>
                <w:rFonts w:ascii="Arial Narrow" w:eastAsia="Calibri" w:hAnsi="Arial Narrow"/>
                <w:sz w:val="18"/>
                <w:szCs w:val="18"/>
              </w:rPr>
              <w:instrText xml:space="preserve"> FORMCHECKBOX </w:instrText>
            </w:r>
            <w:r w:rsidR="00BF2D4A">
              <w:rPr>
                <w:rFonts w:ascii="Arial Narrow" w:eastAsia="Calibri" w:hAnsi="Arial Narrow"/>
                <w:sz w:val="18"/>
                <w:szCs w:val="18"/>
              </w:rPr>
            </w:r>
            <w:r w:rsidR="00BF2D4A">
              <w:rPr>
                <w:rFonts w:ascii="Arial Narrow" w:eastAsia="Calibri" w:hAnsi="Arial Narrow"/>
                <w:sz w:val="18"/>
                <w:szCs w:val="18"/>
              </w:rPr>
              <w:fldChar w:fldCharType="separate"/>
            </w:r>
            <w:r w:rsidRPr="003A5AE5">
              <w:rPr>
                <w:rFonts w:ascii="Arial Narrow" w:eastAsia="Calibri" w:hAnsi="Arial Narrow"/>
                <w:sz w:val="18"/>
                <w:szCs w:val="18"/>
              </w:rPr>
              <w:fldChar w:fldCharType="end"/>
            </w:r>
            <w:r w:rsidRPr="003A5AE5">
              <w:rPr>
                <w:rFonts w:ascii="Arial Narrow" w:eastAsia="Calibri" w:hAnsi="Arial Narrow"/>
                <w:sz w:val="18"/>
                <w:szCs w:val="18"/>
              </w:rPr>
              <w:t>Authority Required – Streamlined [new code]</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tcPr>
          <w:p w:rsidR="00822E7B" w:rsidRPr="003A5AE5" w:rsidRDefault="00822E7B" w:rsidP="00033ED9">
            <w:pPr>
              <w:rPr>
                <w:rFonts w:ascii="Arial Narrow" w:hAnsi="Arial Narrow"/>
                <w:color w:val="333333"/>
                <w:sz w:val="18"/>
                <w:szCs w:val="18"/>
              </w:rPr>
            </w:pPr>
            <w:r w:rsidRPr="003A5AE5">
              <w:rPr>
                <w:rFonts w:ascii="Arial Narrow" w:hAnsi="Arial Narrow"/>
                <w:b/>
                <w:bCs/>
                <w:color w:val="333333"/>
                <w:sz w:val="18"/>
                <w:szCs w:val="18"/>
              </w:rPr>
              <w:t>Administrative Advice:</w:t>
            </w:r>
          </w:p>
          <w:p w:rsidR="00822E7B" w:rsidRPr="003A5AE5" w:rsidRDefault="00822E7B" w:rsidP="00033ED9">
            <w:pPr>
              <w:rPr>
                <w:rFonts w:ascii="Arial Narrow" w:hAnsi="Arial Narrow"/>
                <w:color w:val="333333"/>
                <w:sz w:val="18"/>
                <w:szCs w:val="18"/>
              </w:rPr>
            </w:pPr>
            <w:r w:rsidRPr="003A5AE5">
              <w:rPr>
                <w:rFonts w:ascii="Arial Narrow" w:hAnsi="Arial Narrow"/>
                <w:color w:val="333333"/>
                <w:sz w:val="18"/>
                <w:szCs w:val="18"/>
              </w:rPr>
              <w:t>This drug is not PBS-subsidised if it is administered to an in-patient in a public hospital.</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tcPr>
          <w:p w:rsidR="00822E7B" w:rsidRPr="003A5AE5" w:rsidRDefault="00822E7B" w:rsidP="00033ED9">
            <w:pPr>
              <w:rPr>
                <w:rFonts w:ascii="Arial Narrow" w:hAnsi="Arial Narrow"/>
                <w:b/>
                <w:bCs/>
                <w:color w:val="333333"/>
                <w:sz w:val="18"/>
                <w:szCs w:val="18"/>
              </w:rPr>
            </w:pPr>
            <w:r w:rsidRPr="003A5AE5">
              <w:rPr>
                <w:rFonts w:ascii="Arial Narrow" w:hAnsi="Arial Narrow"/>
                <w:b/>
                <w:bCs/>
                <w:color w:val="333333"/>
                <w:sz w:val="18"/>
                <w:szCs w:val="18"/>
              </w:rPr>
              <w:t xml:space="preserve">Administrative Advice: </w:t>
            </w:r>
            <w:r w:rsidRPr="003A5AE5">
              <w:rPr>
                <w:rFonts w:ascii="Arial Narrow" w:hAnsi="Arial Narrow"/>
                <w:bCs/>
                <w:color w:val="333333"/>
                <w:sz w:val="18"/>
                <w:szCs w:val="18"/>
              </w:rPr>
              <w:t>Special Pricing Arrangements apply.</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Merge w:val="restart"/>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tcPr>
          <w:p w:rsidR="00822E7B" w:rsidRPr="003A5AE5" w:rsidRDefault="00822E7B" w:rsidP="00033ED9">
            <w:pPr>
              <w:rPr>
                <w:rFonts w:ascii="Arial Narrow" w:hAnsi="Arial Narrow"/>
                <w:bCs/>
                <w:color w:val="333333"/>
                <w:sz w:val="18"/>
                <w:szCs w:val="18"/>
              </w:rPr>
            </w:pPr>
            <w:r w:rsidRPr="003A5AE5">
              <w:rPr>
                <w:rFonts w:ascii="Arial Narrow" w:hAnsi="Arial Narrow"/>
                <w:b/>
                <w:bCs/>
                <w:color w:val="333333"/>
                <w:sz w:val="18"/>
                <w:szCs w:val="18"/>
              </w:rPr>
              <w:t xml:space="preserve">Episodicity: </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Merge/>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tcPr>
          <w:p w:rsidR="00822E7B" w:rsidRPr="003A5AE5" w:rsidRDefault="00822E7B" w:rsidP="00033ED9">
            <w:pPr>
              <w:rPr>
                <w:rFonts w:ascii="Arial Narrow" w:hAnsi="Arial Narrow"/>
                <w:b/>
                <w:bCs/>
                <w:color w:val="333333"/>
                <w:sz w:val="18"/>
                <w:szCs w:val="18"/>
              </w:rPr>
            </w:pPr>
            <w:r w:rsidRPr="003A5AE5">
              <w:rPr>
                <w:rFonts w:ascii="Arial Narrow" w:hAnsi="Arial Narrow"/>
                <w:b/>
                <w:bCs/>
                <w:color w:val="333333"/>
                <w:sz w:val="18"/>
                <w:szCs w:val="18"/>
              </w:rPr>
              <w:t xml:space="preserve">Severity: </w:t>
            </w:r>
            <w:r w:rsidRPr="003A5AE5">
              <w:rPr>
                <w:rFonts w:ascii="Arial Narrow" w:hAnsi="Arial Narrow"/>
                <w:bCs/>
                <w:color w:val="000000" w:themeColor="text1"/>
                <w:sz w:val="18"/>
                <w:szCs w:val="18"/>
              </w:rPr>
              <w:t>Advanced (unresectable and/or metastatic)</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Merge/>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tcPr>
          <w:p w:rsidR="00822E7B" w:rsidRPr="003A5AE5" w:rsidRDefault="00822E7B" w:rsidP="00033ED9">
            <w:pPr>
              <w:rPr>
                <w:rFonts w:ascii="Arial Narrow" w:hAnsi="Arial Narrow"/>
                <w:b/>
                <w:bCs/>
                <w:color w:val="333333"/>
                <w:sz w:val="18"/>
                <w:szCs w:val="18"/>
              </w:rPr>
            </w:pPr>
            <w:r w:rsidRPr="003A5AE5">
              <w:rPr>
                <w:rFonts w:ascii="Arial Narrow" w:hAnsi="Arial Narrow"/>
                <w:b/>
                <w:bCs/>
                <w:color w:val="333333"/>
                <w:sz w:val="18"/>
                <w:szCs w:val="18"/>
              </w:rPr>
              <w:t>Condition:</w:t>
            </w:r>
            <w:r w:rsidRPr="003A5AE5">
              <w:rPr>
                <w:rFonts w:ascii="Arial Narrow" w:hAnsi="Arial Narrow"/>
                <w:b/>
                <w:bCs/>
                <w:i/>
                <w:color w:val="333333"/>
                <w:sz w:val="18"/>
                <w:szCs w:val="18"/>
              </w:rPr>
              <w:t xml:space="preserve"> </w:t>
            </w:r>
            <w:r w:rsidR="006847C6" w:rsidRPr="003A5AE5">
              <w:rPr>
                <w:rFonts w:ascii="Arial Narrow" w:hAnsi="Arial Narrow"/>
                <w:bCs/>
                <w:color w:val="333333"/>
                <w:sz w:val="18"/>
                <w:szCs w:val="18"/>
              </w:rPr>
              <w:t xml:space="preserve">Leiomyosarcoma or </w:t>
            </w:r>
            <w:r w:rsidR="006847C6" w:rsidRPr="003A5AE5">
              <w:rPr>
                <w:rFonts w:ascii="Arial Narrow" w:hAnsi="Arial Narrow"/>
                <w:bCs/>
                <w:color w:val="000000" w:themeColor="text1"/>
                <w:sz w:val="18"/>
                <w:szCs w:val="18"/>
              </w:rPr>
              <w:t>liposarcoma</w:t>
            </w:r>
          </w:p>
        </w:tc>
      </w:tr>
      <w:tr w:rsidR="00822E7B" w:rsidRPr="003A5AE5" w:rsidTr="00D25F38">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hideMark/>
          </w:tcPr>
          <w:p w:rsidR="00822E7B" w:rsidRPr="003A5AE5" w:rsidRDefault="00822E7B" w:rsidP="00033ED9">
            <w:pPr>
              <w:rPr>
                <w:rFonts w:ascii="Arial Narrow" w:hAnsi="Arial Narrow"/>
                <w:i/>
                <w:color w:val="333333"/>
                <w:sz w:val="18"/>
                <w:szCs w:val="18"/>
              </w:rPr>
            </w:pPr>
            <w:r w:rsidRPr="003A5AE5">
              <w:rPr>
                <w:rFonts w:ascii="Arial Narrow" w:hAnsi="Arial Narrow"/>
                <w:b/>
                <w:bCs/>
                <w:color w:val="333333"/>
                <w:sz w:val="18"/>
                <w:szCs w:val="18"/>
              </w:rPr>
              <w:t>Indication:</w:t>
            </w:r>
            <w:r w:rsidRPr="003A5AE5">
              <w:rPr>
                <w:rFonts w:ascii="Arial Narrow" w:hAnsi="Arial Narrow"/>
                <w:color w:val="333333"/>
                <w:sz w:val="18"/>
                <w:szCs w:val="18"/>
              </w:rPr>
              <w:t xml:space="preserve"> </w:t>
            </w:r>
            <w:r w:rsidRPr="003A5AE5">
              <w:rPr>
                <w:rFonts w:ascii="Arial Narrow" w:hAnsi="Arial Narrow"/>
                <w:bCs/>
                <w:color w:val="000000" w:themeColor="text1"/>
                <w:sz w:val="18"/>
                <w:szCs w:val="18"/>
              </w:rPr>
              <w:t xml:space="preserve">Advanced (unresectable and/or metastatic) </w:t>
            </w:r>
            <w:r w:rsidR="006847C6" w:rsidRPr="003A5AE5">
              <w:rPr>
                <w:rFonts w:ascii="Arial Narrow" w:hAnsi="Arial Narrow"/>
                <w:bCs/>
                <w:color w:val="333333"/>
                <w:sz w:val="18"/>
                <w:szCs w:val="18"/>
              </w:rPr>
              <w:t xml:space="preserve">leiomyosarcoma or </w:t>
            </w:r>
            <w:r w:rsidR="006847C6" w:rsidRPr="003A5AE5">
              <w:rPr>
                <w:rFonts w:ascii="Arial Narrow" w:hAnsi="Arial Narrow"/>
                <w:bCs/>
                <w:color w:val="000000" w:themeColor="text1"/>
                <w:sz w:val="18"/>
                <w:szCs w:val="18"/>
              </w:rPr>
              <w:t>liposarcoma</w:t>
            </w:r>
          </w:p>
        </w:tc>
      </w:tr>
      <w:tr w:rsidR="00822E7B" w:rsidRPr="003A5AE5" w:rsidTr="00D25F38">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hideMark/>
          </w:tcPr>
          <w:p w:rsidR="00822E7B" w:rsidRPr="003A5AE5" w:rsidRDefault="00822E7B" w:rsidP="00033ED9">
            <w:pPr>
              <w:rPr>
                <w:rFonts w:ascii="Arial Narrow" w:hAnsi="Arial Narrow"/>
                <w:color w:val="FF00FF"/>
                <w:sz w:val="18"/>
                <w:szCs w:val="18"/>
              </w:rPr>
            </w:pPr>
            <w:r w:rsidRPr="003A5AE5">
              <w:rPr>
                <w:rFonts w:ascii="Arial Narrow" w:hAnsi="Arial Narrow"/>
                <w:b/>
                <w:bCs/>
                <w:color w:val="333333"/>
                <w:sz w:val="18"/>
                <w:szCs w:val="18"/>
              </w:rPr>
              <w:t>Treatment Phase:</w:t>
            </w:r>
            <w:r w:rsidRPr="003A5AE5">
              <w:rPr>
                <w:rFonts w:ascii="Arial Narrow" w:hAnsi="Arial Narrow"/>
                <w:color w:val="333333"/>
                <w:sz w:val="18"/>
                <w:szCs w:val="18"/>
              </w:rPr>
              <w:t xml:space="preserve"> </w:t>
            </w:r>
            <w:r w:rsidRPr="003A5AE5">
              <w:rPr>
                <w:rFonts w:ascii="Arial Narrow" w:hAnsi="Arial Narrow"/>
                <w:color w:val="000000" w:themeColor="text1"/>
                <w:sz w:val="18"/>
                <w:szCs w:val="18"/>
              </w:rPr>
              <w:t xml:space="preserve">Continuing treatment  </w:t>
            </w:r>
          </w:p>
        </w:tc>
      </w:tr>
      <w:tr w:rsidR="00822E7B" w:rsidRPr="003A5AE5" w:rsidTr="00D25F38">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hideMark/>
          </w:tcPr>
          <w:p w:rsidR="00822E7B" w:rsidRPr="003A5AE5" w:rsidRDefault="00822E7B" w:rsidP="00033ED9">
            <w:pPr>
              <w:rPr>
                <w:rFonts w:ascii="Arial Narrow" w:hAnsi="Arial Narrow"/>
                <w:color w:val="FF00FF"/>
                <w:sz w:val="18"/>
                <w:szCs w:val="18"/>
              </w:rPr>
            </w:pPr>
            <w:r w:rsidRPr="003A5AE5">
              <w:rPr>
                <w:rFonts w:ascii="Arial Narrow" w:hAnsi="Arial Narrow"/>
                <w:b/>
                <w:bCs/>
                <w:color w:val="333333"/>
                <w:sz w:val="18"/>
                <w:szCs w:val="18"/>
              </w:rPr>
              <w:t>Clinical criteria:</w:t>
            </w:r>
          </w:p>
        </w:tc>
      </w:tr>
      <w:tr w:rsidR="00822E7B" w:rsidRPr="003A5AE5" w:rsidTr="00D25F38">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hideMark/>
          </w:tcPr>
          <w:p w:rsidR="00822E7B" w:rsidRPr="003A5AE5" w:rsidRDefault="00822E7B" w:rsidP="00033ED9">
            <w:pPr>
              <w:rPr>
                <w:rFonts w:ascii="Arial Narrow" w:hAnsi="Arial Narrow"/>
                <w:color w:val="333333"/>
                <w:sz w:val="18"/>
                <w:szCs w:val="18"/>
              </w:rPr>
            </w:pPr>
            <w:r w:rsidRPr="003A5AE5">
              <w:rPr>
                <w:rFonts w:ascii="Arial Narrow" w:hAnsi="Arial Narrow"/>
                <w:color w:val="333333"/>
                <w:sz w:val="18"/>
                <w:szCs w:val="18"/>
              </w:rPr>
              <w:t>Patient must have previously received PBS-subsidised therapy with this drug for this condition</w:t>
            </w:r>
          </w:p>
        </w:tc>
      </w:tr>
      <w:tr w:rsidR="00822E7B" w:rsidRPr="003A5AE5" w:rsidTr="00D25F38">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hideMark/>
          </w:tcPr>
          <w:p w:rsidR="00822E7B" w:rsidRPr="003A5AE5" w:rsidRDefault="00822E7B" w:rsidP="00033ED9">
            <w:pPr>
              <w:rPr>
                <w:rFonts w:ascii="Arial Narrow" w:hAnsi="Arial Narrow"/>
                <w:color w:val="333333"/>
                <w:sz w:val="18"/>
                <w:szCs w:val="18"/>
              </w:rPr>
            </w:pPr>
            <w:r w:rsidRPr="003A5AE5">
              <w:rPr>
                <w:rFonts w:ascii="Arial Narrow" w:hAnsi="Arial Narrow"/>
                <w:b/>
                <w:bCs/>
                <w:color w:val="333333"/>
                <w:sz w:val="18"/>
                <w:szCs w:val="18"/>
              </w:rPr>
              <w:t>AND</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hideMark/>
          </w:tcPr>
          <w:p w:rsidR="00822E7B" w:rsidRPr="003A5AE5" w:rsidRDefault="00822E7B" w:rsidP="00033ED9">
            <w:pPr>
              <w:rPr>
                <w:rFonts w:ascii="Arial Narrow" w:hAnsi="Arial Narrow"/>
                <w:color w:val="333333"/>
                <w:sz w:val="18"/>
                <w:szCs w:val="18"/>
              </w:rPr>
            </w:pPr>
            <w:r w:rsidRPr="003A5AE5">
              <w:rPr>
                <w:rFonts w:ascii="Arial Narrow" w:hAnsi="Arial Narrow"/>
                <w:b/>
                <w:bCs/>
                <w:color w:val="333333"/>
                <w:sz w:val="18"/>
                <w:szCs w:val="18"/>
              </w:rPr>
              <w:t>Clinical criteria:</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hideMark/>
          </w:tcPr>
          <w:p w:rsidR="00822E7B" w:rsidRPr="003A5AE5" w:rsidRDefault="00822E7B" w:rsidP="00033ED9">
            <w:pPr>
              <w:rPr>
                <w:rFonts w:ascii="Arial Narrow" w:hAnsi="Arial Narrow"/>
                <w:color w:val="333333"/>
                <w:sz w:val="18"/>
                <w:szCs w:val="18"/>
              </w:rPr>
            </w:pPr>
            <w:r w:rsidRPr="003A5AE5">
              <w:rPr>
                <w:rFonts w:ascii="Arial Narrow" w:hAnsi="Arial Narrow"/>
                <w:color w:val="333333"/>
                <w:sz w:val="18"/>
                <w:szCs w:val="18"/>
              </w:rPr>
              <w:t>Patient must not develop progressive disease while being treated with this drug for this condition,</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tcPr>
          <w:p w:rsidR="00822E7B" w:rsidRPr="003A5AE5" w:rsidRDefault="00822E7B" w:rsidP="00033ED9">
            <w:pPr>
              <w:rPr>
                <w:rFonts w:ascii="Arial Narrow" w:hAnsi="Arial Narrow"/>
                <w:color w:val="333333"/>
                <w:sz w:val="18"/>
                <w:szCs w:val="18"/>
              </w:rPr>
            </w:pPr>
            <w:r w:rsidRPr="003A5AE5">
              <w:rPr>
                <w:rFonts w:ascii="Arial Narrow" w:hAnsi="Arial Narrow"/>
                <w:b/>
                <w:bCs/>
                <w:color w:val="333333"/>
                <w:sz w:val="18"/>
                <w:szCs w:val="18"/>
              </w:rPr>
              <w:t>AND</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tcPr>
          <w:p w:rsidR="00822E7B" w:rsidRPr="003A5AE5" w:rsidRDefault="00822E7B" w:rsidP="00033ED9">
            <w:pPr>
              <w:rPr>
                <w:rFonts w:ascii="Arial Narrow" w:hAnsi="Arial Narrow"/>
                <w:color w:val="333333"/>
                <w:sz w:val="18"/>
                <w:szCs w:val="18"/>
              </w:rPr>
            </w:pPr>
            <w:r w:rsidRPr="003A5AE5">
              <w:rPr>
                <w:rFonts w:ascii="Arial Narrow" w:hAnsi="Arial Narrow"/>
                <w:b/>
                <w:bCs/>
                <w:color w:val="333333"/>
                <w:sz w:val="18"/>
                <w:szCs w:val="18"/>
              </w:rPr>
              <w:t>Clinical criteria:</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tcPr>
          <w:p w:rsidR="00822E7B" w:rsidRPr="003A5AE5" w:rsidRDefault="00822E7B" w:rsidP="00033ED9">
            <w:pPr>
              <w:rPr>
                <w:rFonts w:ascii="Arial Narrow" w:hAnsi="Arial Narrow"/>
                <w:color w:val="333333"/>
                <w:sz w:val="18"/>
                <w:szCs w:val="18"/>
              </w:rPr>
            </w:pPr>
            <w:r w:rsidRPr="003A5AE5">
              <w:rPr>
                <w:rFonts w:ascii="Arial Narrow" w:hAnsi="Arial Narrow"/>
                <w:color w:val="333333"/>
                <w:sz w:val="18"/>
                <w:szCs w:val="18"/>
              </w:rPr>
              <w:t>The treatment must be the sole PBS-subsidised therapy for this condition.</w:t>
            </w:r>
          </w:p>
        </w:tc>
      </w:tr>
    </w:tbl>
    <w:p w:rsidR="00822E7B" w:rsidRPr="003A5AE5" w:rsidRDefault="00822E7B" w:rsidP="00033ED9"/>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2133"/>
        <w:gridCol w:w="2268"/>
        <w:gridCol w:w="1984"/>
        <w:gridCol w:w="1701"/>
      </w:tblGrid>
      <w:tr w:rsidR="00822E7B" w:rsidRPr="003A5AE5" w:rsidTr="0086600B">
        <w:trPr>
          <w:cantSplit/>
          <w:trHeight w:val="471"/>
        </w:trPr>
        <w:tc>
          <w:tcPr>
            <w:tcW w:w="3114" w:type="dxa"/>
            <w:gridSpan w:val="2"/>
          </w:tcPr>
          <w:p w:rsidR="00822E7B" w:rsidRPr="003A5AE5" w:rsidRDefault="00822E7B" w:rsidP="00033ED9">
            <w:pPr>
              <w:keepNext/>
              <w:ind w:left="-57"/>
              <w:rPr>
                <w:rFonts w:ascii="Arial Narrow" w:hAnsi="Arial Narrow"/>
                <w:b/>
                <w:sz w:val="18"/>
                <w:szCs w:val="18"/>
              </w:rPr>
            </w:pPr>
            <w:r w:rsidRPr="003A5AE5">
              <w:rPr>
                <w:rFonts w:ascii="Arial Narrow" w:hAnsi="Arial Narrow"/>
                <w:b/>
                <w:sz w:val="18"/>
                <w:szCs w:val="18"/>
              </w:rPr>
              <w:t>MEDICINAL PRODUCT</w:t>
            </w:r>
          </w:p>
          <w:p w:rsidR="00822E7B" w:rsidRPr="003A5AE5" w:rsidRDefault="00822E7B" w:rsidP="00033ED9">
            <w:pPr>
              <w:keepNext/>
              <w:ind w:left="-57"/>
              <w:rPr>
                <w:rFonts w:ascii="Arial Narrow" w:hAnsi="Arial Narrow"/>
                <w:b/>
                <w:sz w:val="18"/>
                <w:szCs w:val="18"/>
              </w:rPr>
            </w:pPr>
            <w:r w:rsidRPr="003A5AE5">
              <w:rPr>
                <w:rFonts w:ascii="Arial Narrow" w:hAnsi="Arial Narrow"/>
                <w:b/>
                <w:sz w:val="18"/>
                <w:szCs w:val="18"/>
              </w:rPr>
              <w:t>Form</w:t>
            </w:r>
          </w:p>
        </w:tc>
        <w:tc>
          <w:tcPr>
            <w:tcW w:w="2268" w:type="dxa"/>
          </w:tcPr>
          <w:p w:rsidR="00822E7B" w:rsidRPr="003A5AE5" w:rsidRDefault="00822E7B" w:rsidP="00033ED9">
            <w:pPr>
              <w:keepNext/>
              <w:ind w:left="-108"/>
              <w:jc w:val="center"/>
              <w:rPr>
                <w:rFonts w:ascii="Arial Narrow" w:hAnsi="Arial Narrow"/>
                <w:b/>
                <w:sz w:val="18"/>
                <w:szCs w:val="18"/>
              </w:rPr>
            </w:pPr>
            <w:r w:rsidRPr="003A5AE5">
              <w:rPr>
                <w:rFonts w:ascii="Arial Narrow" w:hAnsi="Arial Narrow"/>
                <w:b/>
                <w:sz w:val="18"/>
                <w:szCs w:val="18"/>
              </w:rPr>
              <w:t>PBS item code</w:t>
            </w:r>
          </w:p>
        </w:tc>
        <w:tc>
          <w:tcPr>
            <w:tcW w:w="1984" w:type="dxa"/>
          </w:tcPr>
          <w:p w:rsidR="00822E7B" w:rsidRPr="003A5AE5" w:rsidRDefault="00822E7B" w:rsidP="00033ED9">
            <w:pPr>
              <w:keepNext/>
              <w:ind w:left="-108"/>
              <w:jc w:val="center"/>
              <w:rPr>
                <w:rFonts w:ascii="Arial Narrow" w:hAnsi="Arial Narrow"/>
                <w:b/>
                <w:sz w:val="18"/>
                <w:szCs w:val="18"/>
              </w:rPr>
            </w:pPr>
            <w:r w:rsidRPr="003A5AE5">
              <w:rPr>
                <w:rFonts w:ascii="Arial Narrow" w:hAnsi="Arial Narrow"/>
                <w:b/>
                <w:sz w:val="18"/>
                <w:szCs w:val="18"/>
              </w:rPr>
              <w:t>Max.</w:t>
            </w:r>
          </w:p>
          <w:p w:rsidR="00822E7B" w:rsidRPr="003A5AE5" w:rsidRDefault="00822E7B" w:rsidP="00033ED9">
            <w:pPr>
              <w:keepNext/>
              <w:ind w:left="-108"/>
              <w:jc w:val="center"/>
              <w:rPr>
                <w:rFonts w:ascii="Arial Narrow" w:hAnsi="Arial Narrow"/>
                <w:b/>
                <w:sz w:val="18"/>
                <w:szCs w:val="18"/>
              </w:rPr>
            </w:pPr>
            <w:r w:rsidRPr="003A5AE5">
              <w:rPr>
                <w:rFonts w:ascii="Arial Narrow" w:hAnsi="Arial Narrow"/>
                <w:b/>
                <w:sz w:val="18"/>
                <w:szCs w:val="18"/>
              </w:rPr>
              <w:t>Amount</w:t>
            </w:r>
          </w:p>
        </w:tc>
        <w:tc>
          <w:tcPr>
            <w:tcW w:w="1701" w:type="dxa"/>
          </w:tcPr>
          <w:p w:rsidR="00822E7B" w:rsidRPr="003A5AE5" w:rsidRDefault="00822E7B" w:rsidP="00033ED9">
            <w:pPr>
              <w:keepNext/>
              <w:ind w:left="-108"/>
              <w:jc w:val="center"/>
              <w:rPr>
                <w:rFonts w:ascii="Arial Narrow" w:hAnsi="Arial Narrow"/>
                <w:b/>
                <w:sz w:val="18"/>
                <w:szCs w:val="18"/>
              </w:rPr>
            </w:pPr>
            <w:r w:rsidRPr="003A5AE5">
              <w:rPr>
                <w:rFonts w:ascii="Arial Narrow" w:hAnsi="Arial Narrow"/>
                <w:b/>
                <w:sz w:val="18"/>
                <w:szCs w:val="18"/>
              </w:rPr>
              <w:t>№.of Rpts</w:t>
            </w:r>
          </w:p>
        </w:tc>
      </w:tr>
      <w:tr w:rsidR="00822E7B" w:rsidRPr="003A5AE5" w:rsidTr="0086600B">
        <w:trPr>
          <w:cantSplit/>
          <w:trHeight w:val="577"/>
        </w:trPr>
        <w:tc>
          <w:tcPr>
            <w:tcW w:w="3114" w:type="dxa"/>
            <w:gridSpan w:val="2"/>
          </w:tcPr>
          <w:p w:rsidR="00822E7B" w:rsidRPr="003A5AE5" w:rsidRDefault="00822E7B" w:rsidP="00033ED9">
            <w:pPr>
              <w:keepNext/>
              <w:ind w:left="-57"/>
              <w:rPr>
                <w:rFonts w:ascii="Arial Narrow" w:hAnsi="Arial Narrow"/>
                <w:sz w:val="18"/>
                <w:szCs w:val="18"/>
              </w:rPr>
            </w:pPr>
            <w:r w:rsidRPr="003A5AE5">
              <w:rPr>
                <w:rFonts w:ascii="Arial Narrow" w:hAnsi="Arial Narrow"/>
                <w:sz w:val="18"/>
                <w:szCs w:val="18"/>
              </w:rPr>
              <w:t>TRABECTEDIN</w:t>
            </w:r>
          </w:p>
          <w:p w:rsidR="00822E7B" w:rsidRPr="003A5AE5" w:rsidRDefault="00822E7B" w:rsidP="00033ED9">
            <w:pPr>
              <w:keepNext/>
              <w:ind w:left="-57"/>
              <w:rPr>
                <w:rFonts w:ascii="Arial Narrow" w:hAnsi="Arial Narrow" w:cs="Arial Narrow"/>
                <w:sz w:val="18"/>
                <w:szCs w:val="18"/>
              </w:rPr>
            </w:pPr>
            <w:r w:rsidRPr="003A5AE5">
              <w:rPr>
                <w:rFonts w:ascii="Arial Narrow" w:hAnsi="Arial Narrow" w:cs="Arial Narrow"/>
                <w:sz w:val="18"/>
                <w:szCs w:val="18"/>
              </w:rPr>
              <w:t>Powder for I.V. infusion, 0.25mg</w:t>
            </w:r>
          </w:p>
          <w:p w:rsidR="00822E7B" w:rsidRPr="003A5AE5" w:rsidRDefault="00822E7B" w:rsidP="00033ED9">
            <w:pPr>
              <w:keepNext/>
              <w:ind w:left="-57"/>
              <w:rPr>
                <w:rFonts w:ascii="Arial Narrow" w:hAnsi="Arial Narrow"/>
                <w:sz w:val="18"/>
                <w:szCs w:val="18"/>
              </w:rPr>
            </w:pPr>
            <w:r w:rsidRPr="003A5AE5">
              <w:rPr>
                <w:rFonts w:ascii="Arial Narrow" w:hAnsi="Arial Narrow" w:cs="Arial Narrow"/>
                <w:sz w:val="18"/>
                <w:szCs w:val="18"/>
              </w:rPr>
              <w:t>Powder for I.V. infusion, 1 mg</w:t>
            </w:r>
          </w:p>
        </w:tc>
        <w:tc>
          <w:tcPr>
            <w:tcW w:w="2268" w:type="dxa"/>
          </w:tcPr>
          <w:p w:rsidR="00822E7B" w:rsidRPr="003A5AE5" w:rsidRDefault="00822E7B" w:rsidP="00033ED9">
            <w:pPr>
              <w:keepNext/>
              <w:ind w:left="-108"/>
              <w:jc w:val="center"/>
              <w:rPr>
                <w:rFonts w:ascii="Arial Narrow" w:hAnsi="Arial Narrow"/>
                <w:sz w:val="18"/>
                <w:szCs w:val="18"/>
              </w:rPr>
            </w:pPr>
          </w:p>
          <w:p w:rsidR="00822E7B" w:rsidRPr="003A5AE5" w:rsidRDefault="00822E7B" w:rsidP="00033ED9">
            <w:pPr>
              <w:keepNext/>
              <w:ind w:left="-108"/>
              <w:jc w:val="center"/>
              <w:rPr>
                <w:rFonts w:ascii="Arial Narrow" w:hAnsi="Arial Narrow"/>
                <w:sz w:val="18"/>
                <w:szCs w:val="18"/>
              </w:rPr>
            </w:pPr>
            <w:r w:rsidRPr="003A5AE5">
              <w:rPr>
                <w:rFonts w:ascii="Arial Narrow" w:hAnsi="Arial Narrow"/>
                <w:sz w:val="18"/>
                <w:szCs w:val="18"/>
              </w:rPr>
              <w:t>NEW (Public)</w:t>
            </w:r>
          </w:p>
          <w:p w:rsidR="00822E7B" w:rsidRPr="003A5AE5" w:rsidRDefault="00822E7B" w:rsidP="00033ED9">
            <w:pPr>
              <w:keepNext/>
              <w:ind w:left="-108"/>
              <w:jc w:val="center"/>
              <w:rPr>
                <w:rFonts w:ascii="Arial Narrow" w:hAnsi="Arial Narrow"/>
                <w:sz w:val="18"/>
                <w:szCs w:val="18"/>
              </w:rPr>
            </w:pPr>
            <w:r w:rsidRPr="003A5AE5">
              <w:rPr>
                <w:rFonts w:ascii="Arial Narrow" w:hAnsi="Arial Narrow"/>
                <w:sz w:val="18"/>
                <w:szCs w:val="18"/>
              </w:rPr>
              <w:t>NEW (Private)</w:t>
            </w:r>
          </w:p>
        </w:tc>
        <w:tc>
          <w:tcPr>
            <w:tcW w:w="1984" w:type="dxa"/>
          </w:tcPr>
          <w:p w:rsidR="00822E7B" w:rsidRPr="003A5AE5" w:rsidRDefault="00822E7B" w:rsidP="00033ED9">
            <w:pPr>
              <w:keepNext/>
              <w:jc w:val="center"/>
              <w:rPr>
                <w:rFonts w:ascii="Arial Narrow" w:hAnsi="Arial Narrow"/>
                <w:sz w:val="18"/>
                <w:szCs w:val="18"/>
              </w:rPr>
            </w:pPr>
            <w:r w:rsidRPr="003A5AE5">
              <w:rPr>
                <w:rFonts w:ascii="Arial Narrow" w:hAnsi="Arial Narrow"/>
                <w:sz w:val="18"/>
                <w:szCs w:val="18"/>
              </w:rPr>
              <w:t>3.25mg</w:t>
            </w:r>
          </w:p>
        </w:tc>
        <w:tc>
          <w:tcPr>
            <w:tcW w:w="1701" w:type="dxa"/>
          </w:tcPr>
          <w:p w:rsidR="00822E7B" w:rsidRPr="003A5AE5" w:rsidRDefault="00822E7B" w:rsidP="00033ED9">
            <w:pPr>
              <w:keepNext/>
              <w:jc w:val="center"/>
              <w:rPr>
                <w:rFonts w:ascii="Arial Narrow" w:hAnsi="Arial Narrow"/>
                <w:sz w:val="18"/>
                <w:szCs w:val="18"/>
              </w:rPr>
            </w:pPr>
            <w:r w:rsidRPr="003A5AE5">
              <w:rPr>
                <w:rFonts w:ascii="Arial Narrow" w:hAnsi="Arial Narrow"/>
                <w:sz w:val="18"/>
                <w:szCs w:val="18"/>
              </w:rPr>
              <w:t>7</w:t>
            </w:r>
          </w:p>
        </w:tc>
      </w:tr>
      <w:tr w:rsidR="00822E7B" w:rsidRPr="003A5AE5" w:rsidTr="0086600B">
        <w:trPr>
          <w:cantSplit/>
          <w:trHeight w:val="225"/>
        </w:trPr>
        <w:tc>
          <w:tcPr>
            <w:tcW w:w="9067" w:type="dxa"/>
            <w:gridSpan w:val="5"/>
          </w:tcPr>
          <w:p w:rsidR="00822E7B" w:rsidRPr="003A5AE5" w:rsidRDefault="00822E7B" w:rsidP="00033ED9">
            <w:pPr>
              <w:keepNext/>
              <w:ind w:left="-57"/>
              <w:rPr>
                <w:rFonts w:ascii="Arial Narrow" w:hAnsi="Arial Narrow"/>
                <w:b/>
                <w:sz w:val="18"/>
                <w:szCs w:val="18"/>
              </w:rPr>
            </w:pPr>
            <w:r w:rsidRPr="003A5AE5">
              <w:rPr>
                <w:rFonts w:ascii="Arial Narrow" w:hAnsi="Arial Narrow"/>
                <w:b/>
                <w:sz w:val="18"/>
                <w:szCs w:val="18"/>
              </w:rPr>
              <w:t>Available brands</w:t>
            </w:r>
          </w:p>
        </w:tc>
      </w:tr>
      <w:tr w:rsidR="00822E7B" w:rsidRPr="003A5AE5" w:rsidTr="0086600B">
        <w:trPr>
          <w:cantSplit/>
          <w:trHeight w:val="360"/>
        </w:trPr>
        <w:tc>
          <w:tcPr>
            <w:tcW w:w="9067" w:type="dxa"/>
            <w:gridSpan w:val="5"/>
          </w:tcPr>
          <w:p w:rsidR="00822E7B" w:rsidRPr="003A5AE5" w:rsidRDefault="00822E7B" w:rsidP="00033ED9">
            <w:pPr>
              <w:ind w:left="-57"/>
              <w:rPr>
                <w:rFonts w:ascii="Arial Narrow" w:hAnsi="Arial Narrow"/>
                <w:sz w:val="18"/>
                <w:szCs w:val="18"/>
              </w:rPr>
            </w:pPr>
            <w:r w:rsidRPr="003A5AE5">
              <w:rPr>
                <w:rFonts w:ascii="Arial Narrow" w:hAnsi="Arial Narrow"/>
                <w:sz w:val="18"/>
                <w:szCs w:val="18"/>
              </w:rPr>
              <w:t>Yondelis</w:t>
            </w:r>
            <w:r w:rsidRPr="003A5AE5">
              <w:rPr>
                <w:rFonts w:ascii="Arial Narrow" w:hAnsi="Arial Narrow"/>
                <w:sz w:val="18"/>
                <w:szCs w:val="18"/>
                <w:vertAlign w:val="superscript"/>
              </w:rPr>
              <w:t>®</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right w:val="single" w:sz="4" w:space="0" w:color="auto"/>
            </w:tcBorders>
          </w:tcPr>
          <w:p w:rsidR="00822E7B" w:rsidRPr="003A5AE5" w:rsidRDefault="00822E7B" w:rsidP="00033ED9">
            <w:pPr>
              <w:ind w:left="57"/>
              <w:rPr>
                <w:rFonts w:ascii="Arial Narrow" w:hAnsi="Arial Narrow"/>
                <w:b/>
                <w:color w:val="FF00FF"/>
                <w:sz w:val="18"/>
                <w:szCs w:val="18"/>
              </w:rPr>
            </w:pP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right w:val="single" w:sz="4" w:space="0" w:color="auto"/>
            </w:tcBorders>
          </w:tcPr>
          <w:p w:rsidR="00822E7B" w:rsidRPr="003A5AE5" w:rsidRDefault="00822E7B" w:rsidP="00033ED9">
            <w:pPr>
              <w:ind w:left="57"/>
              <w:rPr>
                <w:rFonts w:ascii="Arial Narrow" w:hAnsi="Arial Narrow"/>
                <w:b/>
                <w:sz w:val="18"/>
                <w:szCs w:val="18"/>
              </w:rPr>
            </w:pPr>
            <w:r w:rsidRPr="003A5AE5">
              <w:rPr>
                <w:rFonts w:ascii="Arial Narrow" w:hAnsi="Arial Narrow"/>
                <w:b/>
                <w:sz w:val="18"/>
                <w:szCs w:val="18"/>
              </w:rPr>
              <w:t>Restriction Summary [new]  / Treatment of Concept: [new]</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rsidR="00822E7B" w:rsidRPr="003A5AE5" w:rsidRDefault="00822E7B" w:rsidP="00033ED9">
            <w:pPr>
              <w:rPr>
                <w:rFonts w:ascii="Arial Narrow" w:hAnsi="Arial Narrow"/>
                <w:b/>
                <w:sz w:val="18"/>
                <w:szCs w:val="18"/>
              </w:rPr>
            </w:pPr>
          </w:p>
        </w:tc>
        <w:tc>
          <w:tcPr>
            <w:tcW w:w="8086" w:type="dxa"/>
            <w:gridSpan w:val="4"/>
            <w:tcBorders>
              <w:top w:val="single" w:sz="4" w:space="0" w:color="auto"/>
              <w:left w:val="single" w:sz="4" w:space="0" w:color="auto"/>
              <w:bottom w:val="single" w:sz="4" w:space="0" w:color="auto"/>
              <w:right w:val="single" w:sz="4" w:space="0" w:color="auto"/>
            </w:tcBorders>
          </w:tcPr>
          <w:p w:rsidR="00822E7B" w:rsidRPr="003A5AE5" w:rsidRDefault="00822E7B" w:rsidP="00033ED9">
            <w:pPr>
              <w:rPr>
                <w:rFonts w:ascii="Arial Narrow" w:hAnsi="Arial Narrow"/>
                <w:sz w:val="18"/>
                <w:szCs w:val="18"/>
              </w:rPr>
            </w:pPr>
            <w:r w:rsidRPr="003A5AE5">
              <w:rPr>
                <w:rFonts w:ascii="Arial Narrow" w:hAnsi="Arial Narrow"/>
                <w:b/>
                <w:sz w:val="18"/>
                <w:szCs w:val="18"/>
              </w:rPr>
              <w:t xml:space="preserve">Category / Program: </w:t>
            </w:r>
            <w:r w:rsidRPr="003A5AE5">
              <w:rPr>
                <w:rFonts w:ascii="Arial Narrow" w:hAnsi="Arial Narrow"/>
                <w:sz w:val="18"/>
                <w:szCs w:val="18"/>
              </w:rPr>
              <w:t xml:space="preserve">Section 100 – Efficient Funding of Chemotherapy Public/Private hospitals </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rsidR="00822E7B" w:rsidRPr="003A5AE5" w:rsidRDefault="00822E7B" w:rsidP="00033ED9">
            <w:pPr>
              <w:rPr>
                <w:rFonts w:ascii="Arial Narrow" w:hAnsi="Arial Narrow"/>
                <w:sz w:val="18"/>
                <w:szCs w:val="18"/>
              </w:rPr>
            </w:pPr>
          </w:p>
        </w:tc>
        <w:tc>
          <w:tcPr>
            <w:tcW w:w="8086" w:type="dxa"/>
            <w:gridSpan w:val="4"/>
            <w:tcBorders>
              <w:top w:val="single" w:sz="4" w:space="0" w:color="auto"/>
              <w:left w:val="single" w:sz="4" w:space="0" w:color="auto"/>
              <w:bottom w:val="single" w:sz="4" w:space="0" w:color="auto"/>
              <w:right w:val="single" w:sz="4" w:space="0" w:color="auto"/>
            </w:tcBorders>
          </w:tcPr>
          <w:p w:rsidR="00822E7B" w:rsidRPr="003A5AE5" w:rsidRDefault="00822E7B" w:rsidP="00033ED9">
            <w:pPr>
              <w:rPr>
                <w:rFonts w:ascii="Arial Narrow" w:hAnsi="Arial Narrow"/>
                <w:b/>
                <w:sz w:val="18"/>
                <w:szCs w:val="18"/>
              </w:rPr>
            </w:pPr>
            <w:r w:rsidRPr="003A5AE5">
              <w:rPr>
                <w:rFonts w:ascii="Arial Narrow" w:hAnsi="Arial Narrow"/>
                <w:b/>
                <w:sz w:val="18"/>
                <w:szCs w:val="18"/>
              </w:rPr>
              <w:t xml:space="preserve">Prescriber type:   </w:t>
            </w:r>
            <w:r w:rsidRPr="003A5AE5">
              <w:rPr>
                <w:rFonts w:ascii="Arial Narrow" w:hAnsi="Arial Narrow"/>
                <w:sz w:val="18"/>
                <w:szCs w:val="18"/>
              </w:rPr>
              <w:fldChar w:fldCharType="begin">
                <w:ffData>
                  <w:name w:val="Check1"/>
                  <w:enabled/>
                  <w:calcOnExit w:val="0"/>
                  <w:checkBox>
                    <w:sizeAuto/>
                    <w:default w:val="0"/>
                  </w:checkBox>
                </w:ffData>
              </w:fldChar>
            </w:r>
            <w:r w:rsidRPr="003A5AE5">
              <w:rPr>
                <w:rFonts w:ascii="Arial Narrow" w:hAnsi="Arial Narrow"/>
                <w:sz w:val="18"/>
                <w:szCs w:val="18"/>
              </w:rPr>
              <w:instrText xml:space="preserve"> FORMCHECKBOX </w:instrText>
            </w:r>
            <w:r w:rsidR="00BF2D4A">
              <w:rPr>
                <w:rFonts w:ascii="Arial Narrow" w:hAnsi="Arial Narrow"/>
                <w:sz w:val="18"/>
                <w:szCs w:val="18"/>
              </w:rPr>
            </w:r>
            <w:r w:rsidR="00BF2D4A">
              <w:rPr>
                <w:rFonts w:ascii="Arial Narrow" w:hAnsi="Arial Narrow"/>
                <w:sz w:val="18"/>
                <w:szCs w:val="18"/>
              </w:rPr>
              <w:fldChar w:fldCharType="separate"/>
            </w:r>
            <w:r w:rsidRPr="003A5AE5">
              <w:rPr>
                <w:rFonts w:ascii="Arial Narrow" w:hAnsi="Arial Narrow"/>
                <w:sz w:val="18"/>
                <w:szCs w:val="18"/>
              </w:rPr>
              <w:fldChar w:fldCharType="end"/>
            </w:r>
            <w:r w:rsidRPr="003A5AE5">
              <w:rPr>
                <w:rFonts w:ascii="Arial Narrow" w:hAnsi="Arial Narrow"/>
                <w:sz w:val="18"/>
                <w:szCs w:val="18"/>
              </w:rPr>
              <w:t xml:space="preserve">Dental    </w:t>
            </w:r>
            <w:r w:rsidRPr="003A5AE5">
              <w:rPr>
                <w:rFonts w:ascii="Arial Narrow" w:hAnsi="Arial Narrow"/>
                <w:sz w:val="18"/>
                <w:szCs w:val="18"/>
              </w:rPr>
              <w:fldChar w:fldCharType="begin">
                <w:ffData>
                  <w:name w:val=""/>
                  <w:enabled/>
                  <w:calcOnExit w:val="0"/>
                  <w:checkBox>
                    <w:sizeAuto/>
                    <w:default w:val="1"/>
                  </w:checkBox>
                </w:ffData>
              </w:fldChar>
            </w:r>
            <w:r w:rsidRPr="003A5AE5">
              <w:rPr>
                <w:rFonts w:ascii="Arial Narrow" w:hAnsi="Arial Narrow"/>
                <w:sz w:val="18"/>
                <w:szCs w:val="18"/>
              </w:rPr>
              <w:instrText xml:space="preserve"> FORMCHECKBOX </w:instrText>
            </w:r>
            <w:r w:rsidR="00BF2D4A">
              <w:rPr>
                <w:rFonts w:ascii="Arial Narrow" w:hAnsi="Arial Narrow"/>
                <w:sz w:val="18"/>
                <w:szCs w:val="18"/>
              </w:rPr>
            </w:r>
            <w:r w:rsidR="00BF2D4A">
              <w:rPr>
                <w:rFonts w:ascii="Arial Narrow" w:hAnsi="Arial Narrow"/>
                <w:sz w:val="18"/>
                <w:szCs w:val="18"/>
              </w:rPr>
              <w:fldChar w:fldCharType="separate"/>
            </w:r>
            <w:r w:rsidRPr="003A5AE5">
              <w:rPr>
                <w:rFonts w:ascii="Arial Narrow" w:hAnsi="Arial Narrow"/>
                <w:sz w:val="18"/>
                <w:szCs w:val="18"/>
              </w:rPr>
              <w:fldChar w:fldCharType="end"/>
            </w:r>
            <w:r w:rsidRPr="003A5AE5">
              <w:rPr>
                <w:rFonts w:ascii="Arial Narrow" w:hAnsi="Arial Narrow"/>
                <w:sz w:val="18"/>
                <w:szCs w:val="18"/>
              </w:rPr>
              <w:t xml:space="preserve">Medical Practitioners    </w:t>
            </w:r>
            <w:r w:rsidRPr="003A5AE5">
              <w:rPr>
                <w:rFonts w:ascii="Arial Narrow" w:hAnsi="Arial Narrow"/>
                <w:sz w:val="18"/>
                <w:szCs w:val="18"/>
              </w:rPr>
              <w:fldChar w:fldCharType="begin">
                <w:ffData>
                  <w:name w:val="Check3"/>
                  <w:enabled/>
                  <w:calcOnExit w:val="0"/>
                  <w:checkBox>
                    <w:sizeAuto/>
                    <w:default w:val="0"/>
                  </w:checkBox>
                </w:ffData>
              </w:fldChar>
            </w:r>
            <w:r w:rsidRPr="003A5AE5">
              <w:rPr>
                <w:rFonts w:ascii="Arial Narrow" w:hAnsi="Arial Narrow"/>
                <w:sz w:val="18"/>
                <w:szCs w:val="18"/>
              </w:rPr>
              <w:instrText xml:space="preserve"> FORMCHECKBOX </w:instrText>
            </w:r>
            <w:r w:rsidR="00BF2D4A">
              <w:rPr>
                <w:rFonts w:ascii="Arial Narrow" w:hAnsi="Arial Narrow"/>
                <w:sz w:val="18"/>
                <w:szCs w:val="18"/>
              </w:rPr>
            </w:r>
            <w:r w:rsidR="00BF2D4A">
              <w:rPr>
                <w:rFonts w:ascii="Arial Narrow" w:hAnsi="Arial Narrow"/>
                <w:sz w:val="18"/>
                <w:szCs w:val="18"/>
              </w:rPr>
              <w:fldChar w:fldCharType="separate"/>
            </w:r>
            <w:r w:rsidRPr="003A5AE5">
              <w:rPr>
                <w:rFonts w:ascii="Arial Narrow" w:hAnsi="Arial Narrow"/>
                <w:sz w:val="18"/>
                <w:szCs w:val="18"/>
              </w:rPr>
              <w:fldChar w:fldCharType="end"/>
            </w:r>
            <w:r w:rsidRPr="003A5AE5">
              <w:rPr>
                <w:rFonts w:ascii="Arial Narrow" w:hAnsi="Arial Narrow"/>
                <w:sz w:val="18"/>
                <w:szCs w:val="18"/>
              </w:rPr>
              <w:t xml:space="preserve">Nurse practitioners     </w:t>
            </w:r>
            <w:r w:rsidRPr="003A5AE5">
              <w:rPr>
                <w:rFonts w:ascii="Arial Narrow" w:hAnsi="Arial Narrow"/>
                <w:sz w:val="18"/>
                <w:szCs w:val="18"/>
              </w:rPr>
              <w:fldChar w:fldCharType="begin">
                <w:ffData>
                  <w:name w:val=""/>
                  <w:enabled/>
                  <w:calcOnExit w:val="0"/>
                  <w:checkBox>
                    <w:sizeAuto/>
                    <w:default w:val="0"/>
                  </w:checkBox>
                </w:ffData>
              </w:fldChar>
            </w:r>
            <w:r w:rsidRPr="003A5AE5">
              <w:rPr>
                <w:rFonts w:ascii="Arial Narrow" w:hAnsi="Arial Narrow"/>
                <w:sz w:val="18"/>
                <w:szCs w:val="18"/>
              </w:rPr>
              <w:instrText xml:space="preserve"> FORMCHECKBOX </w:instrText>
            </w:r>
            <w:r w:rsidR="00BF2D4A">
              <w:rPr>
                <w:rFonts w:ascii="Arial Narrow" w:hAnsi="Arial Narrow"/>
                <w:sz w:val="18"/>
                <w:szCs w:val="18"/>
              </w:rPr>
            </w:r>
            <w:r w:rsidR="00BF2D4A">
              <w:rPr>
                <w:rFonts w:ascii="Arial Narrow" w:hAnsi="Arial Narrow"/>
                <w:sz w:val="18"/>
                <w:szCs w:val="18"/>
              </w:rPr>
              <w:fldChar w:fldCharType="separate"/>
            </w:r>
            <w:r w:rsidRPr="003A5AE5">
              <w:rPr>
                <w:rFonts w:ascii="Arial Narrow" w:hAnsi="Arial Narrow"/>
                <w:sz w:val="18"/>
                <w:szCs w:val="18"/>
              </w:rPr>
              <w:fldChar w:fldCharType="end"/>
            </w:r>
            <w:r w:rsidRPr="003A5AE5">
              <w:rPr>
                <w:rFonts w:ascii="Arial Narrow" w:hAnsi="Arial Narrow"/>
                <w:sz w:val="18"/>
                <w:szCs w:val="18"/>
              </w:rPr>
              <w:t xml:space="preserve">Optometrists    </w:t>
            </w:r>
            <w:r w:rsidRPr="003A5AE5">
              <w:rPr>
                <w:rFonts w:ascii="Arial Narrow" w:hAnsi="Arial Narrow"/>
                <w:sz w:val="18"/>
                <w:szCs w:val="18"/>
              </w:rPr>
              <w:fldChar w:fldCharType="begin">
                <w:ffData>
                  <w:name w:val="Check5"/>
                  <w:enabled/>
                  <w:calcOnExit w:val="0"/>
                  <w:checkBox>
                    <w:sizeAuto/>
                    <w:default w:val="0"/>
                  </w:checkBox>
                </w:ffData>
              </w:fldChar>
            </w:r>
            <w:r w:rsidRPr="003A5AE5">
              <w:rPr>
                <w:rFonts w:ascii="Arial Narrow" w:hAnsi="Arial Narrow"/>
                <w:sz w:val="18"/>
                <w:szCs w:val="18"/>
              </w:rPr>
              <w:instrText xml:space="preserve"> FORMCHECKBOX </w:instrText>
            </w:r>
            <w:r w:rsidR="00BF2D4A">
              <w:rPr>
                <w:rFonts w:ascii="Arial Narrow" w:hAnsi="Arial Narrow"/>
                <w:sz w:val="18"/>
                <w:szCs w:val="18"/>
              </w:rPr>
            </w:r>
            <w:r w:rsidR="00BF2D4A">
              <w:rPr>
                <w:rFonts w:ascii="Arial Narrow" w:hAnsi="Arial Narrow"/>
                <w:sz w:val="18"/>
                <w:szCs w:val="18"/>
              </w:rPr>
              <w:fldChar w:fldCharType="separate"/>
            </w:r>
            <w:r w:rsidRPr="003A5AE5">
              <w:rPr>
                <w:rFonts w:ascii="Arial Narrow" w:hAnsi="Arial Narrow"/>
                <w:sz w:val="18"/>
                <w:szCs w:val="18"/>
              </w:rPr>
              <w:fldChar w:fldCharType="end"/>
            </w:r>
            <w:r w:rsidRPr="003A5AE5">
              <w:rPr>
                <w:rFonts w:ascii="Arial Narrow" w:hAnsi="Arial Narrow"/>
                <w:sz w:val="18"/>
                <w:szCs w:val="18"/>
              </w:rPr>
              <w:t>Midwives</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rsidR="00822E7B" w:rsidRPr="003A5AE5" w:rsidRDefault="00822E7B" w:rsidP="00033ED9">
            <w:pPr>
              <w:rPr>
                <w:rFonts w:ascii="Arial Narrow" w:hAnsi="Arial Narrow"/>
                <w:sz w:val="18"/>
                <w:szCs w:val="18"/>
              </w:rPr>
            </w:pPr>
          </w:p>
        </w:tc>
        <w:tc>
          <w:tcPr>
            <w:tcW w:w="8086" w:type="dxa"/>
            <w:gridSpan w:val="4"/>
            <w:tcBorders>
              <w:top w:val="single" w:sz="4" w:space="0" w:color="auto"/>
              <w:left w:val="single" w:sz="4" w:space="0" w:color="auto"/>
              <w:bottom w:val="single" w:sz="4" w:space="0" w:color="auto"/>
              <w:right w:val="single" w:sz="4" w:space="0" w:color="auto"/>
            </w:tcBorders>
          </w:tcPr>
          <w:p w:rsidR="00822E7B" w:rsidRPr="003A5AE5" w:rsidRDefault="00822E7B" w:rsidP="00033ED9">
            <w:pPr>
              <w:rPr>
                <w:rFonts w:ascii="Arial Narrow" w:eastAsia="Calibri" w:hAnsi="Arial Narrow"/>
                <w:sz w:val="18"/>
                <w:szCs w:val="18"/>
              </w:rPr>
            </w:pPr>
            <w:r w:rsidRPr="003A5AE5">
              <w:rPr>
                <w:rFonts w:ascii="Arial Narrow" w:hAnsi="Arial Narrow"/>
                <w:b/>
                <w:sz w:val="18"/>
                <w:szCs w:val="18"/>
              </w:rPr>
              <w:t xml:space="preserve">Restriction type: </w:t>
            </w:r>
          </w:p>
          <w:p w:rsidR="00822E7B" w:rsidRPr="003A5AE5" w:rsidRDefault="00822E7B" w:rsidP="00033ED9">
            <w:pPr>
              <w:rPr>
                <w:rFonts w:ascii="Arial Narrow" w:eastAsia="Calibri" w:hAnsi="Arial Narrow"/>
                <w:color w:val="FF00FF"/>
                <w:sz w:val="18"/>
                <w:szCs w:val="18"/>
              </w:rPr>
            </w:pPr>
            <w:r w:rsidRPr="003A5AE5">
              <w:rPr>
                <w:rFonts w:ascii="Arial Narrow" w:eastAsia="Calibri" w:hAnsi="Arial Narrow"/>
                <w:sz w:val="18"/>
                <w:szCs w:val="18"/>
              </w:rPr>
              <w:fldChar w:fldCharType="begin">
                <w:ffData>
                  <w:name w:val=""/>
                  <w:enabled/>
                  <w:calcOnExit w:val="0"/>
                  <w:checkBox>
                    <w:sizeAuto/>
                    <w:default w:val="1"/>
                  </w:checkBox>
                </w:ffData>
              </w:fldChar>
            </w:r>
            <w:r w:rsidRPr="003A5AE5">
              <w:rPr>
                <w:rFonts w:ascii="Arial Narrow" w:eastAsia="Calibri" w:hAnsi="Arial Narrow"/>
                <w:sz w:val="18"/>
                <w:szCs w:val="18"/>
              </w:rPr>
              <w:instrText xml:space="preserve"> FORMCHECKBOX </w:instrText>
            </w:r>
            <w:r w:rsidR="00BF2D4A">
              <w:rPr>
                <w:rFonts w:ascii="Arial Narrow" w:eastAsia="Calibri" w:hAnsi="Arial Narrow"/>
                <w:sz w:val="18"/>
                <w:szCs w:val="18"/>
              </w:rPr>
            </w:r>
            <w:r w:rsidR="00BF2D4A">
              <w:rPr>
                <w:rFonts w:ascii="Arial Narrow" w:eastAsia="Calibri" w:hAnsi="Arial Narrow"/>
                <w:sz w:val="18"/>
                <w:szCs w:val="18"/>
              </w:rPr>
              <w:fldChar w:fldCharType="separate"/>
            </w:r>
            <w:r w:rsidRPr="003A5AE5">
              <w:rPr>
                <w:rFonts w:ascii="Arial Narrow" w:eastAsia="Calibri" w:hAnsi="Arial Narrow"/>
                <w:sz w:val="18"/>
                <w:szCs w:val="18"/>
              </w:rPr>
              <w:fldChar w:fldCharType="end"/>
            </w:r>
            <w:r w:rsidRPr="003A5AE5">
              <w:rPr>
                <w:rFonts w:ascii="Arial Narrow" w:eastAsia="Calibri" w:hAnsi="Arial Narrow"/>
                <w:sz w:val="18"/>
                <w:szCs w:val="18"/>
              </w:rPr>
              <w:t>Authority Required – Streamlined [new code]</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tcPr>
          <w:p w:rsidR="00822E7B" w:rsidRPr="003A5AE5" w:rsidRDefault="00822E7B" w:rsidP="00033ED9">
            <w:pPr>
              <w:rPr>
                <w:rFonts w:ascii="Arial Narrow" w:hAnsi="Arial Narrow"/>
                <w:color w:val="333333"/>
                <w:sz w:val="18"/>
                <w:szCs w:val="18"/>
              </w:rPr>
            </w:pPr>
            <w:r w:rsidRPr="003A5AE5">
              <w:rPr>
                <w:rFonts w:ascii="Arial Narrow" w:hAnsi="Arial Narrow"/>
                <w:b/>
                <w:bCs/>
                <w:color w:val="333333"/>
                <w:sz w:val="18"/>
                <w:szCs w:val="18"/>
              </w:rPr>
              <w:t>Administrative Advice:</w:t>
            </w:r>
          </w:p>
          <w:p w:rsidR="00822E7B" w:rsidRPr="003A5AE5" w:rsidRDefault="00822E7B" w:rsidP="00033ED9">
            <w:pPr>
              <w:rPr>
                <w:rFonts w:ascii="Arial Narrow" w:hAnsi="Arial Narrow"/>
                <w:color w:val="333333"/>
                <w:sz w:val="18"/>
                <w:szCs w:val="18"/>
              </w:rPr>
            </w:pPr>
            <w:r w:rsidRPr="003A5AE5">
              <w:rPr>
                <w:rFonts w:ascii="Arial Narrow" w:hAnsi="Arial Narrow"/>
                <w:color w:val="333333"/>
                <w:sz w:val="18"/>
                <w:szCs w:val="18"/>
              </w:rPr>
              <w:t>This drug is not PBS-subsidised if it is administered to an in-patient in a public hospital.</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tcPr>
          <w:p w:rsidR="00822E7B" w:rsidRPr="003A5AE5" w:rsidRDefault="00822E7B" w:rsidP="00033ED9">
            <w:pPr>
              <w:rPr>
                <w:rFonts w:ascii="Arial Narrow" w:hAnsi="Arial Narrow"/>
                <w:b/>
                <w:bCs/>
                <w:color w:val="333333"/>
                <w:sz w:val="18"/>
                <w:szCs w:val="18"/>
              </w:rPr>
            </w:pPr>
            <w:r w:rsidRPr="003A5AE5">
              <w:rPr>
                <w:rFonts w:ascii="Arial Narrow" w:hAnsi="Arial Narrow"/>
                <w:b/>
                <w:bCs/>
                <w:color w:val="333333"/>
                <w:sz w:val="18"/>
                <w:szCs w:val="18"/>
              </w:rPr>
              <w:t xml:space="preserve">Administrative Advice: </w:t>
            </w:r>
            <w:r w:rsidRPr="003A5AE5">
              <w:rPr>
                <w:rFonts w:ascii="Arial Narrow" w:hAnsi="Arial Narrow"/>
                <w:bCs/>
                <w:color w:val="333333"/>
                <w:sz w:val="18"/>
                <w:szCs w:val="18"/>
              </w:rPr>
              <w:t>Special Pricing Arrangements apply.</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Merge w:val="restart"/>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tcPr>
          <w:p w:rsidR="00822E7B" w:rsidRPr="003A5AE5" w:rsidRDefault="00822E7B" w:rsidP="00033ED9">
            <w:pPr>
              <w:rPr>
                <w:rFonts w:ascii="Arial Narrow" w:hAnsi="Arial Narrow"/>
                <w:bCs/>
                <w:color w:val="333333"/>
                <w:sz w:val="18"/>
                <w:szCs w:val="18"/>
              </w:rPr>
            </w:pPr>
            <w:r w:rsidRPr="003A5AE5">
              <w:rPr>
                <w:rFonts w:ascii="Arial Narrow" w:hAnsi="Arial Narrow"/>
                <w:b/>
                <w:bCs/>
                <w:color w:val="333333"/>
                <w:sz w:val="18"/>
                <w:szCs w:val="18"/>
              </w:rPr>
              <w:t xml:space="preserve">Episodicity: </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Merge/>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tcPr>
          <w:p w:rsidR="00822E7B" w:rsidRPr="003A5AE5" w:rsidRDefault="00822E7B" w:rsidP="00033ED9">
            <w:pPr>
              <w:rPr>
                <w:rFonts w:ascii="Arial Narrow" w:hAnsi="Arial Narrow"/>
                <w:b/>
                <w:bCs/>
                <w:color w:val="333333"/>
                <w:sz w:val="18"/>
                <w:szCs w:val="18"/>
              </w:rPr>
            </w:pPr>
            <w:r w:rsidRPr="003A5AE5">
              <w:rPr>
                <w:rFonts w:ascii="Arial Narrow" w:hAnsi="Arial Narrow"/>
                <w:b/>
                <w:bCs/>
                <w:color w:val="333333"/>
                <w:sz w:val="18"/>
                <w:szCs w:val="18"/>
              </w:rPr>
              <w:t xml:space="preserve">Severity: </w:t>
            </w:r>
            <w:r w:rsidRPr="003A5AE5">
              <w:rPr>
                <w:rFonts w:ascii="Arial Narrow" w:hAnsi="Arial Narrow"/>
                <w:bCs/>
                <w:color w:val="000000" w:themeColor="text1"/>
                <w:sz w:val="18"/>
                <w:szCs w:val="18"/>
              </w:rPr>
              <w:t>Advanced (unresectable and/or metastatic)</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Merge/>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tcPr>
          <w:p w:rsidR="00822E7B" w:rsidRPr="003A5AE5" w:rsidRDefault="00822E7B" w:rsidP="00033ED9">
            <w:pPr>
              <w:rPr>
                <w:rFonts w:ascii="Arial Narrow" w:hAnsi="Arial Narrow"/>
                <w:b/>
                <w:bCs/>
                <w:color w:val="333333"/>
                <w:sz w:val="18"/>
                <w:szCs w:val="18"/>
              </w:rPr>
            </w:pPr>
            <w:r w:rsidRPr="003A5AE5">
              <w:rPr>
                <w:rFonts w:ascii="Arial Narrow" w:hAnsi="Arial Narrow"/>
                <w:b/>
                <w:bCs/>
                <w:color w:val="333333"/>
                <w:sz w:val="18"/>
                <w:szCs w:val="18"/>
              </w:rPr>
              <w:t xml:space="preserve">Condition: </w:t>
            </w:r>
            <w:r w:rsidRPr="003A5AE5">
              <w:rPr>
                <w:rFonts w:ascii="Arial Narrow" w:hAnsi="Arial Narrow"/>
                <w:bCs/>
                <w:color w:val="333333"/>
                <w:sz w:val="18"/>
                <w:szCs w:val="18"/>
              </w:rPr>
              <w:t xml:space="preserve">Leiomyosarcoma </w:t>
            </w:r>
            <w:r w:rsidR="006847C6" w:rsidRPr="003A5AE5">
              <w:rPr>
                <w:rFonts w:ascii="Arial Narrow" w:hAnsi="Arial Narrow"/>
                <w:bCs/>
                <w:color w:val="000000" w:themeColor="text1"/>
                <w:sz w:val="18"/>
                <w:szCs w:val="18"/>
              </w:rPr>
              <w:t>or liposarcoma</w:t>
            </w:r>
          </w:p>
        </w:tc>
      </w:tr>
      <w:tr w:rsidR="00822E7B" w:rsidRPr="003A5AE5" w:rsidTr="00D25F38">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hideMark/>
          </w:tcPr>
          <w:p w:rsidR="00822E7B" w:rsidRPr="003A5AE5" w:rsidRDefault="00822E7B" w:rsidP="00033ED9">
            <w:pPr>
              <w:rPr>
                <w:rFonts w:ascii="Arial Narrow" w:hAnsi="Arial Narrow"/>
                <w:color w:val="333333"/>
                <w:sz w:val="18"/>
                <w:szCs w:val="18"/>
              </w:rPr>
            </w:pPr>
            <w:r w:rsidRPr="003A5AE5">
              <w:rPr>
                <w:rFonts w:ascii="Arial Narrow" w:hAnsi="Arial Narrow"/>
                <w:b/>
                <w:bCs/>
                <w:color w:val="333333"/>
                <w:sz w:val="18"/>
                <w:szCs w:val="18"/>
              </w:rPr>
              <w:t>Indication:</w:t>
            </w:r>
            <w:r w:rsidRPr="003A5AE5">
              <w:rPr>
                <w:rFonts w:ascii="Arial Narrow" w:hAnsi="Arial Narrow"/>
                <w:color w:val="333333"/>
                <w:sz w:val="18"/>
                <w:szCs w:val="18"/>
              </w:rPr>
              <w:t xml:space="preserve"> </w:t>
            </w:r>
            <w:r w:rsidRPr="003A5AE5">
              <w:rPr>
                <w:rFonts w:ascii="Arial Narrow" w:hAnsi="Arial Narrow"/>
                <w:bCs/>
                <w:color w:val="000000" w:themeColor="text1"/>
                <w:sz w:val="18"/>
                <w:szCs w:val="18"/>
              </w:rPr>
              <w:t>Advanced (unresectable and/or metastatic) leiomyosarcoma</w:t>
            </w:r>
            <w:r w:rsidR="00193E21" w:rsidRPr="003A5AE5">
              <w:rPr>
                <w:rFonts w:ascii="Arial Narrow" w:hAnsi="Arial Narrow"/>
                <w:bCs/>
                <w:color w:val="000000" w:themeColor="text1"/>
                <w:sz w:val="18"/>
                <w:szCs w:val="18"/>
              </w:rPr>
              <w:t xml:space="preserve"> or liposarcoma</w:t>
            </w:r>
          </w:p>
        </w:tc>
      </w:tr>
      <w:tr w:rsidR="00822E7B" w:rsidRPr="003A5AE5" w:rsidTr="00D25F38">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hideMark/>
          </w:tcPr>
          <w:p w:rsidR="00822E7B" w:rsidRPr="003A5AE5" w:rsidRDefault="00822E7B" w:rsidP="00033ED9">
            <w:pPr>
              <w:rPr>
                <w:rFonts w:ascii="Arial Narrow" w:hAnsi="Arial Narrow"/>
                <w:color w:val="FF00FF"/>
                <w:sz w:val="18"/>
                <w:szCs w:val="18"/>
              </w:rPr>
            </w:pPr>
            <w:r w:rsidRPr="003A5AE5">
              <w:rPr>
                <w:rFonts w:ascii="Arial Narrow" w:hAnsi="Arial Narrow"/>
                <w:b/>
                <w:bCs/>
                <w:color w:val="333333"/>
                <w:sz w:val="18"/>
                <w:szCs w:val="18"/>
              </w:rPr>
              <w:t>Treatment Phase:</w:t>
            </w:r>
            <w:r w:rsidRPr="003A5AE5">
              <w:rPr>
                <w:rFonts w:ascii="Arial Narrow" w:hAnsi="Arial Narrow"/>
                <w:color w:val="333333"/>
                <w:sz w:val="18"/>
                <w:szCs w:val="18"/>
              </w:rPr>
              <w:t xml:space="preserve"> </w:t>
            </w:r>
            <w:r w:rsidRPr="003A5AE5">
              <w:rPr>
                <w:rFonts w:ascii="Arial Narrow" w:hAnsi="Arial Narrow"/>
                <w:color w:val="000000" w:themeColor="text1"/>
                <w:sz w:val="18"/>
                <w:szCs w:val="18"/>
              </w:rPr>
              <w:t>Grandfather treatment (transition from non-PBS-subsidised to PBS-subsidised treatment)</w:t>
            </w:r>
          </w:p>
        </w:tc>
      </w:tr>
      <w:tr w:rsidR="00822E7B" w:rsidRPr="003A5AE5" w:rsidTr="00D25F38">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hideMark/>
          </w:tcPr>
          <w:p w:rsidR="00822E7B" w:rsidRPr="003A5AE5" w:rsidRDefault="00822E7B" w:rsidP="00033ED9">
            <w:pPr>
              <w:rPr>
                <w:rFonts w:ascii="Arial Narrow" w:hAnsi="Arial Narrow"/>
                <w:color w:val="FF00FF"/>
                <w:sz w:val="18"/>
                <w:szCs w:val="18"/>
              </w:rPr>
            </w:pPr>
            <w:r w:rsidRPr="003A5AE5">
              <w:rPr>
                <w:rFonts w:ascii="Arial Narrow" w:hAnsi="Arial Narrow"/>
                <w:b/>
                <w:bCs/>
                <w:color w:val="333333"/>
                <w:sz w:val="18"/>
                <w:szCs w:val="18"/>
              </w:rPr>
              <w:t>Clinical criteria:</w:t>
            </w:r>
          </w:p>
        </w:tc>
      </w:tr>
      <w:tr w:rsidR="00822E7B" w:rsidRPr="003A5AE5" w:rsidTr="00D25F38">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hideMark/>
          </w:tcPr>
          <w:p w:rsidR="00822E7B" w:rsidRPr="003A5AE5" w:rsidRDefault="00822E7B" w:rsidP="00033ED9">
            <w:pPr>
              <w:rPr>
                <w:rFonts w:ascii="Arial Narrow" w:hAnsi="Arial Narrow"/>
                <w:color w:val="333333"/>
                <w:sz w:val="18"/>
                <w:szCs w:val="18"/>
              </w:rPr>
            </w:pPr>
            <w:r w:rsidRPr="003A5AE5">
              <w:rPr>
                <w:rFonts w:ascii="Arial Narrow" w:hAnsi="Arial Narrow"/>
                <w:color w:val="333333"/>
                <w:sz w:val="18"/>
                <w:szCs w:val="18"/>
              </w:rPr>
              <w:t>Patient must have been receiving treatment with this drug for this condition prior to &lt;PBS listing date&gt;</w:t>
            </w:r>
          </w:p>
        </w:tc>
      </w:tr>
      <w:tr w:rsidR="00822E7B" w:rsidRPr="003A5AE5" w:rsidTr="00D25F38">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hideMark/>
          </w:tcPr>
          <w:p w:rsidR="00822E7B" w:rsidRPr="003A5AE5" w:rsidRDefault="00822E7B" w:rsidP="00033ED9">
            <w:pPr>
              <w:rPr>
                <w:rFonts w:ascii="Arial Narrow" w:hAnsi="Arial Narrow"/>
                <w:color w:val="333333"/>
                <w:sz w:val="18"/>
                <w:szCs w:val="18"/>
              </w:rPr>
            </w:pPr>
            <w:r w:rsidRPr="003A5AE5">
              <w:rPr>
                <w:rFonts w:ascii="Arial Narrow" w:hAnsi="Arial Narrow"/>
                <w:b/>
                <w:bCs/>
                <w:color w:val="333333"/>
                <w:sz w:val="18"/>
                <w:szCs w:val="18"/>
              </w:rPr>
              <w:t>AND</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hideMark/>
          </w:tcPr>
          <w:p w:rsidR="00822E7B" w:rsidRPr="003A5AE5" w:rsidRDefault="00822E7B" w:rsidP="00033ED9">
            <w:pPr>
              <w:rPr>
                <w:rFonts w:ascii="Arial Narrow" w:hAnsi="Arial Narrow"/>
                <w:color w:val="333333"/>
                <w:sz w:val="18"/>
                <w:szCs w:val="18"/>
              </w:rPr>
            </w:pPr>
            <w:r w:rsidRPr="003A5AE5">
              <w:rPr>
                <w:rFonts w:ascii="Arial Narrow" w:hAnsi="Arial Narrow"/>
                <w:b/>
                <w:bCs/>
                <w:color w:val="333333"/>
                <w:sz w:val="18"/>
                <w:szCs w:val="18"/>
              </w:rPr>
              <w:t>Clinical criteria:</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hideMark/>
          </w:tcPr>
          <w:p w:rsidR="00822E7B" w:rsidRPr="003A5AE5" w:rsidRDefault="00822E7B" w:rsidP="00033ED9">
            <w:pPr>
              <w:rPr>
                <w:rFonts w:ascii="Arial Narrow" w:hAnsi="Arial Narrow"/>
                <w:color w:val="333333"/>
                <w:sz w:val="18"/>
                <w:szCs w:val="18"/>
                <w:highlight w:val="yellow"/>
              </w:rPr>
            </w:pPr>
            <w:r w:rsidRPr="003A5AE5">
              <w:rPr>
                <w:rFonts w:ascii="Arial Narrow" w:hAnsi="Arial Narrow"/>
                <w:color w:val="333333"/>
                <w:sz w:val="18"/>
                <w:szCs w:val="18"/>
              </w:rPr>
              <w:t>Patient must have an ECOG performance status of 2 or less prior to initiating non-PBS subsidised treatment</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tcPr>
          <w:p w:rsidR="00822E7B" w:rsidRPr="003A5AE5" w:rsidRDefault="00822E7B" w:rsidP="00033ED9">
            <w:pPr>
              <w:rPr>
                <w:rFonts w:ascii="Arial Narrow" w:hAnsi="Arial Narrow"/>
                <w:b/>
                <w:bCs/>
                <w:color w:val="333333"/>
                <w:sz w:val="18"/>
                <w:szCs w:val="18"/>
              </w:rPr>
            </w:pPr>
            <w:r w:rsidRPr="003A5AE5">
              <w:rPr>
                <w:rFonts w:ascii="Arial Narrow" w:hAnsi="Arial Narrow"/>
                <w:b/>
                <w:bCs/>
                <w:color w:val="333333"/>
                <w:sz w:val="18"/>
                <w:szCs w:val="18"/>
              </w:rPr>
              <w:t>AND</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tcPr>
          <w:p w:rsidR="00822E7B" w:rsidRPr="003A5AE5" w:rsidRDefault="00822E7B" w:rsidP="00033ED9">
            <w:pPr>
              <w:rPr>
                <w:rFonts w:ascii="Arial Narrow" w:hAnsi="Arial Narrow"/>
                <w:b/>
                <w:bCs/>
                <w:color w:val="333333"/>
                <w:sz w:val="18"/>
                <w:szCs w:val="18"/>
              </w:rPr>
            </w:pPr>
            <w:r w:rsidRPr="003A5AE5">
              <w:rPr>
                <w:rFonts w:ascii="Arial Narrow" w:hAnsi="Arial Narrow"/>
                <w:b/>
                <w:bCs/>
                <w:color w:val="333333"/>
                <w:sz w:val="18"/>
                <w:szCs w:val="18"/>
              </w:rPr>
              <w:t>Clinical criteria:</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tcPr>
          <w:p w:rsidR="00822E7B" w:rsidRPr="003A5AE5" w:rsidRDefault="00822E7B" w:rsidP="00033ED9">
            <w:pPr>
              <w:rPr>
                <w:rFonts w:ascii="Arial Narrow" w:hAnsi="Arial Narrow"/>
                <w:b/>
                <w:bCs/>
                <w:color w:val="333333"/>
                <w:sz w:val="18"/>
                <w:szCs w:val="18"/>
              </w:rPr>
            </w:pPr>
            <w:r w:rsidRPr="003A5AE5">
              <w:rPr>
                <w:rFonts w:ascii="Arial Narrow" w:hAnsi="Arial Narrow"/>
                <w:color w:val="333333"/>
                <w:sz w:val="18"/>
                <w:szCs w:val="18"/>
              </w:rPr>
              <w:t>Patient must have received chemotherapy treatment including an anthracycline prior to initiating non-PBS subsidised treatment</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tcPr>
          <w:p w:rsidR="00822E7B" w:rsidRPr="003A5AE5" w:rsidRDefault="00822E7B" w:rsidP="00033ED9">
            <w:pPr>
              <w:rPr>
                <w:rFonts w:ascii="Arial Narrow" w:hAnsi="Arial Narrow"/>
                <w:color w:val="333333"/>
                <w:sz w:val="18"/>
                <w:szCs w:val="18"/>
              </w:rPr>
            </w:pPr>
            <w:r w:rsidRPr="003A5AE5">
              <w:rPr>
                <w:rFonts w:ascii="Arial Narrow" w:hAnsi="Arial Narrow"/>
                <w:b/>
                <w:bCs/>
                <w:color w:val="333333"/>
                <w:sz w:val="18"/>
                <w:szCs w:val="18"/>
              </w:rPr>
              <w:t>AND</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tcPr>
          <w:p w:rsidR="00822E7B" w:rsidRPr="003A5AE5" w:rsidRDefault="00822E7B" w:rsidP="00033ED9">
            <w:pPr>
              <w:rPr>
                <w:rFonts w:ascii="Arial Narrow" w:hAnsi="Arial Narrow"/>
                <w:color w:val="333333"/>
                <w:sz w:val="18"/>
                <w:szCs w:val="18"/>
              </w:rPr>
            </w:pPr>
            <w:r w:rsidRPr="003A5AE5">
              <w:rPr>
                <w:rFonts w:ascii="Arial Narrow" w:hAnsi="Arial Narrow"/>
                <w:b/>
                <w:bCs/>
                <w:color w:val="333333"/>
                <w:sz w:val="18"/>
                <w:szCs w:val="18"/>
              </w:rPr>
              <w:t>Clinical criteria:</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tcPr>
          <w:p w:rsidR="00822E7B" w:rsidRPr="003A5AE5" w:rsidRDefault="00822E7B" w:rsidP="00033ED9">
            <w:pPr>
              <w:rPr>
                <w:rFonts w:ascii="Arial Narrow" w:hAnsi="Arial Narrow"/>
                <w:color w:val="333333"/>
                <w:sz w:val="18"/>
                <w:szCs w:val="18"/>
              </w:rPr>
            </w:pPr>
            <w:r w:rsidRPr="003A5AE5">
              <w:rPr>
                <w:rFonts w:ascii="Arial Narrow" w:hAnsi="Arial Narrow"/>
                <w:color w:val="333333"/>
                <w:sz w:val="18"/>
                <w:szCs w:val="18"/>
              </w:rPr>
              <w:t>Patient must not develop progressive disease while being treated with this drug for this condition,</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tcPr>
          <w:p w:rsidR="00822E7B" w:rsidRPr="003A5AE5" w:rsidRDefault="00822E7B" w:rsidP="00033ED9">
            <w:pPr>
              <w:rPr>
                <w:rFonts w:ascii="Arial Narrow" w:hAnsi="Arial Narrow"/>
                <w:color w:val="333333"/>
                <w:sz w:val="18"/>
                <w:szCs w:val="18"/>
              </w:rPr>
            </w:pPr>
            <w:r w:rsidRPr="003A5AE5">
              <w:rPr>
                <w:rFonts w:ascii="Arial Narrow" w:hAnsi="Arial Narrow"/>
                <w:b/>
                <w:bCs/>
                <w:color w:val="333333"/>
                <w:sz w:val="18"/>
                <w:szCs w:val="18"/>
              </w:rPr>
              <w:t>AND</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tcPr>
          <w:p w:rsidR="00822E7B" w:rsidRPr="003A5AE5" w:rsidRDefault="00822E7B" w:rsidP="00033ED9">
            <w:pPr>
              <w:rPr>
                <w:rFonts w:ascii="Arial Narrow" w:hAnsi="Arial Narrow"/>
                <w:color w:val="333333"/>
                <w:sz w:val="18"/>
                <w:szCs w:val="18"/>
              </w:rPr>
            </w:pPr>
            <w:r w:rsidRPr="003A5AE5">
              <w:rPr>
                <w:rFonts w:ascii="Arial Narrow" w:hAnsi="Arial Narrow"/>
                <w:b/>
                <w:bCs/>
                <w:color w:val="333333"/>
                <w:sz w:val="18"/>
                <w:szCs w:val="18"/>
              </w:rPr>
              <w:t>Clinical criteria:</w:t>
            </w:r>
          </w:p>
        </w:tc>
      </w:tr>
      <w:tr w:rsidR="00822E7B" w:rsidRPr="003A5AE5" w:rsidTr="0086600B">
        <w:tblPrEx>
          <w:tblCellMar>
            <w:top w:w="15" w:type="dxa"/>
            <w:left w:w="15" w:type="dxa"/>
            <w:bottom w:w="15" w:type="dxa"/>
            <w:right w:w="15" w:type="dxa"/>
          </w:tblCellMar>
          <w:tblLook w:val="04A0" w:firstRow="1" w:lastRow="0" w:firstColumn="1" w:lastColumn="0" w:noHBand="0" w:noVBand="1"/>
        </w:tblPrEx>
        <w:tc>
          <w:tcPr>
            <w:tcW w:w="981" w:type="dxa"/>
            <w:vAlign w:val="center"/>
          </w:tcPr>
          <w:p w:rsidR="00822E7B" w:rsidRPr="003A5AE5" w:rsidRDefault="00822E7B" w:rsidP="00033ED9">
            <w:pPr>
              <w:jc w:val="center"/>
              <w:rPr>
                <w:rFonts w:ascii="Arial Narrow" w:hAnsi="Arial Narrow"/>
                <w:color w:val="333333"/>
                <w:sz w:val="18"/>
                <w:szCs w:val="18"/>
              </w:rPr>
            </w:pPr>
          </w:p>
        </w:tc>
        <w:tc>
          <w:tcPr>
            <w:tcW w:w="8086" w:type="dxa"/>
            <w:gridSpan w:val="4"/>
            <w:vAlign w:val="center"/>
          </w:tcPr>
          <w:p w:rsidR="00822E7B" w:rsidRPr="003A5AE5" w:rsidRDefault="00822E7B" w:rsidP="00033ED9">
            <w:pPr>
              <w:rPr>
                <w:rFonts w:ascii="Arial Narrow" w:hAnsi="Arial Narrow"/>
                <w:color w:val="333333"/>
                <w:sz w:val="18"/>
                <w:szCs w:val="18"/>
              </w:rPr>
            </w:pPr>
            <w:r w:rsidRPr="003A5AE5">
              <w:rPr>
                <w:rFonts w:ascii="Arial Narrow" w:hAnsi="Arial Narrow"/>
                <w:color w:val="333333"/>
                <w:sz w:val="18"/>
                <w:szCs w:val="18"/>
              </w:rPr>
              <w:t>The treatment must be the sole PBS-subsidised therapy for this condition.</w:t>
            </w:r>
          </w:p>
        </w:tc>
      </w:tr>
      <w:tr w:rsidR="006847C6" w:rsidRPr="003A5AE5" w:rsidTr="0086600B">
        <w:tblPrEx>
          <w:tblCellMar>
            <w:top w:w="15" w:type="dxa"/>
            <w:left w:w="15" w:type="dxa"/>
            <w:bottom w:w="15" w:type="dxa"/>
            <w:right w:w="15" w:type="dxa"/>
          </w:tblCellMar>
          <w:tblLook w:val="04A0" w:firstRow="1" w:lastRow="0" w:firstColumn="1" w:lastColumn="0" w:noHBand="0" w:noVBand="1"/>
        </w:tblPrEx>
        <w:tc>
          <w:tcPr>
            <w:tcW w:w="981" w:type="dxa"/>
            <w:vAlign w:val="center"/>
          </w:tcPr>
          <w:p w:rsidR="006847C6" w:rsidRPr="003A5AE5" w:rsidRDefault="006847C6" w:rsidP="00033ED9">
            <w:pPr>
              <w:jc w:val="center"/>
              <w:rPr>
                <w:rFonts w:ascii="Arial Narrow" w:hAnsi="Arial Narrow"/>
                <w:color w:val="333333"/>
                <w:sz w:val="18"/>
                <w:szCs w:val="18"/>
              </w:rPr>
            </w:pPr>
          </w:p>
        </w:tc>
        <w:tc>
          <w:tcPr>
            <w:tcW w:w="8086" w:type="dxa"/>
            <w:gridSpan w:val="4"/>
            <w:vAlign w:val="center"/>
          </w:tcPr>
          <w:p w:rsidR="006847C6" w:rsidRPr="003A5AE5" w:rsidRDefault="006847C6" w:rsidP="00033ED9">
            <w:pPr>
              <w:rPr>
                <w:rFonts w:ascii="Arial Narrow" w:hAnsi="Arial Narrow"/>
                <w:color w:val="333333"/>
                <w:sz w:val="18"/>
                <w:szCs w:val="18"/>
              </w:rPr>
            </w:pPr>
            <w:r w:rsidRPr="003A5AE5">
              <w:rPr>
                <w:rFonts w:ascii="Arial Narrow" w:hAnsi="Arial Narrow"/>
                <w:b/>
                <w:bCs/>
                <w:color w:val="333333"/>
                <w:sz w:val="18"/>
                <w:szCs w:val="18"/>
              </w:rPr>
              <w:t>AND</w:t>
            </w:r>
          </w:p>
        </w:tc>
      </w:tr>
      <w:tr w:rsidR="00193E21" w:rsidRPr="003A5AE5" w:rsidTr="0086600B">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rsidR="00193E21" w:rsidRPr="003A5AE5" w:rsidRDefault="00193E21" w:rsidP="00033ED9">
            <w:pPr>
              <w:jc w:val="center"/>
              <w:rPr>
                <w:rFonts w:ascii="Arial Narrow" w:hAnsi="Arial Narrow"/>
                <w:strike/>
                <w:color w:val="333333"/>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tcPr>
          <w:p w:rsidR="00193E21" w:rsidRPr="003A5AE5" w:rsidRDefault="00CE3115" w:rsidP="00033ED9">
            <w:pPr>
              <w:rPr>
                <w:rFonts w:ascii="Arial Narrow" w:hAnsi="Arial Narrow"/>
                <w:color w:val="333333"/>
                <w:sz w:val="18"/>
                <w:szCs w:val="18"/>
              </w:rPr>
            </w:pPr>
            <w:r>
              <w:rPr>
                <w:rFonts w:ascii="Arial Narrow" w:hAnsi="Arial Narrow"/>
                <w:b/>
                <w:bCs/>
                <w:color w:val="333333"/>
                <w:sz w:val="18"/>
                <w:szCs w:val="18"/>
              </w:rPr>
              <w:t>Clinical Criteria:</w:t>
            </w:r>
          </w:p>
        </w:tc>
      </w:tr>
      <w:tr w:rsidR="00193E21" w:rsidRPr="003A5AE5" w:rsidTr="0086600B">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rsidR="00193E21" w:rsidRPr="003A5AE5" w:rsidRDefault="00193E21" w:rsidP="00033ED9">
            <w:pPr>
              <w:jc w:val="center"/>
              <w:rPr>
                <w:rFonts w:ascii="Arial Narrow" w:hAnsi="Arial Narrow"/>
                <w:strike/>
                <w:color w:val="333333"/>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tcPr>
          <w:p w:rsidR="00CE3115" w:rsidRPr="003A5AE5" w:rsidRDefault="00CE3115" w:rsidP="00033ED9">
            <w:pPr>
              <w:rPr>
                <w:rFonts w:ascii="Arial Narrow" w:hAnsi="Arial Narrow"/>
                <w:color w:val="333333"/>
                <w:sz w:val="18"/>
                <w:szCs w:val="18"/>
              </w:rPr>
            </w:pPr>
            <w:r>
              <w:rPr>
                <w:rFonts w:ascii="Arial Narrow" w:hAnsi="Arial Narrow"/>
                <w:color w:val="333333"/>
                <w:sz w:val="18"/>
                <w:szCs w:val="18"/>
              </w:rPr>
              <w:t>The condition must be one of the following subtypes for patients with liposarcoma: (i) dedifferentiated; (ii) myxoid; (iii) round-cell; or (iv) pleomorphic</w:t>
            </w:r>
            <w:r w:rsidR="001D5713">
              <w:rPr>
                <w:rFonts w:ascii="Arial Narrow" w:hAnsi="Arial Narrow"/>
                <w:color w:val="333333"/>
                <w:sz w:val="18"/>
                <w:szCs w:val="18"/>
              </w:rPr>
              <w:t>.</w:t>
            </w:r>
          </w:p>
        </w:tc>
      </w:tr>
    </w:tbl>
    <w:p w:rsidR="00822E7B" w:rsidRPr="003A5AE5" w:rsidRDefault="00822E7B" w:rsidP="00033ED9"/>
    <w:p w:rsidR="00785B49" w:rsidRPr="0011646E" w:rsidRDefault="0011646E" w:rsidP="00033ED9">
      <w:pPr>
        <w:rPr>
          <w:rFonts w:asciiTheme="minorHAnsi" w:hAnsiTheme="minorHAnsi"/>
          <w:b/>
          <w:bCs/>
          <w:snapToGrid w:val="0"/>
        </w:rPr>
      </w:pPr>
      <w:r w:rsidRPr="0011646E">
        <w:rPr>
          <w:rFonts w:asciiTheme="minorHAnsi" w:hAnsiTheme="minorHAnsi"/>
          <w:b/>
          <w:i/>
          <w:szCs w:val="22"/>
        </w:rPr>
        <w:t xml:space="preserve">This restriction may be subject to further review. Should there be any changes made to the restriction the </w:t>
      </w:r>
      <w:r>
        <w:rPr>
          <w:rFonts w:asciiTheme="minorHAnsi" w:hAnsiTheme="minorHAnsi"/>
          <w:b/>
          <w:i/>
          <w:szCs w:val="22"/>
        </w:rPr>
        <w:t>s</w:t>
      </w:r>
      <w:r w:rsidRPr="0011646E">
        <w:rPr>
          <w:rFonts w:asciiTheme="minorHAnsi" w:hAnsiTheme="minorHAnsi"/>
          <w:b/>
          <w:i/>
          <w:szCs w:val="22"/>
        </w:rPr>
        <w:t>ponsor will be informed</w:t>
      </w:r>
      <w:r w:rsidRPr="0011646E">
        <w:rPr>
          <w:rFonts w:asciiTheme="minorHAnsi" w:hAnsiTheme="minorHAnsi"/>
          <w:b/>
          <w:szCs w:val="22"/>
        </w:rPr>
        <w:t>.</w:t>
      </w:r>
    </w:p>
    <w:p w:rsidR="00785B49" w:rsidRPr="003A5AE5" w:rsidRDefault="00785B49" w:rsidP="00033ED9"/>
    <w:p w:rsidR="008566F4" w:rsidRPr="008566F4" w:rsidRDefault="008566F4" w:rsidP="008566F4">
      <w:pPr>
        <w:numPr>
          <w:ilvl w:val="0"/>
          <w:numId w:val="1"/>
        </w:numPr>
        <w:spacing w:before="240" w:after="120"/>
        <w:outlineLvl w:val="0"/>
        <w:rPr>
          <w:rFonts w:asciiTheme="minorHAnsi" w:hAnsiTheme="minorHAnsi"/>
          <w:b/>
          <w:bCs/>
          <w:snapToGrid w:val="0"/>
          <w:sz w:val="32"/>
        </w:rPr>
      </w:pPr>
      <w:r w:rsidRPr="008566F4">
        <w:rPr>
          <w:rFonts w:asciiTheme="minorHAnsi" w:hAnsiTheme="minorHAnsi"/>
          <w:b/>
          <w:bCs/>
          <w:snapToGrid w:val="0"/>
          <w:sz w:val="32"/>
        </w:rPr>
        <w:t>Context for Decision</w:t>
      </w:r>
    </w:p>
    <w:p w:rsidR="008566F4" w:rsidRPr="007129F2" w:rsidRDefault="008566F4" w:rsidP="008566F4">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8566F4" w:rsidRPr="008566F4" w:rsidRDefault="008566F4" w:rsidP="008566F4">
      <w:pPr>
        <w:numPr>
          <w:ilvl w:val="0"/>
          <w:numId w:val="1"/>
        </w:numPr>
        <w:spacing w:before="240" w:after="120"/>
        <w:outlineLvl w:val="0"/>
        <w:rPr>
          <w:rFonts w:asciiTheme="minorHAnsi" w:hAnsiTheme="minorHAnsi"/>
          <w:b/>
          <w:bCs/>
          <w:snapToGrid w:val="0"/>
          <w:sz w:val="32"/>
        </w:rPr>
      </w:pPr>
      <w:r w:rsidRPr="008566F4">
        <w:rPr>
          <w:rFonts w:asciiTheme="minorHAnsi" w:hAnsiTheme="minorHAnsi"/>
          <w:b/>
          <w:bCs/>
          <w:snapToGrid w:val="0"/>
          <w:sz w:val="32"/>
        </w:rPr>
        <w:t>Sponsor’s Comment</w:t>
      </w:r>
    </w:p>
    <w:p w:rsidR="00A31553" w:rsidRPr="003A5AE5" w:rsidRDefault="00A31553" w:rsidP="00A31553">
      <w:pPr>
        <w:ind w:left="720"/>
        <w:jc w:val="left"/>
      </w:pPr>
      <w:r>
        <w:rPr>
          <w:rFonts w:asciiTheme="minorHAnsi" w:hAnsiTheme="minorHAnsi"/>
          <w:bCs/>
          <w:lang w:val="en-GB"/>
        </w:rPr>
        <w:t xml:space="preserve">Despite the welcome positive PBAC recommendation, albeit at </w:t>
      </w:r>
      <w:r w:rsidR="000F2F4E">
        <w:rPr>
          <w:rFonts w:asciiTheme="minorHAnsi" w:hAnsiTheme="minorHAnsi"/>
          <w:bCs/>
          <w:lang w:val="en-GB"/>
        </w:rPr>
        <w:t xml:space="preserve">a lower price than was sought, </w:t>
      </w:r>
      <w:r>
        <w:rPr>
          <w:rFonts w:asciiTheme="minorHAnsi" w:hAnsiTheme="minorHAnsi"/>
          <w:bCs/>
          <w:lang w:val="en-GB"/>
        </w:rPr>
        <w:t>Specialised Therapeutics cannot proceed with the listing due to the impact of international reference pricing, and unviable commercial feasibility.  We wish to thank the medical oncologists and rare cancer patient groups for their support with this application.</w:t>
      </w:r>
    </w:p>
    <w:sectPr w:rsidR="00A31553" w:rsidRPr="003A5AE5" w:rsidSect="00251006">
      <w:headerReference w:type="even" r:id="rId11"/>
      <w:headerReference w:type="default" r:id="rId12"/>
      <w:footerReference w:type="even" r:id="rId13"/>
      <w:footerReference w:type="default" r:id="rId14"/>
      <w:headerReference w:type="first" r:id="rId15"/>
      <w:footerReference w:type="first" r:id="rId16"/>
      <w:footnotePr>
        <w:numFmt w:val="chicago"/>
      </w:footnotePr>
      <w:pgSz w:w="11907" w:h="16840"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6CFEB" w16cex:dateUtc="2021-07-24T08:14:00Z"/>
  <w16cex:commentExtensible w16cex:durableId="24A6CE21" w16cex:dateUtc="2021-07-24T08:06:00Z"/>
  <w16cex:commentExtensible w16cex:durableId="24A6CDF0" w16cex:dateUtc="2021-07-24T08:05:00Z"/>
  <w16cex:commentExtensible w16cex:durableId="24A6CF08" w16cex:dateUtc="2021-07-24T08:10:00Z"/>
  <w16cex:commentExtensible w16cex:durableId="24A6CF1F" w16cex:dateUtc="2021-07-24T0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5D6D7C" w16cid:durableId="24A2CAF4"/>
  <w16cid:commentId w16cid:paraId="614F3283" w16cid:durableId="24A6CFEB"/>
  <w16cid:commentId w16cid:paraId="07A381A0" w16cid:durableId="24A6CE21"/>
  <w16cid:commentId w16cid:paraId="45483CE8" w16cid:durableId="24A6CDF0"/>
  <w16cid:commentId w16cid:paraId="6AED7C06" w16cid:durableId="24A2CAF5"/>
  <w16cid:commentId w16cid:paraId="2822D656" w16cid:durableId="24A6CF08"/>
  <w16cid:commentId w16cid:paraId="021E5034" w16cid:durableId="24A2CAF6"/>
  <w16cid:commentId w16cid:paraId="5CFE0AF5" w16cid:durableId="24A6CF1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AF3" w:rsidRDefault="00885AF3" w:rsidP="00124A51">
      <w:r>
        <w:separator/>
      </w:r>
    </w:p>
    <w:p w:rsidR="00885AF3" w:rsidRDefault="00885AF3"/>
  </w:endnote>
  <w:endnote w:type="continuationSeparator" w:id="0">
    <w:p w:rsidR="00885AF3" w:rsidRDefault="00885AF3" w:rsidP="00124A51">
      <w:r>
        <w:continuationSeparator/>
      </w:r>
    </w:p>
    <w:p w:rsidR="00885AF3" w:rsidRDefault="00885A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
    <w:altName w:val="Yu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AF3" w:rsidRDefault="00885A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F38" w:rsidRPr="00D13A3E" w:rsidRDefault="00D25F38" w:rsidP="00514868">
    <w:pPr>
      <w:ind w:right="360"/>
      <w:jc w:val="center"/>
      <w:rPr>
        <w:b/>
        <w:sz w:val="20"/>
      </w:rPr>
    </w:pPr>
  </w:p>
  <w:p w:rsidR="00D25F38" w:rsidRPr="002515F5" w:rsidRDefault="00D25F38" w:rsidP="002515F5">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00BF2D4A">
      <w:rPr>
        <w:b/>
        <w:noProof/>
      </w:rPr>
      <w:t>12</w:t>
    </w:r>
    <w:r w:rsidRPr="00836F75">
      <w:rPr>
        <w:b/>
        <w:noProof/>
      </w:rPr>
      <w:fldChar w:fldCharType="end"/>
    </w:r>
    <w:r>
      <w:rPr>
        <w:b/>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AF3" w:rsidRDefault="00885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AF3" w:rsidRDefault="00885AF3" w:rsidP="00124A51">
      <w:r>
        <w:separator/>
      </w:r>
    </w:p>
    <w:p w:rsidR="00885AF3" w:rsidRDefault="00885AF3"/>
  </w:footnote>
  <w:footnote w:type="continuationSeparator" w:id="0">
    <w:p w:rsidR="00885AF3" w:rsidRDefault="00885AF3" w:rsidP="00124A51">
      <w:r>
        <w:continuationSeparator/>
      </w:r>
    </w:p>
    <w:p w:rsidR="00885AF3" w:rsidRDefault="00885AF3"/>
  </w:footnote>
  <w:footnote w:id="1">
    <w:p w:rsidR="00D25F38" w:rsidRPr="00C10EAE" w:rsidRDefault="00D25F38">
      <w:pPr>
        <w:pStyle w:val="FootnoteText"/>
        <w:rPr>
          <w:rFonts w:asciiTheme="minorHAnsi" w:hAnsiTheme="minorHAnsi" w:cstheme="minorHAnsi"/>
          <w:lang w:val="en-US"/>
        </w:rPr>
      </w:pPr>
      <w:r w:rsidRPr="00C10EAE">
        <w:rPr>
          <w:rStyle w:val="FootnoteReference"/>
          <w:rFonts w:asciiTheme="minorHAnsi" w:hAnsiTheme="minorHAnsi" w:cstheme="minorHAnsi"/>
        </w:rPr>
        <w:footnoteRef/>
      </w:r>
      <w:r w:rsidRPr="00C10EAE">
        <w:rPr>
          <w:rFonts w:asciiTheme="minorHAnsi" w:hAnsiTheme="minorHAnsi" w:cstheme="minorHAnsi"/>
        </w:rPr>
        <w:t xml:space="preserve"> Jones, R.L. et al. A matching-adjusted indirect comparison of trabectedin and pazopanib for the treatment of advanced, metastatic, leiomyosarcomas. </w:t>
      </w:r>
      <w:r w:rsidRPr="00C10EAE">
        <w:rPr>
          <w:rFonts w:asciiTheme="minorHAnsi" w:hAnsiTheme="minorHAnsi" w:cstheme="minorHAnsi"/>
          <w:i/>
        </w:rPr>
        <w:t xml:space="preserve">Annals of Oncology </w:t>
      </w:r>
      <w:r w:rsidRPr="00C10EAE">
        <w:rPr>
          <w:rFonts w:asciiTheme="minorHAnsi" w:hAnsiTheme="minorHAnsi" w:cstheme="minorHAnsi"/>
        </w:rPr>
        <w:t>2017, Volume 28, v524 - v525.</w:t>
      </w:r>
    </w:p>
  </w:footnote>
  <w:footnote w:id="2">
    <w:p w:rsidR="00D25F38" w:rsidRPr="00C666C7" w:rsidRDefault="00D25F38">
      <w:pPr>
        <w:pStyle w:val="FootnoteText"/>
        <w:rPr>
          <w:rFonts w:asciiTheme="minorHAnsi" w:hAnsiTheme="minorHAnsi" w:cstheme="minorHAnsi"/>
          <w:lang w:val="en-US"/>
        </w:rPr>
      </w:pPr>
      <w:r w:rsidRPr="00C666C7">
        <w:rPr>
          <w:rStyle w:val="FootnoteReference"/>
          <w:rFonts w:asciiTheme="minorHAnsi" w:hAnsiTheme="minorHAnsi" w:cstheme="minorHAnsi"/>
        </w:rPr>
        <w:footnoteRef/>
      </w:r>
      <w:r w:rsidRPr="00C666C7">
        <w:rPr>
          <w:rFonts w:asciiTheme="minorHAnsi" w:hAnsiTheme="minorHAnsi" w:cstheme="minorHAnsi"/>
        </w:rPr>
        <w:t xml:space="preserve"> van der Graaf WT et. al. Pazopanib for metastatic soft-tissue sarcoma (PALETTE): a randomised, double-blind, placebo-controlled phase 3 trial. </w:t>
      </w:r>
      <w:r w:rsidRPr="00C666C7">
        <w:rPr>
          <w:rFonts w:asciiTheme="minorHAnsi" w:hAnsiTheme="minorHAnsi" w:cstheme="minorHAnsi"/>
          <w:i/>
        </w:rPr>
        <w:t>Lancet,</w:t>
      </w:r>
      <w:r w:rsidRPr="00C666C7">
        <w:rPr>
          <w:rFonts w:asciiTheme="minorHAnsi" w:hAnsiTheme="minorHAnsi" w:cstheme="minorHAnsi"/>
        </w:rPr>
        <w:t xml:space="preserve"> 2012 May 19;379(9829):1879-86.</w:t>
      </w:r>
    </w:p>
  </w:footnote>
  <w:footnote w:id="3">
    <w:p w:rsidR="00D25F38" w:rsidRPr="00D262E3" w:rsidRDefault="00D25F38">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Two regimens used:</w:t>
      </w:r>
      <w:r>
        <w:t xml:space="preserve"> </w:t>
      </w:r>
      <w:r w:rsidRPr="00D262E3">
        <w:rPr>
          <w:rFonts w:asciiTheme="minorHAnsi" w:hAnsiTheme="minorHAnsi" w:cstheme="minorHAnsi"/>
        </w:rPr>
        <w:t>24 hour infusion once every 3 weeks (n=136)</w:t>
      </w:r>
      <w:r>
        <w:rPr>
          <w:rFonts w:asciiTheme="minorHAnsi" w:hAnsiTheme="minorHAnsi" w:cstheme="minorHAnsi"/>
        </w:rPr>
        <w:t>;</w:t>
      </w:r>
      <w:r w:rsidRPr="00D262E3">
        <w:rPr>
          <w:rFonts w:asciiTheme="minorHAnsi" w:hAnsiTheme="minorHAnsi" w:cstheme="minorHAnsi"/>
        </w:rPr>
        <w:t xml:space="preserve"> and a 3 hour infusion every week for 3 weeks of a 4 week cycle (n=134)</w:t>
      </w:r>
      <w:r>
        <w:rPr>
          <w:rFonts w:asciiTheme="minorHAnsi" w:hAnsiTheme="minorHAnsi" w:cstheme="minorHAnsi"/>
        </w:rPr>
        <w:t>.</w:t>
      </w:r>
    </w:p>
  </w:footnote>
  <w:footnote w:id="4">
    <w:p w:rsidR="00D25F38" w:rsidRPr="00F9076C" w:rsidRDefault="00D25F38">
      <w:pPr>
        <w:pStyle w:val="FootnoteText"/>
        <w:rPr>
          <w:rFonts w:asciiTheme="minorHAnsi" w:hAnsiTheme="minorHAnsi" w:cstheme="minorHAnsi"/>
          <w:lang w:val="en-US"/>
        </w:rPr>
      </w:pPr>
      <w:r w:rsidRPr="00F9076C">
        <w:rPr>
          <w:rStyle w:val="FootnoteReference"/>
          <w:rFonts w:asciiTheme="minorHAnsi" w:hAnsiTheme="minorHAnsi" w:cstheme="minorHAnsi"/>
        </w:rPr>
        <w:footnoteRef/>
      </w:r>
      <w:r w:rsidRPr="00F9076C">
        <w:rPr>
          <w:rFonts w:asciiTheme="minorHAnsi" w:hAnsiTheme="minorHAnsi" w:cstheme="minorHAnsi"/>
        </w:rPr>
        <w:t xml:space="preserve"> https://www.eviq.org.au/medical-oncology/sarcoma/soft-tissue-sarcoma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AF3" w:rsidRDefault="00885A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F38" w:rsidRPr="00056684" w:rsidRDefault="00D25F38" w:rsidP="002515F5">
    <w:pPr>
      <w:pStyle w:val="Header"/>
      <w:ind w:left="360"/>
      <w:rPr>
        <w:rFonts w:asciiTheme="minorHAnsi" w:hAnsiTheme="minorHAnsi"/>
        <w:i/>
        <w:color w:val="808080"/>
      </w:rPr>
    </w:pPr>
    <w:r>
      <w:rPr>
        <w:rFonts w:asciiTheme="minorHAnsi" w:hAnsi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July 2021</w:t>
    </w:r>
    <w:r w:rsidRPr="00056684">
      <w:rPr>
        <w:rFonts w:asciiTheme="minorHAnsi" w:hAnsiTheme="minorHAnsi"/>
        <w:i/>
        <w:color w:val="808080"/>
      </w:rPr>
      <w:t xml:space="preserve"> PBAC Meeting</w:t>
    </w:r>
  </w:p>
  <w:p w:rsidR="00D25F38" w:rsidRDefault="00D25F3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AF3" w:rsidRDefault="00885A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74B49"/>
    <w:multiLevelType w:val="hybridMultilevel"/>
    <w:tmpl w:val="C858719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6105138"/>
    <w:multiLevelType w:val="hybridMultilevel"/>
    <w:tmpl w:val="0E8C4BC4"/>
    <w:lvl w:ilvl="0" w:tplc="EC840366">
      <w:start w:val="1"/>
      <w:numFmt w:val="bullet"/>
      <w:pStyle w:val="NumberList"/>
      <w:lvlText w:val="–"/>
      <w:lvlJc w:val="left"/>
      <w:pPr>
        <w:tabs>
          <w:tab w:val="num" w:pos="216"/>
        </w:tabs>
        <w:ind w:left="360"/>
      </w:pPr>
      <w:rPr>
        <w:rFonts w:ascii="Times New Roman" w:hAnsi="Times New Roman" w:hint="default"/>
        <w:sz w:val="16"/>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9208A8"/>
    <w:multiLevelType w:val="hybridMultilevel"/>
    <w:tmpl w:val="93E09266"/>
    <w:lvl w:ilvl="0" w:tplc="945635C4">
      <w:start w:val="1"/>
      <w:numFmt w:val="decimal"/>
      <w:pStyle w:val="TableNumbered"/>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6BB4224"/>
    <w:multiLevelType w:val="hybridMultilevel"/>
    <w:tmpl w:val="BFE0846C"/>
    <w:lvl w:ilvl="0" w:tplc="99FAA3B4">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83609"/>
    <w:multiLevelType w:val="hybridMultilevel"/>
    <w:tmpl w:val="E83030C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A255CF"/>
    <w:multiLevelType w:val="hybridMultilevel"/>
    <w:tmpl w:val="66B2249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13F69F4"/>
    <w:multiLevelType w:val="hybridMultilevel"/>
    <w:tmpl w:val="BA52736E"/>
    <w:lvl w:ilvl="0" w:tplc="9C96C702">
      <w:start w:val="1"/>
      <w:numFmt w:val="bullet"/>
      <w:pStyle w:val="TableNot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7420BE3"/>
    <w:multiLevelType w:val="hybridMultilevel"/>
    <w:tmpl w:val="C4348DBA"/>
    <w:lvl w:ilvl="0" w:tplc="5CC440A0">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8E27A6E"/>
    <w:multiLevelType w:val="hybridMultilevel"/>
    <w:tmpl w:val="EB223BF8"/>
    <w:lvl w:ilvl="0" w:tplc="0C090001">
      <w:start w:val="1"/>
      <w:numFmt w:val="bullet"/>
      <w:lvlText w:val=""/>
      <w:lvlJc w:val="left"/>
      <w:pPr>
        <w:ind w:left="1440" w:hanging="360"/>
      </w:pPr>
      <w:rPr>
        <w:rFonts w:ascii="Symbol" w:hAnsi="Symbol" w:hint="default"/>
      </w:rPr>
    </w:lvl>
    <w:lvl w:ilvl="1" w:tplc="E236BA78">
      <w:numFmt w:val="bullet"/>
      <w:lvlText w:val="•"/>
      <w:lvlJc w:val="left"/>
      <w:pPr>
        <w:ind w:left="2160" w:hanging="360"/>
      </w:pPr>
      <w:rPr>
        <w:rFonts w:ascii="Calibri" w:eastAsia="Times New Roman" w:hAnsi="Calibri" w:cs="Calibri"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A84272"/>
    <w:multiLevelType w:val="hybridMultilevel"/>
    <w:tmpl w:val="C416FFB2"/>
    <w:name w:val="PBAC_headings4"/>
    <w:lvl w:ilvl="0" w:tplc="F7DEAE30">
      <w:start w:val="1"/>
      <w:numFmt w:val="decimal"/>
      <w:lvlText w:val="%1."/>
      <w:lvlJc w:val="left"/>
      <w:pPr>
        <w:ind w:left="720" w:hanging="360"/>
      </w:pPr>
    </w:lvl>
    <w:lvl w:ilvl="1" w:tplc="D2E2A890" w:tentative="1">
      <w:start w:val="1"/>
      <w:numFmt w:val="lowerLetter"/>
      <w:lvlText w:val="%2."/>
      <w:lvlJc w:val="left"/>
      <w:pPr>
        <w:ind w:left="1440" w:hanging="360"/>
      </w:pPr>
    </w:lvl>
    <w:lvl w:ilvl="2" w:tplc="132AA27E" w:tentative="1">
      <w:start w:val="1"/>
      <w:numFmt w:val="lowerRoman"/>
      <w:lvlText w:val="%3."/>
      <w:lvlJc w:val="right"/>
      <w:pPr>
        <w:ind w:left="2160" w:hanging="180"/>
      </w:pPr>
    </w:lvl>
    <w:lvl w:ilvl="3" w:tplc="3F0AEEB6" w:tentative="1">
      <w:start w:val="1"/>
      <w:numFmt w:val="decimal"/>
      <w:lvlText w:val="%4."/>
      <w:lvlJc w:val="left"/>
      <w:pPr>
        <w:ind w:left="2880" w:hanging="360"/>
      </w:pPr>
    </w:lvl>
    <w:lvl w:ilvl="4" w:tplc="670EE2EC" w:tentative="1">
      <w:start w:val="1"/>
      <w:numFmt w:val="lowerLetter"/>
      <w:lvlText w:val="%5."/>
      <w:lvlJc w:val="left"/>
      <w:pPr>
        <w:ind w:left="3600" w:hanging="360"/>
      </w:pPr>
    </w:lvl>
    <w:lvl w:ilvl="5" w:tplc="2F3C9C3A" w:tentative="1">
      <w:start w:val="1"/>
      <w:numFmt w:val="lowerRoman"/>
      <w:lvlText w:val="%6."/>
      <w:lvlJc w:val="right"/>
      <w:pPr>
        <w:ind w:left="4320" w:hanging="180"/>
      </w:pPr>
    </w:lvl>
    <w:lvl w:ilvl="6" w:tplc="FF2CD99A" w:tentative="1">
      <w:start w:val="1"/>
      <w:numFmt w:val="decimal"/>
      <w:lvlText w:val="%7."/>
      <w:lvlJc w:val="left"/>
      <w:pPr>
        <w:ind w:left="5040" w:hanging="360"/>
      </w:pPr>
    </w:lvl>
    <w:lvl w:ilvl="7" w:tplc="7D34D3D4" w:tentative="1">
      <w:start w:val="1"/>
      <w:numFmt w:val="lowerLetter"/>
      <w:lvlText w:val="%8."/>
      <w:lvlJc w:val="left"/>
      <w:pPr>
        <w:ind w:left="5760" w:hanging="360"/>
      </w:pPr>
    </w:lvl>
    <w:lvl w:ilvl="8" w:tplc="04D49BE4" w:tentative="1">
      <w:start w:val="1"/>
      <w:numFmt w:val="lowerRoman"/>
      <w:lvlText w:val="%9."/>
      <w:lvlJc w:val="right"/>
      <w:pPr>
        <w:ind w:left="6480" w:hanging="180"/>
      </w:pPr>
    </w:lvl>
  </w:abstractNum>
  <w:abstractNum w:abstractNumId="13" w15:restartNumberingAfterBreak="0">
    <w:nsid w:val="76381D92"/>
    <w:multiLevelType w:val="hybridMultilevel"/>
    <w:tmpl w:val="D428A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84D033C"/>
    <w:multiLevelType w:val="multilevel"/>
    <w:tmpl w:val="77E03FD0"/>
    <w:lvl w:ilvl="0">
      <w:start w:val="1"/>
      <w:numFmt w:val="decimal"/>
      <w:pStyle w:val="2-SectionHeading"/>
      <w:lvlText w:val="%1"/>
      <w:lvlJc w:val="left"/>
      <w:pPr>
        <w:ind w:left="720" w:hanging="720"/>
      </w:pPr>
      <w:rPr>
        <w:rFonts w:hint="default"/>
        <w:b/>
        <w:i w:val="0"/>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8E81FDC"/>
    <w:multiLevelType w:val="hybridMultilevel"/>
    <w:tmpl w:val="D5C698E8"/>
    <w:lvl w:ilvl="0" w:tplc="A79EC4F8">
      <w:start w:val="1"/>
      <w:numFmt w:val="bullet"/>
      <w:pStyle w:val="DashLastSpace"/>
      <w:lvlText w:val="•"/>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93461D"/>
    <w:multiLevelType w:val="hybridMultilevel"/>
    <w:tmpl w:val="F5CE9888"/>
    <w:lvl w:ilvl="0" w:tplc="4288D78E">
      <w:start w:val="1"/>
      <w:numFmt w:val="bullet"/>
      <w:lvlText w:val="•"/>
      <w:lvlJc w:val="left"/>
      <w:pPr>
        <w:tabs>
          <w:tab w:val="num" w:pos="720"/>
        </w:tabs>
        <w:ind w:left="720" w:hanging="360"/>
      </w:pPr>
      <w:rPr>
        <w:rFonts w:ascii="Arial" w:hAnsi="Arial" w:hint="default"/>
      </w:rPr>
    </w:lvl>
    <w:lvl w:ilvl="1" w:tplc="1BB8BF8A">
      <w:start w:val="1"/>
      <w:numFmt w:val="bullet"/>
      <w:lvlText w:val="•"/>
      <w:lvlJc w:val="left"/>
      <w:pPr>
        <w:tabs>
          <w:tab w:val="num" w:pos="1440"/>
        </w:tabs>
        <w:ind w:left="1440" w:hanging="360"/>
      </w:pPr>
      <w:rPr>
        <w:rFonts w:ascii="Arial" w:hAnsi="Arial" w:hint="default"/>
      </w:rPr>
    </w:lvl>
    <w:lvl w:ilvl="2" w:tplc="C05C22C6" w:tentative="1">
      <w:start w:val="1"/>
      <w:numFmt w:val="bullet"/>
      <w:lvlText w:val="•"/>
      <w:lvlJc w:val="left"/>
      <w:pPr>
        <w:tabs>
          <w:tab w:val="num" w:pos="2160"/>
        </w:tabs>
        <w:ind w:left="2160" w:hanging="360"/>
      </w:pPr>
      <w:rPr>
        <w:rFonts w:ascii="Arial" w:hAnsi="Arial" w:hint="default"/>
      </w:rPr>
    </w:lvl>
    <w:lvl w:ilvl="3" w:tplc="82E40C08" w:tentative="1">
      <w:start w:val="1"/>
      <w:numFmt w:val="bullet"/>
      <w:lvlText w:val="•"/>
      <w:lvlJc w:val="left"/>
      <w:pPr>
        <w:tabs>
          <w:tab w:val="num" w:pos="2880"/>
        </w:tabs>
        <w:ind w:left="2880" w:hanging="360"/>
      </w:pPr>
      <w:rPr>
        <w:rFonts w:ascii="Arial" w:hAnsi="Arial" w:hint="default"/>
      </w:rPr>
    </w:lvl>
    <w:lvl w:ilvl="4" w:tplc="E4ECADB2" w:tentative="1">
      <w:start w:val="1"/>
      <w:numFmt w:val="bullet"/>
      <w:lvlText w:val="•"/>
      <w:lvlJc w:val="left"/>
      <w:pPr>
        <w:tabs>
          <w:tab w:val="num" w:pos="3600"/>
        </w:tabs>
        <w:ind w:left="3600" w:hanging="360"/>
      </w:pPr>
      <w:rPr>
        <w:rFonts w:ascii="Arial" w:hAnsi="Arial" w:hint="default"/>
      </w:rPr>
    </w:lvl>
    <w:lvl w:ilvl="5" w:tplc="19C628C2" w:tentative="1">
      <w:start w:val="1"/>
      <w:numFmt w:val="bullet"/>
      <w:lvlText w:val="•"/>
      <w:lvlJc w:val="left"/>
      <w:pPr>
        <w:tabs>
          <w:tab w:val="num" w:pos="4320"/>
        </w:tabs>
        <w:ind w:left="4320" w:hanging="360"/>
      </w:pPr>
      <w:rPr>
        <w:rFonts w:ascii="Arial" w:hAnsi="Arial" w:hint="default"/>
      </w:rPr>
    </w:lvl>
    <w:lvl w:ilvl="6" w:tplc="24648AE0" w:tentative="1">
      <w:start w:val="1"/>
      <w:numFmt w:val="bullet"/>
      <w:lvlText w:val="•"/>
      <w:lvlJc w:val="left"/>
      <w:pPr>
        <w:tabs>
          <w:tab w:val="num" w:pos="5040"/>
        </w:tabs>
        <w:ind w:left="5040" w:hanging="360"/>
      </w:pPr>
      <w:rPr>
        <w:rFonts w:ascii="Arial" w:hAnsi="Arial" w:hint="default"/>
      </w:rPr>
    </w:lvl>
    <w:lvl w:ilvl="7" w:tplc="2A543B6A" w:tentative="1">
      <w:start w:val="1"/>
      <w:numFmt w:val="bullet"/>
      <w:lvlText w:val="•"/>
      <w:lvlJc w:val="left"/>
      <w:pPr>
        <w:tabs>
          <w:tab w:val="num" w:pos="5760"/>
        </w:tabs>
        <w:ind w:left="5760" w:hanging="360"/>
      </w:pPr>
      <w:rPr>
        <w:rFonts w:ascii="Arial" w:hAnsi="Arial" w:hint="default"/>
      </w:rPr>
    </w:lvl>
    <w:lvl w:ilvl="8" w:tplc="DD5E049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E99156F"/>
    <w:multiLevelType w:val="hybridMultilevel"/>
    <w:tmpl w:val="66B2249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10"/>
  </w:num>
  <w:num w:numId="3">
    <w:abstractNumId w:val="11"/>
  </w:num>
  <w:num w:numId="4">
    <w:abstractNumId w:val="0"/>
  </w:num>
  <w:num w:numId="5">
    <w:abstractNumId w:val="4"/>
  </w:num>
  <w:num w:numId="6">
    <w:abstractNumId w:val="15"/>
  </w:num>
  <w:num w:numId="7">
    <w:abstractNumId w:val="2"/>
  </w:num>
  <w:num w:numId="8">
    <w:abstractNumId w:val="7"/>
  </w:num>
  <w:num w:numId="9">
    <w:abstractNumId w:val="5"/>
  </w:num>
  <w:num w:numId="10">
    <w:abstractNumId w:val="3"/>
  </w:num>
  <w:num w:numId="11">
    <w:abstractNumId w:val="13"/>
  </w:num>
  <w:num w:numId="12">
    <w:abstractNumId w:val="6"/>
  </w:num>
  <w:num w:numId="13">
    <w:abstractNumId w:val="17"/>
  </w:num>
  <w:num w:numId="14">
    <w:abstractNumId w:val="9"/>
  </w:num>
  <w:num w:numId="15">
    <w:abstractNumId w:val="1"/>
  </w:num>
  <w:num w:numId="16">
    <w:abstractNumId w:val="16"/>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savePreviewPicture/>
  <w:hdrShapeDefaults>
    <o:shapedefaults v:ext="edit" spidmax="614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modified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pased9pdraedseev2lvvv0cf9zdw5pvpza9&quot;&gt;Trabectedin Library&lt;record-ids&gt;&lt;item&gt;1&lt;/item&gt;&lt;item&gt;2&lt;/item&gt;&lt;item&gt;3&lt;/item&gt;&lt;item&gt;4&lt;/item&gt;&lt;item&gt;6&lt;/item&gt;&lt;item&gt;7&lt;/item&gt;&lt;item&gt;8&lt;/item&gt;&lt;item&gt;9&lt;/item&gt;&lt;item&gt;10&lt;/item&gt;&lt;item&gt;13&lt;/item&gt;&lt;item&gt;14&lt;/item&gt;&lt;item&gt;15&lt;/item&gt;&lt;item&gt;16&lt;/item&gt;&lt;item&gt;17&lt;/item&gt;&lt;item&gt;18&lt;/item&gt;&lt;item&gt;19&lt;/item&gt;&lt;item&gt;20&lt;/item&gt;&lt;/record-ids&gt;&lt;/item&gt;&lt;/Libraries&gt;"/>
  </w:docVars>
  <w:rsids>
    <w:rsidRoot w:val="00E65E79"/>
    <w:rsid w:val="00000790"/>
    <w:rsid w:val="00000E17"/>
    <w:rsid w:val="0000110B"/>
    <w:rsid w:val="00001190"/>
    <w:rsid w:val="00003499"/>
    <w:rsid w:val="00003561"/>
    <w:rsid w:val="000039B7"/>
    <w:rsid w:val="000043DA"/>
    <w:rsid w:val="0000504F"/>
    <w:rsid w:val="00005624"/>
    <w:rsid w:val="0000639A"/>
    <w:rsid w:val="000118A5"/>
    <w:rsid w:val="00011A60"/>
    <w:rsid w:val="00012895"/>
    <w:rsid w:val="000130AA"/>
    <w:rsid w:val="00013247"/>
    <w:rsid w:val="00013B38"/>
    <w:rsid w:val="00015886"/>
    <w:rsid w:val="000162EF"/>
    <w:rsid w:val="0001713C"/>
    <w:rsid w:val="000207C9"/>
    <w:rsid w:val="0002225F"/>
    <w:rsid w:val="00022F00"/>
    <w:rsid w:val="000232FA"/>
    <w:rsid w:val="0002353B"/>
    <w:rsid w:val="00023763"/>
    <w:rsid w:val="00026C2C"/>
    <w:rsid w:val="00026FB3"/>
    <w:rsid w:val="000274B8"/>
    <w:rsid w:val="000334D4"/>
    <w:rsid w:val="00033863"/>
    <w:rsid w:val="00033ED9"/>
    <w:rsid w:val="00034710"/>
    <w:rsid w:val="00035DC0"/>
    <w:rsid w:val="00036829"/>
    <w:rsid w:val="00036A47"/>
    <w:rsid w:val="00040895"/>
    <w:rsid w:val="00040DA4"/>
    <w:rsid w:val="00040FCC"/>
    <w:rsid w:val="000435EE"/>
    <w:rsid w:val="00043638"/>
    <w:rsid w:val="00043C37"/>
    <w:rsid w:val="00044890"/>
    <w:rsid w:val="00045017"/>
    <w:rsid w:val="00045774"/>
    <w:rsid w:val="00045A2B"/>
    <w:rsid w:val="00045E3F"/>
    <w:rsid w:val="00046587"/>
    <w:rsid w:val="0004698F"/>
    <w:rsid w:val="0005131A"/>
    <w:rsid w:val="00051692"/>
    <w:rsid w:val="000539D0"/>
    <w:rsid w:val="00054621"/>
    <w:rsid w:val="000546D7"/>
    <w:rsid w:val="00054DE5"/>
    <w:rsid w:val="00056CD6"/>
    <w:rsid w:val="00056ECF"/>
    <w:rsid w:val="00057614"/>
    <w:rsid w:val="00057DF3"/>
    <w:rsid w:val="000604DF"/>
    <w:rsid w:val="00063522"/>
    <w:rsid w:val="0006392A"/>
    <w:rsid w:val="000653B5"/>
    <w:rsid w:val="00066360"/>
    <w:rsid w:val="00066AF8"/>
    <w:rsid w:val="000677CA"/>
    <w:rsid w:val="00067FA0"/>
    <w:rsid w:val="00071248"/>
    <w:rsid w:val="00071B19"/>
    <w:rsid w:val="000720B9"/>
    <w:rsid w:val="0007237E"/>
    <w:rsid w:val="000737F7"/>
    <w:rsid w:val="000745F2"/>
    <w:rsid w:val="0007672F"/>
    <w:rsid w:val="00076B54"/>
    <w:rsid w:val="00076F7C"/>
    <w:rsid w:val="000771D2"/>
    <w:rsid w:val="000774F0"/>
    <w:rsid w:val="00080909"/>
    <w:rsid w:val="000812CA"/>
    <w:rsid w:val="00081E63"/>
    <w:rsid w:val="00082196"/>
    <w:rsid w:val="0008258D"/>
    <w:rsid w:val="00083CC0"/>
    <w:rsid w:val="00083E99"/>
    <w:rsid w:val="0008430D"/>
    <w:rsid w:val="00084FA8"/>
    <w:rsid w:val="000856C5"/>
    <w:rsid w:val="00085C31"/>
    <w:rsid w:val="000862AC"/>
    <w:rsid w:val="00087B52"/>
    <w:rsid w:val="000902A1"/>
    <w:rsid w:val="000902D9"/>
    <w:rsid w:val="00090C7E"/>
    <w:rsid w:val="0009148A"/>
    <w:rsid w:val="00092446"/>
    <w:rsid w:val="00092600"/>
    <w:rsid w:val="0009262B"/>
    <w:rsid w:val="00093310"/>
    <w:rsid w:val="00093AD6"/>
    <w:rsid w:val="00093D53"/>
    <w:rsid w:val="0009445C"/>
    <w:rsid w:val="00095200"/>
    <w:rsid w:val="00095FE5"/>
    <w:rsid w:val="000960F0"/>
    <w:rsid w:val="00096284"/>
    <w:rsid w:val="0009651C"/>
    <w:rsid w:val="00096A1E"/>
    <w:rsid w:val="00096CD6"/>
    <w:rsid w:val="00097A1C"/>
    <w:rsid w:val="00097AB4"/>
    <w:rsid w:val="000A03A7"/>
    <w:rsid w:val="000A0A2D"/>
    <w:rsid w:val="000A1BC0"/>
    <w:rsid w:val="000A21A7"/>
    <w:rsid w:val="000A6039"/>
    <w:rsid w:val="000A68C7"/>
    <w:rsid w:val="000A7048"/>
    <w:rsid w:val="000A7453"/>
    <w:rsid w:val="000A7D08"/>
    <w:rsid w:val="000B0121"/>
    <w:rsid w:val="000B0670"/>
    <w:rsid w:val="000B092B"/>
    <w:rsid w:val="000B0E75"/>
    <w:rsid w:val="000B2DCB"/>
    <w:rsid w:val="000B4E6D"/>
    <w:rsid w:val="000B5CE0"/>
    <w:rsid w:val="000B60D9"/>
    <w:rsid w:val="000B61FC"/>
    <w:rsid w:val="000B6CAC"/>
    <w:rsid w:val="000B7612"/>
    <w:rsid w:val="000B78AE"/>
    <w:rsid w:val="000B7CB6"/>
    <w:rsid w:val="000B7D74"/>
    <w:rsid w:val="000C395C"/>
    <w:rsid w:val="000C3DF9"/>
    <w:rsid w:val="000C47AC"/>
    <w:rsid w:val="000C4DC0"/>
    <w:rsid w:val="000C6713"/>
    <w:rsid w:val="000D121F"/>
    <w:rsid w:val="000D1670"/>
    <w:rsid w:val="000D199C"/>
    <w:rsid w:val="000D1BFC"/>
    <w:rsid w:val="000D1D5D"/>
    <w:rsid w:val="000D281A"/>
    <w:rsid w:val="000D2848"/>
    <w:rsid w:val="000D2E38"/>
    <w:rsid w:val="000D326A"/>
    <w:rsid w:val="000D3C0C"/>
    <w:rsid w:val="000D4BF4"/>
    <w:rsid w:val="000D51FB"/>
    <w:rsid w:val="000D69E1"/>
    <w:rsid w:val="000E0640"/>
    <w:rsid w:val="000E135D"/>
    <w:rsid w:val="000E2BEC"/>
    <w:rsid w:val="000E4CD3"/>
    <w:rsid w:val="000E4E65"/>
    <w:rsid w:val="000F00BA"/>
    <w:rsid w:val="000F185B"/>
    <w:rsid w:val="000F2F4E"/>
    <w:rsid w:val="000F316A"/>
    <w:rsid w:val="000F3B2C"/>
    <w:rsid w:val="000F3C74"/>
    <w:rsid w:val="000F4A5C"/>
    <w:rsid w:val="000F4BB8"/>
    <w:rsid w:val="000F4FA9"/>
    <w:rsid w:val="000F53FB"/>
    <w:rsid w:val="000F606F"/>
    <w:rsid w:val="000F61A8"/>
    <w:rsid w:val="000F6293"/>
    <w:rsid w:val="000F6A94"/>
    <w:rsid w:val="000F6F17"/>
    <w:rsid w:val="000F7127"/>
    <w:rsid w:val="000F7B54"/>
    <w:rsid w:val="000F7F2B"/>
    <w:rsid w:val="0010016B"/>
    <w:rsid w:val="00100F8A"/>
    <w:rsid w:val="0010452E"/>
    <w:rsid w:val="001054D9"/>
    <w:rsid w:val="00105AE2"/>
    <w:rsid w:val="001060C6"/>
    <w:rsid w:val="00106470"/>
    <w:rsid w:val="00106B80"/>
    <w:rsid w:val="0011032E"/>
    <w:rsid w:val="00111743"/>
    <w:rsid w:val="001118C8"/>
    <w:rsid w:val="0011348B"/>
    <w:rsid w:val="00115697"/>
    <w:rsid w:val="00115928"/>
    <w:rsid w:val="00115982"/>
    <w:rsid w:val="0011646E"/>
    <w:rsid w:val="00116C53"/>
    <w:rsid w:val="00117799"/>
    <w:rsid w:val="00121547"/>
    <w:rsid w:val="0012155F"/>
    <w:rsid w:val="00121799"/>
    <w:rsid w:val="001221DB"/>
    <w:rsid w:val="001222FC"/>
    <w:rsid w:val="00122EAA"/>
    <w:rsid w:val="00123582"/>
    <w:rsid w:val="00123749"/>
    <w:rsid w:val="00123902"/>
    <w:rsid w:val="00124A51"/>
    <w:rsid w:val="00125A0B"/>
    <w:rsid w:val="00126621"/>
    <w:rsid w:val="00126B1D"/>
    <w:rsid w:val="001301E9"/>
    <w:rsid w:val="001308A0"/>
    <w:rsid w:val="001308CB"/>
    <w:rsid w:val="00131AA1"/>
    <w:rsid w:val="00131D82"/>
    <w:rsid w:val="00132B22"/>
    <w:rsid w:val="00133D36"/>
    <w:rsid w:val="00136368"/>
    <w:rsid w:val="00137645"/>
    <w:rsid w:val="0014015A"/>
    <w:rsid w:val="00140E99"/>
    <w:rsid w:val="001426C9"/>
    <w:rsid w:val="00142CB6"/>
    <w:rsid w:val="00143F67"/>
    <w:rsid w:val="00145496"/>
    <w:rsid w:val="00145540"/>
    <w:rsid w:val="001456B0"/>
    <w:rsid w:val="00150840"/>
    <w:rsid w:val="00151704"/>
    <w:rsid w:val="00151921"/>
    <w:rsid w:val="0015220C"/>
    <w:rsid w:val="00155629"/>
    <w:rsid w:val="00155C63"/>
    <w:rsid w:val="001565A9"/>
    <w:rsid w:val="00156F8F"/>
    <w:rsid w:val="00157130"/>
    <w:rsid w:val="001576B1"/>
    <w:rsid w:val="00160159"/>
    <w:rsid w:val="0016047B"/>
    <w:rsid w:val="00160A4C"/>
    <w:rsid w:val="00162913"/>
    <w:rsid w:val="00163EFF"/>
    <w:rsid w:val="00163F66"/>
    <w:rsid w:val="001658AD"/>
    <w:rsid w:val="00166088"/>
    <w:rsid w:val="001661FB"/>
    <w:rsid w:val="00166F95"/>
    <w:rsid w:val="001671A0"/>
    <w:rsid w:val="0016767F"/>
    <w:rsid w:val="0017178D"/>
    <w:rsid w:val="00171B79"/>
    <w:rsid w:val="0017218D"/>
    <w:rsid w:val="00173565"/>
    <w:rsid w:val="0017381D"/>
    <w:rsid w:val="00173B07"/>
    <w:rsid w:val="00174FDE"/>
    <w:rsid w:val="001751FA"/>
    <w:rsid w:val="00175ED1"/>
    <w:rsid w:val="00181D9C"/>
    <w:rsid w:val="00182ED2"/>
    <w:rsid w:val="00184B0E"/>
    <w:rsid w:val="00184C7E"/>
    <w:rsid w:val="00184FEF"/>
    <w:rsid w:val="0018752F"/>
    <w:rsid w:val="00187BDC"/>
    <w:rsid w:val="00192DAB"/>
    <w:rsid w:val="001932B3"/>
    <w:rsid w:val="00193360"/>
    <w:rsid w:val="00193838"/>
    <w:rsid w:val="00193E21"/>
    <w:rsid w:val="0019435A"/>
    <w:rsid w:val="00194AD8"/>
    <w:rsid w:val="00195222"/>
    <w:rsid w:val="001975D8"/>
    <w:rsid w:val="001A0457"/>
    <w:rsid w:val="001A1463"/>
    <w:rsid w:val="001A178E"/>
    <w:rsid w:val="001A43FA"/>
    <w:rsid w:val="001A47C5"/>
    <w:rsid w:val="001A50D3"/>
    <w:rsid w:val="001A5376"/>
    <w:rsid w:val="001A59FB"/>
    <w:rsid w:val="001A5E9E"/>
    <w:rsid w:val="001A6354"/>
    <w:rsid w:val="001A6366"/>
    <w:rsid w:val="001A7AE8"/>
    <w:rsid w:val="001B024B"/>
    <w:rsid w:val="001B121E"/>
    <w:rsid w:val="001B204E"/>
    <w:rsid w:val="001B2372"/>
    <w:rsid w:val="001B2413"/>
    <w:rsid w:val="001B2522"/>
    <w:rsid w:val="001B331E"/>
    <w:rsid w:val="001B3443"/>
    <w:rsid w:val="001B375F"/>
    <w:rsid w:val="001B4D20"/>
    <w:rsid w:val="001B4E6C"/>
    <w:rsid w:val="001B5AB4"/>
    <w:rsid w:val="001B7129"/>
    <w:rsid w:val="001C1677"/>
    <w:rsid w:val="001C2A9B"/>
    <w:rsid w:val="001C2ADB"/>
    <w:rsid w:val="001C2DAB"/>
    <w:rsid w:val="001C3522"/>
    <w:rsid w:val="001C3875"/>
    <w:rsid w:val="001C3AE8"/>
    <w:rsid w:val="001C4299"/>
    <w:rsid w:val="001C44C0"/>
    <w:rsid w:val="001C4874"/>
    <w:rsid w:val="001C52B0"/>
    <w:rsid w:val="001C5F94"/>
    <w:rsid w:val="001C6829"/>
    <w:rsid w:val="001C6E66"/>
    <w:rsid w:val="001C7F63"/>
    <w:rsid w:val="001D1100"/>
    <w:rsid w:val="001D1391"/>
    <w:rsid w:val="001D20CC"/>
    <w:rsid w:val="001D25D7"/>
    <w:rsid w:val="001D37FE"/>
    <w:rsid w:val="001D3A1B"/>
    <w:rsid w:val="001D50B2"/>
    <w:rsid w:val="001D535C"/>
    <w:rsid w:val="001D5713"/>
    <w:rsid w:val="001D68EB"/>
    <w:rsid w:val="001D6CDB"/>
    <w:rsid w:val="001D7645"/>
    <w:rsid w:val="001E0843"/>
    <w:rsid w:val="001E0E5D"/>
    <w:rsid w:val="001E1E86"/>
    <w:rsid w:val="001E238E"/>
    <w:rsid w:val="001E2483"/>
    <w:rsid w:val="001E2B1E"/>
    <w:rsid w:val="001E2CFF"/>
    <w:rsid w:val="001E2F24"/>
    <w:rsid w:val="001E30D4"/>
    <w:rsid w:val="001E34DF"/>
    <w:rsid w:val="001E3B97"/>
    <w:rsid w:val="001E50C0"/>
    <w:rsid w:val="001E52EB"/>
    <w:rsid w:val="001E61D2"/>
    <w:rsid w:val="001E740C"/>
    <w:rsid w:val="001E784B"/>
    <w:rsid w:val="001F05C4"/>
    <w:rsid w:val="001F1235"/>
    <w:rsid w:val="001F1B10"/>
    <w:rsid w:val="001F1CB3"/>
    <w:rsid w:val="001F38B5"/>
    <w:rsid w:val="001F3A35"/>
    <w:rsid w:val="001F4081"/>
    <w:rsid w:val="001F7361"/>
    <w:rsid w:val="00200698"/>
    <w:rsid w:val="002011B0"/>
    <w:rsid w:val="00203181"/>
    <w:rsid w:val="00203783"/>
    <w:rsid w:val="0020385F"/>
    <w:rsid w:val="002062D2"/>
    <w:rsid w:val="002068A0"/>
    <w:rsid w:val="00207021"/>
    <w:rsid w:val="0020732F"/>
    <w:rsid w:val="00207CD4"/>
    <w:rsid w:val="00207D00"/>
    <w:rsid w:val="002105C1"/>
    <w:rsid w:val="00210BB7"/>
    <w:rsid w:val="00211695"/>
    <w:rsid w:val="002119BB"/>
    <w:rsid w:val="00213EF5"/>
    <w:rsid w:val="00216BF5"/>
    <w:rsid w:val="00220533"/>
    <w:rsid w:val="002230B4"/>
    <w:rsid w:val="00223B49"/>
    <w:rsid w:val="00223D5A"/>
    <w:rsid w:val="00223EE1"/>
    <w:rsid w:val="002241BC"/>
    <w:rsid w:val="00224B37"/>
    <w:rsid w:val="00224DD4"/>
    <w:rsid w:val="00226CC2"/>
    <w:rsid w:val="002278A0"/>
    <w:rsid w:val="002309CC"/>
    <w:rsid w:val="0023209F"/>
    <w:rsid w:val="00232988"/>
    <w:rsid w:val="00233C01"/>
    <w:rsid w:val="0023413C"/>
    <w:rsid w:val="002346F0"/>
    <w:rsid w:val="00234BC2"/>
    <w:rsid w:val="0023612A"/>
    <w:rsid w:val="0023629D"/>
    <w:rsid w:val="0023644E"/>
    <w:rsid w:val="00236AFC"/>
    <w:rsid w:val="00236C97"/>
    <w:rsid w:val="00237255"/>
    <w:rsid w:val="00240D35"/>
    <w:rsid w:val="00241C90"/>
    <w:rsid w:val="002424AF"/>
    <w:rsid w:val="0024355B"/>
    <w:rsid w:val="002439DC"/>
    <w:rsid w:val="00243F31"/>
    <w:rsid w:val="002441D2"/>
    <w:rsid w:val="002444BA"/>
    <w:rsid w:val="00244624"/>
    <w:rsid w:val="00244AFC"/>
    <w:rsid w:val="00244CBC"/>
    <w:rsid w:val="00244DC8"/>
    <w:rsid w:val="00245021"/>
    <w:rsid w:val="002458BA"/>
    <w:rsid w:val="00245CE9"/>
    <w:rsid w:val="0024636C"/>
    <w:rsid w:val="00247925"/>
    <w:rsid w:val="0025073E"/>
    <w:rsid w:val="00251006"/>
    <w:rsid w:val="00251468"/>
    <w:rsid w:val="002515F5"/>
    <w:rsid w:val="002524D5"/>
    <w:rsid w:val="0025299F"/>
    <w:rsid w:val="00253B1D"/>
    <w:rsid w:val="00254DCF"/>
    <w:rsid w:val="0025534B"/>
    <w:rsid w:val="00255BB7"/>
    <w:rsid w:val="00255F03"/>
    <w:rsid w:val="00257541"/>
    <w:rsid w:val="00257A39"/>
    <w:rsid w:val="00257AC4"/>
    <w:rsid w:val="00257DC9"/>
    <w:rsid w:val="00261EEF"/>
    <w:rsid w:val="00262A1A"/>
    <w:rsid w:val="00262A87"/>
    <w:rsid w:val="0026437C"/>
    <w:rsid w:val="00264D26"/>
    <w:rsid w:val="00266793"/>
    <w:rsid w:val="0026756B"/>
    <w:rsid w:val="00267642"/>
    <w:rsid w:val="002679C3"/>
    <w:rsid w:val="00267AEA"/>
    <w:rsid w:val="002700E6"/>
    <w:rsid w:val="00270B64"/>
    <w:rsid w:val="00270FFF"/>
    <w:rsid w:val="0027294B"/>
    <w:rsid w:val="00273EB4"/>
    <w:rsid w:val="00274682"/>
    <w:rsid w:val="0027506D"/>
    <w:rsid w:val="00275C5A"/>
    <w:rsid w:val="002771E9"/>
    <w:rsid w:val="00277F79"/>
    <w:rsid w:val="00281014"/>
    <w:rsid w:val="00282C29"/>
    <w:rsid w:val="00284FA9"/>
    <w:rsid w:val="00286096"/>
    <w:rsid w:val="0028665D"/>
    <w:rsid w:val="002867A1"/>
    <w:rsid w:val="00290BA4"/>
    <w:rsid w:val="00292101"/>
    <w:rsid w:val="00293EA4"/>
    <w:rsid w:val="002966E5"/>
    <w:rsid w:val="002A14AB"/>
    <w:rsid w:val="002A2ADE"/>
    <w:rsid w:val="002A2F50"/>
    <w:rsid w:val="002A3518"/>
    <w:rsid w:val="002A585F"/>
    <w:rsid w:val="002B05A1"/>
    <w:rsid w:val="002B09A4"/>
    <w:rsid w:val="002B0D62"/>
    <w:rsid w:val="002B1C1F"/>
    <w:rsid w:val="002B2DCD"/>
    <w:rsid w:val="002B3DB6"/>
    <w:rsid w:val="002B432F"/>
    <w:rsid w:val="002B62B3"/>
    <w:rsid w:val="002B6754"/>
    <w:rsid w:val="002B6CCE"/>
    <w:rsid w:val="002C2510"/>
    <w:rsid w:val="002C2775"/>
    <w:rsid w:val="002C27C1"/>
    <w:rsid w:val="002C3115"/>
    <w:rsid w:val="002C5099"/>
    <w:rsid w:val="002C523F"/>
    <w:rsid w:val="002C5889"/>
    <w:rsid w:val="002C67FA"/>
    <w:rsid w:val="002C69EF"/>
    <w:rsid w:val="002C71CE"/>
    <w:rsid w:val="002D06F4"/>
    <w:rsid w:val="002D08F8"/>
    <w:rsid w:val="002D577C"/>
    <w:rsid w:val="002D5A39"/>
    <w:rsid w:val="002E1071"/>
    <w:rsid w:val="002E15B9"/>
    <w:rsid w:val="002E2158"/>
    <w:rsid w:val="002E4F02"/>
    <w:rsid w:val="002E55DE"/>
    <w:rsid w:val="002E56AD"/>
    <w:rsid w:val="002E5A53"/>
    <w:rsid w:val="002E7722"/>
    <w:rsid w:val="002F07BA"/>
    <w:rsid w:val="002F0DA9"/>
    <w:rsid w:val="002F1014"/>
    <w:rsid w:val="002F4310"/>
    <w:rsid w:val="002F643C"/>
    <w:rsid w:val="002F71C0"/>
    <w:rsid w:val="002F74F1"/>
    <w:rsid w:val="002F7A26"/>
    <w:rsid w:val="00300174"/>
    <w:rsid w:val="00301017"/>
    <w:rsid w:val="0030155F"/>
    <w:rsid w:val="003025AE"/>
    <w:rsid w:val="0030587B"/>
    <w:rsid w:val="00306D98"/>
    <w:rsid w:val="0030786C"/>
    <w:rsid w:val="0031031A"/>
    <w:rsid w:val="0031068A"/>
    <w:rsid w:val="00310981"/>
    <w:rsid w:val="003124D9"/>
    <w:rsid w:val="00312594"/>
    <w:rsid w:val="0031261A"/>
    <w:rsid w:val="00315498"/>
    <w:rsid w:val="0031560A"/>
    <w:rsid w:val="00316474"/>
    <w:rsid w:val="00320112"/>
    <w:rsid w:val="00321389"/>
    <w:rsid w:val="003219ED"/>
    <w:rsid w:val="00321F82"/>
    <w:rsid w:val="00322107"/>
    <w:rsid w:val="00322355"/>
    <w:rsid w:val="00322846"/>
    <w:rsid w:val="00322F11"/>
    <w:rsid w:val="00325C11"/>
    <w:rsid w:val="00326DA7"/>
    <w:rsid w:val="003270E4"/>
    <w:rsid w:val="00330DAA"/>
    <w:rsid w:val="00330F5C"/>
    <w:rsid w:val="0033149E"/>
    <w:rsid w:val="00333E4C"/>
    <w:rsid w:val="003366C9"/>
    <w:rsid w:val="003371B0"/>
    <w:rsid w:val="0033782E"/>
    <w:rsid w:val="00340DF1"/>
    <w:rsid w:val="00343118"/>
    <w:rsid w:val="0034640F"/>
    <w:rsid w:val="00350CD3"/>
    <w:rsid w:val="003517F9"/>
    <w:rsid w:val="00351BA9"/>
    <w:rsid w:val="00352250"/>
    <w:rsid w:val="00352266"/>
    <w:rsid w:val="00354F64"/>
    <w:rsid w:val="0035620E"/>
    <w:rsid w:val="0035621B"/>
    <w:rsid w:val="00356999"/>
    <w:rsid w:val="003573DF"/>
    <w:rsid w:val="00357822"/>
    <w:rsid w:val="00360345"/>
    <w:rsid w:val="00360396"/>
    <w:rsid w:val="003604B6"/>
    <w:rsid w:val="00360F9D"/>
    <w:rsid w:val="00361A05"/>
    <w:rsid w:val="003624C4"/>
    <w:rsid w:val="00363B00"/>
    <w:rsid w:val="003654AC"/>
    <w:rsid w:val="003703E8"/>
    <w:rsid w:val="003710CF"/>
    <w:rsid w:val="0037358A"/>
    <w:rsid w:val="00373D73"/>
    <w:rsid w:val="003750F6"/>
    <w:rsid w:val="003760FC"/>
    <w:rsid w:val="003761F3"/>
    <w:rsid w:val="003768A0"/>
    <w:rsid w:val="00376CE1"/>
    <w:rsid w:val="00377819"/>
    <w:rsid w:val="003807F5"/>
    <w:rsid w:val="00381808"/>
    <w:rsid w:val="003819FC"/>
    <w:rsid w:val="00382389"/>
    <w:rsid w:val="0038365C"/>
    <w:rsid w:val="0038369B"/>
    <w:rsid w:val="00383A56"/>
    <w:rsid w:val="00383B78"/>
    <w:rsid w:val="00384025"/>
    <w:rsid w:val="00384C08"/>
    <w:rsid w:val="003855FA"/>
    <w:rsid w:val="003858EA"/>
    <w:rsid w:val="00385A9D"/>
    <w:rsid w:val="00386215"/>
    <w:rsid w:val="00387AE0"/>
    <w:rsid w:val="003902B1"/>
    <w:rsid w:val="0039179C"/>
    <w:rsid w:val="00393C09"/>
    <w:rsid w:val="00393D21"/>
    <w:rsid w:val="00393D9A"/>
    <w:rsid w:val="00396896"/>
    <w:rsid w:val="00396FD0"/>
    <w:rsid w:val="00397654"/>
    <w:rsid w:val="003A0F01"/>
    <w:rsid w:val="003A1A7A"/>
    <w:rsid w:val="003A2392"/>
    <w:rsid w:val="003A2831"/>
    <w:rsid w:val="003A3CB6"/>
    <w:rsid w:val="003A3E2A"/>
    <w:rsid w:val="003A3ED1"/>
    <w:rsid w:val="003A44DB"/>
    <w:rsid w:val="003A4895"/>
    <w:rsid w:val="003A5AE5"/>
    <w:rsid w:val="003A75FC"/>
    <w:rsid w:val="003B1BE8"/>
    <w:rsid w:val="003B335D"/>
    <w:rsid w:val="003B3971"/>
    <w:rsid w:val="003B55D1"/>
    <w:rsid w:val="003B5B61"/>
    <w:rsid w:val="003B61C2"/>
    <w:rsid w:val="003C1475"/>
    <w:rsid w:val="003C1654"/>
    <w:rsid w:val="003C1710"/>
    <w:rsid w:val="003C44BD"/>
    <w:rsid w:val="003C5542"/>
    <w:rsid w:val="003C567D"/>
    <w:rsid w:val="003C60DB"/>
    <w:rsid w:val="003C7D19"/>
    <w:rsid w:val="003C7D2F"/>
    <w:rsid w:val="003D08C1"/>
    <w:rsid w:val="003D0DD1"/>
    <w:rsid w:val="003D1828"/>
    <w:rsid w:val="003D1DE4"/>
    <w:rsid w:val="003D1E9A"/>
    <w:rsid w:val="003D2422"/>
    <w:rsid w:val="003D34D7"/>
    <w:rsid w:val="003D39A1"/>
    <w:rsid w:val="003D3C95"/>
    <w:rsid w:val="003D3FBF"/>
    <w:rsid w:val="003D4A30"/>
    <w:rsid w:val="003D4AF2"/>
    <w:rsid w:val="003D68B7"/>
    <w:rsid w:val="003D7452"/>
    <w:rsid w:val="003D79BB"/>
    <w:rsid w:val="003D7C13"/>
    <w:rsid w:val="003D7C98"/>
    <w:rsid w:val="003D7D9D"/>
    <w:rsid w:val="003E0543"/>
    <w:rsid w:val="003E079E"/>
    <w:rsid w:val="003E196A"/>
    <w:rsid w:val="003E3422"/>
    <w:rsid w:val="003E4044"/>
    <w:rsid w:val="003E468C"/>
    <w:rsid w:val="003E4A8A"/>
    <w:rsid w:val="003E749E"/>
    <w:rsid w:val="003F138C"/>
    <w:rsid w:val="003F3AE1"/>
    <w:rsid w:val="003F4156"/>
    <w:rsid w:val="003F4D10"/>
    <w:rsid w:val="003F5ADF"/>
    <w:rsid w:val="00400B29"/>
    <w:rsid w:val="004038CF"/>
    <w:rsid w:val="004040F6"/>
    <w:rsid w:val="004044A6"/>
    <w:rsid w:val="00404FDE"/>
    <w:rsid w:val="0040504B"/>
    <w:rsid w:val="004056B2"/>
    <w:rsid w:val="004059F4"/>
    <w:rsid w:val="00407E11"/>
    <w:rsid w:val="00407FE5"/>
    <w:rsid w:val="004101B0"/>
    <w:rsid w:val="004102A6"/>
    <w:rsid w:val="00410326"/>
    <w:rsid w:val="00410708"/>
    <w:rsid w:val="00410EC7"/>
    <w:rsid w:val="00411B39"/>
    <w:rsid w:val="004127A7"/>
    <w:rsid w:val="00413A1E"/>
    <w:rsid w:val="00414476"/>
    <w:rsid w:val="00414844"/>
    <w:rsid w:val="00414C2E"/>
    <w:rsid w:val="00414E20"/>
    <w:rsid w:val="004151CF"/>
    <w:rsid w:val="00415AED"/>
    <w:rsid w:val="00415DD7"/>
    <w:rsid w:val="00416364"/>
    <w:rsid w:val="00416F8B"/>
    <w:rsid w:val="004176DC"/>
    <w:rsid w:val="0042047F"/>
    <w:rsid w:val="00420AA6"/>
    <w:rsid w:val="00420B9F"/>
    <w:rsid w:val="004214BE"/>
    <w:rsid w:val="0042192C"/>
    <w:rsid w:val="00422260"/>
    <w:rsid w:val="00422E2C"/>
    <w:rsid w:val="0042413F"/>
    <w:rsid w:val="004243DC"/>
    <w:rsid w:val="00425A0F"/>
    <w:rsid w:val="00425B09"/>
    <w:rsid w:val="00425BA7"/>
    <w:rsid w:val="004319F8"/>
    <w:rsid w:val="00431E55"/>
    <w:rsid w:val="004321F6"/>
    <w:rsid w:val="00433044"/>
    <w:rsid w:val="00434088"/>
    <w:rsid w:val="004368C4"/>
    <w:rsid w:val="004375B9"/>
    <w:rsid w:val="004377A5"/>
    <w:rsid w:val="00440B45"/>
    <w:rsid w:val="00441A2F"/>
    <w:rsid w:val="004428D0"/>
    <w:rsid w:val="00442BE2"/>
    <w:rsid w:val="00444185"/>
    <w:rsid w:val="004443A7"/>
    <w:rsid w:val="0044442C"/>
    <w:rsid w:val="004446C9"/>
    <w:rsid w:val="00445941"/>
    <w:rsid w:val="004464EB"/>
    <w:rsid w:val="00447D26"/>
    <w:rsid w:val="00447DFC"/>
    <w:rsid w:val="00447F38"/>
    <w:rsid w:val="0045013D"/>
    <w:rsid w:val="0045476E"/>
    <w:rsid w:val="00454E2C"/>
    <w:rsid w:val="00454F81"/>
    <w:rsid w:val="00455D45"/>
    <w:rsid w:val="00455F87"/>
    <w:rsid w:val="004563F3"/>
    <w:rsid w:val="0045747F"/>
    <w:rsid w:val="00463751"/>
    <w:rsid w:val="00464595"/>
    <w:rsid w:val="004658B5"/>
    <w:rsid w:val="00466762"/>
    <w:rsid w:val="004667A7"/>
    <w:rsid w:val="004667C4"/>
    <w:rsid w:val="00467960"/>
    <w:rsid w:val="004679D4"/>
    <w:rsid w:val="00470DE0"/>
    <w:rsid w:val="00470F03"/>
    <w:rsid w:val="00471EA5"/>
    <w:rsid w:val="00472805"/>
    <w:rsid w:val="004728DE"/>
    <w:rsid w:val="00472A79"/>
    <w:rsid w:val="00473F19"/>
    <w:rsid w:val="004749A6"/>
    <w:rsid w:val="00474F3D"/>
    <w:rsid w:val="00475E22"/>
    <w:rsid w:val="004768F2"/>
    <w:rsid w:val="0048088E"/>
    <w:rsid w:val="00480F2B"/>
    <w:rsid w:val="00481009"/>
    <w:rsid w:val="00481D6F"/>
    <w:rsid w:val="004823A5"/>
    <w:rsid w:val="00482514"/>
    <w:rsid w:val="00482720"/>
    <w:rsid w:val="004835E7"/>
    <w:rsid w:val="00483C5C"/>
    <w:rsid w:val="0048583A"/>
    <w:rsid w:val="004867E2"/>
    <w:rsid w:val="00487F9E"/>
    <w:rsid w:val="00490406"/>
    <w:rsid w:val="00490B17"/>
    <w:rsid w:val="00491B3A"/>
    <w:rsid w:val="00492CFD"/>
    <w:rsid w:val="00494207"/>
    <w:rsid w:val="004944DF"/>
    <w:rsid w:val="00494DD5"/>
    <w:rsid w:val="004962D2"/>
    <w:rsid w:val="004A0DA1"/>
    <w:rsid w:val="004A13D6"/>
    <w:rsid w:val="004A2696"/>
    <w:rsid w:val="004A34B5"/>
    <w:rsid w:val="004A4ED1"/>
    <w:rsid w:val="004A52E9"/>
    <w:rsid w:val="004A6040"/>
    <w:rsid w:val="004A6597"/>
    <w:rsid w:val="004A74ED"/>
    <w:rsid w:val="004A7848"/>
    <w:rsid w:val="004A7B96"/>
    <w:rsid w:val="004B1CB4"/>
    <w:rsid w:val="004B2F18"/>
    <w:rsid w:val="004B31C0"/>
    <w:rsid w:val="004B3DDB"/>
    <w:rsid w:val="004B43D9"/>
    <w:rsid w:val="004B44FD"/>
    <w:rsid w:val="004B578D"/>
    <w:rsid w:val="004B5CFC"/>
    <w:rsid w:val="004B6F79"/>
    <w:rsid w:val="004B774D"/>
    <w:rsid w:val="004B7FB9"/>
    <w:rsid w:val="004C4AED"/>
    <w:rsid w:val="004C4F80"/>
    <w:rsid w:val="004D2C2D"/>
    <w:rsid w:val="004D655D"/>
    <w:rsid w:val="004D69B5"/>
    <w:rsid w:val="004D7227"/>
    <w:rsid w:val="004E0E7F"/>
    <w:rsid w:val="004E0EB8"/>
    <w:rsid w:val="004E18E9"/>
    <w:rsid w:val="004E1B4E"/>
    <w:rsid w:val="004E2ADC"/>
    <w:rsid w:val="004E3AFB"/>
    <w:rsid w:val="004E432A"/>
    <w:rsid w:val="004E43B2"/>
    <w:rsid w:val="004E4AB7"/>
    <w:rsid w:val="004F1D02"/>
    <w:rsid w:val="004F2679"/>
    <w:rsid w:val="004F2F21"/>
    <w:rsid w:val="004F3DE5"/>
    <w:rsid w:val="004F45C1"/>
    <w:rsid w:val="004F5876"/>
    <w:rsid w:val="004F6913"/>
    <w:rsid w:val="004F6E59"/>
    <w:rsid w:val="004F7865"/>
    <w:rsid w:val="0050174E"/>
    <w:rsid w:val="00501854"/>
    <w:rsid w:val="00501B1A"/>
    <w:rsid w:val="0050219B"/>
    <w:rsid w:val="0050310B"/>
    <w:rsid w:val="00503F17"/>
    <w:rsid w:val="00504F87"/>
    <w:rsid w:val="00505573"/>
    <w:rsid w:val="00506928"/>
    <w:rsid w:val="005077EF"/>
    <w:rsid w:val="0051164E"/>
    <w:rsid w:val="00511AD5"/>
    <w:rsid w:val="00511DC7"/>
    <w:rsid w:val="00513330"/>
    <w:rsid w:val="00513536"/>
    <w:rsid w:val="005142C5"/>
    <w:rsid w:val="0051465F"/>
    <w:rsid w:val="00514868"/>
    <w:rsid w:val="0051501B"/>
    <w:rsid w:val="005152B5"/>
    <w:rsid w:val="005161CC"/>
    <w:rsid w:val="00520549"/>
    <w:rsid w:val="0052123C"/>
    <w:rsid w:val="00521319"/>
    <w:rsid w:val="00521A45"/>
    <w:rsid w:val="00522BC8"/>
    <w:rsid w:val="00523C28"/>
    <w:rsid w:val="0052680C"/>
    <w:rsid w:val="00527AE4"/>
    <w:rsid w:val="0053176B"/>
    <w:rsid w:val="005325AE"/>
    <w:rsid w:val="005326A4"/>
    <w:rsid w:val="0053284D"/>
    <w:rsid w:val="00532EE9"/>
    <w:rsid w:val="00534714"/>
    <w:rsid w:val="00535728"/>
    <w:rsid w:val="00535976"/>
    <w:rsid w:val="00535A91"/>
    <w:rsid w:val="0053626E"/>
    <w:rsid w:val="0053673E"/>
    <w:rsid w:val="00536F42"/>
    <w:rsid w:val="00537182"/>
    <w:rsid w:val="00537CFF"/>
    <w:rsid w:val="00540A05"/>
    <w:rsid w:val="00541903"/>
    <w:rsid w:val="00541EDD"/>
    <w:rsid w:val="00542743"/>
    <w:rsid w:val="00542C2D"/>
    <w:rsid w:val="005434D5"/>
    <w:rsid w:val="00543C43"/>
    <w:rsid w:val="00546FBC"/>
    <w:rsid w:val="005478BD"/>
    <w:rsid w:val="005479E3"/>
    <w:rsid w:val="005503E4"/>
    <w:rsid w:val="0055122E"/>
    <w:rsid w:val="00551985"/>
    <w:rsid w:val="00551EA3"/>
    <w:rsid w:val="00552BD3"/>
    <w:rsid w:val="005532A0"/>
    <w:rsid w:val="00555109"/>
    <w:rsid w:val="0055510C"/>
    <w:rsid w:val="005556A5"/>
    <w:rsid w:val="00556AA0"/>
    <w:rsid w:val="00556B35"/>
    <w:rsid w:val="0055741A"/>
    <w:rsid w:val="005611B7"/>
    <w:rsid w:val="005618D4"/>
    <w:rsid w:val="005639CA"/>
    <w:rsid w:val="00565DF0"/>
    <w:rsid w:val="0056696F"/>
    <w:rsid w:val="00566E57"/>
    <w:rsid w:val="00567E0F"/>
    <w:rsid w:val="00570BCC"/>
    <w:rsid w:val="005713FD"/>
    <w:rsid w:val="00572269"/>
    <w:rsid w:val="0057244A"/>
    <w:rsid w:val="00572F26"/>
    <w:rsid w:val="005730B0"/>
    <w:rsid w:val="005741D3"/>
    <w:rsid w:val="005750C5"/>
    <w:rsid w:val="005752DE"/>
    <w:rsid w:val="00575D8D"/>
    <w:rsid w:val="00576972"/>
    <w:rsid w:val="00580215"/>
    <w:rsid w:val="005805BC"/>
    <w:rsid w:val="0058296A"/>
    <w:rsid w:val="00583699"/>
    <w:rsid w:val="00585CDD"/>
    <w:rsid w:val="00587058"/>
    <w:rsid w:val="0059166B"/>
    <w:rsid w:val="00591726"/>
    <w:rsid w:val="00591957"/>
    <w:rsid w:val="00592206"/>
    <w:rsid w:val="00593984"/>
    <w:rsid w:val="00594155"/>
    <w:rsid w:val="00595289"/>
    <w:rsid w:val="00595DAC"/>
    <w:rsid w:val="00597BF9"/>
    <w:rsid w:val="005A0173"/>
    <w:rsid w:val="005A0432"/>
    <w:rsid w:val="005A309A"/>
    <w:rsid w:val="005A373D"/>
    <w:rsid w:val="005A3C6A"/>
    <w:rsid w:val="005A4CA1"/>
    <w:rsid w:val="005B0944"/>
    <w:rsid w:val="005B0B58"/>
    <w:rsid w:val="005B3992"/>
    <w:rsid w:val="005B41FD"/>
    <w:rsid w:val="005B4DEA"/>
    <w:rsid w:val="005B4E53"/>
    <w:rsid w:val="005B5857"/>
    <w:rsid w:val="005B6882"/>
    <w:rsid w:val="005B76C3"/>
    <w:rsid w:val="005B793C"/>
    <w:rsid w:val="005C08D3"/>
    <w:rsid w:val="005C1B83"/>
    <w:rsid w:val="005C25FF"/>
    <w:rsid w:val="005C281C"/>
    <w:rsid w:val="005C2B92"/>
    <w:rsid w:val="005C2D55"/>
    <w:rsid w:val="005C346B"/>
    <w:rsid w:val="005C4BA6"/>
    <w:rsid w:val="005C6801"/>
    <w:rsid w:val="005D00D7"/>
    <w:rsid w:val="005D044D"/>
    <w:rsid w:val="005D0ABD"/>
    <w:rsid w:val="005D18AD"/>
    <w:rsid w:val="005D26B4"/>
    <w:rsid w:val="005D2700"/>
    <w:rsid w:val="005D303A"/>
    <w:rsid w:val="005D5540"/>
    <w:rsid w:val="005E2752"/>
    <w:rsid w:val="005E3F81"/>
    <w:rsid w:val="005E472B"/>
    <w:rsid w:val="005E60A2"/>
    <w:rsid w:val="005E6CBC"/>
    <w:rsid w:val="005E72FF"/>
    <w:rsid w:val="005E73C0"/>
    <w:rsid w:val="005E73D7"/>
    <w:rsid w:val="005F2706"/>
    <w:rsid w:val="005F5CC9"/>
    <w:rsid w:val="005F6A8F"/>
    <w:rsid w:val="005F6BB7"/>
    <w:rsid w:val="005F7588"/>
    <w:rsid w:val="00601C59"/>
    <w:rsid w:val="0060216E"/>
    <w:rsid w:val="00603DB9"/>
    <w:rsid w:val="00604B55"/>
    <w:rsid w:val="00605C28"/>
    <w:rsid w:val="00606FBA"/>
    <w:rsid w:val="00607669"/>
    <w:rsid w:val="006076F4"/>
    <w:rsid w:val="00607AFD"/>
    <w:rsid w:val="00612F97"/>
    <w:rsid w:val="0061345D"/>
    <w:rsid w:val="00613C45"/>
    <w:rsid w:val="006145C2"/>
    <w:rsid w:val="0061549B"/>
    <w:rsid w:val="00616802"/>
    <w:rsid w:val="00617145"/>
    <w:rsid w:val="00617746"/>
    <w:rsid w:val="00617E12"/>
    <w:rsid w:val="00620B5B"/>
    <w:rsid w:val="00620C25"/>
    <w:rsid w:val="00621144"/>
    <w:rsid w:val="00621477"/>
    <w:rsid w:val="00621ADA"/>
    <w:rsid w:val="00622819"/>
    <w:rsid w:val="006239A0"/>
    <w:rsid w:val="00623F7B"/>
    <w:rsid w:val="00625DE2"/>
    <w:rsid w:val="0063158F"/>
    <w:rsid w:val="00631C7B"/>
    <w:rsid w:val="00631D6B"/>
    <w:rsid w:val="00632183"/>
    <w:rsid w:val="006330A1"/>
    <w:rsid w:val="00633CC9"/>
    <w:rsid w:val="0063479F"/>
    <w:rsid w:val="006353F0"/>
    <w:rsid w:val="006357B5"/>
    <w:rsid w:val="00635875"/>
    <w:rsid w:val="006359AF"/>
    <w:rsid w:val="006364A1"/>
    <w:rsid w:val="0063678E"/>
    <w:rsid w:val="00637BFD"/>
    <w:rsid w:val="00641C4E"/>
    <w:rsid w:val="00641FB3"/>
    <w:rsid w:val="00643465"/>
    <w:rsid w:val="00643C1E"/>
    <w:rsid w:val="0064434C"/>
    <w:rsid w:val="006471CC"/>
    <w:rsid w:val="00647A29"/>
    <w:rsid w:val="00647D11"/>
    <w:rsid w:val="0065079F"/>
    <w:rsid w:val="00651D08"/>
    <w:rsid w:val="00652A28"/>
    <w:rsid w:val="0065336D"/>
    <w:rsid w:val="0065379F"/>
    <w:rsid w:val="00654EC3"/>
    <w:rsid w:val="00656188"/>
    <w:rsid w:val="0065715A"/>
    <w:rsid w:val="006576B8"/>
    <w:rsid w:val="006610F1"/>
    <w:rsid w:val="00661C6B"/>
    <w:rsid w:val="00664C7D"/>
    <w:rsid w:val="00666ECA"/>
    <w:rsid w:val="00667CD4"/>
    <w:rsid w:val="00671004"/>
    <w:rsid w:val="00672646"/>
    <w:rsid w:val="006726BB"/>
    <w:rsid w:val="00673C17"/>
    <w:rsid w:val="00674E42"/>
    <w:rsid w:val="00676501"/>
    <w:rsid w:val="00676D47"/>
    <w:rsid w:val="006813F8"/>
    <w:rsid w:val="006819E4"/>
    <w:rsid w:val="00681BE8"/>
    <w:rsid w:val="00682112"/>
    <w:rsid w:val="00682BA6"/>
    <w:rsid w:val="00682D9B"/>
    <w:rsid w:val="006847C6"/>
    <w:rsid w:val="00685BEA"/>
    <w:rsid w:val="00686957"/>
    <w:rsid w:val="00687189"/>
    <w:rsid w:val="006872BA"/>
    <w:rsid w:val="00690795"/>
    <w:rsid w:val="00691648"/>
    <w:rsid w:val="006917D7"/>
    <w:rsid w:val="006927CD"/>
    <w:rsid w:val="006936E1"/>
    <w:rsid w:val="0069434C"/>
    <w:rsid w:val="006948A6"/>
    <w:rsid w:val="00694EC2"/>
    <w:rsid w:val="00694F44"/>
    <w:rsid w:val="006957F2"/>
    <w:rsid w:val="00696F51"/>
    <w:rsid w:val="00697740"/>
    <w:rsid w:val="006979A5"/>
    <w:rsid w:val="006A08B4"/>
    <w:rsid w:val="006A13E9"/>
    <w:rsid w:val="006A38C6"/>
    <w:rsid w:val="006A4607"/>
    <w:rsid w:val="006A5888"/>
    <w:rsid w:val="006A6B99"/>
    <w:rsid w:val="006A7BE8"/>
    <w:rsid w:val="006A7E5F"/>
    <w:rsid w:val="006B10F1"/>
    <w:rsid w:val="006B261B"/>
    <w:rsid w:val="006B2C90"/>
    <w:rsid w:val="006B35E6"/>
    <w:rsid w:val="006B465A"/>
    <w:rsid w:val="006B658A"/>
    <w:rsid w:val="006B6710"/>
    <w:rsid w:val="006B6DD0"/>
    <w:rsid w:val="006B7E8E"/>
    <w:rsid w:val="006C0399"/>
    <w:rsid w:val="006C1DBD"/>
    <w:rsid w:val="006C2A8E"/>
    <w:rsid w:val="006C3255"/>
    <w:rsid w:val="006C3F26"/>
    <w:rsid w:val="006C4D8F"/>
    <w:rsid w:val="006C6AEE"/>
    <w:rsid w:val="006C7F19"/>
    <w:rsid w:val="006D049E"/>
    <w:rsid w:val="006D06FC"/>
    <w:rsid w:val="006D0712"/>
    <w:rsid w:val="006D0D17"/>
    <w:rsid w:val="006D3AB4"/>
    <w:rsid w:val="006D3BB8"/>
    <w:rsid w:val="006D3C7D"/>
    <w:rsid w:val="006D4659"/>
    <w:rsid w:val="006D4901"/>
    <w:rsid w:val="006D4AEE"/>
    <w:rsid w:val="006D5455"/>
    <w:rsid w:val="006D5D5F"/>
    <w:rsid w:val="006D61E7"/>
    <w:rsid w:val="006D68FB"/>
    <w:rsid w:val="006D6F44"/>
    <w:rsid w:val="006E0FC0"/>
    <w:rsid w:val="006E1FD0"/>
    <w:rsid w:val="006E2868"/>
    <w:rsid w:val="006E3D34"/>
    <w:rsid w:val="006E738A"/>
    <w:rsid w:val="006F1362"/>
    <w:rsid w:val="006F13F6"/>
    <w:rsid w:val="006F290E"/>
    <w:rsid w:val="006F306C"/>
    <w:rsid w:val="006F63A5"/>
    <w:rsid w:val="006F753A"/>
    <w:rsid w:val="0070142B"/>
    <w:rsid w:val="0070276E"/>
    <w:rsid w:val="00702F8F"/>
    <w:rsid w:val="007063E8"/>
    <w:rsid w:val="0070706D"/>
    <w:rsid w:val="007074D3"/>
    <w:rsid w:val="007079FC"/>
    <w:rsid w:val="00710058"/>
    <w:rsid w:val="00711532"/>
    <w:rsid w:val="00711A36"/>
    <w:rsid w:val="00711B01"/>
    <w:rsid w:val="00712B0E"/>
    <w:rsid w:val="00714C26"/>
    <w:rsid w:val="0071529C"/>
    <w:rsid w:val="0071692A"/>
    <w:rsid w:val="007170DA"/>
    <w:rsid w:val="007172AD"/>
    <w:rsid w:val="00720801"/>
    <w:rsid w:val="00722759"/>
    <w:rsid w:val="00722B1B"/>
    <w:rsid w:val="0072416F"/>
    <w:rsid w:val="007275FB"/>
    <w:rsid w:val="00727C94"/>
    <w:rsid w:val="00727F41"/>
    <w:rsid w:val="0073006E"/>
    <w:rsid w:val="0073093C"/>
    <w:rsid w:val="00731B0A"/>
    <w:rsid w:val="00731EAE"/>
    <w:rsid w:val="00732F08"/>
    <w:rsid w:val="00733073"/>
    <w:rsid w:val="00735033"/>
    <w:rsid w:val="00735328"/>
    <w:rsid w:val="0073685B"/>
    <w:rsid w:val="00736FBD"/>
    <w:rsid w:val="007377BD"/>
    <w:rsid w:val="007449BF"/>
    <w:rsid w:val="00746BC0"/>
    <w:rsid w:val="00747147"/>
    <w:rsid w:val="00747914"/>
    <w:rsid w:val="007510B4"/>
    <w:rsid w:val="00752142"/>
    <w:rsid w:val="007523F9"/>
    <w:rsid w:val="0075357E"/>
    <w:rsid w:val="00754318"/>
    <w:rsid w:val="00756AE3"/>
    <w:rsid w:val="00756C37"/>
    <w:rsid w:val="007573E8"/>
    <w:rsid w:val="0076041B"/>
    <w:rsid w:val="00760C4E"/>
    <w:rsid w:val="00760F2E"/>
    <w:rsid w:val="00760F9E"/>
    <w:rsid w:val="00761204"/>
    <w:rsid w:val="007621D6"/>
    <w:rsid w:val="007627BE"/>
    <w:rsid w:val="00763EE6"/>
    <w:rsid w:val="00764394"/>
    <w:rsid w:val="00764F03"/>
    <w:rsid w:val="00765B1A"/>
    <w:rsid w:val="00767775"/>
    <w:rsid w:val="00767DB3"/>
    <w:rsid w:val="00767E26"/>
    <w:rsid w:val="00770C88"/>
    <w:rsid w:val="0077191B"/>
    <w:rsid w:val="00777335"/>
    <w:rsid w:val="00777757"/>
    <w:rsid w:val="007807DC"/>
    <w:rsid w:val="007843F2"/>
    <w:rsid w:val="00785116"/>
    <w:rsid w:val="00785A9F"/>
    <w:rsid w:val="00785B49"/>
    <w:rsid w:val="007904C2"/>
    <w:rsid w:val="007918CB"/>
    <w:rsid w:val="00792062"/>
    <w:rsid w:val="007925DF"/>
    <w:rsid w:val="0079324C"/>
    <w:rsid w:val="00794EA2"/>
    <w:rsid w:val="00795D07"/>
    <w:rsid w:val="007963F0"/>
    <w:rsid w:val="007A08AA"/>
    <w:rsid w:val="007A0A12"/>
    <w:rsid w:val="007A132D"/>
    <w:rsid w:val="007A1345"/>
    <w:rsid w:val="007A21C5"/>
    <w:rsid w:val="007A2DC7"/>
    <w:rsid w:val="007A2DDB"/>
    <w:rsid w:val="007A5D8B"/>
    <w:rsid w:val="007A70BA"/>
    <w:rsid w:val="007B04C8"/>
    <w:rsid w:val="007B0D68"/>
    <w:rsid w:val="007B251D"/>
    <w:rsid w:val="007B264E"/>
    <w:rsid w:val="007B2815"/>
    <w:rsid w:val="007B2EF6"/>
    <w:rsid w:val="007B38D1"/>
    <w:rsid w:val="007B3AE3"/>
    <w:rsid w:val="007B4F58"/>
    <w:rsid w:val="007B528D"/>
    <w:rsid w:val="007B5A3E"/>
    <w:rsid w:val="007B63CA"/>
    <w:rsid w:val="007B6996"/>
    <w:rsid w:val="007B77D1"/>
    <w:rsid w:val="007B7AB4"/>
    <w:rsid w:val="007C07C7"/>
    <w:rsid w:val="007C0D58"/>
    <w:rsid w:val="007C1168"/>
    <w:rsid w:val="007C1CD9"/>
    <w:rsid w:val="007C2606"/>
    <w:rsid w:val="007C32EF"/>
    <w:rsid w:val="007C361D"/>
    <w:rsid w:val="007C395D"/>
    <w:rsid w:val="007C44A9"/>
    <w:rsid w:val="007C4B84"/>
    <w:rsid w:val="007C5371"/>
    <w:rsid w:val="007C70FF"/>
    <w:rsid w:val="007C7C25"/>
    <w:rsid w:val="007D004F"/>
    <w:rsid w:val="007D0B38"/>
    <w:rsid w:val="007D31C3"/>
    <w:rsid w:val="007D48A5"/>
    <w:rsid w:val="007D5085"/>
    <w:rsid w:val="007D5440"/>
    <w:rsid w:val="007D554C"/>
    <w:rsid w:val="007D59C3"/>
    <w:rsid w:val="007D5B69"/>
    <w:rsid w:val="007D69EB"/>
    <w:rsid w:val="007D6EB0"/>
    <w:rsid w:val="007E128F"/>
    <w:rsid w:val="007E16D6"/>
    <w:rsid w:val="007E6B4B"/>
    <w:rsid w:val="007E7568"/>
    <w:rsid w:val="007E78B5"/>
    <w:rsid w:val="007F1017"/>
    <w:rsid w:val="007F106D"/>
    <w:rsid w:val="007F36AA"/>
    <w:rsid w:val="007F43F6"/>
    <w:rsid w:val="007F46C1"/>
    <w:rsid w:val="007F4A3F"/>
    <w:rsid w:val="007F4A61"/>
    <w:rsid w:val="007F51A2"/>
    <w:rsid w:val="007F5255"/>
    <w:rsid w:val="007F56CC"/>
    <w:rsid w:val="007F61C2"/>
    <w:rsid w:val="007F7E6B"/>
    <w:rsid w:val="00803707"/>
    <w:rsid w:val="008045C5"/>
    <w:rsid w:val="00805142"/>
    <w:rsid w:val="00805FAC"/>
    <w:rsid w:val="00805FCE"/>
    <w:rsid w:val="00807A8B"/>
    <w:rsid w:val="008100D6"/>
    <w:rsid w:val="00811383"/>
    <w:rsid w:val="00812149"/>
    <w:rsid w:val="00812CAC"/>
    <w:rsid w:val="0081323A"/>
    <w:rsid w:val="00814341"/>
    <w:rsid w:val="00814D8C"/>
    <w:rsid w:val="00815517"/>
    <w:rsid w:val="00816361"/>
    <w:rsid w:val="008166EF"/>
    <w:rsid w:val="00816FEF"/>
    <w:rsid w:val="00820A8C"/>
    <w:rsid w:val="008215FB"/>
    <w:rsid w:val="008226CD"/>
    <w:rsid w:val="00822E7B"/>
    <w:rsid w:val="00823174"/>
    <w:rsid w:val="008236D3"/>
    <w:rsid w:val="00825751"/>
    <w:rsid w:val="0082597B"/>
    <w:rsid w:val="008264EB"/>
    <w:rsid w:val="00826B14"/>
    <w:rsid w:val="00826B8E"/>
    <w:rsid w:val="00826FCA"/>
    <w:rsid w:val="008327C5"/>
    <w:rsid w:val="00832FF0"/>
    <w:rsid w:val="00833B05"/>
    <w:rsid w:val="00834C14"/>
    <w:rsid w:val="008355F8"/>
    <w:rsid w:val="008362B4"/>
    <w:rsid w:val="00837733"/>
    <w:rsid w:val="008405C6"/>
    <w:rsid w:val="00840CA2"/>
    <w:rsid w:val="008420CB"/>
    <w:rsid w:val="0084374F"/>
    <w:rsid w:val="00843AB9"/>
    <w:rsid w:val="00844A22"/>
    <w:rsid w:val="0084633C"/>
    <w:rsid w:val="00846FCB"/>
    <w:rsid w:val="00847703"/>
    <w:rsid w:val="00847C72"/>
    <w:rsid w:val="00847DF5"/>
    <w:rsid w:val="00851B19"/>
    <w:rsid w:val="0085288C"/>
    <w:rsid w:val="0085309D"/>
    <w:rsid w:val="008553C0"/>
    <w:rsid w:val="008566F4"/>
    <w:rsid w:val="00856897"/>
    <w:rsid w:val="00856E9A"/>
    <w:rsid w:val="0086075D"/>
    <w:rsid w:val="00860D45"/>
    <w:rsid w:val="00862502"/>
    <w:rsid w:val="00862CC1"/>
    <w:rsid w:val="008631AE"/>
    <w:rsid w:val="00863C61"/>
    <w:rsid w:val="00864F21"/>
    <w:rsid w:val="00865D25"/>
    <w:rsid w:val="00865F35"/>
    <w:rsid w:val="0086600B"/>
    <w:rsid w:val="008660D4"/>
    <w:rsid w:val="00867645"/>
    <w:rsid w:val="00871FA9"/>
    <w:rsid w:val="008728E9"/>
    <w:rsid w:val="00873361"/>
    <w:rsid w:val="00874FCF"/>
    <w:rsid w:val="00875907"/>
    <w:rsid w:val="00875EC3"/>
    <w:rsid w:val="00880059"/>
    <w:rsid w:val="008819EA"/>
    <w:rsid w:val="00882874"/>
    <w:rsid w:val="00882E3C"/>
    <w:rsid w:val="00883787"/>
    <w:rsid w:val="008855E4"/>
    <w:rsid w:val="00885AF3"/>
    <w:rsid w:val="00885E3D"/>
    <w:rsid w:val="00886C91"/>
    <w:rsid w:val="00886CD2"/>
    <w:rsid w:val="00886E29"/>
    <w:rsid w:val="00891E6F"/>
    <w:rsid w:val="0089272C"/>
    <w:rsid w:val="0089275D"/>
    <w:rsid w:val="00892A36"/>
    <w:rsid w:val="00893239"/>
    <w:rsid w:val="00894489"/>
    <w:rsid w:val="00895B12"/>
    <w:rsid w:val="008963A5"/>
    <w:rsid w:val="0089650D"/>
    <w:rsid w:val="00896D5D"/>
    <w:rsid w:val="0089794D"/>
    <w:rsid w:val="008A1458"/>
    <w:rsid w:val="008A3363"/>
    <w:rsid w:val="008A3371"/>
    <w:rsid w:val="008A3C3E"/>
    <w:rsid w:val="008A4C9A"/>
    <w:rsid w:val="008A5C1F"/>
    <w:rsid w:val="008A79DE"/>
    <w:rsid w:val="008B1757"/>
    <w:rsid w:val="008B1802"/>
    <w:rsid w:val="008B1CE9"/>
    <w:rsid w:val="008B2C6A"/>
    <w:rsid w:val="008B456A"/>
    <w:rsid w:val="008B6490"/>
    <w:rsid w:val="008B73B5"/>
    <w:rsid w:val="008B7992"/>
    <w:rsid w:val="008B7D7E"/>
    <w:rsid w:val="008C278A"/>
    <w:rsid w:val="008C4255"/>
    <w:rsid w:val="008C4AED"/>
    <w:rsid w:val="008C5610"/>
    <w:rsid w:val="008C5739"/>
    <w:rsid w:val="008C5D7D"/>
    <w:rsid w:val="008C6E62"/>
    <w:rsid w:val="008C7ECB"/>
    <w:rsid w:val="008D1140"/>
    <w:rsid w:val="008D2772"/>
    <w:rsid w:val="008D37B6"/>
    <w:rsid w:val="008D3AF6"/>
    <w:rsid w:val="008D3B86"/>
    <w:rsid w:val="008D3DB1"/>
    <w:rsid w:val="008D4755"/>
    <w:rsid w:val="008D4C3D"/>
    <w:rsid w:val="008D743C"/>
    <w:rsid w:val="008E0005"/>
    <w:rsid w:val="008E08CD"/>
    <w:rsid w:val="008E0D3C"/>
    <w:rsid w:val="008E1B9E"/>
    <w:rsid w:val="008E55AB"/>
    <w:rsid w:val="008E5C49"/>
    <w:rsid w:val="008E5C64"/>
    <w:rsid w:val="008F120A"/>
    <w:rsid w:val="008F1366"/>
    <w:rsid w:val="008F19FA"/>
    <w:rsid w:val="008F27E0"/>
    <w:rsid w:val="008F2A0A"/>
    <w:rsid w:val="008F48EB"/>
    <w:rsid w:val="008F4F0B"/>
    <w:rsid w:val="008F5B28"/>
    <w:rsid w:val="00902AA8"/>
    <w:rsid w:val="0090323C"/>
    <w:rsid w:val="009046C4"/>
    <w:rsid w:val="00906086"/>
    <w:rsid w:val="0090610B"/>
    <w:rsid w:val="009062A5"/>
    <w:rsid w:val="00907976"/>
    <w:rsid w:val="00910847"/>
    <w:rsid w:val="00910FA7"/>
    <w:rsid w:val="00911272"/>
    <w:rsid w:val="009135D6"/>
    <w:rsid w:val="00914A7E"/>
    <w:rsid w:val="00914C77"/>
    <w:rsid w:val="0091658A"/>
    <w:rsid w:val="0091761F"/>
    <w:rsid w:val="009178BE"/>
    <w:rsid w:val="00920AB7"/>
    <w:rsid w:val="009210BB"/>
    <w:rsid w:val="00921ACB"/>
    <w:rsid w:val="00921E2D"/>
    <w:rsid w:val="009230ED"/>
    <w:rsid w:val="0092369B"/>
    <w:rsid w:val="00924235"/>
    <w:rsid w:val="00924C8B"/>
    <w:rsid w:val="00925B92"/>
    <w:rsid w:val="00927AC5"/>
    <w:rsid w:val="00934988"/>
    <w:rsid w:val="0093561E"/>
    <w:rsid w:val="009362B0"/>
    <w:rsid w:val="00937089"/>
    <w:rsid w:val="00942F27"/>
    <w:rsid w:val="009441BC"/>
    <w:rsid w:val="00944F8A"/>
    <w:rsid w:val="009510A2"/>
    <w:rsid w:val="0095229F"/>
    <w:rsid w:val="00953257"/>
    <w:rsid w:val="00953314"/>
    <w:rsid w:val="00953804"/>
    <w:rsid w:val="0095474C"/>
    <w:rsid w:val="009561A0"/>
    <w:rsid w:val="00960D92"/>
    <w:rsid w:val="00961DCC"/>
    <w:rsid w:val="00962CB9"/>
    <w:rsid w:val="00964312"/>
    <w:rsid w:val="00965B8A"/>
    <w:rsid w:val="0097002A"/>
    <w:rsid w:val="0097071F"/>
    <w:rsid w:val="009717AC"/>
    <w:rsid w:val="00972E82"/>
    <w:rsid w:val="009736FE"/>
    <w:rsid w:val="00974A93"/>
    <w:rsid w:val="009751C1"/>
    <w:rsid w:val="00976801"/>
    <w:rsid w:val="00977516"/>
    <w:rsid w:val="00980B84"/>
    <w:rsid w:val="009811F1"/>
    <w:rsid w:val="0098327B"/>
    <w:rsid w:val="00983E57"/>
    <w:rsid w:val="009842F5"/>
    <w:rsid w:val="00985459"/>
    <w:rsid w:val="00985BCD"/>
    <w:rsid w:val="00985DE2"/>
    <w:rsid w:val="0098675D"/>
    <w:rsid w:val="00986898"/>
    <w:rsid w:val="009909AA"/>
    <w:rsid w:val="0099247E"/>
    <w:rsid w:val="009926E0"/>
    <w:rsid w:val="0099451E"/>
    <w:rsid w:val="00995A96"/>
    <w:rsid w:val="00996B1A"/>
    <w:rsid w:val="009A21A6"/>
    <w:rsid w:val="009A27FA"/>
    <w:rsid w:val="009A2DCC"/>
    <w:rsid w:val="009A5ABC"/>
    <w:rsid w:val="009A64DA"/>
    <w:rsid w:val="009A7F10"/>
    <w:rsid w:val="009B3E14"/>
    <w:rsid w:val="009B3E26"/>
    <w:rsid w:val="009B44CE"/>
    <w:rsid w:val="009B456E"/>
    <w:rsid w:val="009B487D"/>
    <w:rsid w:val="009B7AAA"/>
    <w:rsid w:val="009C3706"/>
    <w:rsid w:val="009C3A3A"/>
    <w:rsid w:val="009C456F"/>
    <w:rsid w:val="009C553D"/>
    <w:rsid w:val="009C5BFA"/>
    <w:rsid w:val="009C6CEA"/>
    <w:rsid w:val="009C78E1"/>
    <w:rsid w:val="009C7B85"/>
    <w:rsid w:val="009D0254"/>
    <w:rsid w:val="009D09C0"/>
    <w:rsid w:val="009D1A64"/>
    <w:rsid w:val="009D2244"/>
    <w:rsid w:val="009D36DB"/>
    <w:rsid w:val="009D3FF6"/>
    <w:rsid w:val="009D5B91"/>
    <w:rsid w:val="009D7508"/>
    <w:rsid w:val="009D792E"/>
    <w:rsid w:val="009E0771"/>
    <w:rsid w:val="009E0DFE"/>
    <w:rsid w:val="009E1144"/>
    <w:rsid w:val="009E16A0"/>
    <w:rsid w:val="009E1985"/>
    <w:rsid w:val="009E2DAB"/>
    <w:rsid w:val="009E31F6"/>
    <w:rsid w:val="009E3959"/>
    <w:rsid w:val="009E3A96"/>
    <w:rsid w:val="009E4301"/>
    <w:rsid w:val="009E4C07"/>
    <w:rsid w:val="009E65D0"/>
    <w:rsid w:val="009E6C43"/>
    <w:rsid w:val="009E6D40"/>
    <w:rsid w:val="009E6E6B"/>
    <w:rsid w:val="009E78F8"/>
    <w:rsid w:val="009E7F3B"/>
    <w:rsid w:val="009F214F"/>
    <w:rsid w:val="009F62E0"/>
    <w:rsid w:val="009F7FA4"/>
    <w:rsid w:val="00A01184"/>
    <w:rsid w:val="00A01E88"/>
    <w:rsid w:val="00A0278D"/>
    <w:rsid w:val="00A037C2"/>
    <w:rsid w:val="00A03D43"/>
    <w:rsid w:val="00A04380"/>
    <w:rsid w:val="00A05472"/>
    <w:rsid w:val="00A05C32"/>
    <w:rsid w:val="00A06077"/>
    <w:rsid w:val="00A0653F"/>
    <w:rsid w:val="00A109F2"/>
    <w:rsid w:val="00A11CD0"/>
    <w:rsid w:val="00A120A9"/>
    <w:rsid w:val="00A13948"/>
    <w:rsid w:val="00A14DF8"/>
    <w:rsid w:val="00A1506A"/>
    <w:rsid w:val="00A150EE"/>
    <w:rsid w:val="00A1555B"/>
    <w:rsid w:val="00A155C5"/>
    <w:rsid w:val="00A16AD8"/>
    <w:rsid w:val="00A21C95"/>
    <w:rsid w:val="00A21CF3"/>
    <w:rsid w:val="00A223CB"/>
    <w:rsid w:val="00A24813"/>
    <w:rsid w:val="00A249D2"/>
    <w:rsid w:val="00A27AEC"/>
    <w:rsid w:val="00A308E9"/>
    <w:rsid w:val="00A310DF"/>
    <w:rsid w:val="00A31553"/>
    <w:rsid w:val="00A320A7"/>
    <w:rsid w:val="00A320DB"/>
    <w:rsid w:val="00A339D6"/>
    <w:rsid w:val="00A33F69"/>
    <w:rsid w:val="00A34F87"/>
    <w:rsid w:val="00A35D16"/>
    <w:rsid w:val="00A36484"/>
    <w:rsid w:val="00A37BCD"/>
    <w:rsid w:val="00A407F5"/>
    <w:rsid w:val="00A40D08"/>
    <w:rsid w:val="00A41689"/>
    <w:rsid w:val="00A42592"/>
    <w:rsid w:val="00A42675"/>
    <w:rsid w:val="00A43C59"/>
    <w:rsid w:val="00A45B59"/>
    <w:rsid w:val="00A460EE"/>
    <w:rsid w:val="00A47C94"/>
    <w:rsid w:val="00A501B5"/>
    <w:rsid w:val="00A50ECD"/>
    <w:rsid w:val="00A51495"/>
    <w:rsid w:val="00A518F3"/>
    <w:rsid w:val="00A51BC2"/>
    <w:rsid w:val="00A52729"/>
    <w:rsid w:val="00A53675"/>
    <w:rsid w:val="00A53BEF"/>
    <w:rsid w:val="00A54945"/>
    <w:rsid w:val="00A564D7"/>
    <w:rsid w:val="00A56B6A"/>
    <w:rsid w:val="00A578DC"/>
    <w:rsid w:val="00A60EFF"/>
    <w:rsid w:val="00A611A5"/>
    <w:rsid w:val="00A61DFF"/>
    <w:rsid w:val="00A62E80"/>
    <w:rsid w:val="00A63A86"/>
    <w:rsid w:val="00A640E2"/>
    <w:rsid w:val="00A64855"/>
    <w:rsid w:val="00A64D65"/>
    <w:rsid w:val="00A66672"/>
    <w:rsid w:val="00A6725B"/>
    <w:rsid w:val="00A67C33"/>
    <w:rsid w:val="00A7020A"/>
    <w:rsid w:val="00A70605"/>
    <w:rsid w:val="00A72138"/>
    <w:rsid w:val="00A73134"/>
    <w:rsid w:val="00A7438F"/>
    <w:rsid w:val="00A76001"/>
    <w:rsid w:val="00A773E1"/>
    <w:rsid w:val="00A777B2"/>
    <w:rsid w:val="00A801D3"/>
    <w:rsid w:val="00A812B4"/>
    <w:rsid w:val="00A812F9"/>
    <w:rsid w:val="00A825D4"/>
    <w:rsid w:val="00A828F6"/>
    <w:rsid w:val="00A82B73"/>
    <w:rsid w:val="00A8336E"/>
    <w:rsid w:val="00A84B82"/>
    <w:rsid w:val="00A85B0F"/>
    <w:rsid w:val="00A85E96"/>
    <w:rsid w:val="00A86E8B"/>
    <w:rsid w:val="00A870C7"/>
    <w:rsid w:val="00A87164"/>
    <w:rsid w:val="00A91665"/>
    <w:rsid w:val="00A92205"/>
    <w:rsid w:val="00A9260E"/>
    <w:rsid w:val="00A9278B"/>
    <w:rsid w:val="00A93072"/>
    <w:rsid w:val="00A938BD"/>
    <w:rsid w:val="00A93953"/>
    <w:rsid w:val="00A93D9C"/>
    <w:rsid w:val="00A959D8"/>
    <w:rsid w:val="00A964FE"/>
    <w:rsid w:val="00A9798A"/>
    <w:rsid w:val="00AA113D"/>
    <w:rsid w:val="00AA1AF9"/>
    <w:rsid w:val="00AA32A5"/>
    <w:rsid w:val="00AA58FF"/>
    <w:rsid w:val="00AA6BD5"/>
    <w:rsid w:val="00AA6BD8"/>
    <w:rsid w:val="00AA6C7D"/>
    <w:rsid w:val="00AA7FD6"/>
    <w:rsid w:val="00AB042A"/>
    <w:rsid w:val="00AB07D1"/>
    <w:rsid w:val="00AB19EF"/>
    <w:rsid w:val="00AB2D34"/>
    <w:rsid w:val="00AB3430"/>
    <w:rsid w:val="00AB37B9"/>
    <w:rsid w:val="00AB4AD1"/>
    <w:rsid w:val="00AB4B0C"/>
    <w:rsid w:val="00AB5E07"/>
    <w:rsid w:val="00AB70F7"/>
    <w:rsid w:val="00AB71C3"/>
    <w:rsid w:val="00AB7CFA"/>
    <w:rsid w:val="00AC11DA"/>
    <w:rsid w:val="00AC2F1A"/>
    <w:rsid w:val="00AC341E"/>
    <w:rsid w:val="00AC467F"/>
    <w:rsid w:val="00AC5B48"/>
    <w:rsid w:val="00AC6DE1"/>
    <w:rsid w:val="00AC76D1"/>
    <w:rsid w:val="00AD1450"/>
    <w:rsid w:val="00AD1B7F"/>
    <w:rsid w:val="00AD251F"/>
    <w:rsid w:val="00AD39A3"/>
    <w:rsid w:val="00AD6502"/>
    <w:rsid w:val="00AD6FF6"/>
    <w:rsid w:val="00AD7C1B"/>
    <w:rsid w:val="00AE0558"/>
    <w:rsid w:val="00AE0695"/>
    <w:rsid w:val="00AE2033"/>
    <w:rsid w:val="00AE2456"/>
    <w:rsid w:val="00AE3AA5"/>
    <w:rsid w:val="00AE3ACC"/>
    <w:rsid w:val="00AE3E7E"/>
    <w:rsid w:val="00AE5BF5"/>
    <w:rsid w:val="00AE5EDF"/>
    <w:rsid w:val="00AE5F8D"/>
    <w:rsid w:val="00AE7541"/>
    <w:rsid w:val="00AF1315"/>
    <w:rsid w:val="00AF1356"/>
    <w:rsid w:val="00AF14C5"/>
    <w:rsid w:val="00AF19BF"/>
    <w:rsid w:val="00AF2CE8"/>
    <w:rsid w:val="00AF2DC3"/>
    <w:rsid w:val="00AF431B"/>
    <w:rsid w:val="00AF442A"/>
    <w:rsid w:val="00B01645"/>
    <w:rsid w:val="00B017E4"/>
    <w:rsid w:val="00B02338"/>
    <w:rsid w:val="00B033E5"/>
    <w:rsid w:val="00B03A63"/>
    <w:rsid w:val="00B04281"/>
    <w:rsid w:val="00B06060"/>
    <w:rsid w:val="00B07B6E"/>
    <w:rsid w:val="00B1021F"/>
    <w:rsid w:val="00B10E4C"/>
    <w:rsid w:val="00B15C57"/>
    <w:rsid w:val="00B20065"/>
    <w:rsid w:val="00B201A4"/>
    <w:rsid w:val="00B201D1"/>
    <w:rsid w:val="00B204F6"/>
    <w:rsid w:val="00B213A6"/>
    <w:rsid w:val="00B214DF"/>
    <w:rsid w:val="00B21586"/>
    <w:rsid w:val="00B21F70"/>
    <w:rsid w:val="00B22B78"/>
    <w:rsid w:val="00B22C07"/>
    <w:rsid w:val="00B23106"/>
    <w:rsid w:val="00B235B0"/>
    <w:rsid w:val="00B23D9C"/>
    <w:rsid w:val="00B23DE6"/>
    <w:rsid w:val="00B24DF6"/>
    <w:rsid w:val="00B26DB0"/>
    <w:rsid w:val="00B34FE2"/>
    <w:rsid w:val="00B35033"/>
    <w:rsid w:val="00B35166"/>
    <w:rsid w:val="00B357D8"/>
    <w:rsid w:val="00B360F4"/>
    <w:rsid w:val="00B364C6"/>
    <w:rsid w:val="00B368A1"/>
    <w:rsid w:val="00B36A00"/>
    <w:rsid w:val="00B37BFC"/>
    <w:rsid w:val="00B40358"/>
    <w:rsid w:val="00B403AA"/>
    <w:rsid w:val="00B40C5B"/>
    <w:rsid w:val="00B41614"/>
    <w:rsid w:val="00B41E0D"/>
    <w:rsid w:val="00B42723"/>
    <w:rsid w:val="00B42851"/>
    <w:rsid w:val="00B42B83"/>
    <w:rsid w:val="00B42F80"/>
    <w:rsid w:val="00B435CB"/>
    <w:rsid w:val="00B444F7"/>
    <w:rsid w:val="00B4617F"/>
    <w:rsid w:val="00B505C8"/>
    <w:rsid w:val="00B50DB8"/>
    <w:rsid w:val="00B53654"/>
    <w:rsid w:val="00B53905"/>
    <w:rsid w:val="00B54B5B"/>
    <w:rsid w:val="00B5562E"/>
    <w:rsid w:val="00B55D65"/>
    <w:rsid w:val="00B567F6"/>
    <w:rsid w:val="00B57000"/>
    <w:rsid w:val="00B60939"/>
    <w:rsid w:val="00B60A36"/>
    <w:rsid w:val="00B60AFD"/>
    <w:rsid w:val="00B611C1"/>
    <w:rsid w:val="00B62347"/>
    <w:rsid w:val="00B62715"/>
    <w:rsid w:val="00B64812"/>
    <w:rsid w:val="00B65611"/>
    <w:rsid w:val="00B6605C"/>
    <w:rsid w:val="00B70E8E"/>
    <w:rsid w:val="00B70F4B"/>
    <w:rsid w:val="00B7250C"/>
    <w:rsid w:val="00B7387D"/>
    <w:rsid w:val="00B7437A"/>
    <w:rsid w:val="00B74771"/>
    <w:rsid w:val="00B75B6C"/>
    <w:rsid w:val="00B76C92"/>
    <w:rsid w:val="00B80606"/>
    <w:rsid w:val="00B818A4"/>
    <w:rsid w:val="00B83195"/>
    <w:rsid w:val="00B832D6"/>
    <w:rsid w:val="00B83FA1"/>
    <w:rsid w:val="00B84117"/>
    <w:rsid w:val="00B84BA6"/>
    <w:rsid w:val="00B854A1"/>
    <w:rsid w:val="00B858F0"/>
    <w:rsid w:val="00B85AA2"/>
    <w:rsid w:val="00B85D9E"/>
    <w:rsid w:val="00B8649C"/>
    <w:rsid w:val="00B868BC"/>
    <w:rsid w:val="00B8695D"/>
    <w:rsid w:val="00B8725F"/>
    <w:rsid w:val="00B87405"/>
    <w:rsid w:val="00B87F0A"/>
    <w:rsid w:val="00B905B1"/>
    <w:rsid w:val="00B92D0B"/>
    <w:rsid w:val="00B93B13"/>
    <w:rsid w:val="00B94945"/>
    <w:rsid w:val="00B94DD6"/>
    <w:rsid w:val="00BA00CE"/>
    <w:rsid w:val="00BA052A"/>
    <w:rsid w:val="00BA22E2"/>
    <w:rsid w:val="00BA285C"/>
    <w:rsid w:val="00BA2F3B"/>
    <w:rsid w:val="00BA322D"/>
    <w:rsid w:val="00BA358D"/>
    <w:rsid w:val="00BA3FA9"/>
    <w:rsid w:val="00BA63FA"/>
    <w:rsid w:val="00BA642B"/>
    <w:rsid w:val="00BB00B3"/>
    <w:rsid w:val="00BB034F"/>
    <w:rsid w:val="00BB043D"/>
    <w:rsid w:val="00BB0BDD"/>
    <w:rsid w:val="00BB176C"/>
    <w:rsid w:val="00BB1D7E"/>
    <w:rsid w:val="00BB2A73"/>
    <w:rsid w:val="00BB3A45"/>
    <w:rsid w:val="00BB4696"/>
    <w:rsid w:val="00BB4ACC"/>
    <w:rsid w:val="00BB57B1"/>
    <w:rsid w:val="00BB57CF"/>
    <w:rsid w:val="00BB6282"/>
    <w:rsid w:val="00BB703E"/>
    <w:rsid w:val="00BB732D"/>
    <w:rsid w:val="00BB7405"/>
    <w:rsid w:val="00BB7419"/>
    <w:rsid w:val="00BC02FC"/>
    <w:rsid w:val="00BC29EC"/>
    <w:rsid w:val="00BC2A25"/>
    <w:rsid w:val="00BC3631"/>
    <w:rsid w:val="00BC591F"/>
    <w:rsid w:val="00BC6BE2"/>
    <w:rsid w:val="00BC7D6D"/>
    <w:rsid w:val="00BD14E7"/>
    <w:rsid w:val="00BD1D7F"/>
    <w:rsid w:val="00BD2108"/>
    <w:rsid w:val="00BD2146"/>
    <w:rsid w:val="00BD3FD3"/>
    <w:rsid w:val="00BD68A3"/>
    <w:rsid w:val="00BD6938"/>
    <w:rsid w:val="00BD6CF3"/>
    <w:rsid w:val="00BE0D5B"/>
    <w:rsid w:val="00BE0ECA"/>
    <w:rsid w:val="00BE2180"/>
    <w:rsid w:val="00BE21F2"/>
    <w:rsid w:val="00BE4275"/>
    <w:rsid w:val="00BE4439"/>
    <w:rsid w:val="00BE54AC"/>
    <w:rsid w:val="00BE737D"/>
    <w:rsid w:val="00BF06AE"/>
    <w:rsid w:val="00BF0F95"/>
    <w:rsid w:val="00BF2433"/>
    <w:rsid w:val="00BF2D4A"/>
    <w:rsid w:val="00BF3423"/>
    <w:rsid w:val="00BF42E9"/>
    <w:rsid w:val="00BF61C9"/>
    <w:rsid w:val="00BF656B"/>
    <w:rsid w:val="00BF69BC"/>
    <w:rsid w:val="00BF6C94"/>
    <w:rsid w:val="00BF705E"/>
    <w:rsid w:val="00C00424"/>
    <w:rsid w:val="00C055F0"/>
    <w:rsid w:val="00C06026"/>
    <w:rsid w:val="00C07752"/>
    <w:rsid w:val="00C10EAE"/>
    <w:rsid w:val="00C1179F"/>
    <w:rsid w:val="00C12420"/>
    <w:rsid w:val="00C12BB8"/>
    <w:rsid w:val="00C12C14"/>
    <w:rsid w:val="00C12E1D"/>
    <w:rsid w:val="00C13FE7"/>
    <w:rsid w:val="00C156C9"/>
    <w:rsid w:val="00C156EE"/>
    <w:rsid w:val="00C15F04"/>
    <w:rsid w:val="00C179B3"/>
    <w:rsid w:val="00C17E3F"/>
    <w:rsid w:val="00C200AA"/>
    <w:rsid w:val="00C2104E"/>
    <w:rsid w:val="00C21553"/>
    <w:rsid w:val="00C237ED"/>
    <w:rsid w:val="00C24632"/>
    <w:rsid w:val="00C25418"/>
    <w:rsid w:val="00C259F8"/>
    <w:rsid w:val="00C25D9C"/>
    <w:rsid w:val="00C2778B"/>
    <w:rsid w:val="00C30189"/>
    <w:rsid w:val="00C310E9"/>
    <w:rsid w:val="00C31649"/>
    <w:rsid w:val="00C33746"/>
    <w:rsid w:val="00C33CA7"/>
    <w:rsid w:val="00C3434C"/>
    <w:rsid w:val="00C40385"/>
    <w:rsid w:val="00C403B6"/>
    <w:rsid w:val="00C403DC"/>
    <w:rsid w:val="00C41768"/>
    <w:rsid w:val="00C4257C"/>
    <w:rsid w:val="00C45634"/>
    <w:rsid w:val="00C45A2C"/>
    <w:rsid w:val="00C4605B"/>
    <w:rsid w:val="00C475AA"/>
    <w:rsid w:val="00C50636"/>
    <w:rsid w:val="00C534E3"/>
    <w:rsid w:val="00C53622"/>
    <w:rsid w:val="00C5368F"/>
    <w:rsid w:val="00C53C98"/>
    <w:rsid w:val="00C53DF6"/>
    <w:rsid w:val="00C54430"/>
    <w:rsid w:val="00C55150"/>
    <w:rsid w:val="00C55D83"/>
    <w:rsid w:val="00C56FCF"/>
    <w:rsid w:val="00C57B6C"/>
    <w:rsid w:val="00C60850"/>
    <w:rsid w:val="00C61C9B"/>
    <w:rsid w:val="00C624A2"/>
    <w:rsid w:val="00C628A6"/>
    <w:rsid w:val="00C63A5F"/>
    <w:rsid w:val="00C64344"/>
    <w:rsid w:val="00C64A7A"/>
    <w:rsid w:val="00C64A8A"/>
    <w:rsid w:val="00C65108"/>
    <w:rsid w:val="00C65576"/>
    <w:rsid w:val="00C66165"/>
    <w:rsid w:val="00C666C7"/>
    <w:rsid w:val="00C67D9C"/>
    <w:rsid w:val="00C70437"/>
    <w:rsid w:val="00C7060A"/>
    <w:rsid w:val="00C7151A"/>
    <w:rsid w:val="00C717E3"/>
    <w:rsid w:val="00C71F60"/>
    <w:rsid w:val="00C71F9E"/>
    <w:rsid w:val="00C72241"/>
    <w:rsid w:val="00C724B9"/>
    <w:rsid w:val="00C750C8"/>
    <w:rsid w:val="00C7560F"/>
    <w:rsid w:val="00C77FFB"/>
    <w:rsid w:val="00C80A0E"/>
    <w:rsid w:val="00C8213F"/>
    <w:rsid w:val="00C83AC8"/>
    <w:rsid w:val="00C83DBE"/>
    <w:rsid w:val="00C84991"/>
    <w:rsid w:val="00C85154"/>
    <w:rsid w:val="00C865D9"/>
    <w:rsid w:val="00C8743E"/>
    <w:rsid w:val="00C8797A"/>
    <w:rsid w:val="00C900B8"/>
    <w:rsid w:val="00C90C71"/>
    <w:rsid w:val="00C91FD1"/>
    <w:rsid w:val="00C931CF"/>
    <w:rsid w:val="00C938CF"/>
    <w:rsid w:val="00C93F36"/>
    <w:rsid w:val="00C94053"/>
    <w:rsid w:val="00C9624D"/>
    <w:rsid w:val="00C96514"/>
    <w:rsid w:val="00C969DA"/>
    <w:rsid w:val="00C96EC4"/>
    <w:rsid w:val="00C97359"/>
    <w:rsid w:val="00C97541"/>
    <w:rsid w:val="00CA0114"/>
    <w:rsid w:val="00CA1EA3"/>
    <w:rsid w:val="00CA2042"/>
    <w:rsid w:val="00CA281F"/>
    <w:rsid w:val="00CA2999"/>
    <w:rsid w:val="00CA2C77"/>
    <w:rsid w:val="00CA368B"/>
    <w:rsid w:val="00CA444F"/>
    <w:rsid w:val="00CA5245"/>
    <w:rsid w:val="00CA71F4"/>
    <w:rsid w:val="00CA7B09"/>
    <w:rsid w:val="00CA7DFA"/>
    <w:rsid w:val="00CB10B7"/>
    <w:rsid w:val="00CB12A5"/>
    <w:rsid w:val="00CB1633"/>
    <w:rsid w:val="00CB1CAC"/>
    <w:rsid w:val="00CB1D24"/>
    <w:rsid w:val="00CB2F2A"/>
    <w:rsid w:val="00CB5B1A"/>
    <w:rsid w:val="00CB6A3D"/>
    <w:rsid w:val="00CB6B22"/>
    <w:rsid w:val="00CB7F5F"/>
    <w:rsid w:val="00CC1B39"/>
    <w:rsid w:val="00CC35EA"/>
    <w:rsid w:val="00CC3848"/>
    <w:rsid w:val="00CC788D"/>
    <w:rsid w:val="00CD0697"/>
    <w:rsid w:val="00CD2DDB"/>
    <w:rsid w:val="00CD3F77"/>
    <w:rsid w:val="00CD55DE"/>
    <w:rsid w:val="00CD64E7"/>
    <w:rsid w:val="00CD6ADC"/>
    <w:rsid w:val="00CD6FFA"/>
    <w:rsid w:val="00CD7193"/>
    <w:rsid w:val="00CE3115"/>
    <w:rsid w:val="00CE38C8"/>
    <w:rsid w:val="00CE6274"/>
    <w:rsid w:val="00CE77B6"/>
    <w:rsid w:val="00CE7ECB"/>
    <w:rsid w:val="00CF1DBF"/>
    <w:rsid w:val="00CF2B8D"/>
    <w:rsid w:val="00CF456B"/>
    <w:rsid w:val="00CF58AD"/>
    <w:rsid w:val="00CF5A22"/>
    <w:rsid w:val="00CF6290"/>
    <w:rsid w:val="00CF6773"/>
    <w:rsid w:val="00CF72A2"/>
    <w:rsid w:val="00D00ABB"/>
    <w:rsid w:val="00D0262E"/>
    <w:rsid w:val="00D02791"/>
    <w:rsid w:val="00D05E3D"/>
    <w:rsid w:val="00D06139"/>
    <w:rsid w:val="00D110BD"/>
    <w:rsid w:val="00D11874"/>
    <w:rsid w:val="00D13675"/>
    <w:rsid w:val="00D141E1"/>
    <w:rsid w:val="00D143E9"/>
    <w:rsid w:val="00D15314"/>
    <w:rsid w:val="00D17D6C"/>
    <w:rsid w:val="00D2155B"/>
    <w:rsid w:val="00D222A8"/>
    <w:rsid w:val="00D223CF"/>
    <w:rsid w:val="00D23D11"/>
    <w:rsid w:val="00D244B6"/>
    <w:rsid w:val="00D25984"/>
    <w:rsid w:val="00D25DF8"/>
    <w:rsid w:val="00D25F38"/>
    <w:rsid w:val="00D262E3"/>
    <w:rsid w:val="00D26BCE"/>
    <w:rsid w:val="00D2754D"/>
    <w:rsid w:val="00D27B27"/>
    <w:rsid w:val="00D30E37"/>
    <w:rsid w:val="00D33053"/>
    <w:rsid w:val="00D33B13"/>
    <w:rsid w:val="00D33BC6"/>
    <w:rsid w:val="00D33BE9"/>
    <w:rsid w:val="00D33D6B"/>
    <w:rsid w:val="00D33F93"/>
    <w:rsid w:val="00D357FF"/>
    <w:rsid w:val="00D35E8B"/>
    <w:rsid w:val="00D36906"/>
    <w:rsid w:val="00D424C7"/>
    <w:rsid w:val="00D43300"/>
    <w:rsid w:val="00D43B2A"/>
    <w:rsid w:val="00D43D83"/>
    <w:rsid w:val="00D46D24"/>
    <w:rsid w:val="00D47575"/>
    <w:rsid w:val="00D50C97"/>
    <w:rsid w:val="00D518DA"/>
    <w:rsid w:val="00D51F15"/>
    <w:rsid w:val="00D5243B"/>
    <w:rsid w:val="00D53025"/>
    <w:rsid w:val="00D533EC"/>
    <w:rsid w:val="00D550F3"/>
    <w:rsid w:val="00D55F30"/>
    <w:rsid w:val="00D5629F"/>
    <w:rsid w:val="00D562F2"/>
    <w:rsid w:val="00D56A95"/>
    <w:rsid w:val="00D57C4A"/>
    <w:rsid w:val="00D63CA2"/>
    <w:rsid w:val="00D6407D"/>
    <w:rsid w:val="00D647B2"/>
    <w:rsid w:val="00D65B3D"/>
    <w:rsid w:val="00D708DA"/>
    <w:rsid w:val="00D70F16"/>
    <w:rsid w:val="00D72126"/>
    <w:rsid w:val="00D72648"/>
    <w:rsid w:val="00D72ACD"/>
    <w:rsid w:val="00D72F57"/>
    <w:rsid w:val="00D73859"/>
    <w:rsid w:val="00D763A6"/>
    <w:rsid w:val="00D76A44"/>
    <w:rsid w:val="00D77798"/>
    <w:rsid w:val="00D815EF"/>
    <w:rsid w:val="00D81F26"/>
    <w:rsid w:val="00D83467"/>
    <w:rsid w:val="00D836F8"/>
    <w:rsid w:val="00D84A70"/>
    <w:rsid w:val="00D852FA"/>
    <w:rsid w:val="00D86231"/>
    <w:rsid w:val="00D8714C"/>
    <w:rsid w:val="00D87A07"/>
    <w:rsid w:val="00D915FD"/>
    <w:rsid w:val="00D91923"/>
    <w:rsid w:val="00D934E3"/>
    <w:rsid w:val="00D93753"/>
    <w:rsid w:val="00D93830"/>
    <w:rsid w:val="00D9408F"/>
    <w:rsid w:val="00D95591"/>
    <w:rsid w:val="00D97F7A"/>
    <w:rsid w:val="00DA3167"/>
    <w:rsid w:val="00DA4AC0"/>
    <w:rsid w:val="00DA4DC3"/>
    <w:rsid w:val="00DA5464"/>
    <w:rsid w:val="00DA668D"/>
    <w:rsid w:val="00DA77A5"/>
    <w:rsid w:val="00DA7D61"/>
    <w:rsid w:val="00DB124D"/>
    <w:rsid w:val="00DB3C25"/>
    <w:rsid w:val="00DB3DBF"/>
    <w:rsid w:val="00DB40E7"/>
    <w:rsid w:val="00DB484F"/>
    <w:rsid w:val="00DC04F6"/>
    <w:rsid w:val="00DC0690"/>
    <w:rsid w:val="00DC08CD"/>
    <w:rsid w:val="00DC1934"/>
    <w:rsid w:val="00DC1D65"/>
    <w:rsid w:val="00DC3362"/>
    <w:rsid w:val="00DC3C57"/>
    <w:rsid w:val="00DC505A"/>
    <w:rsid w:val="00DC5501"/>
    <w:rsid w:val="00DC58DD"/>
    <w:rsid w:val="00DC7154"/>
    <w:rsid w:val="00DC7E8A"/>
    <w:rsid w:val="00DD0266"/>
    <w:rsid w:val="00DD0F78"/>
    <w:rsid w:val="00DD273C"/>
    <w:rsid w:val="00DD2D74"/>
    <w:rsid w:val="00DD3F28"/>
    <w:rsid w:val="00DD4537"/>
    <w:rsid w:val="00DD4AA0"/>
    <w:rsid w:val="00DD4E15"/>
    <w:rsid w:val="00DD6C9C"/>
    <w:rsid w:val="00DE2304"/>
    <w:rsid w:val="00DE3138"/>
    <w:rsid w:val="00DE37F8"/>
    <w:rsid w:val="00DE4FCB"/>
    <w:rsid w:val="00DE5D07"/>
    <w:rsid w:val="00DE72A7"/>
    <w:rsid w:val="00DE7832"/>
    <w:rsid w:val="00DF13B3"/>
    <w:rsid w:val="00DF18FC"/>
    <w:rsid w:val="00DF1D34"/>
    <w:rsid w:val="00DF33D4"/>
    <w:rsid w:val="00DF35A2"/>
    <w:rsid w:val="00DF37C4"/>
    <w:rsid w:val="00DF40ED"/>
    <w:rsid w:val="00DF5D2B"/>
    <w:rsid w:val="00DF7AF5"/>
    <w:rsid w:val="00E00E8E"/>
    <w:rsid w:val="00E03C62"/>
    <w:rsid w:val="00E04C99"/>
    <w:rsid w:val="00E05630"/>
    <w:rsid w:val="00E06302"/>
    <w:rsid w:val="00E06DBB"/>
    <w:rsid w:val="00E10149"/>
    <w:rsid w:val="00E11340"/>
    <w:rsid w:val="00E1142A"/>
    <w:rsid w:val="00E122A1"/>
    <w:rsid w:val="00E153D3"/>
    <w:rsid w:val="00E15C1C"/>
    <w:rsid w:val="00E15D73"/>
    <w:rsid w:val="00E16372"/>
    <w:rsid w:val="00E1700D"/>
    <w:rsid w:val="00E20E4D"/>
    <w:rsid w:val="00E20ED6"/>
    <w:rsid w:val="00E21358"/>
    <w:rsid w:val="00E22495"/>
    <w:rsid w:val="00E2249B"/>
    <w:rsid w:val="00E22A0D"/>
    <w:rsid w:val="00E238CF"/>
    <w:rsid w:val="00E2445B"/>
    <w:rsid w:val="00E244F6"/>
    <w:rsid w:val="00E2543D"/>
    <w:rsid w:val="00E25FD2"/>
    <w:rsid w:val="00E26C7A"/>
    <w:rsid w:val="00E2771E"/>
    <w:rsid w:val="00E27A23"/>
    <w:rsid w:val="00E311EF"/>
    <w:rsid w:val="00E31551"/>
    <w:rsid w:val="00E31D5A"/>
    <w:rsid w:val="00E31DBF"/>
    <w:rsid w:val="00E32180"/>
    <w:rsid w:val="00E34948"/>
    <w:rsid w:val="00E3576A"/>
    <w:rsid w:val="00E35AE5"/>
    <w:rsid w:val="00E3684E"/>
    <w:rsid w:val="00E37569"/>
    <w:rsid w:val="00E37B97"/>
    <w:rsid w:val="00E401B2"/>
    <w:rsid w:val="00E41E30"/>
    <w:rsid w:val="00E42F73"/>
    <w:rsid w:val="00E43D70"/>
    <w:rsid w:val="00E44760"/>
    <w:rsid w:val="00E45073"/>
    <w:rsid w:val="00E466F3"/>
    <w:rsid w:val="00E46BD6"/>
    <w:rsid w:val="00E476F7"/>
    <w:rsid w:val="00E47B2C"/>
    <w:rsid w:val="00E50C04"/>
    <w:rsid w:val="00E50E99"/>
    <w:rsid w:val="00E51560"/>
    <w:rsid w:val="00E53FC8"/>
    <w:rsid w:val="00E54347"/>
    <w:rsid w:val="00E54605"/>
    <w:rsid w:val="00E55424"/>
    <w:rsid w:val="00E554BD"/>
    <w:rsid w:val="00E55915"/>
    <w:rsid w:val="00E55BB5"/>
    <w:rsid w:val="00E6053A"/>
    <w:rsid w:val="00E634EB"/>
    <w:rsid w:val="00E65E79"/>
    <w:rsid w:val="00E662B7"/>
    <w:rsid w:val="00E66BA2"/>
    <w:rsid w:val="00E67416"/>
    <w:rsid w:val="00E718B6"/>
    <w:rsid w:val="00E723BA"/>
    <w:rsid w:val="00E73581"/>
    <w:rsid w:val="00E75E64"/>
    <w:rsid w:val="00E75E7D"/>
    <w:rsid w:val="00E833F7"/>
    <w:rsid w:val="00E834C0"/>
    <w:rsid w:val="00E83BDF"/>
    <w:rsid w:val="00E84E43"/>
    <w:rsid w:val="00E85924"/>
    <w:rsid w:val="00E87A1D"/>
    <w:rsid w:val="00E87F22"/>
    <w:rsid w:val="00E9094A"/>
    <w:rsid w:val="00E91D35"/>
    <w:rsid w:val="00E926A5"/>
    <w:rsid w:val="00E96369"/>
    <w:rsid w:val="00E97B90"/>
    <w:rsid w:val="00EA0526"/>
    <w:rsid w:val="00EA0AE5"/>
    <w:rsid w:val="00EA0BFD"/>
    <w:rsid w:val="00EA17C3"/>
    <w:rsid w:val="00EA2CAA"/>
    <w:rsid w:val="00EA3864"/>
    <w:rsid w:val="00EA387E"/>
    <w:rsid w:val="00EA4A25"/>
    <w:rsid w:val="00EA4B68"/>
    <w:rsid w:val="00EA4E25"/>
    <w:rsid w:val="00EA7F1C"/>
    <w:rsid w:val="00EB15B6"/>
    <w:rsid w:val="00EB1CB6"/>
    <w:rsid w:val="00EB3B30"/>
    <w:rsid w:val="00EB3D06"/>
    <w:rsid w:val="00EB3F90"/>
    <w:rsid w:val="00EB4916"/>
    <w:rsid w:val="00EB4C09"/>
    <w:rsid w:val="00EC00C9"/>
    <w:rsid w:val="00EC03EF"/>
    <w:rsid w:val="00EC0DD9"/>
    <w:rsid w:val="00EC1D68"/>
    <w:rsid w:val="00EC2649"/>
    <w:rsid w:val="00EC31ED"/>
    <w:rsid w:val="00EC4E7B"/>
    <w:rsid w:val="00EC5836"/>
    <w:rsid w:val="00EC5C82"/>
    <w:rsid w:val="00EC6104"/>
    <w:rsid w:val="00EC688C"/>
    <w:rsid w:val="00ED0182"/>
    <w:rsid w:val="00ED2748"/>
    <w:rsid w:val="00ED36E9"/>
    <w:rsid w:val="00ED57EA"/>
    <w:rsid w:val="00ED5BD4"/>
    <w:rsid w:val="00ED74EB"/>
    <w:rsid w:val="00ED756D"/>
    <w:rsid w:val="00EE07D3"/>
    <w:rsid w:val="00EE0D15"/>
    <w:rsid w:val="00EE14C4"/>
    <w:rsid w:val="00EE1996"/>
    <w:rsid w:val="00EE1C01"/>
    <w:rsid w:val="00EE22AF"/>
    <w:rsid w:val="00EE4CE0"/>
    <w:rsid w:val="00EE4F83"/>
    <w:rsid w:val="00EE6E34"/>
    <w:rsid w:val="00EE7F22"/>
    <w:rsid w:val="00EF0171"/>
    <w:rsid w:val="00EF0B41"/>
    <w:rsid w:val="00EF1B25"/>
    <w:rsid w:val="00EF1DA0"/>
    <w:rsid w:val="00EF286A"/>
    <w:rsid w:val="00EF4266"/>
    <w:rsid w:val="00EF4747"/>
    <w:rsid w:val="00EF4BF8"/>
    <w:rsid w:val="00EF4E53"/>
    <w:rsid w:val="00EF574C"/>
    <w:rsid w:val="00EF7E44"/>
    <w:rsid w:val="00F00041"/>
    <w:rsid w:val="00F01300"/>
    <w:rsid w:val="00F02253"/>
    <w:rsid w:val="00F03C2E"/>
    <w:rsid w:val="00F04A66"/>
    <w:rsid w:val="00F04B4B"/>
    <w:rsid w:val="00F0516C"/>
    <w:rsid w:val="00F067A2"/>
    <w:rsid w:val="00F0734B"/>
    <w:rsid w:val="00F074D3"/>
    <w:rsid w:val="00F07B9E"/>
    <w:rsid w:val="00F1116F"/>
    <w:rsid w:val="00F1144B"/>
    <w:rsid w:val="00F1263A"/>
    <w:rsid w:val="00F14498"/>
    <w:rsid w:val="00F146CD"/>
    <w:rsid w:val="00F1470B"/>
    <w:rsid w:val="00F15B77"/>
    <w:rsid w:val="00F16CDE"/>
    <w:rsid w:val="00F17AB7"/>
    <w:rsid w:val="00F2075A"/>
    <w:rsid w:val="00F21E4B"/>
    <w:rsid w:val="00F21FE9"/>
    <w:rsid w:val="00F24837"/>
    <w:rsid w:val="00F25517"/>
    <w:rsid w:val="00F2575F"/>
    <w:rsid w:val="00F26F7F"/>
    <w:rsid w:val="00F27565"/>
    <w:rsid w:val="00F27EB9"/>
    <w:rsid w:val="00F30746"/>
    <w:rsid w:val="00F310D4"/>
    <w:rsid w:val="00F31D5A"/>
    <w:rsid w:val="00F327B4"/>
    <w:rsid w:val="00F32816"/>
    <w:rsid w:val="00F32D18"/>
    <w:rsid w:val="00F3375C"/>
    <w:rsid w:val="00F33975"/>
    <w:rsid w:val="00F33DE9"/>
    <w:rsid w:val="00F35791"/>
    <w:rsid w:val="00F35D5E"/>
    <w:rsid w:val="00F35E6D"/>
    <w:rsid w:val="00F3619A"/>
    <w:rsid w:val="00F404C1"/>
    <w:rsid w:val="00F40AAA"/>
    <w:rsid w:val="00F40BA7"/>
    <w:rsid w:val="00F40F9D"/>
    <w:rsid w:val="00F41ACD"/>
    <w:rsid w:val="00F42DF6"/>
    <w:rsid w:val="00F43E9F"/>
    <w:rsid w:val="00F4483B"/>
    <w:rsid w:val="00F464AC"/>
    <w:rsid w:val="00F46CB6"/>
    <w:rsid w:val="00F4756D"/>
    <w:rsid w:val="00F47944"/>
    <w:rsid w:val="00F47DE8"/>
    <w:rsid w:val="00F5082C"/>
    <w:rsid w:val="00F519E0"/>
    <w:rsid w:val="00F51CB2"/>
    <w:rsid w:val="00F542C1"/>
    <w:rsid w:val="00F55146"/>
    <w:rsid w:val="00F55BCC"/>
    <w:rsid w:val="00F55E73"/>
    <w:rsid w:val="00F55EDA"/>
    <w:rsid w:val="00F56297"/>
    <w:rsid w:val="00F5669C"/>
    <w:rsid w:val="00F56C80"/>
    <w:rsid w:val="00F56ED0"/>
    <w:rsid w:val="00F575C4"/>
    <w:rsid w:val="00F5782A"/>
    <w:rsid w:val="00F60092"/>
    <w:rsid w:val="00F61C18"/>
    <w:rsid w:val="00F62023"/>
    <w:rsid w:val="00F65DCC"/>
    <w:rsid w:val="00F65F4B"/>
    <w:rsid w:val="00F665B6"/>
    <w:rsid w:val="00F66E38"/>
    <w:rsid w:val="00F66EAC"/>
    <w:rsid w:val="00F67A69"/>
    <w:rsid w:val="00F67AE7"/>
    <w:rsid w:val="00F70BFF"/>
    <w:rsid w:val="00F70C9D"/>
    <w:rsid w:val="00F7217F"/>
    <w:rsid w:val="00F72EE7"/>
    <w:rsid w:val="00F74CD9"/>
    <w:rsid w:val="00F75F63"/>
    <w:rsid w:val="00F77178"/>
    <w:rsid w:val="00F80008"/>
    <w:rsid w:val="00F804FC"/>
    <w:rsid w:val="00F80A7B"/>
    <w:rsid w:val="00F80E5D"/>
    <w:rsid w:val="00F81E78"/>
    <w:rsid w:val="00F820EB"/>
    <w:rsid w:val="00F84056"/>
    <w:rsid w:val="00F85077"/>
    <w:rsid w:val="00F851CE"/>
    <w:rsid w:val="00F87709"/>
    <w:rsid w:val="00F9076C"/>
    <w:rsid w:val="00F90B8E"/>
    <w:rsid w:val="00F91219"/>
    <w:rsid w:val="00F92444"/>
    <w:rsid w:val="00F9393E"/>
    <w:rsid w:val="00F95B5F"/>
    <w:rsid w:val="00F9627A"/>
    <w:rsid w:val="00F96FD0"/>
    <w:rsid w:val="00F97A78"/>
    <w:rsid w:val="00FA0A2D"/>
    <w:rsid w:val="00FA0B20"/>
    <w:rsid w:val="00FA24E7"/>
    <w:rsid w:val="00FA5731"/>
    <w:rsid w:val="00FA5EE6"/>
    <w:rsid w:val="00FA5EF6"/>
    <w:rsid w:val="00FA721D"/>
    <w:rsid w:val="00FA7956"/>
    <w:rsid w:val="00FB0180"/>
    <w:rsid w:val="00FB10D8"/>
    <w:rsid w:val="00FB16AB"/>
    <w:rsid w:val="00FB1CBB"/>
    <w:rsid w:val="00FB2FCB"/>
    <w:rsid w:val="00FB3169"/>
    <w:rsid w:val="00FB4735"/>
    <w:rsid w:val="00FB5520"/>
    <w:rsid w:val="00FB5566"/>
    <w:rsid w:val="00FB55BA"/>
    <w:rsid w:val="00FB66C6"/>
    <w:rsid w:val="00FB7C55"/>
    <w:rsid w:val="00FC0FE6"/>
    <w:rsid w:val="00FC1063"/>
    <w:rsid w:val="00FC1074"/>
    <w:rsid w:val="00FC12B7"/>
    <w:rsid w:val="00FC1884"/>
    <w:rsid w:val="00FC1BB6"/>
    <w:rsid w:val="00FC371D"/>
    <w:rsid w:val="00FC51B7"/>
    <w:rsid w:val="00FC5F0B"/>
    <w:rsid w:val="00FC7933"/>
    <w:rsid w:val="00FD1150"/>
    <w:rsid w:val="00FD1506"/>
    <w:rsid w:val="00FD16B7"/>
    <w:rsid w:val="00FD1E0E"/>
    <w:rsid w:val="00FD2100"/>
    <w:rsid w:val="00FD293A"/>
    <w:rsid w:val="00FD337C"/>
    <w:rsid w:val="00FD436C"/>
    <w:rsid w:val="00FD446D"/>
    <w:rsid w:val="00FD4F2C"/>
    <w:rsid w:val="00FD6394"/>
    <w:rsid w:val="00FD7C28"/>
    <w:rsid w:val="00FD7D20"/>
    <w:rsid w:val="00FE04DB"/>
    <w:rsid w:val="00FE0E6C"/>
    <w:rsid w:val="00FE1174"/>
    <w:rsid w:val="00FE1CDC"/>
    <w:rsid w:val="00FE4143"/>
    <w:rsid w:val="00FE49BD"/>
    <w:rsid w:val="00FE6227"/>
    <w:rsid w:val="00FE70C3"/>
    <w:rsid w:val="00FE7494"/>
    <w:rsid w:val="00FF26A0"/>
    <w:rsid w:val="00FF2AD9"/>
    <w:rsid w:val="00FF359F"/>
    <w:rsid w:val="00FF35D1"/>
    <w:rsid w:val="00FF391B"/>
    <w:rsid w:val="00FF3DCF"/>
    <w:rsid w:val="00FF451E"/>
    <w:rsid w:val="00FF492C"/>
    <w:rsid w:val="00FF4A21"/>
    <w:rsid w:val="00FF54E1"/>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A8C6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459"/>
    <w:pPr>
      <w:jc w:val="both"/>
    </w:pPr>
    <w:rPr>
      <w:rFonts w:ascii="Calibri" w:hAnsi="Calibri" w:cs="Arial"/>
      <w:sz w:val="24"/>
      <w:szCs w:val="24"/>
    </w:rPr>
  </w:style>
  <w:style w:type="paragraph" w:styleId="Heading1">
    <w:name w:val="heading 1"/>
    <w:basedOn w:val="Normal"/>
    <w:next w:val="Normal"/>
    <w:link w:val="Heading1Char"/>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aliases w:val="H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aliases w:val="DO NOT USE3,DO NOT USE31"/>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qFormat/>
    <w:rsid w:val="00124A51"/>
    <w:pPr>
      <w:keepNext/>
      <w:jc w:val="right"/>
      <w:outlineLvl w:val="7"/>
    </w:pPr>
    <w:rPr>
      <w:b/>
    </w:rPr>
  </w:style>
  <w:style w:type="paragraph" w:styleId="Heading9">
    <w:name w:val="heading 9"/>
    <w:aliases w:val="DO NOT USE1,DO NOT USE11"/>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aliases w:val="DO NOT USE3 Char,DO NOT USE31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aliases w:val="DO NOT USE1 Char,DO NOT USE11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Caption Char Char,Lengende,figure,caption,Caption-FUSA,Caption Char Char Char Char,Caption Char Char Char Char Char Char,Caption Char1 Char Char,Caption Char1 Char Char Char Char,Char,12,Caption 12pt+,Caption 12pt,12+"/>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1 Char1,Caption Char Char Char1,Lengende Char1,figure Char1,caption Char1,Caption-FUSA Char1,Caption Char Char Char Char Char1,Caption Char Char Char Char Char Char Char1,Caption Char1 Char Char Char1,Char Char1,12 Char,12+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Bullet1"/>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Dossier table,Summary Table,Table Grid No Lin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link w:val="TableHeadingChar"/>
    <w:qFormat/>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541903"/>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41903"/>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qFormat/>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unhideWhenUsed/>
    <w:rsid w:val="00536F42"/>
    <w:rPr>
      <w:color w:val="800080" w:themeColor="followedHyperlink"/>
      <w:u w:val="single"/>
    </w:rPr>
  </w:style>
  <w:style w:type="character" w:styleId="PageNumber">
    <w:name w:val="page number"/>
    <w:basedOn w:val="DefaultParagraphFont"/>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character" w:customStyle="1" w:styleId="CaptionChar2">
    <w:name w:val="Caption Char2"/>
    <w:aliases w:val="Caption Char1 Char,Caption Char Char Char,Caption Char Char1,Lengende Char,figure Char,caption Char,Caption-FUSA Char,Caption Char Char Char Char Char,Caption Char Char Char Char Char Char Char,Caption Char1 Char Char Char,Char Char"/>
    <w:rsid w:val="00C61C9B"/>
    <w:rPr>
      <w:rFonts w:ascii="Cambria" w:hAnsi="Cambria"/>
      <w:b/>
      <w:sz w:val="22"/>
      <w:szCs w:val="22"/>
      <w:lang w:eastAsia="en-US"/>
    </w:rPr>
  </w:style>
  <w:style w:type="character" w:customStyle="1" w:styleId="citation-doi">
    <w:name w:val="citation-doi"/>
    <w:basedOn w:val="DefaultParagraphFont"/>
    <w:rsid w:val="00A812F9"/>
  </w:style>
  <w:style w:type="paragraph" w:customStyle="1" w:styleId="TableFigNoteLast">
    <w:name w:val="TableFigNote Last"/>
    <w:basedOn w:val="Normal"/>
    <w:qFormat/>
    <w:rsid w:val="00210BB7"/>
    <w:pPr>
      <w:spacing w:after="360"/>
      <w:jc w:val="left"/>
    </w:pPr>
    <w:rPr>
      <w:rFonts w:asciiTheme="minorHAnsi" w:eastAsiaTheme="minorHAnsi" w:hAnsiTheme="minorHAnsi" w:cstheme="minorBidi"/>
      <w:sz w:val="18"/>
      <w:szCs w:val="22"/>
      <w:lang w:eastAsia="en-US"/>
    </w:rPr>
  </w:style>
  <w:style w:type="paragraph" w:customStyle="1" w:styleId="TableColumnheadings">
    <w:name w:val="Table_Column headings"/>
    <w:basedOn w:val="BodyText"/>
    <w:rsid w:val="00232988"/>
    <w:pPr>
      <w:spacing w:before="60" w:after="60"/>
    </w:pPr>
    <w:rPr>
      <w:rFonts w:ascii="Verdana" w:hAnsi="Verdana"/>
      <w:b/>
      <w:sz w:val="18"/>
      <w:lang w:eastAsia="en-US"/>
    </w:rPr>
  </w:style>
  <w:style w:type="character" w:customStyle="1" w:styleId="Heading1Char">
    <w:name w:val="Heading 1 Char"/>
    <w:basedOn w:val="DefaultParagraphFont"/>
    <w:link w:val="Heading1"/>
    <w:rsid w:val="0001713C"/>
    <w:rPr>
      <w:rFonts w:ascii="Calibri" w:hAnsi="Calibri" w:cs="Arial"/>
      <w:b/>
      <w:caps/>
      <w:sz w:val="32"/>
      <w:szCs w:val="24"/>
    </w:rPr>
  </w:style>
  <w:style w:type="character" w:customStyle="1" w:styleId="Heading3Char">
    <w:name w:val="Heading 3 Char"/>
    <w:aliases w:val="H3 Char"/>
    <w:basedOn w:val="DefaultParagraphFont"/>
    <w:link w:val="Heading3"/>
    <w:rsid w:val="0001713C"/>
    <w:rPr>
      <w:rFonts w:ascii="Calibri" w:hAnsi="Calibri" w:cs="Arial"/>
      <w:sz w:val="24"/>
      <w:szCs w:val="24"/>
      <w:u w:val="single"/>
    </w:rPr>
  </w:style>
  <w:style w:type="character" w:customStyle="1" w:styleId="Heading4Char">
    <w:name w:val="Heading 4 Char"/>
    <w:basedOn w:val="DefaultParagraphFont"/>
    <w:link w:val="Heading4"/>
    <w:rsid w:val="0001713C"/>
    <w:rPr>
      <w:rFonts w:ascii="Calibri" w:hAnsi="Calibri" w:cs="Arial"/>
      <w:b/>
      <w:bCs/>
      <w:i/>
      <w:sz w:val="26"/>
      <w:szCs w:val="28"/>
    </w:rPr>
  </w:style>
  <w:style w:type="character" w:customStyle="1" w:styleId="Heading5Char">
    <w:name w:val="Heading 5 Char"/>
    <w:basedOn w:val="DefaultParagraphFont"/>
    <w:link w:val="Heading5"/>
    <w:rsid w:val="0001713C"/>
    <w:rPr>
      <w:rFonts w:ascii="Calibri" w:hAnsi="Calibri" w:cs="Arial"/>
      <w:b/>
      <w:bCs/>
      <w:iCs/>
      <w:sz w:val="26"/>
      <w:szCs w:val="26"/>
    </w:rPr>
  </w:style>
  <w:style w:type="character" w:customStyle="1" w:styleId="Heading6Char">
    <w:name w:val="Heading 6 Char"/>
    <w:basedOn w:val="DefaultParagraphFont"/>
    <w:link w:val="Heading6"/>
    <w:rsid w:val="0001713C"/>
    <w:rPr>
      <w:rFonts w:ascii="Calibri" w:hAnsi="Calibri" w:cs="Arial"/>
      <w:b/>
      <w:bCs/>
      <w:i/>
      <w:sz w:val="24"/>
      <w:szCs w:val="24"/>
    </w:rPr>
  </w:style>
  <w:style w:type="paragraph" w:customStyle="1" w:styleId="Table-columnheadings">
    <w:name w:val="Table - column headings"/>
    <w:basedOn w:val="TableHeading"/>
    <w:rsid w:val="0001713C"/>
    <w:pPr>
      <w:spacing w:line="360" w:lineRule="auto"/>
    </w:pPr>
    <w:rPr>
      <w:snapToGrid/>
      <w:szCs w:val="20"/>
      <w:lang w:eastAsia="en-US"/>
    </w:rPr>
  </w:style>
  <w:style w:type="paragraph" w:customStyle="1" w:styleId="TableText1">
    <w:name w:val="TableText"/>
    <w:basedOn w:val="Normal"/>
    <w:link w:val="TableTextChar1"/>
    <w:qFormat/>
    <w:rsid w:val="0001713C"/>
    <w:pPr>
      <w:keepNext/>
      <w:spacing w:before="40" w:after="40" w:line="360" w:lineRule="auto"/>
      <w:jc w:val="left"/>
    </w:pPr>
    <w:rPr>
      <w:rFonts w:ascii="Arial Narrow" w:hAnsi="Arial Narrow" w:cs="Arial Narrow"/>
      <w:sz w:val="20"/>
      <w:szCs w:val="20"/>
      <w:lang w:eastAsia="en-US"/>
    </w:rPr>
  </w:style>
  <w:style w:type="character" w:customStyle="1" w:styleId="TableTextChar1">
    <w:name w:val="TableText Char"/>
    <w:basedOn w:val="DefaultParagraphFont"/>
    <w:link w:val="TableText1"/>
    <w:rsid w:val="0001713C"/>
    <w:rPr>
      <w:rFonts w:ascii="Arial Narrow" w:hAnsi="Arial Narrow" w:cs="Arial Narrow"/>
      <w:lang w:eastAsia="en-US"/>
    </w:rPr>
  </w:style>
  <w:style w:type="character" w:customStyle="1" w:styleId="TableHeadingChar">
    <w:name w:val="TableHeading Char"/>
    <w:basedOn w:val="TableTextChar1"/>
    <w:link w:val="TableHeading"/>
    <w:rsid w:val="0001713C"/>
    <w:rPr>
      <w:rFonts w:ascii="Arial Narrow" w:hAnsi="Arial Narrow" w:cs="Arial Narrow"/>
      <w:b/>
      <w:bCs/>
      <w:snapToGrid w:val="0"/>
      <w:szCs w:val="24"/>
      <w:lang w:eastAsia="en-US"/>
    </w:rPr>
  </w:style>
  <w:style w:type="paragraph" w:customStyle="1" w:styleId="Tablefootnote">
    <w:name w:val="Table footnote"/>
    <w:basedOn w:val="Normal"/>
    <w:rsid w:val="0001713C"/>
    <w:pPr>
      <w:spacing w:after="360" w:line="360" w:lineRule="auto"/>
      <w:jc w:val="left"/>
    </w:pPr>
    <w:rPr>
      <w:rFonts w:ascii="Tahoma" w:hAnsi="Tahoma" w:cs="Tahoma"/>
      <w:sz w:val="16"/>
      <w:lang w:eastAsia="en-US"/>
    </w:rPr>
  </w:style>
  <w:style w:type="table" w:styleId="TableSimple1">
    <w:name w:val="Table Simple 1"/>
    <w:basedOn w:val="TableNormal"/>
    <w:rsid w:val="0001713C"/>
    <w:rPr>
      <w:rFonts w:ascii="Arial Narrow" w:hAnsi="Arial Narrow"/>
      <w:sz w:val="18"/>
    </w:rPr>
    <w:tblPr>
      <w:tblBorders>
        <w:top w:val="single" w:sz="4" w:space="0" w:color="auto"/>
        <w:bottom w:val="single" w:sz="4" w:space="0" w:color="auto"/>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FootnoteText">
    <w:name w:val="footnote text"/>
    <w:basedOn w:val="Normal"/>
    <w:link w:val="FootnoteTextChar"/>
    <w:uiPriority w:val="99"/>
    <w:rsid w:val="0001713C"/>
    <w:pPr>
      <w:spacing w:after="200" w:line="360" w:lineRule="auto"/>
      <w:jc w:val="left"/>
    </w:pPr>
    <w:rPr>
      <w:rFonts w:ascii="Cambria" w:hAnsi="Cambria" w:cs="Times New Roman"/>
      <w:sz w:val="18"/>
      <w:szCs w:val="20"/>
      <w:lang w:eastAsia="en-US"/>
    </w:rPr>
  </w:style>
  <w:style w:type="character" w:customStyle="1" w:styleId="FootnoteTextChar">
    <w:name w:val="Footnote Text Char"/>
    <w:basedOn w:val="DefaultParagraphFont"/>
    <w:link w:val="FootnoteText"/>
    <w:uiPriority w:val="99"/>
    <w:rsid w:val="0001713C"/>
    <w:rPr>
      <w:rFonts w:ascii="Cambria" w:hAnsi="Cambria"/>
      <w:sz w:val="18"/>
      <w:lang w:eastAsia="en-US"/>
    </w:rPr>
  </w:style>
  <w:style w:type="paragraph" w:styleId="TableofFigures">
    <w:name w:val="table of figures"/>
    <w:basedOn w:val="Normal"/>
    <w:next w:val="Normal"/>
    <w:uiPriority w:val="99"/>
    <w:rsid w:val="0001713C"/>
    <w:pPr>
      <w:spacing w:after="120"/>
      <w:ind w:left="1202" w:hanging="1202"/>
      <w:jc w:val="left"/>
    </w:pPr>
    <w:rPr>
      <w:rFonts w:ascii="Cambria" w:hAnsi="Cambria" w:cs="Times New Roman"/>
      <w:sz w:val="22"/>
      <w:lang w:eastAsia="en-US"/>
    </w:rPr>
  </w:style>
  <w:style w:type="paragraph" w:customStyle="1" w:styleId="TableBullet0">
    <w:name w:val="TableBullet"/>
    <w:basedOn w:val="TableText1"/>
    <w:rsid w:val="0001713C"/>
    <w:pPr>
      <w:tabs>
        <w:tab w:val="left" w:pos="216"/>
        <w:tab w:val="num" w:pos="360"/>
      </w:tabs>
      <w:ind w:left="216" w:hanging="216"/>
    </w:pPr>
  </w:style>
  <w:style w:type="paragraph" w:customStyle="1" w:styleId="TableDash">
    <w:name w:val="TableDash"/>
    <w:basedOn w:val="TableText1"/>
    <w:rsid w:val="0001713C"/>
    <w:pPr>
      <w:tabs>
        <w:tab w:val="num" w:pos="360"/>
      </w:tabs>
      <w:ind w:left="216" w:hanging="216"/>
    </w:pPr>
  </w:style>
  <w:style w:type="paragraph" w:styleId="DocumentMap">
    <w:name w:val="Document Map"/>
    <w:basedOn w:val="Normal"/>
    <w:link w:val="DocumentMapChar"/>
    <w:semiHidden/>
    <w:rsid w:val="0001713C"/>
    <w:pPr>
      <w:shd w:val="clear" w:color="auto" w:fill="000080"/>
      <w:spacing w:after="240" w:line="360" w:lineRule="auto"/>
      <w:ind w:left="720"/>
      <w:jc w:val="left"/>
    </w:pPr>
    <w:rPr>
      <w:rFonts w:ascii="Tahoma" w:hAnsi="Tahoma" w:cs="Tahoma"/>
      <w:sz w:val="20"/>
      <w:szCs w:val="20"/>
      <w:lang w:eastAsia="en-US"/>
    </w:rPr>
  </w:style>
  <w:style w:type="character" w:customStyle="1" w:styleId="DocumentMapChar">
    <w:name w:val="Document Map Char"/>
    <w:basedOn w:val="DefaultParagraphFont"/>
    <w:link w:val="DocumentMap"/>
    <w:semiHidden/>
    <w:rsid w:val="0001713C"/>
    <w:rPr>
      <w:rFonts w:ascii="Tahoma" w:hAnsi="Tahoma" w:cs="Tahoma"/>
      <w:shd w:val="clear" w:color="auto" w:fill="000080"/>
      <w:lang w:eastAsia="en-US"/>
    </w:rPr>
  </w:style>
  <w:style w:type="character" w:styleId="FootnoteReference">
    <w:name w:val="footnote reference"/>
    <w:basedOn w:val="DefaultParagraphFont"/>
    <w:uiPriority w:val="99"/>
    <w:rsid w:val="0001713C"/>
    <w:rPr>
      <w:vertAlign w:val="superscript"/>
    </w:rPr>
  </w:style>
  <w:style w:type="paragraph" w:styleId="Index1">
    <w:name w:val="index 1"/>
    <w:basedOn w:val="Normal"/>
    <w:next w:val="Normal"/>
    <w:autoRedefine/>
    <w:rsid w:val="0001713C"/>
    <w:pPr>
      <w:spacing w:line="276" w:lineRule="auto"/>
      <w:ind w:left="221" w:hanging="221"/>
      <w:jc w:val="left"/>
    </w:pPr>
    <w:rPr>
      <w:rFonts w:ascii="Cambria" w:hAnsi="Cambria" w:cs="Times New Roman"/>
      <w:sz w:val="22"/>
      <w:lang w:eastAsia="en-US"/>
    </w:rPr>
  </w:style>
  <w:style w:type="paragraph" w:customStyle="1" w:styleId="Bullets">
    <w:name w:val="Bullets"/>
    <w:basedOn w:val="Normal"/>
    <w:rsid w:val="0001713C"/>
    <w:pPr>
      <w:tabs>
        <w:tab w:val="num" w:pos="720"/>
      </w:tabs>
      <w:spacing w:after="200" w:line="360" w:lineRule="auto"/>
      <w:ind w:left="714" w:hanging="357"/>
      <w:contextualSpacing/>
      <w:jc w:val="left"/>
    </w:pPr>
    <w:rPr>
      <w:rFonts w:ascii="Cambria" w:hAnsi="Cambria"/>
      <w:sz w:val="22"/>
      <w:lang w:eastAsia="en-US"/>
    </w:rPr>
  </w:style>
  <w:style w:type="paragraph" w:styleId="BodyText2">
    <w:name w:val="Body Text 2"/>
    <w:basedOn w:val="Normal"/>
    <w:link w:val="BodyText2Char"/>
    <w:rsid w:val="0001713C"/>
    <w:pPr>
      <w:spacing w:line="360" w:lineRule="auto"/>
      <w:jc w:val="left"/>
    </w:pPr>
    <w:rPr>
      <w:rFonts w:ascii="Cambria" w:hAnsi="Cambria" w:cs="Times New Roman"/>
      <w:sz w:val="22"/>
      <w:lang w:eastAsia="en-US"/>
    </w:rPr>
  </w:style>
  <w:style w:type="character" w:customStyle="1" w:styleId="BodyText2Char">
    <w:name w:val="Body Text 2 Char"/>
    <w:basedOn w:val="DefaultParagraphFont"/>
    <w:link w:val="BodyText2"/>
    <w:rsid w:val="0001713C"/>
    <w:rPr>
      <w:rFonts w:ascii="Cambria" w:hAnsi="Cambria"/>
      <w:sz w:val="22"/>
      <w:szCs w:val="24"/>
      <w:lang w:eastAsia="en-US"/>
    </w:rPr>
  </w:style>
  <w:style w:type="paragraph" w:styleId="BlockText">
    <w:name w:val="Block Text"/>
    <w:basedOn w:val="Normal"/>
    <w:rsid w:val="0001713C"/>
    <w:pPr>
      <w:pBdr>
        <w:top w:val="single" w:sz="2" w:space="10" w:color="4F81BD" w:frame="1"/>
        <w:left w:val="single" w:sz="2" w:space="10" w:color="4F81BD" w:frame="1"/>
        <w:bottom w:val="single" w:sz="2" w:space="10" w:color="4F81BD" w:frame="1"/>
        <w:right w:val="single" w:sz="2" w:space="10" w:color="4F81BD" w:frame="1"/>
      </w:pBdr>
      <w:spacing w:after="200" w:line="360" w:lineRule="auto"/>
      <w:jc w:val="left"/>
    </w:pPr>
    <w:rPr>
      <w:rFonts w:ascii="Cambria" w:hAnsi="Cambria" w:cs="Times New Roman"/>
      <w:iCs/>
      <w:sz w:val="22"/>
      <w:lang w:eastAsia="en-US"/>
    </w:rPr>
  </w:style>
  <w:style w:type="paragraph" w:customStyle="1" w:styleId="Level1">
    <w:name w:val="Level 1"/>
    <w:basedOn w:val="Normal"/>
    <w:rsid w:val="0001713C"/>
    <w:pPr>
      <w:widowControl w:val="0"/>
      <w:jc w:val="left"/>
    </w:pPr>
    <w:rPr>
      <w:rFonts w:ascii="Times New Roman" w:hAnsi="Times New Roman" w:cs="Times New Roman"/>
      <w:szCs w:val="20"/>
      <w:lang w:val="en-US" w:eastAsia="en-CA"/>
    </w:rPr>
  </w:style>
  <w:style w:type="paragraph" w:customStyle="1" w:styleId="References">
    <w:name w:val="References"/>
    <w:basedOn w:val="Normal"/>
    <w:qFormat/>
    <w:rsid w:val="0001713C"/>
    <w:pPr>
      <w:keepLines/>
      <w:spacing w:after="200" w:line="276" w:lineRule="auto"/>
      <w:jc w:val="left"/>
    </w:pPr>
    <w:rPr>
      <w:rFonts w:ascii="Cambria" w:hAnsi="Cambria"/>
      <w:sz w:val="22"/>
      <w:lang w:eastAsia="en-US"/>
    </w:rPr>
  </w:style>
  <w:style w:type="paragraph" w:customStyle="1" w:styleId="Figure">
    <w:name w:val="Figure"/>
    <w:rsid w:val="0001713C"/>
    <w:pPr>
      <w:keepLines/>
      <w:framePr w:w="7920" w:h="5040" w:wrap="around" w:hAnchor="margin" w:xAlign="center" w:yAlign="bottom" w:anchorLock="1"/>
      <w:overflowPunct w:val="0"/>
      <w:autoSpaceDE w:val="0"/>
      <w:autoSpaceDN w:val="0"/>
      <w:adjustRightInd w:val="0"/>
      <w:jc w:val="center"/>
      <w:textAlignment w:val="baseline"/>
    </w:pPr>
    <w:rPr>
      <w:noProof/>
      <w:lang w:val="en-GB" w:eastAsia="en-US"/>
    </w:rPr>
  </w:style>
  <w:style w:type="paragraph" w:customStyle="1" w:styleId="Figurefootnote">
    <w:name w:val="Figure footnote"/>
    <w:basedOn w:val="Normal"/>
    <w:rsid w:val="0001713C"/>
    <w:pPr>
      <w:ind w:left="720"/>
      <w:jc w:val="left"/>
    </w:pPr>
    <w:rPr>
      <w:rFonts w:ascii="Times New Roman" w:hAnsi="Times New Roman"/>
      <w:iCs/>
      <w:sz w:val="18"/>
      <w:lang w:eastAsia="en-US"/>
    </w:rPr>
  </w:style>
  <w:style w:type="paragraph" w:customStyle="1" w:styleId="TableBodytext">
    <w:name w:val="Table_Body text"/>
    <w:basedOn w:val="BodyText"/>
    <w:rsid w:val="0001713C"/>
    <w:pPr>
      <w:spacing w:before="60" w:after="60"/>
    </w:pPr>
    <w:rPr>
      <w:rFonts w:ascii="Verdana" w:hAnsi="Verdana"/>
      <w:sz w:val="18"/>
      <w:lang w:eastAsia="en-US"/>
    </w:rPr>
  </w:style>
  <w:style w:type="paragraph" w:customStyle="1" w:styleId="StyleCaptionLeft0cmHanging143cm">
    <w:name w:val="Style Caption + Left:  0 cm Hanging:  1.43 cm"/>
    <w:basedOn w:val="Caption"/>
    <w:rsid w:val="0001713C"/>
    <w:pPr>
      <w:keepNext/>
      <w:tabs>
        <w:tab w:val="left" w:pos="567"/>
        <w:tab w:val="left" w:pos="964"/>
        <w:tab w:val="left" w:pos="1134"/>
      </w:tabs>
      <w:spacing w:after="60"/>
      <w:ind w:left="811" w:hanging="811"/>
      <w:jc w:val="left"/>
    </w:pPr>
    <w:rPr>
      <w:rFonts w:ascii="Verdana" w:hAnsi="Verdana" w:cs="Times New Roman"/>
      <w:color w:val="auto"/>
      <w:sz w:val="20"/>
      <w:szCs w:val="20"/>
      <w:lang w:eastAsia="en-US"/>
    </w:rPr>
  </w:style>
  <w:style w:type="paragraph" w:customStyle="1" w:styleId="Tablefootnotes">
    <w:name w:val="Table footnotes"/>
    <w:basedOn w:val="BodyText"/>
    <w:qFormat/>
    <w:rsid w:val="0001713C"/>
    <w:pPr>
      <w:keepLines/>
      <w:spacing w:after="240"/>
      <w:contextualSpacing/>
    </w:pPr>
    <w:rPr>
      <w:sz w:val="16"/>
      <w:lang w:eastAsia="en-US"/>
    </w:rPr>
  </w:style>
  <w:style w:type="paragraph" w:customStyle="1" w:styleId="p7">
    <w:name w:val="p7"/>
    <w:basedOn w:val="Normal"/>
    <w:rsid w:val="0001713C"/>
    <w:pPr>
      <w:spacing w:line="360" w:lineRule="auto"/>
      <w:jc w:val="left"/>
    </w:pPr>
    <w:rPr>
      <w:rFonts w:ascii="Times New Roman" w:hAnsi="Times New Roman"/>
      <w:sz w:val="22"/>
      <w:lang w:eastAsia="en-US"/>
    </w:rPr>
  </w:style>
  <w:style w:type="paragraph" w:customStyle="1" w:styleId="Tablenotes">
    <w:name w:val="Table notes"/>
    <w:basedOn w:val="Normal"/>
    <w:rsid w:val="0001713C"/>
    <w:pPr>
      <w:jc w:val="left"/>
    </w:pPr>
    <w:rPr>
      <w:rFonts w:ascii="Times New Roman" w:hAnsi="Times New Roman" w:cs="Times New Roman"/>
      <w:sz w:val="18"/>
      <w:szCs w:val="22"/>
      <w:lang w:eastAsia="en-US"/>
    </w:rPr>
  </w:style>
  <w:style w:type="paragraph" w:customStyle="1" w:styleId="Tabletext10pt">
    <w:name w:val="Table text (10pt"/>
    <w:aliases w:val="left)"/>
    <w:basedOn w:val="TableText1"/>
    <w:rsid w:val="0001713C"/>
    <w:pPr>
      <w:keepNext w:val="0"/>
      <w:spacing w:before="0" w:after="0" w:line="240" w:lineRule="auto"/>
    </w:pPr>
    <w:rPr>
      <w:rFonts w:ascii="Times New Roman" w:hAnsi="Times New Roman" w:cs="Arial"/>
      <w:szCs w:val="24"/>
    </w:rPr>
  </w:style>
  <w:style w:type="paragraph" w:customStyle="1" w:styleId="Tabletext2">
    <w:name w:val="Tabletext"/>
    <w:basedOn w:val="Normal"/>
    <w:rsid w:val="0001713C"/>
    <w:pPr>
      <w:jc w:val="left"/>
    </w:pPr>
    <w:rPr>
      <w:rFonts w:ascii="Times New Roman" w:hAnsi="Times New Roman"/>
      <w:sz w:val="18"/>
      <w:lang w:eastAsia="en-US"/>
    </w:rPr>
  </w:style>
  <w:style w:type="paragraph" w:customStyle="1" w:styleId="Tablecolumnheading">
    <w:name w:val="Table column heading"/>
    <w:basedOn w:val="Normal"/>
    <w:rsid w:val="0001713C"/>
    <w:pPr>
      <w:keepNext/>
      <w:widowControl w:val="0"/>
      <w:jc w:val="center"/>
    </w:pPr>
    <w:rPr>
      <w:rFonts w:ascii="Times New Roman" w:hAnsi="Times New Roman" w:cs="Times New Roman"/>
      <w:b/>
      <w:bCs/>
      <w:sz w:val="20"/>
      <w:szCs w:val="18"/>
      <w:lang w:eastAsia="en-US"/>
    </w:rPr>
  </w:style>
  <w:style w:type="paragraph" w:customStyle="1" w:styleId="reg">
    <w:name w:val="reg"/>
    <w:basedOn w:val="Normal"/>
    <w:rsid w:val="0001713C"/>
    <w:pPr>
      <w:jc w:val="left"/>
    </w:pPr>
    <w:rPr>
      <w:rFonts w:ascii="Helvetica" w:hAnsi="Helvetica" w:cs="Times New Roman"/>
      <w:szCs w:val="20"/>
      <w:lang w:eastAsia="de-DE"/>
    </w:rPr>
  </w:style>
  <w:style w:type="paragraph" w:customStyle="1" w:styleId="Text">
    <w:name w:val="Text"/>
    <w:basedOn w:val="reg"/>
    <w:rsid w:val="0001713C"/>
    <w:pPr>
      <w:spacing w:after="120"/>
    </w:pPr>
  </w:style>
  <w:style w:type="paragraph" w:customStyle="1" w:styleId="Default">
    <w:name w:val="Default"/>
    <w:rsid w:val="0001713C"/>
    <w:pPr>
      <w:widowControl w:val="0"/>
      <w:autoSpaceDE w:val="0"/>
      <w:autoSpaceDN w:val="0"/>
      <w:adjustRightInd w:val="0"/>
    </w:pPr>
    <w:rPr>
      <w:color w:val="000000"/>
      <w:sz w:val="24"/>
      <w:szCs w:val="24"/>
      <w:lang w:val="en-US" w:eastAsia="en-US"/>
    </w:rPr>
  </w:style>
  <w:style w:type="paragraph" w:customStyle="1" w:styleId="bodytext0">
    <w:name w:val="bodytext"/>
    <w:basedOn w:val="Normal"/>
    <w:link w:val="bodytextChar0"/>
    <w:rsid w:val="0001713C"/>
    <w:pPr>
      <w:spacing w:before="120" w:after="240" w:line="360" w:lineRule="auto"/>
      <w:jc w:val="left"/>
    </w:pPr>
    <w:rPr>
      <w:rFonts w:ascii="Garamond" w:hAnsi="Garamond" w:cs="Times New Roman"/>
      <w:szCs w:val="22"/>
      <w:lang w:eastAsia="en-US"/>
    </w:rPr>
  </w:style>
  <w:style w:type="character" w:customStyle="1" w:styleId="bodytextChar0">
    <w:name w:val="bodytext Char"/>
    <w:basedOn w:val="DefaultParagraphFont"/>
    <w:link w:val="bodytext0"/>
    <w:rsid w:val="0001713C"/>
    <w:rPr>
      <w:rFonts w:ascii="Garamond" w:hAnsi="Garamond"/>
      <w:sz w:val="24"/>
      <w:szCs w:val="22"/>
      <w:lang w:eastAsia="en-US"/>
    </w:rPr>
  </w:style>
  <w:style w:type="paragraph" w:customStyle="1" w:styleId="Table11">
    <w:name w:val="Table11"/>
    <w:basedOn w:val="Normal"/>
    <w:rsid w:val="0001713C"/>
    <w:pPr>
      <w:spacing w:after="120" w:line="360" w:lineRule="auto"/>
      <w:jc w:val="left"/>
    </w:pPr>
    <w:rPr>
      <w:rFonts w:ascii="Arial" w:hAnsi="Arial" w:cs="Times New Roman"/>
      <w:sz w:val="22"/>
      <w:szCs w:val="20"/>
      <w:lang w:eastAsia="en-US"/>
    </w:rPr>
  </w:style>
  <w:style w:type="paragraph" w:customStyle="1" w:styleId="Table-footnotes">
    <w:name w:val="Table - footnotes"/>
    <w:basedOn w:val="Normal"/>
    <w:rsid w:val="0001713C"/>
    <w:pPr>
      <w:jc w:val="left"/>
    </w:pPr>
    <w:rPr>
      <w:rFonts w:ascii="Times New Roman" w:hAnsi="Times New Roman"/>
      <w:sz w:val="18"/>
      <w:lang w:eastAsia="en-US"/>
    </w:rPr>
  </w:style>
  <w:style w:type="paragraph" w:customStyle="1" w:styleId="Table-bodytext">
    <w:name w:val="Table - body text"/>
    <w:basedOn w:val="Normal"/>
    <w:rsid w:val="0001713C"/>
    <w:pPr>
      <w:jc w:val="center"/>
    </w:pPr>
    <w:rPr>
      <w:rFonts w:ascii="Times New Roman" w:hAnsi="Times New Roman"/>
      <w:sz w:val="20"/>
      <w:lang w:eastAsia="en-US"/>
    </w:rPr>
  </w:style>
  <w:style w:type="character" w:styleId="Strong">
    <w:name w:val="Strong"/>
    <w:basedOn w:val="DefaultParagraphFont"/>
    <w:uiPriority w:val="22"/>
    <w:qFormat/>
    <w:rsid w:val="0001713C"/>
    <w:rPr>
      <w:b/>
      <w:bCs/>
    </w:rPr>
  </w:style>
  <w:style w:type="paragraph" w:customStyle="1" w:styleId="xl78">
    <w:name w:val="xl78"/>
    <w:basedOn w:val="Normal"/>
    <w:rsid w:val="0001713C"/>
    <w:pPr>
      <w:shd w:val="clear" w:color="000000" w:fill="FFFF99"/>
      <w:spacing w:before="100" w:beforeAutospacing="1" w:after="100" w:afterAutospacing="1"/>
      <w:jc w:val="left"/>
    </w:pPr>
    <w:rPr>
      <w:rFonts w:ascii="Arial" w:hAnsi="Arial"/>
      <w:b/>
      <w:bCs/>
    </w:rPr>
  </w:style>
  <w:style w:type="paragraph" w:customStyle="1" w:styleId="xl79">
    <w:name w:val="xl79"/>
    <w:basedOn w:val="Normal"/>
    <w:rsid w:val="0001713C"/>
    <w:pPr>
      <w:spacing w:before="100" w:beforeAutospacing="1" w:after="100" w:afterAutospacing="1"/>
      <w:jc w:val="left"/>
    </w:pPr>
    <w:rPr>
      <w:rFonts w:ascii="Arial" w:hAnsi="Arial"/>
      <w:b/>
      <w:bCs/>
    </w:rPr>
  </w:style>
  <w:style w:type="paragraph" w:customStyle="1" w:styleId="xl80">
    <w:name w:val="xl80"/>
    <w:basedOn w:val="Normal"/>
    <w:rsid w:val="0001713C"/>
    <w:pPr>
      <w:spacing w:before="100" w:beforeAutospacing="1" w:after="100" w:afterAutospacing="1"/>
      <w:jc w:val="left"/>
    </w:pPr>
    <w:rPr>
      <w:rFonts w:ascii="Arial" w:hAnsi="Arial"/>
    </w:rPr>
  </w:style>
  <w:style w:type="paragraph" w:customStyle="1" w:styleId="xl81">
    <w:name w:val="xl81"/>
    <w:basedOn w:val="Normal"/>
    <w:rsid w:val="0001713C"/>
    <w:pPr>
      <w:spacing w:before="100" w:beforeAutospacing="1" w:after="100" w:afterAutospacing="1"/>
      <w:jc w:val="left"/>
    </w:pPr>
    <w:rPr>
      <w:rFonts w:ascii="Arial" w:hAnsi="Arial"/>
      <w:b/>
      <w:bCs/>
    </w:rPr>
  </w:style>
  <w:style w:type="paragraph" w:customStyle="1" w:styleId="xl82">
    <w:name w:val="xl82"/>
    <w:basedOn w:val="Normal"/>
    <w:rsid w:val="0001713C"/>
    <w:pPr>
      <w:spacing w:before="100" w:beforeAutospacing="1" w:after="100" w:afterAutospacing="1"/>
      <w:jc w:val="left"/>
    </w:pPr>
    <w:rPr>
      <w:rFonts w:ascii="Arial" w:hAnsi="Arial"/>
      <w:b/>
      <w:bCs/>
    </w:rPr>
  </w:style>
  <w:style w:type="paragraph" w:customStyle="1" w:styleId="xl85">
    <w:name w:val="xl85"/>
    <w:basedOn w:val="Normal"/>
    <w:rsid w:val="0001713C"/>
    <w:pPr>
      <w:shd w:val="clear" w:color="000000" w:fill="FFFF99"/>
      <w:spacing w:before="100" w:beforeAutospacing="1" w:after="100" w:afterAutospacing="1"/>
      <w:jc w:val="left"/>
    </w:pPr>
    <w:rPr>
      <w:rFonts w:ascii="Arial" w:hAnsi="Arial"/>
      <w:b/>
      <w:bCs/>
    </w:rPr>
  </w:style>
  <w:style w:type="paragraph" w:customStyle="1" w:styleId="xl90">
    <w:name w:val="xl90"/>
    <w:basedOn w:val="Normal"/>
    <w:rsid w:val="0001713C"/>
    <w:pPr>
      <w:spacing w:before="100" w:beforeAutospacing="1" w:after="100" w:afterAutospacing="1"/>
      <w:jc w:val="left"/>
    </w:pPr>
    <w:rPr>
      <w:rFonts w:ascii="Arial" w:hAnsi="Arial"/>
      <w:color w:val="7F7F7F"/>
    </w:rPr>
  </w:style>
  <w:style w:type="paragraph" w:customStyle="1" w:styleId="xl91">
    <w:name w:val="xl91"/>
    <w:basedOn w:val="Normal"/>
    <w:rsid w:val="0001713C"/>
    <w:pPr>
      <w:spacing w:before="100" w:beforeAutospacing="1" w:after="100" w:afterAutospacing="1"/>
      <w:jc w:val="left"/>
    </w:pPr>
    <w:rPr>
      <w:rFonts w:ascii="Arial" w:hAnsi="Arial"/>
      <w:color w:val="7F7F7F"/>
    </w:rPr>
  </w:style>
  <w:style w:type="paragraph" w:customStyle="1" w:styleId="xl92">
    <w:name w:val="xl92"/>
    <w:basedOn w:val="Normal"/>
    <w:rsid w:val="0001713C"/>
    <w:pPr>
      <w:spacing w:before="100" w:beforeAutospacing="1" w:after="100" w:afterAutospacing="1"/>
      <w:jc w:val="left"/>
    </w:pPr>
    <w:rPr>
      <w:rFonts w:ascii="Arial" w:hAnsi="Arial"/>
      <w:b/>
      <w:bCs/>
    </w:rPr>
  </w:style>
  <w:style w:type="paragraph" w:customStyle="1" w:styleId="xl93">
    <w:name w:val="xl93"/>
    <w:basedOn w:val="Normal"/>
    <w:rsid w:val="0001713C"/>
    <w:pPr>
      <w:shd w:val="clear" w:color="000000" w:fill="D8D8D8"/>
      <w:spacing w:before="100" w:beforeAutospacing="1" w:after="100" w:afterAutospacing="1"/>
      <w:jc w:val="left"/>
    </w:pPr>
    <w:rPr>
      <w:rFonts w:ascii="Arial" w:hAnsi="Arial"/>
    </w:rPr>
  </w:style>
  <w:style w:type="paragraph" w:customStyle="1" w:styleId="xl94">
    <w:name w:val="xl94"/>
    <w:basedOn w:val="Normal"/>
    <w:rsid w:val="0001713C"/>
    <w:pPr>
      <w:shd w:val="clear" w:color="000000" w:fill="D8D8D8"/>
      <w:spacing w:before="100" w:beforeAutospacing="1" w:after="100" w:afterAutospacing="1"/>
      <w:jc w:val="left"/>
    </w:pPr>
    <w:rPr>
      <w:rFonts w:ascii="Arial" w:hAnsi="Arial"/>
      <w:b/>
      <w:bCs/>
    </w:rPr>
  </w:style>
  <w:style w:type="paragraph" w:customStyle="1" w:styleId="xl95">
    <w:name w:val="xl95"/>
    <w:basedOn w:val="Normal"/>
    <w:rsid w:val="0001713C"/>
    <w:pPr>
      <w:spacing w:before="100" w:beforeAutospacing="1" w:after="100" w:afterAutospacing="1"/>
      <w:jc w:val="left"/>
    </w:pPr>
    <w:rPr>
      <w:rFonts w:ascii="Arial" w:hAnsi="Arial"/>
      <w:b/>
      <w:bCs/>
    </w:rPr>
  </w:style>
  <w:style w:type="paragraph" w:customStyle="1" w:styleId="xl96">
    <w:name w:val="xl96"/>
    <w:basedOn w:val="Normal"/>
    <w:rsid w:val="0001713C"/>
    <w:pPr>
      <w:spacing w:before="100" w:beforeAutospacing="1" w:after="100" w:afterAutospacing="1"/>
      <w:jc w:val="left"/>
    </w:pPr>
    <w:rPr>
      <w:rFonts w:ascii="Arial" w:hAnsi="Arial"/>
    </w:rPr>
  </w:style>
  <w:style w:type="character" w:styleId="HTMLCite">
    <w:name w:val="HTML Cite"/>
    <w:basedOn w:val="DefaultParagraphFont"/>
    <w:uiPriority w:val="99"/>
    <w:unhideWhenUsed/>
    <w:rsid w:val="0001713C"/>
    <w:rPr>
      <w:i/>
      <w:iCs/>
    </w:rPr>
  </w:style>
  <w:style w:type="character" w:customStyle="1" w:styleId="slug-pub-date">
    <w:name w:val="slug-pub-date"/>
    <w:basedOn w:val="DefaultParagraphFont"/>
    <w:rsid w:val="0001713C"/>
  </w:style>
  <w:style w:type="character" w:customStyle="1" w:styleId="slug-vol">
    <w:name w:val="slug-vol"/>
    <w:basedOn w:val="DefaultParagraphFont"/>
    <w:rsid w:val="0001713C"/>
  </w:style>
  <w:style w:type="character" w:customStyle="1" w:styleId="slug-issue">
    <w:name w:val="slug-issue"/>
    <w:basedOn w:val="DefaultParagraphFont"/>
    <w:rsid w:val="0001713C"/>
  </w:style>
  <w:style w:type="character" w:customStyle="1" w:styleId="slug-pages">
    <w:name w:val="slug-pages"/>
    <w:basedOn w:val="DefaultParagraphFont"/>
    <w:rsid w:val="0001713C"/>
  </w:style>
  <w:style w:type="character" w:styleId="Emphasis">
    <w:name w:val="Emphasis"/>
    <w:basedOn w:val="DefaultParagraphFont"/>
    <w:uiPriority w:val="20"/>
    <w:qFormat/>
    <w:rsid w:val="0001713C"/>
    <w:rPr>
      <w:i/>
      <w:iCs/>
    </w:rPr>
  </w:style>
  <w:style w:type="character" w:customStyle="1" w:styleId="highlight">
    <w:name w:val="highlight"/>
    <w:basedOn w:val="DefaultParagraphFont"/>
    <w:rsid w:val="0001713C"/>
  </w:style>
  <w:style w:type="paragraph" w:customStyle="1" w:styleId="title1">
    <w:name w:val="title1"/>
    <w:basedOn w:val="Normal"/>
    <w:rsid w:val="0001713C"/>
    <w:pPr>
      <w:jc w:val="left"/>
    </w:pPr>
    <w:rPr>
      <w:rFonts w:ascii="Times New Roman" w:hAnsi="Times New Roman" w:cs="Times New Roman"/>
      <w:sz w:val="27"/>
      <w:szCs w:val="27"/>
    </w:rPr>
  </w:style>
  <w:style w:type="paragraph" w:customStyle="1" w:styleId="desc2">
    <w:name w:val="desc2"/>
    <w:basedOn w:val="Normal"/>
    <w:rsid w:val="0001713C"/>
    <w:pPr>
      <w:jc w:val="left"/>
    </w:pPr>
    <w:rPr>
      <w:rFonts w:ascii="Times New Roman" w:hAnsi="Times New Roman" w:cs="Times New Roman"/>
      <w:sz w:val="26"/>
      <w:szCs w:val="26"/>
    </w:rPr>
  </w:style>
  <w:style w:type="paragraph" w:customStyle="1" w:styleId="details1">
    <w:name w:val="details1"/>
    <w:basedOn w:val="Normal"/>
    <w:rsid w:val="0001713C"/>
    <w:pPr>
      <w:jc w:val="left"/>
    </w:pPr>
    <w:rPr>
      <w:rFonts w:ascii="Times New Roman" w:hAnsi="Times New Roman" w:cs="Times New Roman"/>
      <w:sz w:val="22"/>
      <w:szCs w:val="22"/>
    </w:rPr>
  </w:style>
  <w:style w:type="character" w:customStyle="1" w:styleId="jrnl">
    <w:name w:val="jrnl"/>
    <w:basedOn w:val="DefaultParagraphFont"/>
    <w:rsid w:val="0001713C"/>
  </w:style>
  <w:style w:type="character" w:customStyle="1" w:styleId="apple-converted-space">
    <w:name w:val="apple-converted-space"/>
    <w:basedOn w:val="DefaultParagraphFont"/>
    <w:rsid w:val="0001713C"/>
  </w:style>
  <w:style w:type="paragraph" w:customStyle="1" w:styleId="BoxText">
    <w:name w:val="BoxText"/>
    <w:basedOn w:val="Normal"/>
    <w:qFormat/>
    <w:rsid w:val="0001713C"/>
    <w:pPr>
      <w:pBdr>
        <w:top w:val="single" w:sz="4" w:space="4" w:color="000000"/>
        <w:left w:val="single" w:sz="4" w:space="4" w:color="000000"/>
        <w:bottom w:val="single" w:sz="4" w:space="4" w:color="000000"/>
        <w:right w:val="single" w:sz="4" w:space="4" w:color="000000"/>
      </w:pBdr>
      <w:spacing w:after="120"/>
      <w:jc w:val="left"/>
    </w:pPr>
    <w:rPr>
      <w:rFonts w:ascii="Times New Roman" w:hAnsi="Times New Roman" w:cs="Times New Roman"/>
      <w:color w:val="000000"/>
      <w:sz w:val="22"/>
      <w:szCs w:val="20"/>
    </w:rPr>
  </w:style>
  <w:style w:type="paragraph" w:customStyle="1" w:styleId="BoxTextInfo">
    <w:name w:val="BoxTextInfo"/>
    <w:basedOn w:val="BoxText"/>
    <w:qFormat/>
    <w:rsid w:val="0001713C"/>
  </w:style>
  <w:style w:type="paragraph" w:customStyle="1" w:styleId="BoxHeadingInfo">
    <w:name w:val="BoxHeadingInfo"/>
    <w:basedOn w:val="Normal"/>
    <w:qFormat/>
    <w:rsid w:val="0001713C"/>
    <w:pPr>
      <w:keepNext/>
      <w:pBdr>
        <w:top w:val="single" w:sz="4" w:space="4" w:color="000000"/>
        <w:left w:val="single" w:sz="4" w:space="4" w:color="000000"/>
        <w:bottom w:val="single" w:sz="4" w:space="4" w:color="000000"/>
        <w:right w:val="single" w:sz="4" w:space="4" w:color="000000"/>
      </w:pBdr>
      <w:spacing w:before="120" w:after="60"/>
      <w:jc w:val="left"/>
    </w:pPr>
    <w:rPr>
      <w:rFonts w:ascii="Times New Roman" w:hAnsi="Times New Roman" w:cs="Times New Roman"/>
      <w:b/>
      <w:bCs/>
      <w:color w:val="000000"/>
      <w:sz w:val="22"/>
      <w:szCs w:val="20"/>
    </w:rPr>
  </w:style>
  <w:style w:type="paragraph" w:customStyle="1" w:styleId="BoxBullet">
    <w:name w:val="BoxBullet"/>
    <w:basedOn w:val="BoxText"/>
    <w:rsid w:val="0001713C"/>
    <w:pPr>
      <w:numPr>
        <w:numId w:val="5"/>
      </w:numPr>
    </w:pPr>
  </w:style>
  <w:style w:type="paragraph" w:customStyle="1" w:styleId="BoxBulletInfo">
    <w:name w:val="BoxBulletInfo"/>
    <w:basedOn w:val="BoxBullet"/>
    <w:qFormat/>
    <w:rsid w:val="0001713C"/>
  </w:style>
  <w:style w:type="paragraph" w:customStyle="1" w:styleId="BoxDashInfo">
    <w:name w:val="BoxDashInfo"/>
    <w:basedOn w:val="Normal"/>
    <w:qFormat/>
    <w:rsid w:val="0001713C"/>
    <w:pPr>
      <w:pBdr>
        <w:top w:val="single" w:sz="4" w:space="4" w:color="000000"/>
        <w:left w:val="single" w:sz="4" w:space="4" w:color="000000"/>
        <w:bottom w:val="single" w:sz="4" w:space="4" w:color="000000"/>
        <w:right w:val="single" w:sz="4" w:space="4" w:color="000000"/>
      </w:pBdr>
      <w:spacing w:after="120"/>
      <w:ind w:left="432" w:hanging="432"/>
      <w:jc w:val="left"/>
    </w:pPr>
    <w:rPr>
      <w:rFonts w:ascii="Times New Roman" w:hAnsi="Times New Roman" w:cs="Times New Roman"/>
      <w:color w:val="000000"/>
      <w:sz w:val="22"/>
      <w:szCs w:val="20"/>
    </w:rPr>
  </w:style>
  <w:style w:type="character" w:customStyle="1" w:styleId="SectionNumber">
    <w:name w:val="SectionNumber"/>
    <w:basedOn w:val="DefaultParagraphFont"/>
    <w:uiPriority w:val="1"/>
    <w:qFormat/>
    <w:rsid w:val="0001713C"/>
    <w:rPr>
      <w:rFonts w:cs="Times New Roman"/>
    </w:rPr>
  </w:style>
  <w:style w:type="character" w:customStyle="1" w:styleId="Superscript">
    <w:name w:val="Superscript"/>
    <w:basedOn w:val="DefaultParagraphFont"/>
    <w:uiPriority w:val="1"/>
    <w:rsid w:val="0001713C"/>
    <w:rPr>
      <w:rFonts w:cs="Times New Roman"/>
      <w:noProof/>
      <w:vertAlign w:val="superscript"/>
    </w:rPr>
  </w:style>
  <w:style w:type="paragraph" w:customStyle="1" w:styleId="TableTextCA">
    <w:name w:val="TableTextCA"/>
    <w:basedOn w:val="TableText1"/>
    <w:rsid w:val="0001713C"/>
    <w:pPr>
      <w:spacing w:before="60" w:after="60" w:line="240" w:lineRule="auto"/>
      <w:jc w:val="center"/>
    </w:pPr>
    <w:rPr>
      <w:rFonts w:ascii="Arial" w:hAnsi="Arial" w:cs="Times New Roman"/>
      <w:color w:val="000000"/>
      <w:sz w:val="19"/>
      <w:szCs w:val="21"/>
      <w:lang w:eastAsia="en-AU"/>
    </w:rPr>
  </w:style>
  <w:style w:type="paragraph" w:customStyle="1" w:styleId="TFListNotesSpace">
    <w:name w:val="TFListNotes+Space"/>
    <w:basedOn w:val="TableText1"/>
    <w:next w:val="Normal"/>
    <w:rsid w:val="0001713C"/>
    <w:pPr>
      <w:keepNext w:val="0"/>
      <w:keepLines/>
      <w:spacing w:before="0" w:after="360" w:line="240" w:lineRule="auto"/>
      <w:ind w:left="170" w:hanging="170"/>
    </w:pPr>
    <w:rPr>
      <w:rFonts w:ascii="Arial" w:hAnsi="Arial" w:cs="Times New Roman"/>
      <w:color w:val="000000"/>
      <w:sz w:val="18"/>
      <w:szCs w:val="18"/>
      <w:lang w:eastAsia="en-AU"/>
    </w:rPr>
  </w:style>
  <w:style w:type="paragraph" w:customStyle="1" w:styleId="TFAbbrevsSpace">
    <w:name w:val="TFAbbrevs+Space"/>
    <w:basedOn w:val="Normal"/>
    <w:next w:val="Normal"/>
    <w:rsid w:val="0001713C"/>
    <w:pPr>
      <w:keepNext/>
      <w:keepLines/>
      <w:spacing w:after="360"/>
      <w:jc w:val="left"/>
    </w:pPr>
    <w:rPr>
      <w:rFonts w:ascii="Arial" w:hAnsi="Arial" w:cs="Times New Roman"/>
      <w:color w:val="000000"/>
      <w:sz w:val="18"/>
      <w:szCs w:val="18"/>
    </w:rPr>
  </w:style>
  <w:style w:type="paragraph" w:customStyle="1" w:styleId="TableNumberList">
    <w:name w:val="TableNumberList"/>
    <w:basedOn w:val="TableText1"/>
    <w:qFormat/>
    <w:rsid w:val="0001713C"/>
    <w:pPr>
      <w:spacing w:before="60" w:after="60" w:line="240" w:lineRule="auto"/>
      <w:ind w:left="754" w:hanging="357"/>
    </w:pPr>
    <w:rPr>
      <w:rFonts w:ascii="Arial" w:hAnsi="Arial" w:cs="Times New Roman"/>
      <w:color w:val="000000"/>
      <w:sz w:val="19"/>
      <w:szCs w:val="21"/>
      <w:lang w:eastAsia="en-AU"/>
    </w:rPr>
  </w:style>
  <w:style w:type="paragraph" w:customStyle="1" w:styleId="TableMultipleNumberList">
    <w:name w:val="TableMultipleNumber List"/>
    <w:basedOn w:val="TableNumberList"/>
    <w:qFormat/>
    <w:rsid w:val="0001713C"/>
  </w:style>
  <w:style w:type="paragraph" w:customStyle="1" w:styleId="TFListNotes">
    <w:name w:val="TFListNotes"/>
    <w:basedOn w:val="TFListNotesSpace"/>
    <w:rsid w:val="0001713C"/>
    <w:pPr>
      <w:keepNext/>
      <w:spacing w:after="0"/>
    </w:pPr>
  </w:style>
  <w:style w:type="paragraph" w:customStyle="1" w:styleId="TableHeadingCA">
    <w:name w:val="TableHeadingCA"/>
    <w:basedOn w:val="TableHeading"/>
    <w:rsid w:val="0001713C"/>
    <w:pPr>
      <w:spacing w:before="60" w:after="60"/>
      <w:jc w:val="center"/>
    </w:pPr>
    <w:rPr>
      <w:rFonts w:ascii="Arial" w:hAnsi="Arial" w:cs="Times New Roman"/>
      <w:snapToGrid/>
      <w:color w:val="000000"/>
      <w:sz w:val="19"/>
      <w:szCs w:val="21"/>
    </w:rPr>
  </w:style>
  <w:style w:type="character" w:customStyle="1" w:styleId="NoBreak">
    <w:name w:val="NoBreak"/>
    <w:basedOn w:val="DefaultParagraphFont"/>
    <w:uiPriority w:val="1"/>
    <w:rsid w:val="0001713C"/>
    <w:rPr>
      <w:rFonts w:cs="Times New Roman"/>
      <w:noProof/>
    </w:rPr>
  </w:style>
  <w:style w:type="paragraph" w:customStyle="1" w:styleId="TFAbbrevs">
    <w:name w:val="TFAbbrevs"/>
    <w:basedOn w:val="TFListNotes"/>
    <w:rsid w:val="0001713C"/>
    <w:pPr>
      <w:ind w:left="0" w:firstLine="0"/>
    </w:pPr>
  </w:style>
  <w:style w:type="paragraph" w:customStyle="1" w:styleId="TableTextIndent">
    <w:name w:val="TableTextIndent"/>
    <w:basedOn w:val="TableText1"/>
    <w:qFormat/>
    <w:rsid w:val="0001713C"/>
    <w:pPr>
      <w:spacing w:before="60" w:after="60" w:line="240" w:lineRule="auto"/>
      <w:ind w:left="170"/>
    </w:pPr>
    <w:rPr>
      <w:rFonts w:ascii="Arial" w:hAnsi="Arial" w:cs="Times New Roman"/>
      <w:color w:val="000000"/>
      <w:sz w:val="19"/>
      <w:szCs w:val="21"/>
      <w:lang w:eastAsia="en-AU"/>
    </w:rPr>
  </w:style>
  <w:style w:type="character" w:customStyle="1" w:styleId="SuperscriptItalics">
    <w:name w:val="SuperscriptItalics"/>
    <w:basedOn w:val="Superscript"/>
    <w:uiPriority w:val="1"/>
    <w:qFormat/>
    <w:rsid w:val="0001713C"/>
    <w:rPr>
      <w:rFonts w:cs="Times New Roman"/>
      <w:i/>
      <w:noProof/>
      <w:vertAlign w:val="superscript"/>
    </w:rPr>
  </w:style>
  <w:style w:type="paragraph" w:customStyle="1" w:styleId="TFNoteSourceSpace">
    <w:name w:val="TFNoteSource+Space"/>
    <w:basedOn w:val="TFListNotesSpace"/>
    <w:next w:val="Normal"/>
    <w:rsid w:val="0001713C"/>
    <w:pPr>
      <w:ind w:left="624" w:hanging="624"/>
    </w:pPr>
  </w:style>
  <w:style w:type="paragraph" w:customStyle="1" w:styleId="TPSMarkupBase">
    <w:name w:val="TPS Markup Base"/>
    <w:rsid w:val="0001713C"/>
    <w:pPr>
      <w:spacing w:line="300" w:lineRule="auto"/>
    </w:pPr>
    <w:rPr>
      <w:rFonts w:ascii="Arial" w:hAnsi="Arial"/>
      <w:color w:val="2F275B"/>
      <w:sz w:val="18"/>
      <w:szCs w:val="24"/>
      <w:lang w:val="en-US" w:eastAsia="en-US"/>
    </w:rPr>
  </w:style>
  <w:style w:type="paragraph" w:customStyle="1" w:styleId="BulletLast">
    <w:name w:val="BulletLast"/>
    <w:basedOn w:val="Normal"/>
    <w:qFormat/>
    <w:rsid w:val="0001713C"/>
    <w:pPr>
      <w:spacing w:after="240"/>
      <w:ind w:left="432" w:hanging="432"/>
      <w:jc w:val="left"/>
    </w:pPr>
    <w:rPr>
      <w:rFonts w:ascii="Times New Roman" w:hAnsi="Times New Roman" w:cs="Times New Roman"/>
      <w:color w:val="000000"/>
      <w:szCs w:val="20"/>
    </w:rPr>
  </w:style>
  <w:style w:type="paragraph" w:customStyle="1" w:styleId="DashLastSpace">
    <w:name w:val="DashLast+Space"/>
    <w:basedOn w:val="Normal"/>
    <w:rsid w:val="0001713C"/>
    <w:pPr>
      <w:numPr>
        <w:numId w:val="6"/>
      </w:numPr>
      <w:tabs>
        <w:tab w:val="clear" w:pos="360"/>
        <w:tab w:val="num" w:pos="216"/>
        <w:tab w:val="left" w:pos="720"/>
      </w:tabs>
      <w:spacing w:after="240"/>
      <w:ind w:left="720"/>
      <w:jc w:val="left"/>
    </w:pPr>
    <w:rPr>
      <w:rFonts w:ascii="Times New Roman" w:hAnsi="Times New Roman" w:cs="Times New Roman"/>
      <w:color w:val="000000"/>
      <w:szCs w:val="20"/>
    </w:rPr>
  </w:style>
  <w:style w:type="paragraph" w:customStyle="1" w:styleId="NumberList">
    <w:name w:val="NumberList"/>
    <w:basedOn w:val="Normal"/>
    <w:rsid w:val="0001713C"/>
    <w:pPr>
      <w:numPr>
        <w:numId w:val="7"/>
      </w:numPr>
      <w:tabs>
        <w:tab w:val="clear" w:pos="216"/>
        <w:tab w:val="left" w:pos="360"/>
      </w:tabs>
      <w:spacing w:after="240"/>
      <w:ind w:hanging="360"/>
      <w:jc w:val="left"/>
    </w:pPr>
    <w:rPr>
      <w:rFonts w:ascii="Times New Roman" w:hAnsi="Times New Roman" w:cs="Times New Roman"/>
      <w:color w:val="000000"/>
      <w:szCs w:val="20"/>
    </w:rPr>
  </w:style>
  <w:style w:type="paragraph" w:customStyle="1" w:styleId="TableNoteBullet">
    <w:name w:val="Table Note Bullet"/>
    <w:basedOn w:val="Normal"/>
    <w:qFormat/>
    <w:rsid w:val="0001713C"/>
    <w:pPr>
      <w:numPr>
        <w:numId w:val="8"/>
      </w:numPr>
      <w:spacing w:after="60"/>
      <w:ind w:left="357" w:hanging="357"/>
      <w:jc w:val="left"/>
    </w:pPr>
    <w:rPr>
      <w:rFonts w:asciiTheme="minorHAnsi" w:eastAsiaTheme="minorHAnsi" w:hAnsiTheme="minorHAnsi" w:cstheme="minorBidi"/>
      <w:sz w:val="18"/>
      <w:szCs w:val="22"/>
      <w:lang w:eastAsia="en-US"/>
    </w:rPr>
  </w:style>
  <w:style w:type="paragraph" w:customStyle="1" w:styleId="TableBullet">
    <w:name w:val="Table Bullet"/>
    <w:basedOn w:val="TableText0"/>
    <w:qFormat/>
    <w:rsid w:val="0001713C"/>
    <w:pPr>
      <w:keepNext w:val="0"/>
      <w:numPr>
        <w:numId w:val="9"/>
      </w:numPr>
      <w:spacing w:before="40" w:after="40"/>
      <w:ind w:left="357" w:hanging="357"/>
    </w:pPr>
    <w:rPr>
      <w:rFonts w:eastAsiaTheme="minorHAnsi" w:cstheme="minorBidi"/>
      <w:bCs w:val="0"/>
      <w:szCs w:val="22"/>
      <w:lang w:eastAsia="en-US"/>
    </w:rPr>
  </w:style>
  <w:style w:type="paragraph" w:customStyle="1" w:styleId="TableTextCA0">
    <w:name w:val="Table Text CA"/>
    <w:basedOn w:val="TableText0"/>
    <w:qFormat/>
    <w:rsid w:val="0001713C"/>
    <w:pPr>
      <w:keepNext w:val="0"/>
      <w:spacing w:before="40" w:after="40"/>
      <w:jc w:val="center"/>
    </w:pPr>
    <w:rPr>
      <w:rFonts w:eastAsiaTheme="minorHAnsi" w:cstheme="minorBidi"/>
      <w:bCs w:val="0"/>
      <w:szCs w:val="22"/>
      <w:lang w:eastAsia="en-US"/>
    </w:rPr>
  </w:style>
  <w:style w:type="paragraph" w:customStyle="1" w:styleId="TableFigNote">
    <w:name w:val="TableFigNote"/>
    <w:basedOn w:val="Normal"/>
    <w:qFormat/>
    <w:rsid w:val="0001713C"/>
    <w:pPr>
      <w:jc w:val="left"/>
    </w:pPr>
    <w:rPr>
      <w:rFonts w:asciiTheme="minorHAnsi" w:eastAsiaTheme="minorHAnsi" w:hAnsiTheme="minorHAnsi" w:cstheme="minorBidi"/>
      <w:sz w:val="18"/>
      <w:szCs w:val="22"/>
      <w:lang w:eastAsia="en-US"/>
    </w:rPr>
  </w:style>
  <w:style w:type="paragraph" w:customStyle="1" w:styleId="TableNumbered">
    <w:name w:val="Table Numbered"/>
    <w:basedOn w:val="TableBullet"/>
    <w:qFormat/>
    <w:rsid w:val="0001713C"/>
    <w:pPr>
      <w:numPr>
        <w:numId w:val="10"/>
      </w:numPr>
    </w:pPr>
  </w:style>
  <w:style w:type="paragraph" w:customStyle="1" w:styleId="TableFigNoteHangingLast">
    <w:name w:val="TableFigNoteHanging Last"/>
    <w:basedOn w:val="TableFigNote"/>
    <w:qFormat/>
    <w:rsid w:val="0001713C"/>
    <w:pPr>
      <w:spacing w:after="360"/>
      <w:ind w:left="142" w:hanging="142"/>
    </w:pPr>
  </w:style>
  <w:style w:type="paragraph" w:customStyle="1" w:styleId="TableHeading0">
    <w:name w:val="Table Heading"/>
    <w:basedOn w:val="Normal"/>
    <w:qFormat/>
    <w:rsid w:val="00F35D5E"/>
    <w:pPr>
      <w:keepNext/>
      <w:spacing w:after="60"/>
      <w:jc w:val="left"/>
    </w:pPr>
    <w:rPr>
      <w:rFonts w:ascii="Arial Narrow" w:eastAsiaTheme="minorHAnsi" w:hAnsi="Arial Narrow" w:cstheme="minorBidi"/>
      <w:b/>
      <w:sz w:val="20"/>
      <w:szCs w:val="22"/>
      <w:lang w:eastAsia="en-US"/>
    </w:rPr>
  </w:style>
  <w:style w:type="character" w:customStyle="1" w:styleId="UnresolvedMention1">
    <w:name w:val="Unresolved Mention1"/>
    <w:basedOn w:val="DefaultParagraphFont"/>
    <w:uiPriority w:val="99"/>
    <w:semiHidden/>
    <w:unhideWhenUsed/>
    <w:rsid w:val="0001713C"/>
    <w:rPr>
      <w:color w:val="605E5C"/>
      <w:shd w:val="clear" w:color="auto" w:fill="E1DFDD"/>
    </w:rPr>
  </w:style>
  <w:style w:type="paragraph" w:customStyle="1" w:styleId="0TEXT">
    <w:name w:val="0: TEXT"/>
    <w:basedOn w:val="Normal"/>
    <w:link w:val="0TEXTChar"/>
    <w:qFormat/>
    <w:rsid w:val="0001713C"/>
    <w:pPr>
      <w:spacing w:before="240"/>
    </w:pPr>
    <w:rPr>
      <w:rFonts w:asciiTheme="majorHAnsi" w:hAnsiTheme="majorHAnsi" w:cs="Times New Roman"/>
      <w:color w:val="000000"/>
      <w:sz w:val="22"/>
      <w:lang w:val="en-GB" w:eastAsia="en-GB"/>
    </w:rPr>
  </w:style>
  <w:style w:type="character" w:customStyle="1" w:styleId="0TEXTChar">
    <w:name w:val="0: TEXT Char"/>
    <w:basedOn w:val="DefaultParagraphFont"/>
    <w:link w:val="0TEXT"/>
    <w:rsid w:val="0001713C"/>
    <w:rPr>
      <w:rFonts w:asciiTheme="majorHAnsi" w:hAnsiTheme="majorHAnsi"/>
      <w:color w:val="000000"/>
      <w:sz w:val="22"/>
      <w:szCs w:val="24"/>
      <w:lang w:val="en-GB" w:eastAsia="en-GB"/>
    </w:rPr>
  </w:style>
  <w:style w:type="character" w:customStyle="1" w:styleId="referencesyear">
    <w:name w:val="references__year"/>
    <w:basedOn w:val="DefaultParagraphFont"/>
    <w:rsid w:val="0001713C"/>
  </w:style>
  <w:style w:type="character" w:customStyle="1" w:styleId="referencesnote">
    <w:name w:val="references__note"/>
    <w:basedOn w:val="DefaultParagraphFont"/>
    <w:rsid w:val="0001713C"/>
  </w:style>
  <w:style w:type="character" w:customStyle="1" w:styleId="label">
    <w:name w:val="label"/>
    <w:basedOn w:val="DefaultParagraphFont"/>
    <w:rsid w:val="0001713C"/>
  </w:style>
  <w:style w:type="character" w:customStyle="1" w:styleId="referencessuffix">
    <w:name w:val="references__suffix"/>
    <w:basedOn w:val="DefaultParagraphFont"/>
    <w:rsid w:val="0001713C"/>
  </w:style>
  <w:style w:type="character" w:customStyle="1" w:styleId="nlmstring-name">
    <w:name w:val="nlm_string-name"/>
    <w:basedOn w:val="DefaultParagraphFont"/>
    <w:rsid w:val="0001713C"/>
  </w:style>
  <w:style w:type="character" w:customStyle="1" w:styleId="journalname">
    <w:name w:val="journalname"/>
    <w:basedOn w:val="DefaultParagraphFont"/>
    <w:rsid w:val="0001713C"/>
  </w:style>
  <w:style w:type="character" w:customStyle="1" w:styleId="year">
    <w:name w:val="year"/>
    <w:basedOn w:val="DefaultParagraphFont"/>
    <w:rsid w:val="0001713C"/>
  </w:style>
  <w:style w:type="character" w:customStyle="1" w:styleId="volume">
    <w:name w:val="volume"/>
    <w:basedOn w:val="DefaultParagraphFont"/>
    <w:rsid w:val="0001713C"/>
  </w:style>
  <w:style w:type="character" w:customStyle="1" w:styleId="issue">
    <w:name w:val="issue"/>
    <w:basedOn w:val="DefaultParagraphFont"/>
    <w:rsid w:val="0001713C"/>
  </w:style>
  <w:style w:type="character" w:customStyle="1" w:styleId="page">
    <w:name w:val="page"/>
    <w:basedOn w:val="DefaultParagraphFont"/>
    <w:rsid w:val="0001713C"/>
  </w:style>
  <w:style w:type="character" w:customStyle="1" w:styleId="authors">
    <w:name w:val="authors"/>
    <w:basedOn w:val="DefaultParagraphFont"/>
    <w:rsid w:val="0001713C"/>
  </w:style>
  <w:style w:type="character" w:customStyle="1" w:styleId="Date1">
    <w:name w:val="Date1"/>
    <w:basedOn w:val="DefaultParagraphFont"/>
    <w:rsid w:val="0001713C"/>
  </w:style>
  <w:style w:type="character" w:customStyle="1" w:styleId="arttitle">
    <w:name w:val="art_title"/>
    <w:basedOn w:val="DefaultParagraphFont"/>
    <w:rsid w:val="0001713C"/>
  </w:style>
  <w:style w:type="character" w:customStyle="1" w:styleId="serialtitle">
    <w:name w:val="serial_title"/>
    <w:basedOn w:val="DefaultParagraphFont"/>
    <w:rsid w:val="0001713C"/>
  </w:style>
  <w:style w:type="character" w:customStyle="1" w:styleId="volumeissue">
    <w:name w:val="volume_issue"/>
    <w:basedOn w:val="DefaultParagraphFont"/>
    <w:rsid w:val="0001713C"/>
  </w:style>
  <w:style w:type="character" w:customStyle="1" w:styleId="pagerange">
    <w:name w:val="page_range"/>
    <w:basedOn w:val="DefaultParagraphFont"/>
    <w:rsid w:val="0001713C"/>
  </w:style>
  <w:style w:type="character" w:customStyle="1" w:styleId="doilink">
    <w:name w:val="doi_link"/>
    <w:basedOn w:val="DefaultParagraphFont"/>
    <w:rsid w:val="0001713C"/>
  </w:style>
  <w:style w:type="character" w:customStyle="1" w:styleId="contribdegrees">
    <w:name w:val="contribdegrees"/>
    <w:basedOn w:val="DefaultParagraphFont"/>
    <w:rsid w:val="0001713C"/>
  </w:style>
  <w:style w:type="character" w:customStyle="1" w:styleId="a">
    <w:name w:val="_"/>
    <w:basedOn w:val="DefaultParagraphFont"/>
    <w:rsid w:val="0001713C"/>
  </w:style>
  <w:style w:type="paragraph" w:customStyle="1" w:styleId="Style1">
    <w:name w:val="Style1"/>
    <w:basedOn w:val="Normal"/>
    <w:link w:val="Style1Char"/>
    <w:qFormat/>
    <w:rsid w:val="0001713C"/>
    <w:pPr>
      <w:tabs>
        <w:tab w:val="num" w:pos="360"/>
      </w:tabs>
      <w:spacing w:before="120"/>
      <w:ind w:left="360" w:hanging="360"/>
      <w:jc w:val="left"/>
    </w:pPr>
    <w:rPr>
      <w:rFonts w:ascii="Cambria" w:hAnsi="Cambria" w:cs="Times New Roman"/>
      <w:kern w:val="24"/>
      <w:sz w:val="22"/>
    </w:rPr>
  </w:style>
  <w:style w:type="character" w:customStyle="1" w:styleId="Style1Char">
    <w:name w:val="Style1 Char"/>
    <w:basedOn w:val="DefaultParagraphFont"/>
    <w:link w:val="Style1"/>
    <w:rsid w:val="0001713C"/>
    <w:rPr>
      <w:rFonts w:ascii="Cambria" w:hAnsi="Cambria"/>
      <w:kern w:val="24"/>
      <w:sz w:val="22"/>
      <w:szCs w:val="24"/>
    </w:rPr>
  </w:style>
  <w:style w:type="paragraph" w:customStyle="1" w:styleId="Comment">
    <w:name w:val="Comment"/>
    <w:basedOn w:val="Normal"/>
    <w:next w:val="Normal"/>
    <w:uiPriority w:val="1"/>
    <w:qFormat/>
    <w:rsid w:val="0001713C"/>
    <w:pPr>
      <w:spacing w:before="120" w:after="120" w:line="240" w:lineRule="atLeast"/>
      <w:ind w:left="1134" w:hanging="1134"/>
      <w:jc w:val="left"/>
    </w:pPr>
    <w:rPr>
      <w:rFonts w:ascii="Cambria" w:eastAsia="Cambria" w:hAnsi="Cambria" w:cs="Times New Roman"/>
      <w:sz w:val="22"/>
      <w:szCs w:val="22"/>
      <w:lang w:eastAsia="en-US"/>
    </w:rPr>
  </w:style>
  <w:style w:type="paragraph" w:customStyle="1" w:styleId="Comment2">
    <w:name w:val="Comment 2"/>
    <w:basedOn w:val="Normal"/>
    <w:qFormat/>
    <w:rsid w:val="0001713C"/>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left="1134"/>
      <w:jc w:val="left"/>
    </w:pPr>
    <w:rPr>
      <w:kern w:val="16"/>
      <w:sz w:val="22"/>
      <w:szCs w:val="22"/>
    </w:rPr>
  </w:style>
  <w:style w:type="table" w:customStyle="1" w:styleId="TableTGAblue">
    <w:name w:val="Table TGA blue"/>
    <w:basedOn w:val="TableNormal"/>
    <w:uiPriority w:val="99"/>
    <w:qFormat/>
    <w:rsid w:val="0001713C"/>
    <w:pPr>
      <w:ind w:left="170" w:right="170"/>
    </w:pPr>
    <w:rPr>
      <w:rFonts w:ascii="Cambria" w:eastAsiaTheme="minorHAnsi" w:hAnsi="Cambria"/>
      <w:color w:val="000000" w:themeColor="text1"/>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paragraph" w:customStyle="1" w:styleId="FigureTitle">
    <w:name w:val="Figure Title"/>
    <w:basedOn w:val="Normal"/>
    <w:rsid w:val="0001713C"/>
    <w:pPr>
      <w:spacing w:before="120" w:after="120" w:line="220" w:lineRule="atLeast"/>
      <w:jc w:val="left"/>
    </w:pPr>
    <w:rPr>
      <w:rFonts w:ascii="Cambria" w:eastAsia="Cambria" w:hAnsi="Cambria" w:cs="Times New Roman"/>
      <w:b/>
      <w:sz w:val="22"/>
      <w:szCs w:val="22"/>
      <w:lang w:eastAsia="en-US"/>
    </w:rPr>
  </w:style>
  <w:style w:type="character" w:customStyle="1" w:styleId="TableNumberChar">
    <w:name w:val="Table Number Char"/>
    <w:aliases w:val="Bayer Caption Char,IB Caption Char,Medical Caption Char,Table caption Char,USA Caption Char,Table header Char,Char1 Char1,Char1 Char Char,Caption Bold Char,Caption 3 Char,c Char,appendix Char,Caption 1 Char"/>
    <w:rsid w:val="0001713C"/>
    <w:rPr>
      <w:rFonts w:eastAsia="Times New Roman" w:cs="Helvetica"/>
      <w:b/>
      <w:bCs/>
      <w:color w:val="4A1D6F"/>
      <w:lang w:val="en-GB" w:eastAsia="en-GB"/>
    </w:rPr>
  </w:style>
  <w:style w:type="paragraph" w:customStyle="1" w:styleId="11FOOTERTABLEFIGURE">
    <w:name w:val="11: FOOTER (TABLE/FIGURE)"/>
    <w:basedOn w:val="0TEXT"/>
    <w:link w:val="11FOOTERTABLEFIGUREChar"/>
    <w:uiPriority w:val="1"/>
    <w:qFormat/>
    <w:rsid w:val="0001713C"/>
    <w:pPr>
      <w:spacing w:before="40"/>
    </w:pPr>
    <w:rPr>
      <w:rFonts w:asciiTheme="minorHAnsi" w:hAnsiTheme="minorHAnsi" w:cs="Helvetica"/>
      <w:sz w:val="16"/>
      <w:szCs w:val="16"/>
      <w:lang w:val="en-US" w:eastAsia="ja-JP"/>
    </w:rPr>
  </w:style>
  <w:style w:type="character" w:customStyle="1" w:styleId="11FOOTERTABLEFIGUREChar">
    <w:name w:val="11: FOOTER (TABLE/FIGURE) Char"/>
    <w:basedOn w:val="DefaultParagraphFont"/>
    <w:link w:val="11FOOTERTABLEFIGURE"/>
    <w:uiPriority w:val="1"/>
    <w:rsid w:val="0001713C"/>
    <w:rPr>
      <w:rFonts w:asciiTheme="minorHAnsi" w:hAnsiTheme="minorHAnsi" w:cs="Helvetica"/>
      <w:color w:val="000000"/>
      <w:sz w:val="16"/>
      <w:szCs w:val="16"/>
      <w:lang w:val="en-US" w:eastAsia="ja-JP"/>
    </w:rPr>
  </w:style>
  <w:style w:type="character" w:customStyle="1" w:styleId="ff5">
    <w:name w:val="ff5"/>
    <w:basedOn w:val="DefaultParagraphFont"/>
    <w:rsid w:val="0001713C"/>
  </w:style>
  <w:style w:type="character" w:customStyle="1" w:styleId="ff1">
    <w:name w:val="ff1"/>
    <w:basedOn w:val="DefaultParagraphFont"/>
    <w:rsid w:val="0001713C"/>
  </w:style>
  <w:style w:type="character" w:customStyle="1" w:styleId="ff6">
    <w:name w:val="ff6"/>
    <w:basedOn w:val="DefaultParagraphFont"/>
    <w:rsid w:val="0001713C"/>
  </w:style>
  <w:style w:type="character" w:customStyle="1" w:styleId="ff7">
    <w:name w:val="ff7"/>
    <w:basedOn w:val="DefaultParagraphFont"/>
    <w:rsid w:val="0001713C"/>
  </w:style>
  <w:style w:type="character" w:customStyle="1" w:styleId="ws0">
    <w:name w:val="ws0"/>
    <w:basedOn w:val="DefaultParagraphFont"/>
    <w:rsid w:val="0001713C"/>
  </w:style>
  <w:style w:type="character" w:customStyle="1" w:styleId="hitinf">
    <w:name w:val="hit_inf"/>
    <w:basedOn w:val="DefaultParagraphFont"/>
    <w:rsid w:val="0001713C"/>
  </w:style>
  <w:style w:type="character" w:customStyle="1" w:styleId="hitsyn">
    <w:name w:val="hit_syn"/>
    <w:basedOn w:val="DefaultParagraphFont"/>
    <w:rsid w:val="0001713C"/>
  </w:style>
  <w:style w:type="character" w:customStyle="1" w:styleId="UnresolvedMention2">
    <w:name w:val="Unresolved Mention2"/>
    <w:basedOn w:val="DefaultParagraphFont"/>
    <w:uiPriority w:val="99"/>
    <w:semiHidden/>
    <w:unhideWhenUsed/>
    <w:rsid w:val="00A8336E"/>
    <w:rPr>
      <w:color w:val="605E5C"/>
      <w:shd w:val="clear" w:color="auto" w:fill="E1DFDD"/>
    </w:rPr>
  </w:style>
  <w:style w:type="paragraph" w:styleId="EndnoteText">
    <w:name w:val="endnote text"/>
    <w:basedOn w:val="Normal"/>
    <w:link w:val="EndnoteTextChar"/>
    <w:semiHidden/>
    <w:unhideWhenUsed/>
    <w:rsid w:val="004A4ED1"/>
    <w:rPr>
      <w:sz w:val="20"/>
      <w:szCs w:val="20"/>
    </w:rPr>
  </w:style>
  <w:style w:type="character" w:customStyle="1" w:styleId="EndnoteTextChar">
    <w:name w:val="Endnote Text Char"/>
    <w:basedOn w:val="DefaultParagraphFont"/>
    <w:link w:val="EndnoteText"/>
    <w:semiHidden/>
    <w:rsid w:val="004A4ED1"/>
    <w:rPr>
      <w:rFonts w:ascii="Calibri" w:hAnsi="Calibri" w:cs="Arial"/>
    </w:rPr>
  </w:style>
  <w:style w:type="character" w:styleId="EndnoteReference">
    <w:name w:val="endnote reference"/>
    <w:basedOn w:val="DefaultParagraphFont"/>
    <w:semiHidden/>
    <w:unhideWhenUsed/>
    <w:rsid w:val="004A4ED1"/>
    <w:rPr>
      <w:vertAlign w:val="superscript"/>
    </w:rPr>
  </w:style>
  <w:style w:type="paragraph" w:customStyle="1" w:styleId="EndNoteBibliographyTitle">
    <w:name w:val="EndNote Bibliography Title"/>
    <w:basedOn w:val="Normal"/>
    <w:link w:val="EndNoteBibliographyTitleChar"/>
    <w:rsid w:val="002119BB"/>
    <w:pPr>
      <w:jc w:val="center"/>
    </w:pPr>
    <w:rPr>
      <w:rFonts w:cs="Calibri"/>
      <w:noProof/>
    </w:rPr>
  </w:style>
  <w:style w:type="character" w:customStyle="1" w:styleId="EndNoteBibliographyTitleChar">
    <w:name w:val="EndNote Bibliography Title Char"/>
    <w:basedOn w:val="DefaultParagraphFont"/>
    <w:link w:val="EndNoteBibliographyTitle"/>
    <w:rsid w:val="002119BB"/>
    <w:rPr>
      <w:rFonts w:ascii="Calibri" w:hAnsi="Calibri" w:cs="Calibri"/>
      <w:noProof/>
      <w:sz w:val="24"/>
      <w:szCs w:val="24"/>
    </w:rPr>
  </w:style>
  <w:style w:type="paragraph" w:customStyle="1" w:styleId="EndNoteBibliography">
    <w:name w:val="EndNote Bibliography"/>
    <w:basedOn w:val="Normal"/>
    <w:link w:val="EndNoteBibliographyChar"/>
    <w:rsid w:val="002119BB"/>
    <w:rPr>
      <w:rFonts w:cs="Calibri"/>
      <w:noProof/>
    </w:rPr>
  </w:style>
  <w:style w:type="character" w:customStyle="1" w:styleId="EndNoteBibliographyChar">
    <w:name w:val="EndNote Bibliography Char"/>
    <w:basedOn w:val="DefaultParagraphFont"/>
    <w:link w:val="EndNoteBibliography"/>
    <w:rsid w:val="002119BB"/>
    <w:rPr>
      <w:rFonts w:ascii="Calibri" w:hAnsi="Calibri" w:cs="Calibri"/>
      <w:noProof/>
      <w:sz w:val="24"/>
      <w:szCs w:val="24"/>
    </w:rPr>
  </w:style>
  <w:style w:type="character" w:customStyle="1" w:styleId="UnresolvedMention3">
    <w:name w:val="Unresolved Mention3"/>
    <w:basedOn w:val="DefaultParagraphFont"/>
    <w:uiPriority w:val="99"/>
    <w:semiHidden/>
    <w:unhideWhenUsed/>
    <w:rsid w:val="00694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90991">
      <w:bodyDiv w:val="1"/>
      <w:marLeft w:val="0"/>
      <w:marRight w:val="0"/>
      <w:marTop w:val="0"/>
      <w:marBottom w:val="0"/>
      <w:divBdr>
        <w:top w:val="none" w:sz="0" w:space="0" w:color="auto"/>
        <w:left w:val="none" w:sz="0" w:space="0" w:color="auto"/>
        <w:bottom w:val="none" w:sz="0" w:space="0" w:color="auto"/>
        <w:right w:val="none" w:sz="0" w:space="0" w:color="auto"/>
      </w:divBdr>
      <w:divsChild>
        <w:div w:id="1120343995">
          <w:marLeft w:val="1080"/>
          <w:marRight w:val="0"/>
          <w:marTop w:val="100"/>
          <w:marBottom w:val="0"/>
          <w:divBdr>
            <w:top w:val="none" w:sz="0" w:space="0" w:color="auto"/>
            <w:left w:val="none" w:sz="0" w:space="0" w:color="auto"/>
            <w:bottom w:val="none" w:sz="0" w:space="0" w:color="auto"/>
            <w:right w:val="none" w:sz="0" w:space="0" w:color="auto"/>
          </w:divBdr>
        </w:div>
      </w:divsChild>
    </w:div>
    <w:div w:id="46225721">
      <w:bodyDiv w:val="1"/>
      <w:marLeft w:val="0"/>
      <w:marRight w:val="0"/>
      <w:marTop w:val="0"/>
      <w:marBottom w:val="0"/>
      <w:divBdr>
        <w:top w:val="none" w:sz="0" w:space="0" w:color="auto"/>
        <w:left w:val="none" w:sz="0" w:space="0" w:color="auto"/>
        <w:bottom w:val="none" w:sz="0" w:space="0" w:color="auto"/>
        <w:right w:val="none" w:sz="0" w:space="0" w:color="auto"/>
      </w:divBdr>
    </w:div>
    <w:div w:id="67970160">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5832677">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2675228">
      <w:bodyDiv w:val="1"/>
      <w:marLeft w:val="0"/>
      <w:marRight w:val="0"/>
      <w:marTop w:val="0"/>
      <w:marBottom w:val="0"/>
      <w:divBdr>
        <w:top w:val="none" w:sz="0" w:space="0" w:color="auto"/>
        <w:left w:val="none" w:sz="0" w:space="0" w:color="auto"/>
        <w:bottom w:val="none" w:sz="0" w:space="0" w:color="auto"/>
        <w:right w:val="none" w:sz="0" w:space="0" w:color="auto"/>
      </w:divBdr>
      <w:divsChild>
        <w:div w:id="392893955">
          <w:marLeft w:val="0"/>
          <w:marRight w:val="0"/>
          <w:marTop w:val="0"/>
          <w:marBottom w:val="0"/>
          <w:divBdr>
            <w:top w:val="none" w:sz="0" w:space="0" w:color="auto"/>
            <w:left w:val="none" w:sz="0" w:space="0" w:color="auto"/>
            <w:bottom w:val="none" w:sz="0" w:space="0" w:color="auto"/>
            <w:right w:val="none" w:sz="0" w:space="0" w:color="auto"/>
          </w:divBdr>
          <w:divsChild>
            <w:div w:id="209539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924">
      <w:bodyDiv w:val="1"/>
      <w:marLeft w:val="0"/>
      <w:marRight w:val="0"/>
      <w:marTop w:val="0"/>
      <w:marBottom w:val="0"/>
      <w:divBdr>
        <w:top w:val="none" w:sz="0" w:space="0" w:color="auto"/>
        <w:left w:val="none" w:sz="0" w:space="0" w:color="auto"/>
        <w:bottom w:val="none" w:sz="0" w:space="0" w:color="auto"/>
        <w:right w:val="none" w:sz="0" w:space="0" w:color="auto"/>
      </w:divBdr>
    </w:div>
    <w:div w:id="146483144">
      <w:bodyDiv w:val="1"/>
      <w:marLeft w:val="0"/>
      <w:marRight w:val="0"/>
      <w:marTop w:val="0"/>
      <w:marBottom w:val="0"/>
      <w:divBdr>
        <w:top w:val="none" w:sz="0" w:space="0" w:color="auto"/>
        <w:left w:val="none" w:sz="0" w:space="0" w:color="auto"/>
        <w:bottom w:val="none" w:sz="0" w:space="0" w:color="auto"/>
        <w:right w:val="none" w:sz="0" w:space="0" w:color="auto"/>
      </w:divBdr>
    </w:div>
    <w:div w:id="282271993">
      <w:bodyDiv w:val="1"/>
      <w:marLeft w:val="0"/>
      <w:marRight w:val="0"/>
      <w:marTop w:val="0"/>
      <w:marBottom w:val="0"/>
      <w:divBdr>
        <w:top w:val="none" w:sz="0" w:space="0" w:color="auto"/>
        <w:left w:val="none" w:sz="0" w:space="0" w:color="auto"/>
        <w:bottom w:val="none" w:sz="0" w:space="0" w:color="auto"/>
        <w:right w:val="none" w:sz="0" w:space="0" w:color="auto"/>
      </w:divBdr>
    </w:div>
    <w:div w:id="287202183">
      <w:bodyDiv w:val="1"/>
      <w:marLeft w:val="0"/>
      <w:marRight w:val="0"/>
      <w:marTop w:val="0"/>
      <w:marBottom w:val="0"/>
      <w:divBdr>
        <w:top w:val="none" w:sz="0" w:space="0" w:color="auto"/>
        <w:left w:val="none" w:sz="0" w:space="0" w:color="auto"/>
        <w:bottom w:val="none" w:sz="0" w:space="0" w:color="auto"/>
        <w:right w:val="none" w:sz="0" w:space="0" w:color="auto"/>
      </w:divBdr>
    </w:div>
    <w:div w:id="288051616">
      <w:bodyDiv w:val="1"/>
      <w:marLeft w:val="0"/>
      <w:marRight w:val="0"/>
      <w:marTop w:val="0"/>
      <w:marBottom w:val="0"/>
      <w:divBdr>
        <w:top w:val="none" w:sz="0" w:space="0" w:color="auto"/>
        <w:left w:val="none" w:sz="0" w:space="0" w:color="auto"/>
        <w:bottom w:val="none" w:sz="0" w:space="0" w:color="auto"/>
        <w:right w:val="none" w:sz="0" w:space="0" w:color="auto"/>
      </w:divBdr>
    </w:div>
    <w:div w:id="292947652">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31298906">
      <w:bodyDiv w:val="1"/>
      <w:marLeft w:val="0"/>
      <w:marRight w:val="0"/>
      <w:marTop w:val="0"/>
      <w:marBottom w:val="0"/>
      <w:divBdr>
        <w:top w:val="none" w:sz="0" w:space="0" w:color="auto"/>
        <w:left w:val="none" w:sz="0" w:space="0" w:color="auto"/>
        <w:bottom w:val="none" w:sz="0" w:space="0" w:color="auto"/>
        <w:right w:val="none" w:sz="0" w:space="0" w:color="auto"/>
      </w:divBdr>
    </w:div>
    <w:div w:id="364868907">
      <w:bodyDiv w:val="1"/>
      <w:marLeft w:val="0"/>
      <w:marRight w:val="0"/>
      <w:marTop w:val="0"/>
      <w:marBottom w:val="0"/>
      <w:divBdr>
        <w:top w:val="none" w:sz="0" w:space="0" w:color="auto"/>
        <w:left w:val="none" w:sz="0" w:space="0" w:color="auto"/>
        <w:bottom w:val="none" w:sz="0" w:space="0" w:color="auto"/>
        <w:right w:val="none" w:sz="0" w:space="0" w:color="auto"/>
      </w:divBdr>
    </w:div>
    <w:div w:id="408814325">
      <w:bodyDiv w:val="1"/>
      <w:marLeft w:val="0"/>
      <w:marRight w:val="0"/>
      <w:marTop w:val="0"/>
      <w:marBottom w:val="0"/>
      <w:divBdr>
        <w:top w:val="none" w:sz="0" w:space="0" w:color="auto"/>
        <w:left w:val="none" w:sz="0" w:space="0" w:color="auto"/>
        <w:bottom w:val="none" w:sz="0" w:space="0" w:color="auto"/>
        <w:right w:val="none" w:sz="0" w:space="0" w:color="auto"/>
      </w:divBdr>
    </w:div>
    <w:div w:id="417561299">
      <w:bodyDiv w:val="1"/>
      <w:marLeft w:val="0"/>
      <w:marRight w:val="0"/>
      <w:marTop w:val="0"/>
      <w:marBottom w:val="0"/>
      <w:divBdr>
        <w:top w:val="none" w:sz="0" w:space="0" w:color="auto"/>
        <w:left w:val="none" w:sz="0" w:space="0" w:color="auto"/>
        <w:bottom w:val="none" w:sz="0" w:space="0" w:color="auto"/>
        <w:right w:val="none" w:sz="0" w:space="0" w:color="auto"/>
      </w:divBdr>
    </w:div>
    <w:div w:id="450638064">
      <w:bodyDiv w:val="1"/>
      <w:marLeft w:val="0"/>
      <w:marRight w:val="0"/>
      <w:marTop w:val="0"/>
      <w:marBottom w:val="0"/>
      <w:divBdr>
        <w:top w:val="none" w:sz="0" w:space="0" w:color="auto"/>
        <w:left w:val="none" w:sz="0" w:space="0" w:color="auto"/>
        <w:bottom w:val="none" w:sz="0" w:space="0" w:color="auto"/>
        <w:right w:val="none" w:sz="0" w:space="0" w:color="auto"/>
      </w:divBdr>
    </w:div>
    <w:div w:id="491802353">
      <w:bodyDiv w:val="1"/>
      <w:marLeft w:val="0"/>
      <w:marRight w:val="0"/>
      <w:marTop w:val="0"/>
      <w:marBottom w:val="0"/>
      <w:divBdr>
        <w:top w:val="none" w:sz="0" w:space="0" w:color="auto"/>
        <w:left w:val="none" w:sz="0" w:space="0" w:color="auto"/>
        <w:bottom w:val="none" w:sz="0" w:space="0" w:color="auto"/>
        <w:right w:val="none" w:sz="0" w:space="0" w:color="auto"/>
      </w:divBdr>
    </w:div>
    <w:div w:id="510264244">
      <w:bodyDiv w:val="1"/>
      <w:marLeft w:val="0"/>
      <w:marRight w:val="0"/>
      <w:marTop w:val="0"/>
      <w:marBottom w:val="0"/>
      <w:divBdr>
        <w:top w:val="none" w:sz="0" w:space="0" w:color="auto"/>
        <w:left w:val="none" w:sz="0" w:space="0" w:color="auto"/>
        <w:bottom w:val="none" w:sz="0" w:space="0" w:color="auto"/>
        <w:right w:val="none" w:sz="0" w:space="0" w:color="auto"/>
      </w:divBdr>
    </w:div>
    <w:div w:id="544216278">
      <w:bodyDiv w:val="1"/>
      <w:marLeft w:val="0"/>
      <w:marRight w:val="0"/>
      <w:marTop w:val="0"/>
      <w:marBottom w:val="0"/>
      <w:divBdr>
        <w:top w:val="none" w:sz="0" w:space="0" w:color="auto"/>
        <w:left w:val="none" w:sz="0" w:space="0" w:color="auto"/>
        <w:bottom w:val="none" w:sz="0" w:space="0" w:color="auto"/>
        <w:right w:val="none" w:sz="0" w:space="0" w:color="auto"/>
      </w:divBdr>
    </w:div>
    <w:div w:id="547955016">
      <w:bodyDiv w:val="1"/>
      <w:marLeft w:val="0"/>
      <w:marRight w:val="0"/>
      <w:marTop w:val="0"/>
      <w:marBottom w:val="0"/>
      <w:divBdr>
        <w:top w:val="none" w:sz="0" w:space="0" w:color="auto"/>
        <w:left w:val="none" w:sz="0" w:space="0" w:color="auto"/>
        <w:bottom w:val="none" w:sz="0" w:space="0" w:color="auto"/>
        <w:right w:val="none" w:sz="0" w:space="0" w:color="auto"/>
      </w:divBdr>
    </w:div>
    <w:div w:id="698969354">
      <w:bodyDiv w:val="1"/>
      <w:marLeft w:val="0"/>
      <w:marRight w:val="0"/>
      <w:marTop w:val="0"/>
      <w:marBottom w:val="0"/>
      <w:divBdr>
        <w:top w:val="none" w:sz="0" w:space="0" w:color="auto"/>
        <w:left w:val="none" w:sz="0" w:space="0" w:color="auto"/>
        <w:bottom w:val="none" w:sz="0" w:space="0" w:color="auto"/>
        <w:right w:val="none" w:sz="0" w:space="0" w:color="auto"/>
      </w:divBdr>
    </w:div>
    <w:div w:id="734278598">
      <w:bodyDiv w:val="1"/>
      <w:marLeft w:val="0"/>
      <w:marRight w:val="0"/>
      <w:marTop w:val="0"/>
      <w:marBottom w:val="0"/>
      <w:divBdr>
        <w:top w:val="none" w:sz="0" w:space="0" w:color="auto"/>
        <w:left w:val="none" w:sz="0" w:space="0" w:color="auto"/>
        <w:bottom w:val="none" w:sz="0" w:space="0" w:color="auto"/>
        <w:right w:val="none" w:sz="0" w:space="0" w:color="auto"/>
      </w:divBdr>
    </w:div>
    <w:div w:id="736173789">
      <w:bodyDiv w:val="1"/>
      <w:marLeft w:val="0"/>
      <w:marRight w:val="0"/>
      <w:marTop w:val="0"/>
      <w:marBottom w:val="0"/>
      <w:divBdr>
        <w:top w:val="none" w:sz="0" w:space="0" w:color="auto"/>
        <w:left w:val="none" w:sz="0" w:space="0" w:color="auto"/>
        <w:bottom w:val="none" w:sz="0" w:space="0" w:color="auto"/>
        <w:right w:val="none" w:sz="0" w:space="0" w:color="auto"/>
      </w:divBdr>
    </w:div>
    <w:div w:id="934217008">
      <w:bodyDiv w:val="1"/>
      <w:marLeft w:val="0"/>
      <w:marRight w:val="0"/>
      <w:marTop w:val="0"/>
      <w:marBottom w:val="0"/>
      <w:divBdr>
        <w:top w:val="none" w:sz="0" w:space="0" w:color="auto"/>
        <w:left w:val="none" w:sz="0" w:space="0" w:color="auto"/>
        <w:bottom w:val="none" w:sz="0" w:space="0" w:color="auto"/>
        <w:right w:val="none" w:sz="0" w:space="0" w:color="auto"/>
      </w:divBdr>
    </w:div>
    <w:div w:id="1056784146">
      <w:bodyDiv w:val="1"/>
      <w:marLeft w:val="0"/>
      <w:marRight w:val="0"/>
      <w:marTop w:val="0"/>
      <w:marBottom w:val="0"/>
      <w:divBdr>
        <w:top w:val="none" w:sz="0" w:space="0" w:color="auto"/>
        <w:left w:val="none" w:sz="0" w:space="0" w:color="auto"/>
        <w:bottom w:val="none" w:sz="0" w:space="0" w:color="auto"/>
        <w:right w:val="none" w:sz="0" w:space="0" w:color="auto"/>
      </w:divBdr>
    </w:div>
    <w:div w:id="1098334369">
      <w:bodyDiv w:val="1"/>
      <w:marLeft w:val="0"/>
      <w:marRight w:val="0"/>
      <w:marTop w:val="0"/>
      <w:marBottom w:val="0"/>
      <w:divBdr>
        <w:top w:val="none" w:sz="0" w:space="0" w:color="auto"/>
        <w:left w:val="none" w:sz="0" w:space="0" w:color="auto"/>
        <w:bottom w:val="none" w:sz="0" w:space="0" w:color="auto"/>
        <w:right w:val="none" w:sz="0" w:space="0" w:color="auto"/>
      </w:divBdr>
    </w:div>
    <w:div w:id="1141340900">
      <w:bodyDiv w:val="1"/>
      <w:marLeft w:val="0"/>
      <w:marRight w:val="0"/>
      <w:marTop w:val="0"/>
      <w:marBottom w:val="0"/>
      <w:divBdr>
        <w:top w:val="none" w:sz="0" w:space="0" w:color="auto"/>
        <w:left w:val="none" w:sz="0" w:space="0" w:color="auto"/>
        <w:bottom w:val="none" w:sz="0" w:space="0" w:color="auto"/>
        <w:right w:val="none" w:sz="0" w:space="0" w:color="auto"/>
      </w:divBdr>
    </w:div>
    <w:div w:id="1165824474">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19537">
      <w:bodyDiv w:val="1"/>
      <w:marLeft w:val="0"/>
      <w:marRight w:val="0"/>
      <w:marTop w:val="0"/>
      <w:marBottom w:val="0"/>
      <w:divBdr>
        <w:top w:val="none" w:sz="0" w:space="0" w:color="auto"/>
        <w:left w:val="none" w:sz="0" w:space="0" w:color="auto"/>
        <w:bottom w:val="none" w:sz="0" w:space="0" w:color="auto"/>
        <w:right w:val="none" w:sz="0" w:space="0" w:color="auto"/>
      </w:divBdr>
    </w:div>
    <w:div w:id="1269312643">
      <w:bodyDiv w:val="1"/>
      <w:marLeft w:val="0"/>
      <w:marRight w:val="0"/>
      <w:marTop w:val="0"/>
      <w:marBottom w:val="0"/>
      <w:divBdr>
        <w:top w:val="none" w:sz="0" w:space="0" w:color="auto"/>
        <w:left w:val="none" w:sz="0" w:space="0" w:color="auto"/>
        <w:bottom w:val="none" w:sz="0" w:space="0" w:color="auto"/>
        <w:right w:val="none" w:sz="0" w:space="0" w:color="auto"/>
      </w:divBdr>
    </w:div>
    <w:div w:id="1277905447">
      <w:bodyDiv w:val="1"/>
      <w:marLeft w:val="0"/>
      <w:marRight w:val="0"/>
      <w:marTop w:val="0"/>
      <w:marBottom w:val="0"/>
      <w:divBdr>
        <w:top w:val="none" w:sz="0" w:space="0" w:color="auto"/>
        <w:left w:val="none" w:sz="0" w:space="0" w:color="auto"/>
        <w:bottom w:val="none" w:sz="0" w:space="0" w:color="auto"/>
        <w:right w:val="none" w:sz="0" w:space="0" w:color="auto"/>
      </w:divBdr>
    </w:div>
    <w:div w:id="1361516331">
      <w:bodyDiv w:val="1"/>
      <w:marLeft w:val="0"/>
      <w:marRight w:val="0"/>
      <w:marTop w:val="0"/>
      <w:marBottom w:val="0"/>
      <w:divBdr>
        <w:top w:val="none" w:sz="0" w:space="0" w:color="auto"/>
        <w:left w:val="none" w:sz="0" w:space="0" w:color="auto"/>
        <w:bottom w:val="none" w:sz="0" w:space="0" w:color="auto"/>
        <w:right w:val="none" w:sz="0" w:space="0" w:color="auto"/>
      </w:divBdr>
    </w:div>
    <w:div w:id="1382169698">
      <w:bodyDiv w:val="1"/>
      <w:marLeft w:val="0"/>
      <w:marRight w:val="0"/>
      <w:marTop w:val="0"/>
      <w:marBottom w:val="0"/>
      <w:divBdr>
        <w:top w:val="none" w:sz="0" w:space="0" w:color="auto"/>
        <w:left w:val="none" w:sz="0" w:space="0" w:color="auto"/>
        <w:bottom w:val="none" w:sz="0" w:space="0" w:color="auto"/>
        <w:right w:val="none" w:sz="0" w:space="0" w:color="auto"/>
      </w:divBdr>
    </w:div>
    <w:div w:id="1399136734">
      <w:bodyDiv w:val="1"/>
      <w:marLeft w:val="0"/>
      <w:marRight w:val="0"/>
      <w:marTop w:val="0"/>
      <w:marBottom w:val="0"/>
      <w:divBdr>
        <w:top w:val="none" w:sz="0" w:space="0" w:color="auto"/>
        <w:left w:val="none" w:sz="0" w:space="0" w:color="auto"/>
        <w:bottom w:val="none" w:sz="0" w:space="0" w:color="auto"/>
        <w:right w:val="none" w:sz="0" w:space="0" w:color="auto"/>
      </w:divBdr>
    </w:div>
    <w:div w:id="1439910532">
      <w:bodyDiv w:val="1"/>
      <w:marLeft w:val="0"/>
      <w:marRight w:val="0"/>
      <w:marTop w:val="0"/>
      <w:marBottom w:val="0"/>
      <w:divBdr>
        <w:top w:val="none" w:sz="0" w:space="0" w:color="auto"/>
        <w:left w:val="none" w:sz="0" w:space="0" w:color="auto"/>
        <w:bottom w:val="none" w:sz="0" w:space="0" w:color="auto"/>
        <w:right w:val="none" w:sz="0" w:space="0" w:color="auto"/>
      </w:divBdr>
    </w:div>
    <w:div w:id="1493135037">
      <w:bodyDiv w:val="1"/>
      <w:marLeft w:val="0"/>
      <w:marRight w:val="0"/>
      <w:marTop w:val="0"/>
      <w:marBottom w:val="0"/>
      <w:divBdr>
        <w:top w:val="none" w:sz="0" w:space="0" w:color="auto"/>
        <w:left w:val="none" w:sz="0" w:space="0" w:color="auto"/>
        <w:bottom w:val="none" w:sz="0" w:space="0" w:color="auto"/>
        <w:right w:val="none" w:sz="0" w:space="0" w:color="auto"/>
      </w:divBdr>
    </w:div>
    <w:div w:id="1567107123">
      <w:bodyDiv w:val="1"/>
      <w:marLeft w:val="0"/>
      <w:marRight w:val="0"/>
      <w:marTop w:val="0"/>
      <w:marBottom w:val="0"/>
      <w:divBdr>
        <w:top w:val="none" w:sz="0" w:space="0" w:color="auto"/>
        <w:left w:val="none" w:sz="0" w:space="0" w:color="auto"/>
        <w:bottom w:val="none" w:sz="0" w:space="0" w:color="auto"/>
        <w:right w:val="none" w:sz="0" w:space="0" w:color="auto"/>
      </w:divBdr>
    </w:div>
    <w:div w:id="1686706626">
      <w:bodyDiv w:val="1"/>
      <w:marLeft w:val="0"/>
      <w:marRight w:val="0"/>
      <w:marTop w:val="0"/>
      <w:marBottom w:val="0"/>
      <w:divBdr>
        <w:top w:val="none" w:sz="0" w:space="0" w:color="auto"/>
        <w:left w:val="none" w:sz="0" w:space="0" w:color="auto"/>
        <w:bottom w:val="none" w:sz="0" w:space="0" w:color="auto"/>
        <w:right w:val="none" w:sz="0" w:space="0" w:color="auto"/>
      </w:divBdr>
    </w:div>
    <w:div w:id="1715619235">
      <w:bodyDiv w:val="1"/>
      <w:marLeft w:val="0"/>
      <w:marRight w:val="0"/>
      <w:marTop w:val="0"/>
      <w:marBottom w:val="0"/>
      <w:divBdr>
        <w:top w:val="none" w:sz="0" w:space="0" w:color="auto"/>
        <w:left w:val="none" w:sz="0" w:space="0" w:color="auto"/>
        <w:bottom w:val="none" w:sz="0" w:space="0" w:color="auto"/>
        <w:right w:val="none" w:sz="0" w:space="0" w:color="auto"/>
      </w:divBdr>
    </w:div>
    <w:div w:id="1783725691">
      <w:bodyDiv w:val="1"/>
      <w:marLeft w:val="0"/>
      <w:marRight w:val="0"/>
      <w:marTop w:val="0"/>
      <w:marBottom w:val="0"/>
      <w:divBdr>
        <w:top w:val="none" w:sz="0" w:space="0" w:color="auto"/>
        <w:left w:val="none" w:sz="0" w:space="0" w:color="auto"/>
        <w:bottom w:val="none" w:sz="0" w:space="0" w:color="auto"/>
        <w:right w:val="none" w:sz="0" w:space="0" w:color="auto"/>
      </w:divBdr>
    </w:div>
    <w:div w:id="1820801274">
      <w:bodyDiv w:val="1"/>
      <w:marLeft w:val="0"/>
      <w:marRight w:val="0"/>
      <w:marTop w:val="0"/>
      <w:marBottom w:val="0"/>
      <w:divBdr>
        <w:top w:val="none" w:sz="0" w:space="0" w:color="auto"/>
        <w:left w:val="none" w:sz="0" w:space="0" w:color="auto"/>
        <w:bottom w:val="none" w:sz="0" w:space="0" w:color="auto"/>
        <w:right w:val="none" w:sz="0" w:space="0" w:color="auto"/>
      </w:divBdr>
    </w:div>
    <w:div w:id="1832601885">
      <w:bodyDiv w:val="1"/>
      <w:marLeft w:val="0"/>
      <w:marRight w:val="0"/>
      <w:marTop w:val="0"/>
      <w:marBottom w:val="0"/>
      <w:divBdr>
        <w:top w:val="none" w:sz="0" w:space="0" w:color="auto"/>
        <w:left w:val="none" w:sz="0" w:space="0" w:color="auto"/>
        <w:bottom w:val="none" w:sz="0" w:space="0" w:color="auto"/>
        <w:right w:val="none" w:sz="0" w:space="0" w:color="auto"/>
      </w:divBdr>
    </w:div>
    <w:div w:id="1892643595">
      <w:bodyDiv w:val="1"/>
      <w:marLeft w:val="0"/>
      <w:marRight w:val="0"/>
      <w:marTop w:val="0"/>
      <w:marBottom w:val="0"/>
      <w:divBdr>
        <w:top w:val="none" w:sz="0" w:space="0" w:color="auto"/>
        <w:left w:val="none" w:sz="0" w:space="0" w:color="auto"/>
        <w:bottom w:val="none" w:sz="0" w:space="0" w:color="auto"/>
        <w:right w:val="none" w:sz="0" w:space="0" w:color="auto"/>
      </w:divBdr>
    </w:div>
    <w:div w:id="194865935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89507794">
      <w:bodyDiv w:val="1"/>
      <w:marLeft w:val="0"/>
      <w:marRight w:val="0"/>
      <w:marTop w:val="0"/>
      <w:marBottom w:val="0"/>
      <w:divBdr>
        <w:top w:val="none" w:sz="0" w:space="0" w:color="auto"/>
        <w:left w:val="none" w:sz="0" w:space="0" w:color="auto"/>
        <w:bottom w:val="none" w:sz="0" w:space="0" w:color="auto"/>
        <w:right w:val="none" w:sz="0" w:space="0" w:color="auto"/>
      </w:divBdr>
    </w:div>
    <w:div w:id="2044287811">
      <w:bodyDiv w:val="1"/>
      <w:marLeft w:val="0"/>
      <w:marRight w:val="0"/>
      <w:marTop w:val="0"/>
      <w:marBottom w:val="0"/>
      <w:divBdr>
        <w:top w:val="none" w:sz="0" w:space="0" w:color="auto"/>
        <w:left w:val="none" w:sz="0" w:space="0" w:color="auto"/>
        <w:bottom w:val="none" w:sz="0" w:space="0" w:color="auto"/>
        <w:right w:val="none" w:sz="0" w:space="0" w:color="auto"/>
      </w:divBdr>
    </w:div>
    <w:div w:id="2091391375">
      <w:bodyDiv w:val="1"/>
      <w:marLeft w:val="0"/>
      <w:marRight w:val="0"/>
      <w:marTop w:val="0"/>
      <w:marBottom w:val="0"/>
      <w:divBdr>
        <w:top w:val="none" w:sz="0" w:space="0" w:color="auto"/>
        <w:left w:val="none" w:sz="0" w:space="0" w:color="auto"/>
        <w:bottom w:val="none" w:sz="0" w:space="0" w:color="auto"/>
        <w:right w:val="none" w:sz="0" w:space="0" w:color="auto"/>
      </w:divBdr>
    </w:div>
    <w:div w:id="2097750579">
      <w:bodyDiv w:val="1"/>
      <w:marLeft w:val="0"/>
      <w:marRight w:val="0"/>
      <w:marTop w:val="0"/>
      <w:marBottom w:val="0"/>
      <w:divBdr>
        <w:top w:val="none" w:sz="0" w:space="0" w:color="auto"/>
        <w:left w:val="none" w:sz="0" w:space="0" w:color="auto"/>
        <w:bottom w:val="none" w:sz="0" w:space="0" w:color="auto"/>
        <w:right w:val="none" w:sz="0" w:space="0" w:color="auto"/>
      </w:divBdr>
    </w:div>
    <w:div w:id="2104183006">
      <w:bodyDiv w:val="1"/>
      <w:marLeft w:val="0"/>
      <w:marRight w:val="0"/>
      <w:marTop w:val="0"/>
      <w:marBottom w:val="0"/>
      <w:divBdr>
        <w:top w:val="none" w:sz="0" w:space="0" w:color="auto"/>
        <w:left w:val="none" w:sz="0" w:space="0" w:color="auto"/>
        <w:bottom w:val="none" w:sz="0" w:space="0" w:color="auto"/>
        <w:right w:val="none" w:sz="0" w:space="0" w:color="auto"/>
      </w:divBdr>
    </w:div>
    <w:div w:id="2111272928">
      <w:bodyDiv w:val="1"/>
      <w:marLeft w:val="0"/>
      <w:marRight w:val="0"/>
      <w:marTop w:val="0"/>
      <w:marBottom w:val="0"/>
      <w:divBdr>
        <w:top w:val="none" w:sz="0" w:space="0" w:color="auto"/>
        <w:left w:val="none" w:sz="0" w:space="0" w:color="auto"/>
        <w:bottom w:val="none" w:sz="0" w:space="0" w:color="auto"/>
        <w:right w:val="none" w:sz="0" w:space="0" w:color="auto"/>
      </w:divBdr>
    </w:div>
    <w:div w:id="2111923382">
      <w:bodyDiv w:val="1"/>
      <w:marLeft w:val="0"/>
      <w:marRight w:val="0"/>
      <w:marTop w:val="0"/>
      <w:marBottom w:val="0"/>
      <w:divBdr>
        <w:top w:val="none" w:sz="0" w:space="0" w:color="auto"/>
        <w:left w:val="none" w:sz="0" w:space="0" w:color="auto"/>
        <w:bottom w:val="none" w:sz="0" w:space="0" w:color="auto"/>
        <w:right w:val="none" w:sz="0" w:space="0" w:color="auto"/>
      </w:divBdr>
    </w:div>
    <w:div w:id="212422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3767A-D949-40A0-AA6B-5EE7D806D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11269</Words>
  <Characters>64881</Characters>
  <Application>Microsoft Office Word</Application>
  <DocSecurity>0</DocSecurity>
  <Lines>540</Lines>
  <Paragraphs>151</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5.11	TRABECTEDIN,  Powder for I.V. infusion 0.25mg, 1mg Yondelis®,  Specialised </vt:lpstr>
      <vt:lpstr>Purpose of submission</vt:lpstr>
      <vt:lpstr>Background</vt:lpstr>
      <vt:lpstr>    Registration status</vt:lpstr>
      <vt:lpstr>Requested listing</vt:lpstr>
      <vt:lpstr>Population and disease</vt:lpstr>
      <vt:lpstr>Comparator</vt:lpstr>
      <vt:lpstr>Consideration of the evidence</vt:lpstr>
      <vt:lpstr>    Sponsor hearing</vt:lpstr>
      <vt:lpstr>    Consumer comments</vt:lpstr>
      <vt:lpstr>    Clinical studies</vt:lpstr>
      <vt:lpstr>    Comparative effectiveness</vt:lpstr>
      <vt:lpstr>    Comparative harms</vt:lpstr>
      <vt:lpstr>    Clinical claim</vt:lpstr>
      <vt:lpstr>    Economic analysis </vt:lpstr>
      <vt:lpstr>    Drug cost/patient/course</vt:lpstr>
      <vt:lpstr>    Estimated PBS usage &amp; financial implications</vt:lpstr>
      <vt:lpstr>    Quality Use of Medicines</vt:lpstr>
      <vt:lpstr>PBAC Outcome</vt:lpstr>
      <vt:lpstr>Recommended listing</vt:lpstr>
      <vt:lpstr>Context for Decision</vt:lpstr>
      <vt:lpstr>Sponsor’s Comment</vt:lpstr>
    </vt:vector>
  </TitlesOfParts>
  <Company/>
  <LinksUpToDate>false</LinksUpToDate>
  <CharactersWithSpaces>75999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2021-10-25T03:15:00Z</dcterms:created>
  <dcterms:modified xsi:type="dcterms:W3CDTF">2021-10-25T03:16:00Z</dcterms:modified>
</cp:coreProperties>
</file>